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79487">
      <w:pPr>
        <w:spacing w:line="360" w:lineRule="auto"/>
        <w:jc w:val="center"/>
        <w:rPr>
          <w:rFonts w:hint="eastAsia" w:ascii="宋体" w:hAnsi="宋体"/>
          <w:b/>
          <w:bCs/>
          <w:color w:val="auto"/>
          <w:sz w:val="56"/>
          <w:szCs w:val="72"/>
        </w:rPr>
      </w:pPr>
    </w:p>
    <w:p w14:paraId="4554C8A9">
      <w:pPr>
        <w:spacing w:line="360" w:lineRule="auto"/>
        <w:jc w:val="center"/>
        <w:rPr>
          <w:rFonts w:hint="eastAsia" w:ascii="宋体" w:hAnsi="宋体" w:eastAsia="宋体"/>
          <w:b/>
          <w:bCs/>
          <w:color w:val="auto"/>
          <w:sz w:val="56"/>
          <w:szCs w:val="72"/>
          <w:lang w:eastAsia="zh-CN"/>
        </w:rPr>
      </w:pPr>
      <w:r>
        <w:rPr>
          <w:rFonts w:hint="eastAsia" w:ascii="宋体" w:hAnsi="宋体"/>
          <w:b/>
          <w:bCs/>
          <w:color w:val="auto"/>
          <w:sz w:val="56"/>
          <w:szCs w:val="72"/>
          <w:lang w:eastAsia="zh-CN"/>
        </w:rPr>
        <w:t>麋鹿科研及服务支撑--麋鹿种群健康与栖息地监测分析创新平台2设备采购（第二次）</w:t>
      </w:r>
    </w:p>
    <w:p w14:paraId="4EDE746E">
      <w:pPr>
        <w:spacing w:line="360" w:lineRule="auto"/>
        <w:jc w:val="center"/>
        <w:rPr>
          <w:rFonts w:hint="eastAsia" w:ascii="宋体" w:hAnsi="宋体"/>
          <w:b/>
          <w:bCs/>
          <w:color w:val="auto"/>
          <w:sz w:val="56"/>
          <w:szCs w:val="72"/>
        </w:rPr>
      </w:pPr>
    </w:p>
    <w:p w14:paraId="372EFE40">
      <w:pPr>
        <w:spacing w:line="360" w:lineRule="auto"/>
        <w:jc w:val="center"/>
        <w:rPr>
          <w:rFonts w:hint="eastAsia" w:ascii="宋体" w:hAnsi="宋体" w:cs="宋体"/>
          <w:b/>
          <w:bCs/>
          <w:color w:val="auto"/>
          <w:sz w:val="72"/>
          <w:szCs w:val="72"/>
        </w:rPr>
      </w:pPr>
      <w:r>
        <w:rPr>
          <w:rFonts w:hint="eastAsia" w:ascii="宋体" w:hAnsi="宋体" w:cs="宋体"/>
          <w:b/>
          <w:bCs/>
          <w:color w:val="auto"/>
          <w:sz w:val="72"/>
          <w:szCs w:val="72"/>
        </w:rPr>
        <w:t>招标文件</w:t>
      </w:r>
    </w:p>
    <w:p w14:paraId="5432CFA8">
      <w:pPr>
        <w:spacing w:line="360" w:lineRule="auto"/>
        <w:jc w:val="center"/>
        <w:rPr>
          <w:rFonts w:hint="eastAsia" w:ascii="宋体" w:hAnsi="宋体" w:cs="宋体"/>
          <w:b/>
          <w:bCs/>
          <w:color w:val="auto"/>
          <w:sz w:val="30"/>
          <w:szCs w:val="30"/>
        </w:rPr>
      </w:pPr>
    </w:p>
    <w:p w14:paraId="6F407B03">
      <w:pPr>
        <w:spacing w:line="360" w:lineRule="auto"/>
        <w:jc w:val="center"/>
        <w:rPr>
          <w:rFonts w:hint="eastAsia" w:ascii="宋体" w:hAnsi="宋体" w:eastAsia="宋体" w:cs="宋体"/>
          <w:b/>
          <w:bCs/>
          <w:color w:val="auto"/>
          <w:sz w:val="30"/>
          <w:szCs w:val="30"/>
          <w:lang w:val="en-US" w:eastAsia="zh-CN"/>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11000025210200138495-XM001</w:t>
      </w:r>
    </w:p>
    <w:p w14:paraId="1D81D250">
      <w:pPr>
        <w:pStyle w:val="272"/>
        <w:ind w:left="0" w:leftChars="0" w:firstLine="0" w:firstLineChars="0"/>
        <w:rPr>
          <w:rFonts w:hint="eastAsia"/>
          <w:color w:val="auto"/>
        </w:rPr>
      </w:pPr>
    </w:p>
    <w:p w14:paraId="0FF0FD61">
      <w:pPr>
        <w:tabs>
          <w:tab w:val="left" w:pos="709"/>
        </w:tabs>
        <w:spacing w:line="360" w:lineRule="auto"/>
        <w:jc w:val="both"/>
        <w:rPr>
          <w:rFonts w:hint="eastAsia" w:ascii="宋体" w:hAnsi="宋体" w:cs="宋体"/>
          <w:b/>
          <w:bCs/>
          <w:color w:val="auto"/>
          <w:sz w:val="30"/>
          <w:szCs w:val="30"/>
        </w:rPr>
      </w:pPr>
    </w:p>
    <w:p w14:paraId="654D87CF">
      <w:pPr>
        <w:tabs>
          <w:tab w:val="left" w:pos="709"/>
        </w:tabs>
        <w:spacing w:line="360" w:lineRule="auto"/>
        <w:jc w:val="center"/>
        <w:rPr>
          <w:rFonts w:hint="eastAsia" w:ascii="宋体" w:hAnsi="宋体" w:eastAsia="宋体" w:cs="宋体"/>
          <w:b/>
          <w:bCs/>
          <w:color w:val="auto"/>
          <w:sz w:val="30"/>
          <w:szCs w:val="30"/>
          <w:lang w:eastAsia="zh-CN"/>
        </w:rPr>
      </w:pPr>
      <w:r>
        <w:rPr>
          <w:rFonts w:hint="eastAsia" w:ascii="宋体" w:hAnsi="宋体" w:cs="宋体"/>
          <w:b/>
          <w:bCs/>
          <w:color w:val="auto"/>
          <w:sz w:val="30"/>
          <w:szCs w:val="30"/>
        </w:rPr>
        <w:t>采购人：</w:t>
      </w:r>
      <w:r>
        <w:rPr>
          <w:rFonts w:hint="eastAsia" w:ascii="宋体" w:hAnsi="宋体" w:cs="宋体"/>
          <w:b/>
          <w:bCs/>
          <w:color w:val="auto"/>
          <w:sz w:val="30"/>
          <w:szCs w:val="30"/>
          <w:lang w:eastAsia="zh-CN"/>
        </w:rPr>
        <w:t>北京麋鹿生态实验中心</w:t>
      </w:r>
    </w:p>
    <w:p w14:paraId="25B56B2E">
      <w:pPr>
        <w:spacing w:line="360" w:lineRule="auto"/>
        <w:jc w:val="center"/>
        <w:rPr>
          <w:rFonts w:hint="eastAsia" w:ascii="宋体" w:hAnsi="宋体" w:cs="宋体"/>
          <w:b/>
          <w:bCs/>
          <w:color w:val="auto"/>
          <w:sz w:val="44"/>
          <w:szCs w:val="44"/>
        </w:rPr>
      </w:pPr>
      <w:r>
        <w:rPr>
          <w:rFonts w:hint="eastAsia" w:ascii="宋体" w:hAnsi="宋体" w:cs="宋体"/>
          <w:b/>
          <w:bCs/>
          <w:color w:val="auto"/>
          <w:sz w:val="30"/>
          <w:szCs w:val="30"/>
        </w:rPr>
        <w:t>采购代理机构：中技国际招标有限公司</w:t>
      </w:r>
    </w:p>
    <w:p w14:paraId="174798D9">
      <w:pPr>
        <w:widowControl/>
        <w:jc w:val="center"/>
        <w:rPr>
          <w:rFonts w:hint="eastAsia" w:ascii="宋体" w:hAnsi="宋体" w:cs="宋体"/>
          <w:b/>
          <w:bCs/>
          <w:color w:val="auto"/>
          <w:sz w:val="30"/>
          <w:szCs w:val="30"/>
        </w:rPr>
      </w:pPr>
      <w:r>
        <w:rPr>
          <w:rFonts w:hint="eastAsia" w:ascii="宋体" w:hAnsi="宋体" w:cs="宋体"/>
          <w:b/>
          <w:bCs/>
          <w:color w:val="auto"/>
          <w:sz w:val="30"/>
          <w:szCs w:val="30"/>
        </w:rPr>
        <w:t>日期：2025</w:t>
      </w:r>
      <w:r>
        <w:rPr>
          <w:rFonts w:ascii="宋体" w:hAnsi="宋体" w:cs="宋体"/>
          <w:b/>
          <w:bCs/>
          <w:color w:val="auto"/>
          <w:sz w:val="30"/>
          <w:szCs w:val="30"/>
        </w:rPr>
        <w:t>年</w:t>
      </w:r>
      <w:r>
        <w:rPr>
          <w:rFonts w:hint="eastAsia" w:ascii="宋体" w:hAnsi="宋体" w:cs="宋体"/>
          <w:b/>
          <w:bCs/>
          <w:color w:val="auto"/>
          <w:sz w:val="30"/>
          <w:szCs w:val="30"/>
          <w:lang w:val="en-US" w:eastAsia="zh-CN"/>
        </w:rPr>
        <w:t>7</w:t>
      </w:r>
      <w:r>
        <w:rPr>
          <w:rFonts w:ascii="宋体" w:hAnsi="宋体" w:cs="宋体"/>
          <w:b/>
          <w:bCs/>
          <w:color w:val="auto"/>
          <w:sz w:val="30"/>
          <w:szCs w:val="30"/>
        </w:rPr>
        <w:t>月</w:t>
      </w:r>
    </w:p>
    <w:p w14:paraId="02D191BF">
      <w:pPr>
        <w:spacing w:line="360" w:lineRule="auto"/>
        <w:ind w:firstLine="7228" w:firstLineChars="1000"/>
        <w:rPr>
          <w:b/>
          <w:color w:val="auto"/>
          <w:sz w:val="72"/>
        </w:rPr>
        <w:sectPr>
          <w:headerReference r:id="rId6" w:type="first"/>
          <w:footerReference r:id="rId9" w:type="first"/>
          <w:headerReference r:id="rId5" w:type="default"/>
          <w:footerReference r:id="rId7" w:type="default"/>
          <w:footerReference r:id="rId8" w:type="even"/>
          <w:pgSz w:w="11907" w:h="16840"/>
          <w:pgMar w:top="1911" w:right="1474" w:bottom="1882" w:left="1587" w:header="851" w:footer="851" w:gutter="0"/>
          <w:pgNumType w:fmt="decimal" w:start="1"/>
          <w:cols w:space="720" w:num="1"/>
          <w:titlePg/>
          <w:docGrid w:linePitch="462" w:charSpace="0"/>
        </w:sectPr>
      </w:pPr>
    </w:p>
    <w:p w14:paraId="11A7E836">
      <w:pPr>
        <w:spacing w:line="360" w:lineRule="auto"/>
        <w:jc w:val="center"/>
        <w:outlineLvl w:val="0"/>
        <w:rPr>
          <w:b/>
          <w:color w:val="auto"/>
          <w:sz w:val="36"/>
          <w:szCs w:val="36"/>
        </w:rPr>
      </w:pPr>
      <w:bookmarkStart w:id="0" w:name="_Toc8545"/>
      <w:bookmarkStart w:id="1" w:name="_Toc99301418"/>
      <w:bookmarkStart w:id="2" w:name="_Toc102747134"/>
      <w:r>
        <w:rPr>
          <w:b/>
          <w:color w:val="auto"/>
          <w:sz w:val="36"/>
          <w:szCs w:val="36"/>
        </w:rPr>
        <w:t>目      录</w:t>
      </w:r>
      <w:bookmarkEnd w:id="0"/>
      <w:bookmarkEnd w:id="1"/>
      <w:bookmarkEnd w:id="2"/>
    </w:p>
    <w:p w14:paraId="6D419719">
      <w:pPr>
        <w:pStyle w:val="27"/>
        <w:tabs>
          <w:tab w:val="right" w:leader="dot" w:pos="9072"/>
        </w:tabs>
        <w:rPr>
          <w:sz w:val="24"/>
          <w:szCs w:val="32"/>
        </w:rPr>
      </w:pPr>
      <w:r>
        <w:rPr>
          <w:b/>
          <w:color w:val="auto"/>
          <w:sz w:val="24"/>
          <w:szCs w:val="32"/>
        </w:rPr>
        <w:fldChar w:fldCharType="begin"/>
      </w:r>
      <w:r>
        <w:rPr>
          <w:b/>
          <w:color w:val="auto"/>
          <w:sz w:val="24"/>
          <w:szCs w:val="32"/>
        </w:rPr>
        <w:instrText xml:space="preserve"> TOC \o "1-1" \h \z \u </w:instrText>
      </w:r>
      <w:r>
        <w:rPr>
          <w:b/>
          <w:color w:val="auto"/>
          <w:sz w:val="24"/>
          <w:szCs w:val="32"/>
        </w:rPr>
        <w:fldChar w:fldCharType="separate"/>
      </w:r>
      <w:r>
        <w:rPr>
          <w:rFonts w:ascii="Times New Roman" w:hAnsi="Times New Roman"/>
          <w:color w:val="auto"/>
          <w:sz w:val="24"/>
          <w:szCs w:val="32"/>
        </w:rPr>
        <w:fldChar w:fldCharType="begin"/>
      </w:r>
      <w:r>
        <w:rPr>
          <w:rFonts w:ascii="Times New Roman" w:hAnsi="Times New Roman"/>
          <w:sz w:val="24"/>
          <w:szCs w:val="32"/>
        </w:rPr>
        <w:instrText xml:space="preserve"> HYPERLINK \l _Toc22418 </w:instrText>
      </w:r>
      <w:r>
        <w:rPr>
          <w:rFonts w:ascii="Times New Roman" w:hAnsi="Times New Roman"/>
          <w:sz w:val="24"/>
          <w:szCs w:val="32"/>
        </w:rPr>
        <w:fldChar w:fldCharType="separate"/>
      </w:r>
      <w:r>
        <w:rPr>
          <w:sz w:val="24"/>
          <w:szCs w:val="44"/>
        </w:rPr>
        <w:t>第一章   投标邀请</w:t>
      </w:r>
      <w:r>
        <w:rPr>
          <w:sz w:val="24"/>
          <w:szCs w:val="32"/>
        </w:rPr>
        <w:tab/>
      </w:r>
      <w:r>
        <w:rPr>
          <w:sz w:val="24"/>
          <w:szCs w:val="32"/>
        </w:rPr>
        <w:fldChar w:fldCharType="begin"/>
      </w:r>
      <w:r>
        <w:rPr>
          <w:sz w:val="24"/>
          <w:szCs w:val="32"/>
        </w:rPr>
        <w:instrText xml:space="preserve"> PAGEREF _Toc22418 \h </w:instrText>
      </w:r>
      <w:r>
        <w:rPr>
          <w:sz w:val="24"/>
          <w:szCs w:val="32"/>
        </w:rPr>
        <w:fldChar w:fldCharType="separate"/>
      </w:r>
      <w:r>
        <w:rPr>
          <w:sz w:val="24"/>
          <w:szCs w:val="32"/>
        </w:rPr>
        <w:t>1</w:t>
      </w:r>
      <w:r>
        <w:rPr>
          <w:sz w:val="24"/>
          <w:szCs w:val="32"/>
        </w:rPr>
        <w:fldChar w:fldCharType="end"/>
      </w:r>
      <w:r>
        <w:rPr>
          <w:rFonts w:ascii="Times New Roman" w:hAnsi="Times New Roman"/>
          <w:color w:val="auto"/>
          <w:sz w:val="24"/>
          <w:szCs w:val="32"/>
        </w:rPr>
        <w:fldChar w:fldCharType="end"/>
      </w:r>
    </w:p>
    <w:p w14:paraId="074F87FD">
      <w:pPr>
        <w:pStyle w:val="27"/>
        <w:tabs>
          <w:tab w:val="right" w:leader="dot" w:pos="9072"/>
        </w:tabs>
        <w:rPr>
          <w:sz w:val="24"/>
          <w:szCs w:val="32"/>
        </w:rPr>
      </w:pPr>
      <w:r>
        <w:rPr>
          <w:rFonts w:ascii="Times New Roman" w:hAnsi="Times New Roman"/>
          <w:color w:val="auto"/>
          <w:sz w:val="24"/>
          <w:szCs w:val="32"/>
        </w:rPr>
        <w:fldChar w:fldCharType="begin"/>
      </w:r>
      <w:r>
        <w:rPr>
          <w:rFonts w:ascii="Times New Roman" w:hAnsi="Times New Roman"/>
          <w:sz w:val="24"/>
          <w:szCs w:val="32"/>
        </w:rPr>
        <w:instrText xml:space="preserve"> HYPERLINK \l _Toc14224 </w:instrText>
      </w:r>
      <w:r>
        <w:rPr>
          <w:rFonts w:ascii="Times New Roman" w:hAnsi="Times New Roman"/>
          <w:sz w:val="24"/>
          <w:szCs w:val="32"/>
        </w:rPr>
        <w:fldChar w:fldCharType="separate"/>
      </w:r>
      <w:r>
        <w:rPr>
          <w:sz w:val="24"/>
          <w:szCs w:val="44"/>
        </w:rPr>
        <w:t>第二章   投标人须知</w:t>
      </w:r>
      <w:r>
        <w:rPr>
          <w:sz w:val="24"/>
          <w:szCs w:val="32"/>
        </w:rPr>
        <w:tab/>
      </w:r>
      <w:r>
        <w:rPr>
          <w:sz w:val="24"/>
          <w:szCs w:val="32"/>
        </w:rPr>
        <w:fldChar w:fldCharType="begin"/>
      </w:r>
      <w:r>
        <w:rPr>
          <w:sz w:val="24"/>
          <w:szCs w:val="32"/>
        </w:rPr>
        <w:instrText xml:space="preserve"> PAGEREF _Toc14224 \h </w:instrText>
      </w:r>
      <w:r>
        <w:rPr>
          <w:sz w:val="24"/>
          <w:szCs w:val="32"/>
        </w:rPr>
        <w:fldChar w:fldCharType="separate"/>
      </w:r>
      <w:r>
        <w:rPr>
          <w:sz w:val="24"/>
          <w:szCs w:val="32"/>
        </w:rPr>
        <w:t>6</w:t>
      </w:r>
      <w:r>
        <w:rPr>
          <w:sz w:val="24"/>
          <w:szCs w:val="32"/>
        </w:rPr>
        <w:fldChar w:fldCharType="end"/>
      </w:r>
      <w:r>
        <w:rPr>
          <w:rFonts w:ascii="Times New Roman" w:hAnsi="Times New Roman"/>
          <w:color w:val="auto"/>
          <w:sz w:val="24"/>
          <w:szCs w:val="32"/>
        </w:rPr>
        <w:fldChar w:fldCharType="end"/>
      </w:r>
    </w:p>
    <w:p w14:paraId="6900AC5C">
      <w:pPr>
        <w:pStyle w:val="27"/>
        <w:tabs>
          <w:tab w:val="right" w:leader="dot" w:pos="9072"/>
        </w:tabs>
        <w:rPr>
          <w:sz w:val="24"/>
          <w:szCs w:val="32"/>
        </w:rPr>
      </w:pPr>
      <w:r>
        <w:rPr>
          <w:rFonts w:ascii="Times New Roman" w:hAnsi="Times New Roman"/>
          <w:color w:val="auto"/>
          <w:sz w:val="24"/>
          <w:szCs w:val="32"/>
        </w:rPr>
        <w:fldChar w:fldCharType="begin"/>
      </w:r>
      <w:r>
        <w:rPr>
          <w:rFonts w:ascii="Times New Roman" w:hAnsi="Times New Roman"/>
          <w:sz w:val="24"/>
          <w:szCs w:val="32"/>
        </w:rPr>
        <w:instrText xml:space="preserve"> HYPERLINK \l _Toc12436 </w:instrText>
      </w:r>
      <w:r>
        <w:rPr>
          <w:rFonts w:ascii="Times New Roman" w:hAnsi="Times New Roman"/>
          <w:sz w:val="24"/>
          <w:szCs w:val="32"/>
        </w:rPr>
        <w:fldChar w:fldCharType="separate"/>
      </w:r>
      <w:r>
        <w:rPr>
          <w:sz w:val="24"/>
          <w:szCs w:val="44"/>
        </w:rPr>
        <w:t>第三章   资格审查</w:t>
      </w:r>
      <w:r>
        <w:rPr>
          <w:sz w:val="24"/>
          <w:szCs w:val="32"/>
        </w:rPr>
        <w:tab/>
      </w:r>
      <w:r>
        <w:rPr>
          <w:sz w:val="24"/>
          <w:szCs w:val="32"/>
        </w:rPr>
        <w:fldChar w:fldCharType="begin"/>
      </w:r>
      <w:r>
        <w:rPr>
          <w:sz w:val="24"/>
          <w:szCs w:val="32"/>
        </w:rPr>
        <w:instrText xml:space="preserve"> PAGEREF _Toc12436 \h </w:instrText>
      </w:r>
      <w:r>
        <w:rPr>
          <w:sz w:val="24"/>
          <w:szCs w:val="32"/>
        </w:rPr>
        <w:fldChar w:fldCharType="separate"/>
      </w:r>
      <w:r>
        <w:rPr>
          <w:sz w:val="24"/>
          <w:szCs w:val="32"/>
        </w:rPr>
        <w:t>25</w:t>
      </w:r>
      <w:r>
        <w:rPr>
          <w:sz w:val="24"/>
          <w:szCs w:val="32"/>
        </w:rPr>
        <w:fldChar w:fldCharType="end"/>
      </w:r>
      <w:r>
        <w:rPr>
          <w:rFonts w:ascii="Times New Roman" w:hAnsi="Times New Roman"/>
          <w:color w:val="auto"/>
          <w:sz w:val="24"/>
          <w:szCs w:val="32"/>
        </w:rPr>
        <w:fldChar w:fldCharType="end"/>
      </w:r>
    </w:p>
    <w:p w14:paraId="4C39598D">
      <w:pPr>
        <w:pStyle w:val="27"/>
        <w:tabs>
          <w:tab w:val="right" w:leader="dot" w:pos="9072"/>
        </w:tabs>
        <w:rPr>
          <w:sz w:val="24"/>
          <w:szCs w:val="32"/>
        </w:rPr>
      </w:pPr>
      <w:r>
        <w:rPr>
          <w:rFonts w:ascii="Times New Roman" w:hAnsi="Times New Roman"/>
          <w:color w:val="auto"/>
          <w:sz w:val="24"/>
          <w:szCs w:val="32"/>
        </w:rPr>
        <w:fldChar w:fldCharType="begin"/>
      </w:r>
      <w:r>
        <w:rPr>
          <w:rFonts w:ascii="Times New Roman" w:hAnsi="Times New Roman"/>
          <w:sz w:val="24"/>
          <w:szCs w:val="32"/>
        </w:rPr>
        <w:instrText xml:space="preserve"> HYPERLINK \l _Toc22653 </w:instrText>
      </w:r>
      <w:r>
        <w:rPr>
          <w:rFonts w:ascii="Times New Roman" w:hAnsi="Times New Roman"/>
          <w:sz w:val="24"/>
          <w:szCs w:val="32"/>
        </w:rPr>
        <w:fldChar w:fldCharType="separate"/>
      </w:r>
      <w:r>
        <w:rPr>
          <w:sz w:val="24"/>
          <w:szCs w:val="44"/>
        </w:rPr>
        <w:t>第四章   评标程序、评标方法和评标标准</w:t>
      </w:r>
      <w:r>
        <w:rPr>
          <w:sz w:val="24"/>
          <w:szCs w:val="32"/>
        </w:rPr>
        <w:tab/>
      </w:r>
      <w:r>
        <w:rPr>
          <w:sz w:val="24"/>
          <w:szCs w:val="32"/>
        </w:rPr>
        <w:fldChar w:fldCharType="begin"/>
      </w:r>
      <w:r>
        <w:rPr>
          <w:sz w:val="24"/>
          <w:szCs w:val="32"/>
        </w:rPr>
        <w:instrText xml:space="preserve"> PAGEREF _Toc22653 \h </w:instrText>
      </w:r>
      <w:r>
        <w:rPr>
          <w:sz w:val="24"/>
          <w:szCs w:val="32"/>
        </w:rPr>
        <w:fldChar w:fldCharType="separate"/>
      </w:r>
      <w:r>
        <w:rPr>
          <w:sz w:val="24"/>
          <w:szCs w:val="32"/>
        </w:rPr>
        <w:t>28</w:t>
      </w:r>
      <w:r>
        <w:rPr>
          <w:sz w:val="24"/>
          <w:szCs w:val="32"/>
        </w:rPr>
        <w:fldChar w:fldCharType="end"/>
      </w:r>
      <w:r>
        <w:rPr>
          <w:rFonts w:ascii="Times New Roman" w:hAnsi="Times New Roman"/>
          <w:color w:val="auto"/>
          <w:sz w:val="24"/>
          <w:szCs w:val="32"/>
        </w:rPr>
        <w:fldChar w:fldCharType="end"/>
      </w:r>
    </w:p>
    <w:p w14:paraId="757AD09C">
      <w:pPr>
        <w:pStyle w:val="27"/>
        <w:tabs>
          <w:tab w:val="right" w:leader="dot" w:pos="9072"/>
        </w:tabs>
        <w:rPr>
          <w:sz w:val="24"/>
          <w:szCs w:val="32"/>
        </w:rPr>
      </w:pPr>
      <w:r>
        <w:rPr>
          <w:rFonts w:ascii="Times New Roman" w:hAnsi="Times New Roman"/>
          <w:color w:val="auto"/>
          <w:sz w:val="24"/>
          <w:szCs w:val="32"/>
        </w:rPr>
        <w:fldChar w:fldCharType="begin"/>
      </w:r>
      <w:r>
        <w:rPr>
          <w:rFonts w:ascii="Times New Roman" w:hAnsi="Times New Roman"/>
          <w:sz w:val="24"/>
          <w:szCs w:val="32"/>
        </w:rPr>
        <w:instrText xml:space="preserve"> HYPERLINK \l _Toc29370 </w:instrText>
      </w:r>
      <w:r>
        <w:rPr>
          <w:rFonts w:ascii="Times New Roman" w:hAnsi="Times New Roman"/>
          <w:sz w:val="24"/>
          <w:szCs w:val="32"/>
        </w:rPr>
        <w:fldChar w:fldCharType="separate"/>
      </w:r>
      <w:r>
        <w:rPr>
          <w:sz w:val="24"/>
          <w:szCs w:val="44"/>
        </w:rPr>
        <w:t>第五章   采购需求</w:t>
      </w:r>
      <w:r>
        <w:rPr>
          <w:sz w:val="24"/>
          <w:szCs w:val="32"/>
        </w:rPr>
        <w:tab/>
      </w:r>
      <w:r>
        <w:rPr>
          <w:sz w:val="24"/>
          <w:szCs w:val="32"/>
        </w:rPr>
        <w:fldChar w:fldCharType="begin"/>
      </w:r>
      <w:r>
        <w:rPr>
          <w:sz w:val="24"/>
          <w:szCs w:val="32"/>
        </w:rPr>
        <w:instrText xml:space="preserve"> PAGEREF _Toc29370 \h </w:instrText>
      </w:r>
      <w:r>
        <w:rPr>
          <w:sz w:val="24"/>
          <w:szCs w:val="32"/>
        </w:rPr>
        <w:fldChar w:fldCharType="separate"/>
      </w:r>
      <w:r>
        <w:rPr>
          <w:sz w:val="24"/>
          <w:szCs w:val="32"/>
        </w:rPr>
        <w:t>36</w:t>
      </w:r>
      <w:r>
        <w:rPr>
          <w:sz w:val="24"/>
          <w:szCs w:val="32"/>
        </w:rPr>
        <w:fldChar w:fldCharType="end"/>
      </w:r>
      <w:r>
        <w:rPr>
          <w:rFonts w:ascii="Times New Roman" w:hAnsi="Times New Roman"/>
          <w:color w:val="auto"/>
          <w:sz w:val="24"/>
          <w:szCs w:val="32"/>
        </w:rPr>
        <w:fldChar w:fldCharType="end"/>
      </w:r>
    </w:p>
    <w:p w14:paraId="79955795">
      <w:pPr>
        <w:pStyle w:val="27"/>
        <w:tabs>
          <w:tab w:val="right" w:leader="dot" w:pos="9072"/>
        </w:tabs>
        <w:rPr>
          <w:sz w:val="24"/>
          <w:szCs w:val="32"/>
        </w:rPr>
      </w:pPr>
      <w:r>
        <w:rPr>
          <w:rFonts w:ascii="Times New Roman" w:hAnsi="Times New Roman"/>
          <w:color w:val="auto"/>
          <w:sz w:val="24"/>
          <w:szCs w:val="32"/>
        </w:rPr>
        <w:fldChar w:fldCharType="begin"/>
      </w:r>
      <w:r>
        <w:rPr>
          <w:rFonts w:ascii="Times New Roman" w:hAnsi="Times New Roman"/>
          <w:sz w:val="24"/>
          <w:szCs w:val="32"/>
        </w:rPr>
        <w:instrText xml:space="preserve"> HYPERLINK \l _Toc19499 </w:instrText>
      </w:r>
      <w:r>
        <w:rPr>
          <w:rFonts w:ascii="Times New Roman" w:hAnsi="Times New Roman"/>
          <w:sz w:val="24"/>
          <w:szCs w:val="32"/>
        </w:rPr>
        <w:fldChar w:fldCharType="separate"/>
      </w:r>
      <w:r>
        <w:rPr>
          <w:rFonts w:hint="default"/>
          <w:sz w:val="24"/>
          <w:szCs w:val="44"/>
        </w:rPr>
        <w:t xml:space="preserve">第六章 </w:t>
      </w:r>
      <w:r>
        <w:rPr>
          <w:rFonts w:hint="eastAsia"/>
          <w:sz w:val="24"/>
          <w:szCs w:val="44"/>
          <w:lang w:val="en-US" w:eastAsia="zh-CN"/>
        </w:rPr>
        <w:t xml:space="preserve"> </w:t>
      </w:r>
      <w:r>
        <w:rPr>
          <w:rFonts w:hint="default"/>
          <w:sz w:val="24"/>
          <w:szCs w:val="44"/>
        </w:rPr>
        <w:t xml:space="preserve"> 拟签订的合同文本</w:t>
      </w:r>
      <w:r>
        <w:rPr>
          <w:sz w:val="24"/>
          <w:szCs w:val="32"/>
        </w:rPr>
        <w:tab/>
      </w:r>
      <w:r>
        <w:rPr>
          <w:sz w:val="24"/>
          <w:szCs w:val="32"/>
        </w:rPr>
        <w:fldChar w:fldCharType="begin"/>
      </w:r>
      <w:r>
        <w:rPr>
          <w:sz w:val="24"/>
          <w:szCs w:val="32"/>
        </w:rPr>
        <w:instrText xml:space="preserve"> PAGEREF _Toc19499 \h </w:instrText>
      </w:r>
      <w:r>
        <w:rPr>
          <w:sz w:val="24"/>
          <w:szCs w:val="32"/>
        </w:rPr>
        <w:fldChar w:fldCharType="separate"/>
      </w:r>
      <w:r>
        <w:rPr>
          <w:sz w:val="24"/>
          <w:szCs w:val="32"/>
        </w:rPr>
        <w:t>59</w:t>
      </w:r>
      <w:r>
        <w:rPr>
          <w:sz w:val="24"/>
          <w:szCs w:val="32"/>
        </w:rPr>
        <w:fldChar w:fldCharType="end"/>
      </w:r>
      <w:r>
        <w:rPr>
          <w:rFonts w:ascii="Times New Roman" w:hAnsi="Times New Roman"/>
          <w:color w:val="auto"/>
          <w:sz w:val="24"/>
          <w:szCs w:val="32"/>
        </w:rPr>
        <w:fldChar w:fldCharType="end"/>
      </w:r>
    </w:p>
    <w:p w14:paraId="16059D0F">
      <w:pPr>
        <w:pStyle w:val="27"/>
        <w:tabs>
          <w:tab w:val="right" w:leader="dot" w:pos="9072"/>
        </w:tabs>
        <w:rPr>
          <w:sz w:val="24"/>
          <w:szCs w:val="32"/>
        </w:rPr>
      </w:pPr>
      <w:r>
        <w:rPr>
          <w:rFonts w:ascii="Times New Roman" w:hAnsi="Times New Roman"/>
          <w:color w:val="auto"/>
          <w:sz w:val="24"/>
          <w:szCs w:val="32"/>
        </w:rPr>
        <w:fldChar w:fldCharType="begin"/>
      </w:r>
      <w:r>
        <w:rPr>
          <w:rFonts w:ascii="Times New Roman" w:hAnsi="Times New Roman"/>
          <w:sz w:val="24"/>
          <w:szCs w:val="32"/>
        </w:rPr>
        <w:instrText xml:space="preserve"> HYPERLINK \l _Toc8891 </w:instrText>
      </w:r>
      <w:r>
        <w:rPr>
          <w:rFonts w:ascii="Times New Roman" w:hAnsi="Times New Roman"/>
          <w:sz w:val="24"/>
          <w:szCs w:val="32"/>
        </w:rPr>
        <w:fldChar w:fldCharType="separate"/>
      </w:r>
      <w:r>
        <w:rPr>
          <w:rFonts w:hint="default"/>
          <w:sz w:val="24"/>
          <w:szCs w:val="44"/>
        </w:rPr>
        <w:t>第七章   投标文件格式</w:t>
      </w:r>
      <w:r>
        <w:rPr>
          <w:sz w:val="24"/>
          <w:szCs w:val="32"/>
        </w:rPr>
        <w:tab/>
      </w:r>
      <w:r>
        <w:rPr>
          <w:sz w:val="24"/>
          <w:szCs w:val="32"/>
        </w:rPr>
        <w:fldChar w:fldCharType="begin"/>
      </w:r>
      <w:r>
        <w:rPr>
          <w:sz w:val="24"/>
          <w:szCs w:val="32"/>
        </w:rPr>
        <w:instrText xml:space="preserve"> PAGEREF _Toc8891 \h </w:instrText>
      </w:r>
      <w:r>
        <w:rPr>
          <w:sz w:val="24"/>
          <w:szCs w:val="32"/>
        </w:rPr>
        <w:fldChar w:fldCharType="separate"/>
      </w:r>
      <w:r>
        <w:rPr>
          <w:sz w:val="24"/>
          <w:szCs w:val="32"/>
        </w:rPr>
        <w:t>66</w:t>
      </w:r>
      <w:r>
        <w:rPr>
          <w:sz w:val="24"/>
          <w:szCs w:val="32"/>
        </w:rPr>
        <w:fldChar w:fldCharType="end"/>
      </w:r>
      <w:r>
        <w:rPr>
          <w:rFonts w:ascii="Times New Roman" w:hAnsi="Times New Roman"/>
          <w:color w:val="auto"/>
          <w:sz w:val="24"/>
          <w:szCs w:val="32"/>
        </w:rPr>
        <w:fldChar w:fldCharType="end"/>
      </w:r>
    </w:p>
    <w:p w14:paraId="3CBA14EB">
      <w:pPr>
        <w:pStyle w:val="69"/>
        <w:spacing w:line="360" w:lineRule="auto"/>
        <w:ind w:firstLine="210"/>
        <w:rPr>
          <w:rFonts w:ascii="Times New Roman" w:hAnsi="Times New Roman"/>
          <w:b/>
          <w:color w:val="auto"/>
        </w:rPr>
      </w:pPr>
      <w:r>
        <w:rPr>
          <w:rFonts w:ascii="Times New Roman" w:hAnsi="Times New Roman"/>
          <w:color w:val="auto"/>
          <w:sz w:val="24"/>
          <w:szCs w:val="32"/>
        </w:rPr>
        <w:fldChar w:fldCharType="end"/>
      </w:r>
    </w:p>
    <w:p w14:paraId="3FB40E42">
      <w:pPr>
        <w:spacing w:line="360" w:lineRule="auto"/>
        <w:jc w:val="center"/>
        <w:outlineLvl w:val="0"/>
        <w:rPr>
          <w:b/>
          <w:color w:val="auto"/>
          <w:sz w:val="36"/>
          <w:szCs w:val="36"/>
        </w:rPr>
      </w:pPr>
      <w:r>
        <w:rPr>
          <w:color w:val="auto"/>
          <w:sz w:val="24"/>
        </w:rPr>
        <w:br w:type="page"/>
      </w:r>
      <w:bookmarkStart w:id="3" w:name="_Toc22418"/>
      <w:r>
        <w:rPr>
          <w:b/>
          <w:color w:val="auto"/>
          <w:sz w:val="36"/>
          <w:szCs w:val="36"/>
        </w:rPr>
        <w:t>第一章   投标邀请</w:t>
      </w:r>
      <w:bookmarkEnd w:id="3"/>
    </w:p>
    <w:p w14:paraId="3DE836B5">
      <w:pPr>
        <w:pStyle w:val="3"/>
        <w:pageBreakBefore w:val="0"/>
        <w:kinsoku/>
        <w:wordWrap/>
        <w:overflowPunct/>
        <w:topLinePunct w:val="0"/>
        <w:bidi w:val="0"/>
        <w:snapToGrid w:val="0"/>
        <w:spacing w:before="0" w:after="0" w:line="540" w:lineRule="exact"/>
        <w:jc w:val="left"/>
        <w:textAlignment w:val="auto"/>
        <w:rPr>
          <w:rFonts w:hint="eastAsia" w:ascii="宋体" w:hAnsi="宋体" w:eastAsia="宋体" w:cs="宋体"/>
          <w:sz w:val="24"/>
          <w:szCs w:val="24"/>
          <w:highlight w:val="none"/>
        </w:rPr>
      </w:pPr>
      <w:bookmarkStart w:id="4" w:name="_Toc28359079"/>
      <w:bookmarkStart w:id="5" w:name="_Toc35393790"/>
      <w:bookmarkStart w:id="6" w:name="_Toc28359002"/>
      <w:bookmarkStart w:id="7" w:name="_Toc35393621"/>
      <w:bookmarkStart w:id="8" w:name="_Hlk24379207"/>
      <w:bookmarkStart w:id="9" w:name="_Hlk101538775"/>
      <w:r>
        <w:rPr>
          <w:rFonts w:hint="eastAsia" w:ascii="宋体" w:hAnsi="宋体" w:eastAsia="宋体" w:cs="宋体"/>
          <w:sz w:val="24"/>
          <w:szCs w:val="24"/>
          <w:highlight w:val="none"/>
        </w:rPr>
        <w:t>一、项目基本情况</w:t>
      </w:r>
      <w:bookmarkEnd w:id="4"/>
      <w:bookmarkEnd w:id="5"/>
      <w:bookmarkEnd w:id="6"/>
      <w:bookmarkEnd w:id="7"/>
    </w:p>
    <w:p w14:paraId="471D036B">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1.项目编号：</w:t>
      </w:r>
      <w:r>
        <w:rPr>
          <w:rFonts w:hint="eastAsia" w:ascii="宋体" w:hAnsi="宋体" w:cs="宋体"/>
          <w:sz w:val="24"/>
          <w:highlight w:val="none"/>
          <w:lang w:eastAsia="zh-CN"/>
        </w:rPr>
        <w:t>11000025210200138495-XM001</w:t>
      </w:r>
    </w:p>
    <w:p w14:paraId="33B6874E">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麋鹿科研及服务支撑--麋鹿种群健康与栖息地监测分析创新平台2设备采购（第二次）</w:t>
      </w:r>
      <w:bookmarkStart w:id="915" w:name="_GoBack"/>
      <w:bookmarkEnd w:id="915"/>
    </w:p>
    <w:bookmarkEnd w:id="8"/>
    <w:p w14:paraId="452D554B">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3.项目预算金额：</w:t>
      </w:r>
      <w:r>
        <w:rPr>
          <w:rFonts w:hint="eastAsia" w:ascii="宋体" w:hAnsi="宋体" w:cs="宋体"/>
          <w:sz w:val="24"/>
          <w:szCs w:val="24"/>
          <w:highlight w:val="none"/>
          <w:lang w:val="en-US" w:eastAsia="zh-CN"/>
        </w:rPr>
        <w:t>161</w:t>
      </w:r>
      <w:r>
        <w:rPr>
          <w:rFonts w:hint="eastAsia" w:ascii="宋体" w:hAnsi="宋体" w:eastAsia="宋体" w:cs="宋体"/>
          <w:sz w:val="24"/>
          <w:highlight w:val="none"/>
          <w:lang w:eastAsia="zh-CN"/>
        </w:rPr>
        <w:t>万元</w:t>
      </w:r>
      <w:r>
        <w:rPr>
          <w:rFonts w:hint="eastAsia" w:ascii="宋体" w:hAnsi="宋体" w:eastAsia="宋体" w:cs="宋体"/>
          <w:sz w:val="24"/>
          <w:highlight w:val="none"/>
        </w:rPr>
        <w:t>、项目最高限价：</w:t>
      </w:r>
      <w:r>
        <w:rPr>
          <w:rFonts w:hint="eastAsia" w:ascii="宋体" w:hAnsi="宋体" w:cs="宋体"/>
          <w:sz w:val="24"/>
          <w:szCs w:val="24"/>
          <w:highlight w:val="none"/>
          <w:lang w:val="en-US" w:eastAsia="zh-CN"/>
        </w:rPr>
        <w:t>161</w:t>
      </w:r>
      <w:r>
        <w:rPr>
          <w:rFonts w:hint="eastAsia" w:ascii="宋体" w:hAnsi="宋体" w:eastAsia="宋体" w:cs="宋体"/>
          <w:sz w:val="24"/>
          <w:highlight w:val="none"/>
          <w:lang w:val="en-US" w:eastAsia="zh-CN"/>
        </w:rPr>
        <w:t>万</w:t>
      </w:r>
      <w:r>
        <w:rPr>
          <w:rFonts w:hint="eastAsia" w:ascii="宋体" w:hAnsi="宋体" w:eastAsia="宋体" w:cs="宋体"/>
          <w:sz w:val="24"/>
          <w:highlight w:val="none"/>
          <w:lang w:eastAsia="zh-CN"/>
        </w:rPr>
        <w:t>元</w:t>
      </w:r>
    </w:p>
    <w:p w14:paraId="2881D7CB">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4.采购需求：</w:t>
      </w:r>
    </w:p>
    <w:tbl>
      <w:tblPr>
        <w:tblStyle w:val="36"/>
        <w:tblW w:w="9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3327"/>
        <w:gridCol w:w="1660"/>
        <w:gridCol w:w="1200"/>
        <w:gridCol w:w="2699"/>
      </w:tblGrid>
      <w:tr w14:paraId="72DE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730" w:type="dxa"/>
            <w:vAlign w:val="center"/>
          </w:tcPr>
          <w:p w14:paraId="1639F3A5">
            <w:pPr>
              <w:pStyle w:val="266"/>
              <w:widowControl w:val="0"/>
              <w:kinsoku/>
              <w:adjustRightInd/>
              <w:spacing w:before="40" w:after="40" w:line="240" w:lineRule="auto"/>
              <w:ind w:right="0" w:rightChars="0" w:firstLine="0" w:firstLineChars="0"/>
              <w:jc w:val="center"/>
              <w:textAlignment w:val="auto"/>
              <w:rPr>
                <w:b/>
                <w:bCs/>
                <w:color w:val="auto"/>
                <w:szCs w:val="24"/>
              </w:rPr>
            </w:pPr>
            <w:r>
              <w:rPr>
                <w:rFonts w:hint="eastAsia"/>
                <w:b/>
                <w:bCs/>
                <w:color w:val="auto"/>
                <w:spacing w:val="-7"/>
                <w:szCs w:val="24"/>
              </w:rPr>
              <w:t>包号</w:t>
            </w:r>
          </w:p>
        </w:tc>
        <w:tc>
          <w:tcPr>
            <w:tcW w:w="3327" w:type="dxa"/>
            <w:vAlign w:val="center"/>
          </w:tcPr>
          <w:p w14:paraId="4844B132">
            <w:pPr>
              <w:pStyle w:val="266"/>
              <w:widowControl w:val="0"/>
              <w:kinsoku/>
              <w:adjustRightInd/>
              <w:spacing w:before="40" w:after="40" w:line="240" w:lineRule="auto"/>
              <w:ind w:firstLine="0" w:firstLineChars="0"/>
              <w:jc w:val="center"/>
              <w:textAlignment w:val="auto"/>
              <w:rPr>
                <w:b/>
                <w:bCs/>
                <w:color w:val="auto"/>
                <w:szCs w:val="24"/>
              </w:rPr>
            </w:pPr>
            <w:r>
              <w:rPr>
                <w:rFonts w:hint="eastAsia"/>
                <w:b/>
                <w:bCs/>
                <w:color w:val="auto"/>
                <w:spacing w:val="-4"/>
                <w:szCs w:val="24"/>
                <w:lang w:val="en-US" w:eastAsia="zh-CN"/>
              </w:rPr>
              <w:t>标的</w:t>
            </w:r>
            <w:r>
              <w:rPr>
                <w:rFonts w:hint="eastAsia"/>
                <w:b/>
                <w:bCs/>
                <w:color w:val="auto"/>
                <w:spacing w:val="-4"/>
                <w:szCs w:val="24"/>
              </w:rPr>
              <w:t>名称</w:t>
            </w:r>
          </w:p>
        </w:tc>
        <w:tc>
          <w:tcPr>
            <w:tcW w:w="1660" w:type="dxa"/>
            <w:vAlign w:val="center"/>
          </w:tcPr>
          <w:p w14:paraId="0E4EA41B">
            <w:pPr>
              <w:pStyle w:val="266"/>
              <w:widowControl w:val="0"/>
              <w:kinsoku/>
              <w:adjustRightInd/>
              <w:spacing w:before="40" w:after="40" w:line="240" w:lineRule="auto"/>
              <w:ind w:left="109" w:right="101" w:firstLine="0" w:firstLineChars="0"/>
              <w:jc w:val="center"/>
              <w:textAlignment w:val="auto"/>
              <w:rPr>
                <w:b/>
                <w:bCs/>
                <w:color w:val="auto"/>
                <w:szCs w:val="24"/>
              </w:rPr>
            </w:pPr>
            <w:r>
              <w:rPr>
                <w:rFonts w:hint="eastAsia"/>
                <w:b/>
                <w:bCs/>
                <w:color w:val="auto"/>
                <w:spacing w:val="-4"/>
                <w:szCs w:val="24"/>
              </w:rPr>
              <w:t>采购包预算金额</w:t>
            </w:r>
            <w:r>
              <w:rPr>
                <w:rFonts w:hint="eastAsia"/>
                <w:b/>
                <w:bCs/>
                <w:color w:val="auto"/>
                <w:spacing w:val="-2"/>
                <w:szCs w:val="24"/>
              </w:rPr>
              <w:t>（万元</w:t>
            </w:r>
            <w:r>
              <w:rPr>
                <w:rFonts w:hint="eastAsia"/>
                <w:b/>
                <w:bCs/>
                <w:color w:val="auto"/>
                <w:spacing w:val="-10"/>
                <w:szCs w:val="24"/>
              </w:rPr>
              <w:t>）</w:t>
            </w:r>
          </w:p>
        </w:tc>
        <w:tc>
          <w:tcPr>
            <w:tcW w:w="1200" w:type="dxa"/>
            <w:vAlign w:val="center"/>
          </w:tcPr>
          <w:p w14:paraId="79FA6A95">
            <w:pPr>
              <w:pStyle w:val="266"/>
              <w:widowControl w:val="0"/>
              <w:kinsoku/>
              <w:adjustRightInd/>
              <w:spacing w:before="40" w:after="40" w:line="240" w:lineRule="auto"/>
              <w:ind w:firstLine="0" w:firstLineChars="0"/>
              <w:jc w:val="center"/>
              <w:textAlignment w:val="auto"/>
              <w:rPr>
                <w:b/>
                <w:bCs/>
                <w:color w:val="auto"/>
                <w:szCs w:val="24"/>
              </w:rPr>
            </w:pPr>
            <w:r>
              <w:rPr>
                <w:rFonts w:hint="eastAsia"/>
                <w:b/>
                <w:bCs/>
                <w:color w:val="auto"/>
                <w:spacing w:val="-7"/>
                <w:szCs w:val="24"/>
              </w:rPr>
              <w:t>数量</w:t>
            </w:r>
          </w:p>
        </w:tc>
        <w:tc>
          <w:tcPr>
            <w:tcW w:w="2699" w:type="dxa"/>
            <w:vAlign w:val="center"/>
          </w:tcPr>
          <w:p w14:paraId="16D7E0F9">
            <w:pPr>
              <w:pStyle w:val="266"/>
              <w:widowControl w:val="0"/>
              <w:kinsoku/>
              <w:adjustRightInd/>
              <w:spacing w:before="40" w:after="40" w:line="240" w:lineRule="auto"/>
              <w:ind w:firstLine="0" w:firstLineChars="0"/>
              <w:jc w:val="center"/>
              <w:textAlignment w:val="auto"/>
              <w:rPr>
                <w:b/>
                <w:bCs/>
                <w:color w:val="auto"/>
                <w:szCs w:val="24"/>
              </w:rPr>
            </w:pPr>
            <w:r>
              <w:rPr>
                <w:rFonts w:hint="eastAsia"/>
                <w:b/>
                <w:bCs/>
                <w:color w:val="auto"/>
                <w:spacing w:val="-3"/>
                <w:szCs w:val="24"/>
              </w:rPr>
              <w:t>简要技术需求或服务要求</w:t>
            </w:r>
          </w:p>
        </w:tc>
      </w:tr>
      <w:tr w14:paraId="3A0F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Merge w:val="restart"/>
            <w:vAlign w:val="center"/>
          </w:tcPr>
          <w:p w14:paraId="5C0532F5">
            <w:pPr>
              <w:pStyle w:val="266"/>
              <w:widowControl w:val="0"/>
              <w:kinsoku/>
              <w:adjustRightInd/>
              <w:spacing w:before="40" w:after="40" w:line="240" w:lineRule="auto"/>
              <w:ind w:firstLine="0" w:firstLineChars="0"/>
              <w:jc w:val="center"/>
              <w:textAlignment w:val="auto"/>
              <w:rPr>
                <w:color w:val="auto"/>
                <w:szCs w:val="24"/>
              </w:rPr>
            </w:pPr>
            <w:r>
              <w:rPr>
                <w:rFonts w:hint="eastAsia"/>
                <w:color w:val="auto"/>
                <w:szCs w:val="24"/>
              </w:rPr>
              <w:t>1</w:t>
            </w:r>
          </w:p>
        </w:tc>
        <w:tc>
          <w:tcPr>
            <w:tcW w:w="3327" w:type="dxa"/>
            <w:vAlign w:val="center"/>
          </w:tcPr>
          <w:p w14:paraId="4E80B9F1">
            <w:pPr>
              <w:pStyle w:val="266"/>
              <w:widowControl w:val="0"/>
              <w:kinsoku/>
              <w:adjustRightInd/>
              <w:spacing w:before="40" w:after="40" w:line="240" w:lineRule="auto"/>
              <w:ind w:firstLine="0" w:firstLineChars="0"/>
              <w:jc w:val="center"/>
              <w:textAlignment w:val="auto"/>
              <w:rPr>
                <w:rFonts w:hint="eastAsia" w:eastAsia="宋体"/>
                <w:color w:val="auto"/>
                <w:szCs w:val="24"/>
                <w:lang w:eastAsia="zh-CN"/>
              </w:rPr>
            </w:pPr>
            <w:r>
              <w:rPr>
                <w:rFonts w:hint="eastAsia" w:eastAsia="宋体"/>
                <w:color w:val="auto"/>
                <w:szCs w:val="24"/>
                <w:lang w:val="en-US" w:eastAsia="zh-CN"/>
              </w:rPr>
              <w:t>超低温保存箱</w:t>
            </w:r>
          </w:p>
        </w:tc>
        <w:tc>
          <w:tcPr>
            <w:tcW w:w="1660" w:type="dxa"/>
            <w:vMerge w:val="restart"/>
            <w:vAlign w:val="center"/>
          </w:tcPr>
          <w:p w14:paraId="3B6A43B1">
            <w:pPr>
              <w:pStyle w:val="266"/>
              <w:widowControl w:val="0"/>
              <w:kinsoku/>
              <w:adjustRightInd/>
              <w:spacing w:before="40" w:after="40" w:line="240" w:lineRule="auto"/>
              <w:ind w:firstLine="0" w:firstLineChars="0"/>
              <w:jc w:val="center"/>
              <w:textAlignment w:val="auto"/>
              <w:rPr>
                <w:rFonts w:hint="default" w:eastAsia="宋体"/>
                <w:color w:val="auto"/>
                <w:szCs w:val="24"/>
                <w:lang w:val="en-US" w:eastAsia="zh-CN"/>
              </w:rPr>
            </w:pPr>
            <w:r>
              <w:rPr>
                <w:rFonts w:hint="eastAsia"/>
                <w:color w:val="auto"/>
                <w:szCs w:val="24"/>
                <w:lang w:val="en-US" w:eastAsia="zh-CN"/>
              </w:rPr>
              <w:t>161</w:t>
            </w:r>
          </w:p>
        </w:tc>
        <w:tc>
          <w:tcPr>
            <w:tcW w:w="1200" w:type="dxa"/>
            <w:vAlign w:val="center"/>
          </w:tcPr>
          <w:p w14:paraId="76B3C1C7">
            <w:pPr>
              <w:pStyle w:val="266"/>
              <w:widowControl w:val="0"/>
              <w:kinsoku/>
              <w:adjustRightInd/>
              <w:spacing w:before="40" w:after="40" w:line="240" w:lineRule="auto"/>
              <w:ind w:firstLine="0" w:firstLineChars="0"/>
              <w:jc w:val="center"/>
              <w:textAlignment w:val="auto"/>
              <w:rPr>
                <w:rFonts w:hint="default" w:eastAsia="宋体"/>
                <w:color w:val="auto"/>
                <w:szCs w:val="24"/>
                <w:lang w:val="en-US" w:eastAsia="zh-CN"/>
              </w:rPr>
            </w:pPr>
            <w:r>
              <w:rPr>
                <w:rFonts w:hint="eastAsia"/>
                <w:color w:val="auto"/>
                <w:spacing w:val="-2"/>
                <w:szCs w:val="24"/>
                <w:lang w:val="en-US" w:eastAsia="zh-CN"/>
              </w:rPr>
              <w:t>2</w:t>
            </w:r>
          </w:p>
        </w:tc>
        <w:tc>
          <w:tcPr>
            <w:tcW w:w="2699" w:type="dxa"/>
            <w:vMerge w:val="restart"/>
            <w:vAlign w:val="center"/>
          </w:tcPr>
          <w:p w14:paraId="691DDF62">
            <w:pPr>
              <w:widowControl w:val="0"/>
              <w:kinsoku/>
              <w:adjustRightInd/>
              <w:spacing w:before="40" w:after="40" w:line="240" w:lineRule="auto"/>
              <w:ind w:firstLine="0" w:firstLineChars="0"/>
              <w:jc w:val="center"/>
              <w:textAlignment w:val="auto"/>
              <w:rPr>
                <w:rFonts w:ascii="宋体" w:hAnsi="宋体" w:cs="宋体"/>
                <w:color w:val="auto"/>
                <w:szCs w:val="24"/>
                <w:lang w:eastAsia="zh-CN"/>
              </w:rPr>
            </w:pPr>
            <w:r>
              <w:rPr>
                <w:rFonts w:hint="eastAsia" w:ascii="宋体" w:hAnsi="宋体" w:cs="宋体"/>
                <w:color w:val="auto"/>
                <w:szCs w:val="24"/>
                <w:lang w:eastAsia="zh-CN"/>
              </w:rPr>
              <w:t>具体内容详见投标文件第五章采购需求内容。</w:t>
            </w:r>
          </w:p>
        </w:tc>
      </w:tr>
      <w:tr w14:paraId="14AB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Merge w:val="continue"/>
            <w:vAlign w:val="center"/>
          </w:tcPr>
          <w:p w14:paraId="376432F3">
            <w:pPr>
              <w:pStyle w:val="266"/>
              <w:widowControl w:val="0"/>
              <w:kinsoku/>
              <w:adjustRightInd/>
              <w:spacing w:before="40" w:after="40" w:line="240" w:lineRule="auto"/>
              <w:ind w:firstLine="0" w:firstLineChars="0"/>
              <w:jc w:val="center"/>
              <w:textAlignment w:val="auto"/>
              <w:rPr>
                <w:rFonts w:hint="eastAsia"/>
                <w:color w:val="auto"/>
                <w:szCs w:val="24"/>
              </w:rPr>
            </w:pPr>
          </w:p>
        </w:tc>
        <w:tc>
          <w:tcPr>
            <w:tcW w:w="3327" w:type="dxa"/>
            <w:vAlign w:val="center"/>
          </w:tcPr>
          <w:p w14:paraId="5B3BA826">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程序降温仪</w:t>
            </w:r>
          </w:p>
        </w:tc>
        <w:tc>
          <w:tcPr>
            <w:tcW w:w="1660" w:type="dxa"/>
            <w:vMerge w:val="continue"/>
            <w:vAlign w:val="center"/>
          </w:tcPr>
          <w:p w14:paraId="510300F0">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1200" w:type="dxa"/>
            <w:vAlign w:val="center"/>
          </w:tcPr>
          <w:p w14:paraId="74685D0D">
            <w:pPr>
              <w:pStyle w:val="266"/>
              <w:widowControl w:val="0"/>
              <w:kinsoku/>
              <w:adjustRightInd/>
              <w:spacing w:before="40" w:after="40" w:line="240" w:lineRule="auto"/>
              <w:ind w:firstLine="0" w:firstLineChars="0"/>
              <w:jc w:val="center"/>
              <w:textAlignment w:val="auto"/>
              <w:rPr>
                <w:rFonts w:hint="default" w:eastAsia="宋体"/>
                <w:color w:val="auto"/>
                <w:spacing w:val="-2"/>
                <w:szCs w:val="24"/>
                <w:lang w:val="en-US" w:eastAsia="zh-CN"/>
              </w:rPr>
            </w:pPr>
            <w:r>
              <w:rPr>
                <w:rFonts w:hint="eastAsia"/>
                <w:color w:val="auto"/>
                <w:spacing w:val="-2"/>
                <w:szCs w:val="24"/>
                <w:lang w:val="en-US" w:eastAsia="zh-CN"/>
              </w:rPr>
              <w:t>1</w:t>
            </w:r>
          </w:p>
        </w:tc>
        <w:tc>
          <w:tcPr>
            <w:tcW w:w="2699" w:type="dxa"/>
            <w:vMerge w:val="continue"/>
            <w:vAlign w:val="center"/>
          </w:tcPr>
          <w:p w14:paraId="62D9AA59">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7696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Merge w:val="continue"/>
            <w:vAlign w:val="center"/>
          </w:tcPr>
          <w:p w14:paraId="6860BAB4">
            <w:pPr>
              <w:pStyle w:val="266"/>
              <w:widowControl w:val="0"/>
              <w:kinsoku/>
              <w:adjustRightInd/>
              <w:spacing w:before="40" w:after="40" w:line="240" w:lineRule="auto"/>
              <w:ind w:firstLine="0" w:firstLineChars="0"/>
              <w:jc w:val="center"/>
              <w:textAlignment w:val="auto"/>
              <w:rPr>
                <w:rFonts w:hint="eastAsia"/>
                <w:color w:val="auto"/>
                <w:szCs w:val="24"/>
              </w:rPr>
            </w:pPr>
          </w:p>
        </w:tc>
        <w:tc>
          <w:tcPr>
            <w:tcW w:w="3327" w:type="dxa"/>
            <w:vAlign w:val="center"/>
          </w:tcPr>
          <w:p w14:paraId="5571BED6">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生物安全柜</w:t>
            </w:r>
          </w:p>
        </w:tc>
        <w:tc>
          <w:tcPr>
            <w:tcW w:w="1660" w:type="dxa"/>
            <w:vMerge w:val="continue"/>
            <w:vAlign w:val="center"/>
          </w:tcPr>
          <w:p w14:paraId="49483F0F">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1200" w:type="dxa"/>
            <w:vAlign w:val="center"/>
          </w:tcPr>
          <w:p w14:paraId="013DD31A">
            <w:pPr>
              <w:pStyle w:val="266"/>
              <w:widowControl w:val="0"/>
              <w:kinsoku/>
              <w:adjustRightInd/>
              <w:spacing w:before="40" w:after="40" w:line="240" w:lineRule="auto"/>
              <w:ind w:firstLine="0" w:firstLineChars="0"/>
              <w:jc w:val="center"/>
              <w:textAlignment w:val="auto"/>
              <w:rPr>
                <w:rFonts w:hint="eastAsia"/>
                <w:color w:val="auto"/>
                <w:spacing w:val="-2"/>
                <w:szCs w:val="24"/>
              </w:rPr>
            </w:pPr>
            <w:r>
              <w:rPr>
                <w:rFonts w:hint="eastAsia"/>
                <w:color w:val="auto"/>
                <w:spacing w:val="-2"/>
                <w:szCs w:val="24"/>
                <w:lang w:val="en-US" w:eastAsia="zh-CN"/>
              </w:rPr>
              <w:t>2</w:t>
            </w:r>
          </w:p>
        </w:tc>
        <w:tc>
          <w:tcPr>
            <w:tcW w:w="2699" w:type="dxa"/>
            <w:vMerge w:val="continue"/>
            <w:vAlign w:val="center"/>
          </w:tcPr>
          <w:p w14:paraId="6356ADF4">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51399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Merge w:val="continue"/>
            <w:vAlign w:val="center"/>
          </w:tcPr>
          <w:p w14:paraId="44FBE157">
            <w:pPr>
              <w:pStyle w:val="266"/>
              <w:widowControl w:val="0"/>
              <w:kinsoku/>
              <w:adjustRightInd/>
              <w:spacing w:before="40" w:after="40" w:line="240" w:lineRule="auto"/>
              <w:ind w:firstLine="0" w:firstLineChars="0"/>
              <w:jc w:val="center"/>
              <w:textAlignment w:val="auto"/>
              <w:rPr>
                <w:rFonts w:hint="eastAsia"/>
                <w:color w:val="auto"/>
                <w:szCs w:val="24"/>
              </w:rPr>
            </w:pPr>
          </w:p>
        </w:tc>
        <w:tc>
          <w:tcPr>
            <w:tcW w:w="3327" w:type="dxa"/>
            <w:vAlign w:val="center"/>
          </w:tcPr>
          <w:p w14:paraId="1C7AD3D4">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三气培养箱</w:t>
            </w:r>
          </w:p>
        </w:tc>
        <w:tc>
          <w:tcPr>
            <w:tcW w:w="1660" w:type="dxa"/>
            <w:vMerge w:val="continue"/>
            <w:vAlign w:val="center"/>
          </w:tcPr>
          <w:p w14:paraId="231DAA3E">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1200" w:type="dxa"/>
            <w:vAlign w:val="center"/>
          </w:tcPr>
          <w:p w14:paraId="014CED55">
            <w:pPr>
              <w:pStyle w:val="266"/>
              <w:widowControl w:val="0"/>
              <w:kinsoku/>
              <w:adjustRightInd/>
              <w:spacing w:before="40" w:after="40" w:line="240" w:lineRule="auto"/>
              <w:ind w:firstLine="0" w:firstLineChars="0"/>
              <w:jc w:val="center"/>
              <w:textAlignment w:val="auto"/>
              <w:rPr>
                <w:rFonts w:hint="eastAsia"/>
                <w:color w:val="auto"/>
                <w:spacing w:val="-2"/>
                <w:szCs w:val="24"/>
              </w:rPr>
            </w:pPr>
            <w:r>
              <w:rPr>
                <w:rFonts w:hint="eastAsia"/>
                <w:color w:val="auto"/>
                <w:spacing w:val="-2"/>
                <w:szCs w:val="24"/>
                <w:lang w:val="en-US" w:eastAsia="zh-CN"/>
              </w:rPr>
              <w:t>1</w:t>
            </w:r>
          </w:p>
        </w:tc>
        <w:tc>
          <w:tcPr>
            <w:tcW w:w="2699" w:type="dxa"/>
            <w:vMerge w:val="continue"/>
            <w:vAlign w:val="center"/>
          </w:tcPr>
          <w:p w14:paraId="56D55F6A">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1C08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Merge w:val="continue"/>
            <w:vAlign w:val="center"/>
          </w:tcPr>
          <w:p w14:paraId="1B245514">
            <w:pPr>
              <w:pStyle w:val="266"/>
              <w:widowControl w:val="0"/>
              <w:kinsoku/>
              <w:adjustRightInd/>
              <w:spacing w:before="40" w:after="40" w:line="240" w:lineRule="auto"/>
              <w:ind w:firstLine="0" w:firstLineChars="0"/>
              <w:jc w:val="center"/>
              <w:textAlignment w:val="auto"/>
              <w:rPr>
                <w:rFonts w:hint="eastAsia"/>
                <w:color w:val="auto"/>
                <w:szCs w:val="24"/>
              </w:rPr>
            </w:pPr>
          </w:p>
        </w:tc>
        <w:tc>
          <w:tcPr>
            <w:tcW w:w="3327" w:type="dxa"/>
            <w:vAlign w:val="center"/>
          </w:tcPr>
          <w:p w14:paraId="5303154B">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细胞计数仪</w:t>
            </w:r>
          </w:p>
        </w:tc>
        <w:tc>
          <w:tcPr>
            <w:tcW w:w="1660" w:type="dxa"/>
            <w:vMerge w:val="continue"/>
            <w:vAlign w:val="center"/>
          </w:tcPr>
          <w:p w14:paraId="17CDBCCC">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1200" w:type="dxa"/>
            <w:vAlign w:val="center"/>
          </w:tcPr>
          <w:p w14:paraId="3934DAE6">
            <w:pPr>
              <w:pStyle w:val="266"/>
              <w:widowControl w:val="0"/>
              <w:kinsoku/>
              <w:adjustRightInd/>
              <w:spacing w:before="40" w:after="40" w:line="240" w:lineRule="auto"/>
              <w:ind w:firstLine="0" w:firstLineChars="0"/>
              <w:jc w:val="center"/>
              <w:textAlignment w:val="auto"/>
              <w:rPr>
                <w:rFonts w:hint="eastAsia"/>
                <w:color w:val="auto"/>
                <w:spacing w:val="-2"/>
                <w:szCs w:val="24"/>
              </w:rPr>
            </w:pPr>
            <w:r>
              <w:rPr>
                <w:rFonts w:hint="eastAsia"/>
                <w:color w:val="auto"/>
                <w:spacing w:val="-2"/>
                <w:szCs w:val="24"/>
                <w:lang w:val="en-US" w:eastAsia="zh-CN"/>
              </w:rPr>
              <w:t>1</w:t>
            </w:r>
          </w:p>
        </w:tc>
        <w:tc>
          <w:tcPr>
            <w:tcW w:w="2699" w:type="dxa"/>
            <w:vMerge w:val="continue"/>
            <w:vAlign w:val="center"/>
          </w:tcPr>
          <w:p w14:paraId="12194E62">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43366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Merge w:val="continue"/>
            <w:vAlign w:val="center"/>
          </w:tcPr>
          <w:p w14:paraId="329DA497">
            <w:pPr>
              <w:pStyle w:val="266"/>
              <w:widowControl w:val="0"/>
              <w:kinsoku/>
              <w:adjustRightInd/>
              <w:spacing w:before="40" w:after="40" w:line="240" w:lineRule="auto"/>
              <w:ind w:firstLine="0" w:firstLineChars="0"/>
              <w:jc w:val="center"/>
              <w:textAlignment w:val="auto"/>
              <w:rPr>
                <w:rFonts w:hint="eastAsia"/>
                <w:color w:val="auto"/>
                <w:szCs w:val="24"/>
              </w:rPr>
            </w:pPr>
          </w:p>
        </w:tc>
        <w:tc>
          <w:tcPr>
            <w:tcW w:w="3327" w:type="dxa"/>
            <w:vAlign w:val="center"/>
          </w:tcPr>
          <w:p w14:paraId="6A5F47C5">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多功能酶标仪</w:t>
            </w:r>
          </w:p>
        </w:tc>
        <w:tc>
          <w:tcPr>
            <w:tcW w:w="1660" w:type="dxa"/>
            <w:vMerge w:val="continue"/>
            <w:vAlign w:val="center"/>
          </w:tcPr>
          <w:p w14:paraId="43D6852F">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1200" w:type="dxa"/>
            <w:vAlign w:val="center"/>
          </w:tcPr>
          <w:p w14:paraId="7476184C">
            <w:pPr>
              <w:pStyle w:val="266"/>
              <w:widowControl w:val="0"/>
              <w:kinsoku/>
              <w:adjustRightInd/>
              <w:spacing w:before="40" w:after="40" w:line="240" w:lineRule="auto"/>
              <w:ind w:firstLine="0" w:firstLineChars="0"/>
              <w:jc w:val="center"/>
              <w:textAlignment w:val="auto"/>
              <w:rPr>
                <w:rFonts w:hint="eastAsia"/>
                <w:color w:val="auto"/>
                <w:spacing w:val="-2"/>
                <w:szCs w:val="24"/>
              </w:rPr>
            </w:pPr>
            <w:r>
              <w:rPr>
                <w:rFonts w:hint="eastAsia"/>
                <w:color w:val="auto"/>
                <w:spacing w:val="-2"/>
                <w:szCs w:val="24"/>
                <w:lang w:val="en-US" w:eastAsia="zh-CN"/>
              </w:rPr>
              <w:t>1</w:t>
            </w:r>
          </w:p>
        </w:tc>
        <w:tc>
          <w:tcPr>
            <w:tcW w:w="2699" w:type="dxa"/>
            <w:vMerge w:val="continue"/>
            <w:vAlign w:val="center"/>
          </w:tcPr>
          <w:p w14:paraId="29BAF27B">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69D3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Merge w:val="continue"/>
            <w:vAlign w:val="center"/>
          </w:tcPr>
          <w:p w14:paraId="61B883D4">
            <w:pPr>
              <w:pStyle w:val="266"/>
              <w:widowControl w:val="0"/>
              <w:kinsoku/>
              <w:adjustRightInd/>
              <w:spacing w:before="40" w:after="40" w:line="240" w:lineRule="auto"/>
              <w:ind w:firstLine="0" w:firstLineChars="0"/>
              <w:jc w:val="center"/>
              <w:textAlignment w:val="auto"/>
              <w:rPr>
                <w:rFonts w:hint="eastAsia"/>
                <w:color w:val="auto"/>
                <w:szCs w:val="24"/>
              </w:rPr>
            </w:pPr>
          </w:p>
        </w:tc>
        <w:tc>
          <w:tcPr>
            <w:tcW w:w="3327" w:type="dxa"/>
            <w:vAlign w:val="center"/>
          </w:tcPr>
          <w:p w14:paraId="40ECC825">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荧光定量PCR仪</w:t>
            </w:r>
          </w:p>
        </w:tc>
        <w:tc>
          <w:tcPr>
            <w:tcW w:w="1660" w:type="dxa"/>
            <w:vMerge w:val="continue"/>
            <w:vAlign w:val="center"/>
          </w:tcPr>
          <w:p w14:paraId="11CA7494">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1200" w:type="dxa"/>
            <w:vAlign w:val="center"/>
          </w:tcPr>
          <w:p w14:paraId="6BA2258E">
            <w:pPr>
              <w:pStyle w:val="266"/>
              <w:widowControl w:val="0"/>
              <w:kinsoku/>
              <w:adjustRightInd/>
              <w:spacing w:before="40" w:after="40" w:line="240" w:lineRule="auto"/>
              <w:ind w:firstLine="0" w:firstLineChars="0"/>
              <w:jc w:val="center"/>
              <w:textAlignment w:val="auto"/>
              <w:rPr>
                <w:rFonts w:hint="eastAsia"/>
                <w:color w:val="auto"/>
                <w:spacing w:val="-2"/>
                <w:szCs w:val="24"/>
              </w:rPr>
            </w:pPr>
            <w:r>
              <w:rPr>
                <w:rFonts w:hint="eastAsia"/>
                <w:color w:val="auto"/>
                <w:spacing w:val="-2"/>
                <w:szCs w:val="24"/>
                <w:lang w:val="en-US" w:eastAsia="zh-CN"/>
              </w:rPr>
              <w:t>1</w:t>
            </w:r>
          </w:p>
        </w:tc>
        <w:tc>
          <w:tcPr>
            <w:tcW w:w="2699" w:type="dxa"/>
            <w:vMerge w:val="continue"/>
            <w:vAlign w:val="center"/>
          </w:tcPr>
          <w:p w14:paraId="24491FB8">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5524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Merge w:val="continue"/>
            <w:vAlign w:val="center"/>
          </w:tcPr>
          <w:p w14:paraId="7B4C1427">
            <w:pPr>
              <w:pStyle w:val="266"/>
              <w:widowControl w:val="0"/>
              <w:kinsoku/>
              <w:adjustRightInd/>
              <w:spacing w:before="40" w:after="40" w:line="240" w:lineRule="auto"/>
              <w:ind w:firstLine="0" w:firstLineChars="0"/>
              <w:jc w:val="center"/>
              <w:textAlignment w:val="auto"/>
              <w:rPr>
                <w:rFonts w:hint="eastAsia"/>
                <w:color w:val="auto"/>
                <w:szCs w:val="24"/>
              </w:rPr>
            </w:pPr>
          </w:p>
        </w:tc>
        <w:tc>
          <w:tcPr>
            <w:tcW w:w="3327" w:type="dxa"/>
            <w:vAlign w:val="center"/>
          </w:tcPr>
          <w:p w14:paraId="07876C92">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动物全自动生化分析仪</w:t>
            </w:r>
          </w:p>
        </w:tc>
        <w:tc>
          <w:tcPr>
            <w:tcW w:w="1660" w:type="dxa"/>
            <w:vMerge w:val="continue"/>
            <w:vAlign w:val="center"/>
          </w:tcPr>
          <w:p w14:paraId="38FB5BA6">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1200" w:type="dxa"/>
            <w:vAlign w:val="center"/>
          </w:tcPr>
          <w:p w14:paraId="538E4EB3">
            <w:pPr>
              <w:pStyle w:val="266"/>
              <w:widowControl w:val="0"/>
              <w:kinsoku/>
              <w:adjustRightInd/>
              <w:spacing w:before="40" w:after="40" w:line="240" w:lineRule="auto"/>
              <w:ind w:firstLine="0" w:firstLineChars="0"/>
              <w:jc w:val="center"/>
              <w:textAlignment w:val="auto"/>
              <w:rPr>
                <w:rFonts w:hint="eastAsia"/>
                <w:color w:val="auto"/>
                <w:spacing w:val="-2"/>
                <w:szCs w:val="24"/>
              </w:rPr>
            </w:pPr>
            <w:r>
              <w:rPr>
                <w:rFonts w:hint="eastAsia"/>
                <w:color w:val="auto"/>
                <w:spacing w:val="-2"/>
                <w:szCs w:val="24"/>
                <w:lang w:val="en-US" w:eastAsia="zh-CN"/>
              </w:rPr>
              <w:t>1</w:t>
            </w:r>
          </w:p>
        </w:tc>
        <w:tc>
          <w:tcPr>
            <w:tcW w:w="2699" w:type="dxa"/>
            <w:vMerge w:val="continue"/>
            <w:vAlign w:val="center"/>
          </w:tcPr>
          <w:p w14:paraId="7132BE86">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0DBD5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Merge w:val="continue"/>
            <w:vAlign w:val="center"/>
          </w:tcPr>
          <w:p w14:paraId="160ABC95">
            <w:pPr>
              <w:pStyle w:val="266"/>
              <w:widowControl w:val="0"/>
              <w:kinsoku/>
              <w:adjustRightInd/>
              <w:spacing w:before="40" w:after="40" w:line="240" w:lineRule="auto"/>
              <w:ind w:firstLine="0" w:firstLineChars="0"/>
              <w:jc w:val="center"/>
              <w:textAlignment w:val="auto"/>
              <w:rPr>
                <w:rFonts w:hint="eastAsia"/>
                <w:color w:val="auto"/>
                <w:szCs w:val="24"/>
              </w:rPr>
            </w:pPr>
          </w:p>
        </w:tc>
        <w:tc>
          <w:tcPr>
            <w:tcW w:w="3327" w:type="dxa"/>
            <w:vAlign w:val="center"/>
          </w:tcPr>
          <w:p w14:paraId="09F3E1FD">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全自动五分类血细胞分析仪</w:t>
            </w:r>
          </w:p>
        </w:tc>
        <w:tc>
          <w:tcPr>
            <w:tcW w:w="1660" w:type="dxa"/>
            <w:vMerge w:val="continue"/>
            <w:vAlign w:val="center"/>
          </w:tcPr>
          <w:p w14:paraId="046ACB90">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1200" w:type="dxa"/>
            <w:vAlign w:val="center"/>
          </w:tcPr>
          <w:p w14:paraId="087E3020">
            <w:pPr>
              <w:pStyle w:val="266"/>
              <w:widowControl w:val="0"/>
              <w:kinsoku/>
              <w:adjustRightInd/>
              <w:spacing w:before="40" w:after="40" w:line="240" w:lineRule="auto"/>
              <w:ind w:firstLine="0" w:firstLineChars="0"/>
              <w:jc w:val="center"/>
              <w:textAlignment w:val="auto"/>
              <w:rPr>
                <w:rFonts w:hint="eastAsia"/>
                <w:color w:val="auto"/>
                <w:spacing w:val="-2"/>
                <w:szCs w:val="24"/>
              </w:rPr>
            </w:pPr>
            <w:r>
              <w:rPr>
                <w:rFonts w:hint="eastAsia"/>
                <w:color w:val="auto"/>
                <w:spacing w:val="-2"/>
                <w:szCs w:val="24"/>
                <w:lang w:val="en-US" w:eastAsia="zh-CN"/>
              </w:rPr>
              <w:t>1</w:t>
            </w:r>
          </w:p>
        </w:tc>
        <w:tc>
          <w:tcPr>
            <w:tcW w:w="2699" w:type="dxa"/>
            <w:vMerge w:val="continue"/>
            <w:vAlign w:val="center"/>
          </w:tcPr>
          <w:p w14:paraId="61975D99">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58459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730" w:type="dxa"/>
            <w:vMerge w:val="continue"/>
            <w:vAlign w:val="center"/>
          </w:tcPr>
          <w:p w14:paraId="1F8C231D">
            <w:pPr>
              <w:pStyle w:val="266"/>
              <w:widowControl w:val="0"/>
              <w:kinsoku/>
              <w:adjustRightInd/>
              <w:spacing w:before="40" w:after="40" w:line="240" w:lineRule="auto"/>
              <w:ind w:firstLine="0" w:firstLineChars="0"/>
              <w:jc w:val="center"/>
              <w:textAlignment w:val="auto"/>
              <w:rPr>
                <w:rFonts w:hint="eastAsia"/>
                <w:color w:val="auto"/>
                <w:szCs w:val="24"/>
              </w:rPr>
            </w:pPr>
          </w:p>
        </w:tc>
        <w:tc>
          <w:tcPr>
            <w:tcW w:w="3327" w:type="dxa"/>
            <w:vAlign w:val="center"/>
          </w:tcPr>
          <w:p w14:paraId="130C3E8D">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全光谱水质分析仪</w:t>
            </w:r>
          </w:p>
        </w:tc>
        <w:tc>
          <w:tcPr>
            <w:tcW w:w="1660" w:type="dxa"/>
            <w:vMerge w:val="continue"/>
            <w:vAlign w:val="center"/>
          </w:tcPr>
          <w:p w14:paraId="7629C70F">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1200" w:type="dxa"/>
            <w:vAlign w:val="center"/>
          </w:tcPr>
          <w:p w14:paraId="4E37B847">
            <w:pPr>
              <w:pStyle w:val="266"/>
              <w:widowControl w:val="0"/>
              <w:kinsoku/>
              <w:adjustRightInd/>
              <w:spacing w:before="40" w:after="40" w:line="240" w:lineRule="auto"/>
              <w:ind w:firstLine="0" w:firstLineChars="0"/>
              <w:jc w:val="center"/>
              <w:textAlignment w:val="auto"/>
              <w:rPr>
                <w:rFonts w:hint="eastAsia"/>
                <w:color w:val="auto"/>
                <w:spacing w:val="-2"/>
                <w:szCs w:val="24"/>
              </w:rPr>
            </w:pPr>
            <w:r>
              <w:rPr>
                <w:rFonts w:hint="eastAsia"/>
                <w:color w:val="auto"/>
                <w:spacing w:val="-2"/>
                <w:szCs w:val="24"/>
                <w:lang w:val="en-US" w:eastAsia="zh-CN"/>
              </w:rPr>
              <w:t>1</w:t>
            </w:r>
          </w:p>
        </w:tc>
        <w:tc>
          <w:tcPr>
            <w:tcW w:w="2699" w:type="dxa"/>
            <w:vMerge w:val="continue"/>
            <w:vAlign w:val="center"/>
          </w:tcPr>
          <w:p w14:paraId="21A7627C">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bl>
    <w:p w14:paraId="2C98EE7D">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u w:val="single"/>
          <w:lang w:eastAsia="zh-CN"/>
        </w:rPr>
      </w:pPr>
      <w:r>
        <w:rPr>
          <w:rFonts w:hint="eastAsia" w:ascii="宋体" w:hAnsi="宋体" w:eastAsia="宋体" w:cs="宋体"/>
          <w:sz w:val="24"/>
          <w:highlight w:val="none"/>
        </w:rPr>
        <w:t>5.合同履行期限：签订合同后60个工作日内交付。</w:t>
      </w:r>
    </w:p>
    <w:p w14:paraId="669A48FF">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6.本项目是否接受联合体投标：□是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否。</w:t>
      </w:r>
    </w:p>
    <w:p w14:paraId="113FBA6E">
      <w:pPr>
        <w:pStyle w:val="3"/>
        <w:pageBreakBefore w:val="0"/>
        <w:kinsoku/>
        <w:wordWrap/>
        <w:overflowPunct/>
        <w:topLinePunct w:val="0"/>
        <w:bidi w:val="0"/>
        <w:snapToGrid w:val="0"/>
        <w:spacing w:before="0" w:after="0" w:line="540" w:lineRule="exact"/>
        <w:jc w:val="left"/>
        <w:textAlignment w:val="auto"/>
        <w:rPr>
          <w:rFonts w:hint="eastAsia" w:ascii="宋体" w:hAnsi="宋体" w:eastAsia="宋体" w:cs="宋体"/>
          <w:sz w:val="24"/>
          <w:szCs w:val="24"/>
          <w:highlight w:val="none"/>
        </w:rPr>
      </w:pPr>
      <w:bookmarkStart w:id="10" w:name="_Toc35393622"/>
      <w:bookmarkStart w:id="11" w:name="_Toc28359080"/>
      <w:bookmarkStart w:id="12" w:name="_Toc28359003"/>
      <w:bookmarkStart w:id="13" w:name="_Toc35393791"/>
      <w:r>
        <w:rPr>
          <w:rFonts w:hint="eastAsia" w:ascii="宋体" w:hAnsi="宋体" w:eastAsia="宋体" w:cs="宋体"/>
          <w:sz w:val="24"/>
          <w:szCs w:val="24"/>
          <w:highlight w:val="none"/>
        </w:rPr>
        <w:t>二、申请人的资格要求（须同时满足）</w:t>
      </w:r>
      <w:bookmarkEnd w:id="10"/>
      <w:bookmarkEnd w:id="11"/>
      <w:bookmarkEnd w:id="12"/>
      <w:bookmarkEnd w:id="13"/>
    </w:p>
    <w:p w14:paraId="7108FE34">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6FE8F248">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bookmarkStart w:id="14" w:name="_Toc28359004"/>
      <w:bookmarkStart w:id="15" w:name="_Toc28359081"/>
      <w:r>
        <w:rPr>
          <w:rFonts w:hint="eastAsia" w:ascii="宋体" w:hAnsi="宋体" w:eastAsia="宋体" w:cs="宋体"/>
          <w:sz w:val="24"/>
          <w:highlight w:val="none"/>
        </w:rPr>
        <w:t>2.落实政府采购政策需满足的资格要求：</w:t>
      </w:r>
    </w:p>
    <w:p w14:paraId="7F391F68">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7F837250">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本项目不专门面向中小企业预留采购份额。</w:t>
      </w:r>
    </w:p>
    <w:p w14:paraId="63088509">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 xml:space="preserve">本项目专门面向  </w:t>
      </w:r>
      <w:r>
        <w:rPr>
          <w:rFonts w:hint="eastAsia" w:ascii="宋体" w:hAnsi="宋体" w:cs="宋体"/>
          <w:sz w:val="24"/>
          <w:highlight w:val="none"/>
          <w:lang w:eastAsia="zh-CN"/>
        </w:rPr>
        <w:t>□</w:t>
      </w:r>
      <w:r>
        <w:rPr>
          <w:rFonts w:hint="eastAsia" w:ascii="宋体" w:hAnsi="宋体" w:eastAsia="宋体" w:cs="宋体"/>
          <w:sz w:val="24"/>
          <w:highlight w:val="none"/>
        </w:rPr>
        <w:t xml:space="preserve">中小 </w:t>
      </w:r>
      <w:r>
        <w:rPr>
          <w:rFonts w:hint="eastAsia" w:ascii="宋体" w:hAnsi="宋体" w:cs="宋体"/>
          <w:sz w:val="24"/>
          <w:highlight w:val="none"/>
          <w:lang w:eastAsia="zh-CN"/>
        </w:rPr>
        <w:t>□</w:t>
      </w:r>
      <w:r>
        <w:rPr>
          <w:rFonts w:hint="eastAsia" w:ascii="宋体" w:hAnsi="宋体" w:eastAsia="宋体" w:cs="宋体"/>
          <w:sz w:val="24"/>
          <w:highlight w:val="none"/>
        </w:rPr>
        <w:t>小微企业  采购。即：提供的货物全部由符合政策要求的中小/小微企业制造、服务全部由符合政策要求的中小/小微企业承接。</w:t>
      </w:r>
    </w:p>
    <w:p w14:paraId="45274B92">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其它落实政府采购政策的资格要求：无。</w:t>
      </w:r>
    </w:p>
    <w:p w14:paraId="3CAB4DF2">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3.本项目的特定资格要求：</w:t>
      </w:r>
    </w:p>
    <w:p w14:paraId="32877A21">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本项目是否属于政府购买服务：</w:t>
      </w:r>
    </w:p>
    <w:p w14:paraId="3AD82C6F">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否</w:t>
      </w:r>
    </w:p>
    <w:p w14:paraId="05C83D1B">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是，公益一类事业单位、使用事业编制且由财政拨款保障的群团组织，不得作为承接主体；</w:t>
      </w:r>
    </w:p>
    <w:p w14:paraId="2A429E36">
      <w:pPr>
        <w:pageBreakBefore w:val="0"/>
        <w:tabs>
          <w:tab w:val="left" w:pos="900"/>
          <w:tab w:val="left" w:pos="1134"/>
          <w:tab w:val="left" w:pos="1589"/>
          <w:tab w:val="left" w:pos="5521"/>
        </w:tabs>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其他特定资格要求：</w:t>
      </w:r>
      <w:r>
        <w:rPr>
          <w:rFonts w:hint="eastAsia" w:ascii="宋体" w:hAnsi="宋体" w:cs="宋体"/>
          <w:sz w:val="24"/>
          <w:highlight w:val="none"/>
          <w:lang w:val="en-US" w:eastAsia="zh-CN"/>
        </w:rPr>
        <w:t>无</w:t>
      </w:r>
      <w:r>
        <w:rPr>
          <w:rFonts w:hint="eastAsia" w:ascii="宋体" w:hAnsi="宋体" w:eastAsia="宋体" w:cs="宋体"/>
          <w:sz w:val="24"/>
          <w:highlight w:val="none"/>
          <w:lang w:eastAsia="zh-CN"/>
        </w:rPr>
        <w:t>。</w:t>
      </w:r>
    </w:p>
    <w:p w14:paraId="50627635">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i/>
          <w:iCs/>
          <w:sz w:val="24"/>
          <w:highlight w:val="none"/>
          <w:u w:val="single"/>
        </w:rPr>
      </w:pPr>
    </w:p>
    <w:bookmarkEnd w:id="14"/>
    <w:bookmarkEnd w:id="15"/>
    <w:p w14:paraId="41013A55">
      <w:pPr>
        <w:pStyle w:val="3"/>
        <w:pageBreakBefore w:val="0"/>
        <w:widowControl/>
        <w:kinsoku/>
        <w:wordWrap/>
        <w:overflowPunct/>
        <w:topLinePunct w:val="0"/>
        <w:bidi w:val="0"/>
        <w:snapToGrid w:val="0"/>
        <w:spacing w:before="0" w:after="0" w:line="540" w:lineRule="exact"/>
        <w:jc w:val="left"/>
        <w:textAlignment w:val="auto"/>
        <w:rPr>
          <w:rFonts w:hint="eastAsia" w:ascii="宋体" w:hAnsi="宋体" w:eastAsia="宋体" w:cs="宋体"/>
          <w:sz w:val="24"/>
          <w:szCs w:val="24"/>
          <w:highlight w:val="none"/>
        </w:rPr>
      </w:pPr>
      <w:bookmarkStart w:id="16" w:name="_Toc35393623"/>
      <w:bookmarkStart w:id="17" w:name="_Toc35393792"/>
      <w:r>
        <w:rPr>
          <w:rFonts w:hint="eastAsia" w:ascii="宋体" w:hAnsi="宋体" w:eastAsia="宋体" w:cs="宋体"/>
          <w:sz w:val="24"/>
          <w:szCs w:val="24"/>
          <w:highlight w:val="none"/>
        </w:rPr>
        <w:t>三、获取招标文件</w:t>
      </w:r>
      <w:bookmarkEnd w:id="16"/>
      <w:bookmarkEnd w:id="17"/>
    </w:p>
    <w:p w14:paraId="2CC64547">
      <w:pPr>
        <w:keepNext w:val="0"/>
        <w:keepLines w:val="0"/>
        <w:pageBreakBefore w:val="0"/>
        <w:kinsoku/>
        <w:wordWrap/>
        <w:overflowPunct/>
        <w:topLinePunct w:val="0"/>
        <w:autoSpaceDE/>
        <w:autoSpaceDN/>
        <w:bidi w:val="0"/>
        <w:adjustRightInd w:val="0"/>
        <w:snapToGrid w:val="0"/>
        <w:spacing w:after="0" w:line="540" w:lineRule="exact"/>
        <w:ind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1.时间：202</w:t>
      </w:r>
      <w:r>
        <w:rPr>
          <w:rFonts w:hint="eastAsia" w:ascii="宋体" w:hAnsi="宋体" w:eastAsia="宋体" w:cs="宋体"/>
          <w:sz w:val="24"/>
          <w:highlight w:val="none"/>
          <w:lang w:val="en-US" w:eastAsia="zh-CN" w:bidi="ar"/>
        </w:rPr>
        <w:t>5</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07</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18</w:t>
      </w:r>
      <w:r>
        <w:rPr>
          <w:rFonts w:hint="eastAsia" w:ascii="宋体" w:hAnsi="宋体" w:eastAsia="宋体" w:cs="宋体"/>
          <w:sz w:val="24"/>
          <w:highlight w:val="none"/>
          <w:lang w:bidi="ar"/>
        </w:rPr>
        <w:t>日至202</w:t>
      </w:r>
      <w:r>
        <w:rPr>
          <w:rFonts w:hint="eastAsia" w:ascii="宋体" w:hAnsi="宋体" w:eastAsia="宋体" w:cs="宋体"/>
          <w:sz w:val="24"/>
          <w:highlight w:val="none"/>
          <w:lang w:val="en-US" w:eastAsia="zh-CN" w:bidi="ar"/>
        </w:rPr>
        <w:t>5</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07</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25</w:t>
      </w:r>
      <w:r>
        <w:rPr>
          <w:rFonts w:hint="eastAsia" w:ascii="宋体" w:hAnsi="宋体" w:eastAsia="宋体" w:cs="宋体"/>
          <w:sz w:val="24"/>
          <w:highlight w:val="none"/>
          <w:lang w:bidi="ar"/>
        </w:rPr>
        <w:t>日，每天上午0</w:t>
      </w:r>
      <w:r>
        <w:rPr>
          <w:rFonts w:hint="eastAsia" w:ascii="宋体" w:hAnsi="宋体" w:eastAsia="宋体" w:cs="宋体"/>
          <w:sz w:val="24"/>
          <w:highlight w:val="none"/>
          <w:lang w:val="en-US" w:eastAsia="zh-CN" w:bidi="ar"/>
        </w:rPr>
        <w:t>9</w:t>
      </w:r>
      <w:r>
        <w:rPr>
          <w:rFonts w:hint="eastAsia" w:ascii="宋体" w:hAnsi="宋体" w:eastAsia="宋体" w:cs="宋体"/>
          <w:sz w:val="24"/>
          <w:highlight w:val="none"/>
          <w:lang w:bidi="ar"/>
        </w:rPr>
        <w:t>:00至12:00，下午12:00至24:00（北京时间，法定节假日除外）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after="0" w:line="540" w:lineRule="exact"/>
        <w:ind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供应商使用CA数字证书或电子营业执照登录北京市政府采购电子交易平台（http://zbcg-bjzc.zhongcy.com/bjczj-portal-site/index.html#/home）获取电子版招标文件。</w:t>
      </w:r>
    </w:p>
    <w:p w14:paraId="48A6441E">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3E0BF427">
      <w:pPr>
        <w:pageBreakBefore w:val="0"/>
        <w:tabs>
          <w:tab w:val="left" w:pos="900"/>
          <w:tab w:val="left" w:pos="1980"/>
        </w:tabs>
        <w:kinsoku/>
        <w:wordWrap/>
        <w:overflowPunct/>
        <w:topLinePunct w:val="0"/>
        <w:bidi w:val="0"/>
        <w:snapToGrid w:val="0"/>
        <w:spacing w:after="0" w:line="540" w:lineRule="exact"/>
        <w:ind w:left="840"/>
        <w:textAlignment w:val="auto"/>
        <w:rPr>
          <w:rFonts w:hint="eastAsia" w:ascii="宋体" w:hAnsi="宋体" w:eastAsia="宋体" w:cs="宋体"/>
          <w:sz w:val="24"/>
          <w:highlight w:val="none"/>
        </w:rPr>
      </w:pPr>
    </w:p>
    <w:p w14:paraId="716C93A4">
      <w:pPr>
        <w:pStyle w:val="3"/>
        <w:pageBreakBefore w:val="0"/>
        <w:widowControl/>
        <w:kinsoku/>
        <w:wordWrap/>
        <w:overflowPunct/>
        <w:topLinePunct w:val="0"/>
        <w:bidi w:val="0"/>
        <w:snapToGrid w:val="0"/>
        <w:spacing w:before="0" w:after="0" w:line="540" w:lineRule="exact"/>
        <w:jc w:val="left"/>
        <w:textAlignment w:val="auto"/>
        <w:rPr>
          <w:rFonts w:hint="eastAsia" w:ascii="宋体" w:hAnsi="宋体" w:eastAsia="宋体" w:cs="宋体"/>
          <w:sz w:val="24"/>
          <w:szCs w:val="24"/>
          <w:highlight w:val="none"/>
        </w:rPr>
      </w:pPr>
      <w:bookmarkStart w:id="18" w:name="_Toc28359005"/>
      <w:bookmarkStart w:id="19" w:name="_Toc28359082"/>
      <w:bookmarkStart w:id="20" w:name="_Toc35393624"/>
      <w:bookmarkStart w:id="21" w:name="_Toc35393793"/>
      <w:r>
        <w:rPr>
          <w:rFonts w:hint="eastAsia" w:ascii="宋体" w:hAnsi="宋体" w:eastAsia="宋体" w:cs="宋体"/>
          <w:sz w:val="24"/>
          <w:szCs w:val="24"/>
          <w:highlight w:val="none"/>
        </w:rPr>
        <w:t>四、提交投标文件</w:t>
      </w:r>
      <w:bookmarkEnd w:id="18"/>
      <w:bookmarkEnd w:id="19"/>
      <w:r>
        <w:rPr>
          <w:rFonts w:hint="eastAsia" w:ascii="宋体" w:hAnsi="宋体" w:eastAsia="宋体" w:cs="宋体"/>
          <w:sz w:val="24"/>
          <w:szCs w:val="24"/>
          <w:highlight w:val="none"/>
        </w:rPr>
        <w:t>截止时间、开标时间和地点</w:t>
      </w:r>
      <w:bookmarkEnd w:id="20"/>
      <w:bookmarkEnd w:id="21"/>
    </w:p>
    <w:p w14:paraId="5238E8ED">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投标截止时间、开标时间：</w:t>
      </w:r>
      <w:r>
        <w:rPr>
          <w:rFonts w:hint="eastAsia" w:ascii="宋体" w:hAnsi="宋体" w:eastAsia="宋体" w:cs="宋体"/>
          <w:sz w:val="24"/>
          <w:szCs w:val="24"/>
          <w:highlight w:val="none"/>
          <w:vertAlign w:val="baseline"/>
          <w:lang w:val="en-US" w:eastAsia="zh-CN"/>
        </w:rPr>
        <w:t>2025年</w:t>
      </w:r>
      <w:r>
        <w:rPr>
          <w:rFonts w:hint="eastAsia" w:ascii="宋体" w:hAnsi="宋体" w:cs="宋体"/>
          <w:sz w:val="24"/>
          <w:szCs w:val="24"/>
          <w:highlight w:val="none"/>
          <w:vertAlign w:val="baseline"/>
          <w:lang w:val="en-US" w:eastAsia="zh-CN"/>
        </w:rPr>
        <w:t>08</w:t>
      </w:r>
      <w:r>
        <w:rPr>
          <w:rFonts w:hint="eastAsia" w:ascii="宋体" w:hAnsi="宋体" w:eastAsia="宋体" w:cs="宋体"/>
          <w:sz w:val="24"/>
          <w:szCs w:val="24"/>
          <w:highlight w:val="none"/>
          <w:vertAlign w:val="baseline"/>
          <w:lang w:val="en-US" w:eastAsia="zh-CN"/>
        </w:rPr>
        <w:t>月</w:t>
      </w:r>
      <w:r>
        <w:rPr>
          <w:rFonts w:hint="eastAsia" w:ascii="宋体" w:hAnsi="宋体" w:cs="宋体"/>
          <w:sz w:val="24"/>
          <w:szCs w:val="24"/>
          <w:highlight w:val="none"/>
          <w:vertAlign w:val="baseline"/>
          <w:lang w:val="en-US" w:eastAsia="zh-CN"/>
        </w:rPr>
        <w:t>07</w:t>
      </w:r>
      <w:r>
        <w:rPr>
          <w:rFonts w:hint="eastAsia" w:ascii="宋体" w:hAnsi="宋体" w:eastAsia="宋体" w:cs="宋体"/>
          <w:sz w:val="24"/>
          <w:szCs w:val="24"/>
          <w:highlight w:val="none"/>
          <w:vertAlign w:val="baseline"/>
          <w:lang w:val="en-US" w:eastAsia="zh-CN"/>
        </w:rPr>
        <w:t>日</w:t>
      </w:r>
      <w:r>
        <w:rPr>
          <w:rFonts w:hint="eastAsia" w:ascii="宋体" w:hAnsi="宋体" w:eastAsia="宋体" w:cs="宋体"/>
          <w:sz w:val="24"/>
          <w:highlight w:val="none"/>
          <w:lang w:val="en-US" w:eastAsia="zh-CN" w:bidi="ar"/>
        </w:rPr>
        <w:t>09</w:t>
      </w:r>
      <w:r>
        <w:rPr>
          <w:rFonts w:hint="eastAsia" w:ascii="宋体" w:hAnsi="宋体" w:eastAsia="宋体" w:cs="宋体"/>
          <w:sz w:val="24"/>
          <w:highlight w:val="none"/>
          <w:lang w:eastAsia="zh-CN" w:bidi="ar"/>
        </w:rPr>
        <w:t>点</w:t>
      </w:r>
      <w:r>
        <w:rPr>
          <w:rFonts w:hint="eastAsia" w:ascii="宋体" w:hAnsi="宋体" w:eastAsia="宋体" w:cs="宋体"/>
          <w:sz w:val="24"/>
          <w:highlight w:val="none"/>
          <w:lang w:val="en-US" w:eastAsia="zh-CN" w:bidi="ar"/>
        </w:rPr>
        <w:t>3</w:t>
      </w:r>
      <w:r>
        <w:rPr>
          <w:rFonts w:hint="eastAsia" w:ascii="宋体" w:hAnsi="宋体" w:eastAsia="宋体" w:cs="宋体"/>
          <w:sz w:val="24"/>
          <w:highlight w:val="none"/>
          <w:lang w:eastAsia="zh-CN" w:bidi="ar"/>
        </w:rPr>
        <w:t>0分</w:t>
      </w:r>
      <w:r>
        <w:rPr>
          <w:rFonts w:hint="eastAsia" w:ascii="宋体" w:hAnsi="宋体" w:eastAsia="宋体" w:cs="宋体"/>
          <w:sz w:val="24"/>
          <w:highlight w:val="none"/>
          <w:lang w:bidi="ar"/>
        </w:rPr>
        <w:t>（北京时间）</w:t>
      </w:r>
    </w:p>
    <w:p w14:paraId="624AA701">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highlight w:val="none"/>
          <w:lang w:val="en-US" w:eastAsia="zh-CN" w:bidi="ar"/>
        </w:rPr>
      </w:pPr>
      <w:r>
        <w:rPr>
          <w:rFonts w:hint="eastAsia" w:ascii="宋体" w:hAnsi="宋体" w:eastAsia="宋体" w:cs="宋体"/>
          <w:sz w:val="24"/>
          <w:highlight w:val="none"/>
          <w:lang w:bidi="ar"/>
        </w:rPr>
        <w:t>地点：</w:t>
      </w:r>
      <w:r>
        <w:rPr>
          <w:rFonts w:hint="eastAsia" w:ascii="宋体" w:hAnsi="宋体" w:eastAsia="宋体" w:cs="宋体"/>
          <w:sz w:val="24"/>
          <w:highlight w:val="none"/>
          <w:lang w:eastAsia="zh-CN"/>
        </w:rPr>
        <w:t>北京市丰台区首科大厦四层</w:t>
      </w:r>
      <w:r>
        <w:rPr>
          <w:rFonts w:hint="eastAsia" w:ascii="宋体" w:hAnsi="宋体" w:eastAsia="宋体" w:cs="宋体"/>
          <w:sz w:val="24"/>
          <w:highlight w:val="none"/>
          <w:lang w:bidi="ar"/>
        </w:rPr>
        <w:t>。</w:t>
      </w:r>
    </w:p>
    <w:p w14:paraId="59392B3A">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bCs/>
          <w:sz w:val="24"/>
          <w:highlight w:val="none"/>
          <w:u w:val="single"/>
        </w:rPr>
      </w:pPr>
    </w:p>
    <w:p w14:paraId="7954BE2B">
      <w:pPr>
        <w:pStyle w:val="3"/>
        <w:pageBreakBefore w:val="0"/>
        <w:kinsoku/>
        <w:wordWrap/>
        <w:overflowPunct/>
        <w:topLinePunct w:val="0"/>
        <w:bidi w:val="0"/>
        <w:snapToGrid w:val="0"/>
        <w:spacing w:before="0" w:after="0" w:line="540" w:lineRule="exact"/>
        <w:jc w:val="left"/>
        <w:textAlignment w:val="auto"/>
        <w:rPr>
          <w:rFonts w:hint="eastAsia" w:ascii="宋体" w:hAnsi="宋体" w:eastAsia="宋体" w:cs="宋体"/>
          <w:sz w:val="24"/>
          <w:szCs w:val="24"/>
          <w:highlight w:val="none"/>
        </w:rPr>
      </w:pPr>
      <w:bookmarkStart w:id="22" w:name="_Toc28359007"/>
      <w:bookmarkStart w:id="23" w:name="_Toc35393794"/>
      <w:bookmarkStart w:id="24" w:name="_Toc35393625"/>
      <w:bookmarkStart w:id="25" w:name="_Toc28359084"/>
      <w:r>
        <w:rPr>
          <w:rFonts w:hint="eastAsia" w:ascii="宋体" w:hAnsi="宋体" w:eastAsia="宋体" w:cs="宋体"/>
          <w:sz w:val="24"/>
          <w:szCs w:val="24"/>
          <w:highlight w:val="none"/>
        </w:rPr>
        <w:t>五、公告期限</w:t>
      </w:r>
      <w:bookmarkEnd w:id="22"/>
      <w:bookmarkEnd w:id="23"/>
      <w:bookmarkEnd w:id="24"/>
      <w:bookmarkEnd w:id="25"/>
    </w:p>
    <w:p w14:paraId="58A17CA5">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7E3EC442">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kern w:val="0"/>
          <w:sz w:val="24"/>
          <w:highlight w:val="none"/>
        </w:rPr>
      </w:pPr>
    </w:p>
    <w:p w14:paraId="46477ACD">
      <w:pPr>
        <w:pageBreakBefore w:val="0"/>
        <w:kinsoku/>
        <w:wordWrap/>
        <w:overflowPunct/>
        <w:topLinePunct w:val="0"/>
        <w:bidi w:val="0"/>
        <w:snapToGrid w:val="0"/>
        <w:spacing w:after="0" w:line="540" w:lineRule="exact"/>
        <w:textAlignment w:val="auto"/>
        <w:rPr>
          <w:rFonts w:hint="eastAsia" w:ascii="宋体" w:hAnsi="宋体" w:eastAsia="宋体" w:cs="宋体"/>
          <w:b/>
          <w:color w:val="auto"/>
          <w:kern w:val="0"/>
          <w:sz w:val="24"/>
          <w:szCs w:val="24"/>
          <w:lang w:val="en-US" w:eastAsia="zh-CN" w:bidi="ar-SA"/>
        </w:rPr>
      </w:pPr>
      <w:r>
        <w:rPr>
          <w:rFonts w:hint="eastAsia" w:ascii="宋体" w:hAnsi="宋体" w:cs="宋体"/>
          <w:b/>
          <w:color w:val="auto"/>
          <w:kern w:val="0"/>
          <w:sz w:val="24"/>
          <w:szCs w:val="24"/>
          <w:lang w:val="en-US" w:eastAsia="zh-CN" w:bidi="ar-SA"/>
        </w:rPr>
        <w:t>六</w:t>
      </w:r>
      <w:r>
        <w:rPr>
          <w:rFonts w:hint="eastAsia" w:ascii="宋体" w:hAnsi="宋体" w:eastAsia="宋体" w:cs="宋体"/>
          <w:b/>
          <w:color w:val="auto"/>
          <w:kern w:val="0"/>
          <w:sz w:val="24"/>
          <w:szCs w:val="24"/>
          <w:lang w:val="en-US" w:eastAsia="zh-CN" w:bidi="ar-SA"/>
        </w:rPr>
        <w:t>、其他补充事宜</w:t>
      </w:r>
    </w:p>
    <w:p w14:paraId="0E1548B9">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1.本项目需要落实的政府采购政策：</w:t>
      </w:r>
    </w:p>
    <w:p w14:paraId="6FF53CE5">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1.1《关于开展政府采购信用担保试点工作的通知》 (财库〔2011〕124号)</w:t>
      </w:r>
    </w:p>
    <w:p w14:paraId="76044D30">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1.2《关于政府采购支持监狱企业发展有关问题的通知》（财库〔2014〕68号）</w:t>
      </w:r>
    </w:p>
    <w:p w14:paraId="7EB19A85">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1.3《关于促进残疾人就业政府采购政策的通知》（财库〔2017〕141号）</w:t>
      </w:r>
    </w:p>
    <w:p w14:paraId="112289E0">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1.4《政府采购质疑和投诉办法》(财政部令第94号)</w:t>
      </w:r>
    </w:p>
    <w:p w14:paraId="1D0AC57B">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1.5《财政部 、工业和信息化部关于印发&lt;政府采购促进中小企业发展管理办法&gt;的通知》（财库〔2020〕46号）</w:t>
      </w:r>
    </w:p>
    <w:p w14:paraId="2603451F">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1.6《财政部关于促进政府采购公平竞争优化营商环境的通知》（财库〔2019〕38号）</w:t>
      </w:r>
    </w:p>
    <w:p w14:paraId="6C3C11B8">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1.7《政府采购信息公告管理办法》（财政部令第19号）</w:t>
      </w:r>
    </w:p>
    <w:p w14:paraId="6E5FCBB4">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1.8《财政部、农业农村部、国家乡村振兴局关于运用政府采购政策支持乡村产业振兴的通知》(财库〔2021〕19号)</w:t>
      </w:r>
    </w:p>
    <w:p w14:paraId="02CF31B6">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1.9《政府采购货物和服务招标投标管理办法》（财政部令第87号）</w:t>
      </w:r>
    </w:p>
    <w:p w14:paraId="75DC55A0">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1.10《北京市财政局关于进一步优化政府采购营商环境的通知》（京财采购〔2021〕741号）</w:t>
      </w:r>
    </w:p>
    <w:p w14:paraId="60EA004E">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1.11《北京市财政局转发财政部关于在政府采购活动中落实平等对待内外资企业有关政策的通知》（京财采购〔2021〕2163号）</w:t>
      </w:r>
    </w:p>
    <w:p w14:paraId="4C37D861">
      <w:pPr>
        <w:pageBreakBefore w:val="0"/>
        <w:kinsoku/>
        <w:wordWrap/>
        <w:overflowPunct/>
        <w:topLinePunct w:val="0"/>
        <w:bidi w:val="0"/>
        <w:adjustRightInd w:val="0"/>
        <w:snapToGrid w:val="0"/>
        <w:spacing w:after="0" w:line="540" w:lineRule="exact"/>
        <w:ind w:firstLine="480" w:firstLineChars="200"/>
        <w:textAlignment w:val="auto"/>
        <w:rPr>
          <w:rFonts w:hint="eastAsia" w:ascii="宋体" w:hAnsi="宋体" w:eastAsia="宋体" w:cs="宋体"/>
          <w:sz w:val="24"/>
          <w:lang w:bidi="ar"/>
        </w:rPr>
      </w:pPr>
      <w:r>
        <w:rPr>
          <w:rFonts w:hint="eastAsia" w:ascii="宋体" w:hAnsi="宋体" w:eastAsia="宋体" w:cs="宋体"/>
          <w:sz w:val="24"/>
          <w:lang w:bidi="ar"/>
        </w:rPr>
        <w:t>1.12《北京市财政局关于持续深化政府采购营商环境改革的通知》（京财采购〔2022〕672号）</w:t>
      </w:r>
    </w:p>
    <w:p w14:paraId="3DBE0E51">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bidi="ar"/>
        </w:rPr>
        <w:t>1.13《北京市财政局关于印发《北京市政府采购文件示范文本（试行）（2022年版）》的通知》（京财采购〔2022〕728号）。</w:t>
      </w:r>
    </w:p>
    <w:p w14:paraId="48F6FD79">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2.本项目评审办法：综合评分法。</w:t>
      </w:r>
    </w:p>
    <w:p w14:paraId="3887FA94">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3.本项目采用线上线下相结合采购方式（供应商线上获取采购文件，在采购文件要求的递交截止时间前，将密封后的纸质</w:t>
      </w:r>
      <w:r>
        <w:rPr>
          <w:rFonts w:hint="eastAsia" w:ascii="宋体" w:hAnsi="宋体" w:eastAsia="宋体" w:cs="宋体"/>
          <w:color w:val="auto"/>
          <w:sz w:val="24"/>
          <w:lang w:eastAsia="zh-CN" w:bidi="ar"/>
        </w:rPr>
        <w:t>投标文件</w:t>
      </w:r>
      <w:r>
        <w:rPr>
          <w:rFonts w:hint="eastAsia" w:ascii="宋体" w:hAnsi="宋体" w:eastAsia="宋体" w:cs="宋体"/>
          <w:color w:val="auto"/>
          <w:sz w:val="24"/>
          <w:lang w:bidi="ar"/>
        </w:rPr>
        <w:t>及电子文档提交至开启地点，现场</w:t>
      </w:r>
      <w:r>
        <w:rPr>
          <w:rFonts w:hint="eastAsia" w:ascii="宋体" w:hAnsi="宋体" w:eastAsia="宋体" w:cs="宋体"/>
          <w:color w:val="auto"/>
          <w:sz w:val="24"/>
          <w:lang w:val="en-US" w:eastAsia="zh-CN" w:bidi="ar"/>
        </w:rPr>
        <w:t>开标</w:t>
      </w:r>
      <w:r>
        <w:rPr>
          <w:rFonts w:hint="eastAsia" w:ascii="宋体" w:hAnsi="宋体" w:eastAsia="宋体" w:cs="宋体"/>
          <w:color w:val="auto"/>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采购流程要求。</w:t>
      </w:r>
    </w:p>
    <w:p w14:paraId="684605F2">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CA认证证书服务热线 010-58511086</w:t>
      </w:r>
    </w:p>
    <w:p w14:paraId="118835AC">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电子营业执照服务热线 400-699-7000</w:t>
      </w:r>
    </w:p>
    <w:p w14:paraId="5C1D6097">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技术支持服务热线 010-86483801</w:t>
      </w:r>
    </w:p>
    <w:p w14:paraId="0890BE63">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3.1办理CA认证证书</w:t>
      </w:r>
    </w:p>
    <w:p w14:paraId="74A6A4D2">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供应商登录北京市政府采购电子交易平台查阅 “用户指南”—“操作指南”—“市场主体CA办理操作流程指引” /“电子营业执照使用指南”，按照程序要求办理。</w:t>
      </w:r>
    </w:p>
    <w:p w14:paraId="0FA12D1D">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3.2注册</w:t>
      </w:r>
    </w:p>
    <w:p w14:paraId="00F5E585">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供应商登录北京市政府采购电子交易平台“用户指南”—“操作指南”—“市场主体注册入库操作流程指引”进行自助注册绑定。</w:t>
      </w:r>
    </w:p>
    <w:p w14:paraId="23B94B10">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3.3驱动、客户端下载</w:t>
      </w:r>
    </w:p>
    <w:p w14:paraId="1A0B672D">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供应商登录北京市政府采购电子交易平台“用户指南”—“工具下载”—“招标采购系统文件驱动安装包”下载相关驱动。</w:t>
      </w:r>
    </w:p>
    <w:p w14:paraId="4179CCF9">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供应商登录北京市政府采购电子交易平台“用户指南”—“工具下载”—“投标文件编制工具”下载相关客户端。</w:t>
      </w:r>
    </w:p>
    <w:p w14:paraId="4037AFCE">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3.4 获取电子采购文件</w:t>
      </w:r>
    </w:p>
    <w:p w14:paraId="1F00AE9B">
      <w:pPr>
        <w:pageBreakBefore w:val="0"/>
        <w:kinsoku/>
        <w:wordWrap/>
        <w:overflowPunct/>
        <w:topLinePunct w:val="0"/>
        <w:bidi w:val="0"/>
        <w:snapToGrid w:val="0"/>
        <w:spacing w:after="0" w:line="540" w:lineRule="exact"/>
        <w:ind w:firstLine="480" w:firstLineChars="20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供应商持CA数字认证或电子营业执照登录北京市政府采购电子交易平台获取电子采购文件。未在规定期限内通过北京市政府采购电子交易平台获取采购文件的响应无效。</w:t>
      </w:r>
    </w:p>
    <w:p w14:paraId="10CE55C5">
      <w:pPr>
        <w:pStyle w:val="3"/>
        <w:pageBreakBefore w:val="0"/>
        <w:kinsoku/>
        <w:wordWrap/>
        <w:overflowPunct/>
        <w:topLinePunct w:val="0"/>
        <w:bidi w:val="0"/>
        <w:snapToGrid w:val="0"/>
        <w:spacing w:before="0" w:after="0" w:line="540" w:lineRule="exact"/>
        <w:jc w:val="left"/>
        <w:textAlignment w:val="auto"/>
        <w:rPr>
          <w:rFonts w:hint="eastAsia" w:ascii="宋体" w:hAnsi="宋体" w:eastAsia="宋体" w:cs="宋体"/>
          <w:color w:val="auto"/>
          <w:sz w:val="24"/>
          <w:szCs w:val="24"/>
        </w:rPr>
      </w:pPr>
      <w:bookmarkStart w:id="26" w:name="_Toc35393796"/>
      <w:bookmarkStart w:id="27" w:name="_Toc35393627"/>
      <w:bookmarkStart w:id="28" w:name="_Toc28359085"/>
      <w:bookmarkStart w:id="29" w:name="_Toc28359008"/>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、对本次招标提出询问，请按以下方式联系。</w:t>
      </w:r>
      <w:bookmarkEnd w:id="26"/>
      <w:bookmarkEnd w:id="27"/>
      <w:bookmarkEnd w:id="28"/>
      <w:bookmarkEnd w:id="29"/>
    </w:p>
    <w:bookmarkEnd w:id="9"/>
    <w:p w14:paraId="5C13E7FB">
      <w:pPr>
        <w:keepNext w:val="0"/>
        <w:keepLines w:val="0"/>
        <w:pageBreakBefore w:val="0"/>
        <w:widowControl w:val="0"/>
        <w:kinsoku/>
        <w:wordWrap/>
        <w:overflowPunct/>
        <w:topLinePunct w:val="0"/>
        <w:autoSpaceDE/>
        <w:autoSpaceDN/>
        <w:bidi w:val="0"/>
        <w:adjustRightInd/>
        <w:snapToGrid w:val="0"/>
        <w:spacing w:after="0" w:line="540" w:lineRule="exact"/>
        <w:ind w:firstLine="480" w:firstLineChars="200"/>
        <w:textAlignment w:val="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1.采购人信息</w:t>
      </w:r>
    </w:p>
    <w:p w14:paraId="16BCDD60">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名    称：</w:t>
      </w:r>
      <w:r>
        <w:rPr>
          <w:rFonts w:hint="eastAsia" w:ascii="宋体" w:hAnsi="宋体" w:cs="宋体"/>
          <w:bCs/>
          <w:sz w:val="24"/>
          <w:highlight w:val="none"/>
          <w:lang w:val="en-US" w:eastAsia="zh-CN"/>
        </w:rPr>
        <w:t>北京麋鹿生态实验中心</w:t>
      </w:r>
    </w:p>
    <w:p w14:paraId="07BF9422">
      <w:pPr>
        <w:pStyle w:val="16"/>
        <w:widowControl w:val="0"/>
        <w:tabs>
          <w:tab w:val="left" w:pos="4421"/>
          <w:tab w:val="left" w:pos="5021"/>
          <w:tab w:val="left" w:pos="5621"/>
          <w:tab w:val="left" w:pos="6221"/>
          <w:tab w:val="left" w:pos="6821"/>
          <w:tab w:val="clear" w:pos="567"/>
        </w:tabs>
        <w:spacing w:line="360" w:lineRule="auto"/>
        <w:ind w:right="65" w:rightChars="31" w:firstLine="476"/>
        <w:textAlignment w:val="auto"/>
        <w:rPr>
          <w:color w:val="auto"/>
          <w:spacing w:val="-2"/>
          <w:sz w:val="24"/>
          <w:szCs w:val="24"/>
          <w:lang w:eastAsia="zh-CN"/>
        </w:rPr>
      </w:pPr>
      <w:r>
        <w:rPr>
          <w:rFonts w:hint="eastAsia"/>
          <w:color w:val="auto"/>
          <w:spacing w:val="-2"/>
          <w:sz w:val="24"/>
          <w:szCs w:val="24"/>
          <w:lang w:eastAsia="zh-CN"/>
        </w:rPr>
        <w:t xml:space="preserve">地 </w:t>
      </w:r>
      <w:r>
        <w:rPr>
          <w:rFonts w:hint="eastAsia"/>
          <w:color w:val="auto"/>
          <w:spacing w:val="-2"/>
          <w:sz w:val="24"/>
          <w:szCs w:val="24"/>
          <w:lang w:val="en-US" w:eastAsia="zh-CN"/>
        </w:rPr>
        <w:t xml:space="preserve">   </w:t>
      </w:r>
      <w:r>
        <w:rPr>
          <w:rFonts w:hint="eastAsia"/>
          <w:color w:val="auto"/>
          <w:spacing w:val="-2"/>
          <w:sz w:val="24"/>
          <w:szCs w:val="24"/>
          <w:lang w:eastAsia="zh-CN"/>
        </w:rPr>
        <w:t>址：</w:t>
      </w:r>
      <w:r>
        <w:rPr>
          <w:rFonts w:hint="eastAsia"/>
          <w:color w:val="auto"/>
          <w:spacing w:val="-2"/>
          <w:sz w:val="24"/>
          <w:szCs w:val="24"/>
          <w:lang w:val="en-US" w:eastAsia="zh-CN"/>
        </w:rPr>
        <w:t>北京市大兴区南海子麋鹿苑博物馆</w:t>
      </w:r>
    </w:p>
    <w:p w14:paraId="369F3273">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联系方式：</w:t>
      </w:r>
      <w:r>
        <w:rPr>
          <w:rFonts w:hint="eastAsia" w:ascii="宋体" w:hAnsi="宋体" w:cs="宋体"/>
          <w:bCs/>
          <w:sz w:val="24"/>
          <w:highlight w:val="none"/>
          <w:lang w:val="en-US" w:eastAsia="zh-CN"/>
        </w:rPr>
        <w:t>张英、刘田19921275637</w:t>
      </w:r>
    </w:p>
    <w:p w14:paraId="0865D351">
      <w:pPr>
        <w:pStyle w:val="16"/>
        <w:widowControl w:val="0"/>
        <w:tabs>
          <w:tab w:val="left" w:pos="4421"/>
          <w:tab w:val="left" w:pos="5021"/>
          <w:tab w:val="left" w:pos="5621"/>
          <w:tab w:val="left" w:pos="6221"/>
          <w:tab w:val="left" w:pos="6821"/>
          <w:tab w:val="clear" w:pos="567"/>
        </w:tabs>
        <w:spacing w:line="360" w:lineRule="auto"/>
        <w:ind w:right="65" w:rightChars="31" w:firstLine="476"/>
        <w:textAlignment w:val="auto"/>
        <w:rPr>
          <w:color w:val="auto"/>
          <w:spacing w:val="-2"/>
          <w:sz w:val="24"/>
          <w:szCs w:val="24"/>
          <w:lang w:eastAsia="zh-CN"/>
        </w:rPr>
      </w:pPr>
      <w:bookmarkStart w:id="30" w:name="_Toc265228423"/>
      <w:bookmarkStart w:id="31" w:name="_Toc353825548"/>
      <w:bookmarkStart w:id="32" w:name="_Toc127151777"/>
      <w:bookmarkStart w:id="33" w:name="_Toc305158854"/>
      <w:bookmarkStart w:id="34" w:name="_Toc353873938"/>
      <w:bookmarkStart w:id="35" w:name="_Toc305158928"/>
      <w:bookmarkStart w:id="36" w:name="_Toc512937850"/>
      <w:bookmarkStart w:id="37" w:name="_Toc127161488"/>
      <w:bookmarkStart w:id="38" w:name="_Toc150774783"/>
      <w:bookmarkStart w:id="39" w:name="_Toc195842950"/>
      <w:bookmarkStart w:id="40" w:name="_Toc264969275"/>
      <w:bookmarkStart w:id="41" w:name="_Toc226965856"/>
      <w:r>
        <w:rPr>
          <w:rFonts w:hint="eastAsia"/>
          <w:color w:val="auto"/>
          <w:spacing w:val="-2"/>
          <w:sz w:val="24"/>
          <w:szCs w:val="24"/>
          <w:lang w:eastAsia="zh-CN"/>
        </w:rPr>
        <w:t>2.采购代理机构信息</w:t>
      </w:r>
    </w:p>
    <w:p w14:paraId="45688D69">
      <w:pPr>
        <w:pStyle w:val="16"/>
        <w:widowControl w:val="0"/>
        <w:tabs>
          <w:tab w:val="left" w:pos="4421"/>
          <w:tab w:val="left" w:pos="5021"/>
          <w:tab w:val="left" w:pos="5621"/>
          <w:tab w:val="left" w:pos="6221"/>
          <w:tab w:val="left" w:pos="6821"/>
          <w:tab w:val="clear" w:pos="567"/>
        </w:tabs>
        <w:spacing w:line="360" w:lineRule="auto"/>
        <w:ind w:right="65" w:rightChars="31" w:firstLine="476"/>
        <w:textAlignment w:val="auto"/>
        <w:rPr>
          <w:color w:val="auto"/>
          <w:spacing w:val="-2"/>
          <w:sz w:val="24"/>
          <w:szCs w:val="24"/>
          <w:lang w:eastAsia="zh-CN"/>
        </w:rPr>
      </w:pPr>
      <w:r>
        <w:rPr>
          <w:rFonts w:hint="eastAsia"/>
          <w:color w:val="auto"/>
          <w:spacing w:val="-2"/>
          <w:sz w:val="24"/>
          <w:szCs w:val="24"/>
          <w:lang w:eastAsia="zh-CN"/>
        </w:rPr>
        <w:t>名 称：中技国际招标有限公司</w:t>
      </w:r>
    </w:p>
    <w:p w14:paraId="5705DDD1">
      <w:pPr>
        <w:pStyle w:val="16"/>
        <w:widowControl w:val="0"/>
        <w:tabs>
          <w:tab w:val="left" w:pos="4421"/>
          <w:tab w:val="left" w:pos="5021"/>
          <w:tab w:val="left" w:pos="5621"/>
          <w:tab w:val="left" w:pos="6221"/>
          <w:tab w:val="left" w:pos="6821"/>
          <w:tab w:val="clear" w:pos="567"/>
        </w:tabs>
        <w:spacing w:line="360" w:lineRule="auto"/>
        <w:ind w:right="65" w:rightChars="31" w:firstLine="476"/>
        <w:textAlignment w:val="auto"/>
        <w:rPr>
          <w:color w:val="auto"/>
          <w:spacing w:val="-2"/>
          <w:sz w:val="24"/>
          <w:szCs w:val="24"/>
          <w:lang w:eastAsia="zh-CN"/>
        </w:rPr>
      </w:pPr>
      <w:r>
        <w:rPr>
          <w:rFonts w:hint="eastAsia"/>
          <w:color w:val="auto"/>
          <w:spacing w:val="-2"/>
          <w:sz w:val="24"/>
          <w:szCs w:val="24"/>
          <w:lang w:eastAsia="zh-CN"/>
        </w:rPr>
        <w:t>地 址：北京市丰台区通用时代中心C座809室</w:t>
      </w:r>
    </w:p>
    <w:p w14:paraId="171B919D">
      <w:pPr>
        <w:pStyle w:val="16"/>
        <w:widowControl w:val="0"/>
        <w:tabs>
          <w:tab w:val="left" w:pos="4421"/>
          <w:tab w:val="left" w:pos="5021"/>
          <w:tab w:val="left" w:pos="5621"/>
          <w:tab w:val="left" w:pos="6221"/>
          <w:tab w:val="left" w:pos="6821"/>
          <w:tab w:val="clear" w:pos="567"/>
        </w:tabs>
        <w:spacing w:line="360" w:lineRule="auto"/>
        <w:ind w:right="65" w:rightChars="31" w:firstLine="476"/>
        <w:textAlignment w:val="auto"/>
        <w:rPr>
          <w:color w:val="auto"/>
          <w:spacing w:val="-2"/>
          <w:sz w:val="24"/>
          <w:szCs w:val="24"/>
          <w:lang w:eastAsia="zh-CN"/>
        </w:rPr>
      </w:pPr>
      <w:r>
        <w:rPr>
          <w:rFonts w:hint="eastAsia"/>
          <w:color w:val="auto"/>
          <w:spacing w:val="-2"/>
          <w:sz w:val="24"/>
          <w:szCs w:val="24"/>
          <w:lang w:eastAsia="zh-CN"/>
        </w:rPr>
        <w:t>联系方式：81168240</w:t>
      </w:r>
    </w:p>
    <w:p w14:paraId="17AE0316">
      <w:pPr>
        <w:pStyle w:val="16"/>
        <w:widowControl w:val="0"/>
        <w:tabs>
          <w:tab w:val="left" w:pos="4421"/>
          <w:tab w:val="left" w:pos="5021"/>
          <w:tab w:val="left" w:pos="5621"/>
          <w:tab w:val="left" w:pos="6221"/>
          <w:tab w:val="left" w:pos="6821"/>
          <w:tab w:val="clear" w:pos="567"/>
        </w:tabs>
        <w:spacing w:line="360" w:lineRule="auto"/>
        <w:ind w:right="65" w:rightChars="31" w:firstLine="476"/>
        <w:textAlignment w:val="auto"/>
        <w:rPr>
          <w:color w:val="auto"/>
          <w:spacing w:val="-2"/>
          <w:sz w:val="24"/>
          <w:szCs w:val="24"/>
          <w:lang w:eastAsia="zh-CN"/>
        </w:rPr>
      </w:pPr>
      <w:r>
        <w:rPr>
          <w:rFonts w:hint="eastAsia"/>
          <w:color w:val="auto"/>
          <w:spacing w:val="-2"/>
          <w:sz w:val="24"/>
          <w:szCs w:val="24"/>
          <w:lang w:eastAsia="zh-CN"/>
        </w:rPr>
        <w:t>3.项目联系方式</w:t>
      </w:r>
    </w:p>
    <w:p w14:paraId="09B92EAC">
      <w:pPr>
        <w:pStyle w:val="16"/>
        <w:widowControl w:val="0"/>
        <w:tabs>
          <w:tab w:val="left" w:pos="4421"/>
          <w:tab w:val="left" w:pos="5021"/>
          <w:tab w:val="left" w:pos="5621"/>
          <w:tab w:val="left" w:pos="6221"/>
          <w:tab w:val="left" w:pos="6821"/>
          <w:tab w:val="clear" w:pos="567"/>
        </w:tabs>
        <w:spacing w:line="360" w:lineRule="auto"/>
        <w:ind w:right="65" w:rightChars="31" w:firstLine="476"/>
        <w:textAlignment w:val="auto"/>
        <w:rPr>
          <w:color w:val="auto"/>
          <w:spacing w:val="-2"/>
          <w:sz w:val="24"/>
          <w:szCs w:val="24"/>
          <w:lang w:eastAsia="zh-CN"/>
        </w:rPr>
      </w:pPr>
      <w:r>
        <w:rPr>
          <w:rFonts w:hint="eastAsia"/>
          <w:color w:val="auto"/>
          <w:spacing w:val="-2"/>
          <w:sz w:val="24"/>
          <w:szCs w:val="24"/>
          <w:lang w:eastAsia="zh-CN"/>
        </w:rPr>
        <w:t>项目联系人：于心远、余乐、王曼、徐聪宇</w:t>
      </w:r>
    </w:p>
    <w:p w14:paraId="2040417F">
      <w:pPr>
        <w:pStyle w:val="16"/>
        <w:widowControl w:val="0"/>
        <w:tabs>
          <w:tab w:val="left" w:pos="4421"/>
          <w:tab w:val="left" w:pos="5021"/>
          <w:tab w:val="left" w:pos="5621"/>
          <w:tab w:val="left" w:pos="6221"/>
          <w:tab w:val="left" w:pos="6821"/>
          <w:tab w:val="clear" w:pos="567"/>
        </w:tabs>
        <w:spacing w:line="360" w:lineRule="auto"/>
        <w:ind w:right="65" w:rightChars="31" w:firstLine="476"/>
        <w:textAlignment w:val="auto"/>
        <w:rPr>
          <w:color w:val="auto"/>
          <w:sz w:val="24"/>
          <w:lang w:eastAsia="zh-CN"/>
        </w:rPr>
      </w:pPr>
      <w:r>
        <w:rPr>
          <w:rFonts w:hint="eastAsia"/>
          <w:color w:val="auto"/>
          <w:spacing w:val="-2"/>
          <w:sz w:val="24"/>
          <w:szCs w:val="24"/>
          <w:lang w:eastAsia="zh-CN"/>
        </w:rPr>
        <w:t>电   话：81168240、8925、8455、8277</w:t>
      </w:r>
    </w:p>
    <w:p w14:paraId="5C1D63C6">
      <w:pPr>
        <w:pStyle w:val="16"/>
        <w:widowControl w:val="0"/>
        <w:tabs>
          <w:tab w:val="left" w:pos="4421"/>
          <w:tab w:val="left" w:pos="5021"/>
          <w:tab w:val="left" w:pos="5621"/>
          <w:tab w:val="left" w:pos="6221"/>
          <w:tab w:val="left" w:pos="6821"/>
          <w:tab w:val="clear" w:pos="567"/>
        </w:tabs>
        <w:ind w:right="65" w:rightChars="31" w:firstLine="718"/>
        <w:textAlignment w:val="auto"/>
        <w:rPr>
          <w:color w:val="auto"/>
          <w:sz w:val="24"/>
          <w:lang w:eastAsia="zh-CN"/>
        </w:rPr>
      </w:pPr>
      <w:r>
        <w:rPr>
          <w:rFonts w:hint="eastAsia"/>
          <w:color w:val="auto"/>
          <w:spacing w:val="-1"/>
          <w:position w:val="24"/>
          <w:sz w:val="36"/>
          <w:szCs w:val="36"/>
          <w:lang w:eastAsia="zh-CN"/>
          <w14:textOutline w14:w="2311" w14:cap="flat" w14:cmpd="sng" w14:algn="ctr">
            <w14:solidFill>
              <w14:srgbClr w14:val="000000"/>
            </w14:solidFill>
            <w14:prstDash w14:val="solid"/>
            <w14:miter w14:val="0"/>
          </w14:textOutline>
        </w:rPr>
        <w:br w:type="page"/>
      </w:r>
    </w:p>
    <w:p w14:paraId="767E1CA4">
      <w:pPr>
        <w:spacing w:line="360" w:lineRule="auto"/>
        <w:jc w:val="center"/>
        <w:outlineLvl w:val="0"/>
        <w:rPr>
          <w:b/>
          <w:color w:val="auto"/>
          <w:sz w:val="32"/>
          <w:szCs w:val="32"/>
        </w:rPr>
      </w:pPr>
      <w:bookmarkStart w:id="42" w:name="_Toc14224"/>
      <w:r>
        <w:rPr>
          <w:b/>
          <w:color w:val="auto"/>
          <w:sz w:val="36"/>
          <w:szCs w:val="36"/>
        </w:rPr>
        <w:t>第二章   投标人须知</w:t>
      </w:r>
      <w:bookmarkEnd w:id="30"/>
      <w:bookmarkEnd w:id="31"/>
      <w:bookmarkEnd w:id="32"/>
      <w:bookmarkEnd w:id="33"/>
      <w:bookmarkEnd w:id="34"/>
      <w:bookmarkEnd w:id="35"/>
      <w:bookmarkEnd w:id="36"/>
      <w:bookmarkEnd w:id="37"/>
      <w:bookmarkEnd w:id="38"/>
      <w:bookmarkEnd w:id="39"/>
      <w:bookmarkEnd w:id="40"/>
      <w:bookmarkEnd w:id="41"/>
      <w:bookmarkEnd w:id="42"/>
    </w:p>
    <w:p w14:paraId="1C04F493">
      <w:pPr>
        <w:pStyle w:val="3"/>
        <w:tabs>
          <w:tab w:val="center" w:pos="4592"/>
          <w:tab w:val="left" w:pos="7860"/>
        </w:tabs>
        <w:spacing w:before="0" w:line="360" w:lineRule="auto"/>
        <w:rPr>
          <w:rFonts w:ascii="Times New Roman" w:hAnsi="Times New Roman" w:eastAsia="宋体"/>
          <w:color w:val="auto"/>
          <w:sz w:val="28"/>
        </w:rPr>
      </w:pPr>
      <w:bookmarkStart w:id="43" w:name="_Toc226965709"/>
      <w:bookmarkStart w:id="44" w:name="_Toc151190146"/>
      <w:bookmarkStart w:id="45" w:name="_Toc226965792"/>
      <w:bookmarkStart w:id="46" w:name="_Toc226337215"/>
      <w:bookmarkStart w:id="47" w:name="_Toc164229360"/>
      <w:bookmarkStart w:id="48" w:name="_Toc226309763"/>
      <w:bookmarkStart w:id="49" w:name="_Toc164229214"/>
      <w:bookmarkStart w:id="50" w:name="_Toc164351613"/>
      <w:bookmarkStart w:id="51" w:name="_Toc195842884"/>
      <w:bookmarkStart w:id="52" w:name="_Toc151193761"/>
      <w:bookmarkStart w:id="53" w:name="_Toc149720812"/>
      <w:bookmarkStart w:id="54" w:name="_Toc520356144"/>
      <w:bookmarkStart w:id="55" w:name="_Toc127161433"/>
      <w:bookmarkStart w:id="56" w:name="_Toc150509270"/>
      <w:bookmarkStart w:id="57" w:name="_Toc150774619"/>
      <w:bookmarkStart w:id="58" w:name="_Toc164608633"/>
      <w:bookmarkStart w:id="59" w:name="_Toc151193617"/>
      <w:bookmarkStart w:id="60" w:name="_Toc151193833"/>
      <w:bookmarkStart w:id="61" w:name="_Toc142311021"/>
      <w:bookmarkStart w:id="62" w:name="_Toc127151519"/>
      <w:bookmarkStart w:id="63" w:name="_Toc150480757"/>
      <w:bookmarkStart w:id="64" w:name="_Toc150774724"/>
      <w:bookmarkStart w:id="65" w:name="_Toc151193689"/>
      <w:bookmarkStart w:id="66" w:name="_Toc151193907"/>
      <w:bookmarkStart w:id="67" w:name="_Toc127151720"/>
      <w:bookmarkStart w:id="68" w:name="_Toc164608788"/>
      <w:r>
        <w:rPr>
          <w:rFonts w:ascii="Times New Roman" w:hAnsi="Times New Roman" w:eastAsia="宋体"/>
          <w:color w:val="auto"/>
          <w:sz w:val="28"/>
        </w:rPr>
        <w:t>投标人须知资料表</w:t>
      </w:r>
    </w:p>
    <w:p w14:paraId="03CEDE32">
      <w:pPr>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color w:val="auto"/>
          <w:sz w:val="24"/>
        </w:rPr>
      </w:pPr>
      <w:r>
        <w:rPr>
          <w:color w:val="auto"/>
          <w:sz w:val="24"/>
        </w:rPr>
        <w:t>本表是对投标人须知的具体补充和修改，如有矛盾，均以本资料表为准。标记“■”的选项意为适用于本项目，标记“□”的选项意为不适用于本项目。</w:t>
      </w:r>
    </w:p>
    <w:tbl>
      <w:tblPr>
        <w:tblStyle w:val="3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701" w:type="dxa"/>
            <w:noWrap w:val="0"/>
            <w:vAlign w:val="center"/>
          </w:tcPr>
          <w:p w14:paraId="511CAF48">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540" w:type="dxa"/>
            <w:noWrap w:val="0"/>
            <w:vAlign w:val="center"/>
          </w:tcPr>
          <w:p w14:paraId="0822FDD2">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01" w:type="dxa"/>
            <w:noWrap w:val="0"/>
            <w:vAlign w:val="center"/>
          </w:tcPr>
          <w:p w14:paraId="5E09DFFF">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项目属性</w:t>
            </w:r>
          </w:p>
        </w:tc>
        <w:tc>
          <w:tcPr>
            <w:tcW w:w="7540" w:type="dxa"/>
            <w:noWrap w:val="0"/>
            <w:vAlign w:val="center"/>
          </w:tcPr>
          <w:p w14:paraId="5AA48FAA">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项目属性：</w:t>
            </w:r>
          </w:p>
          <w:p w14:paraId="0789F616">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u w:val="none"/>
              </w:rPr>
            </w:pPr>
            <w:r>
              <w:rPr>
                <w:rFonts w:hint="eastAsia" w:ascii="宋体" w:hAnsi="宋体" w:eastAsia="宋体" w:cs="宋体"/>
                <w:sz w:val="24"/>
                <w:highlight w:val="none"/>
                <w:u w:val="none"/>
              </w:rPr>
              <w:sym w:font="Wingdings 2" w:char="00A3"/>
            </w:r>
            <w:r>
              <w:rPr>
                <w:rFonts w:hint="eastAsia" w:ascii="宋体" w:hAnsi="宋体" w:eastAsia="宋体" w:cs="宋体"/>
                <w:sz w:val="24"/>
                <w:highlight w:val="none"/>
                <w:u w:val="none"/>
              </w:rPr>
              <w:t>服务</w:t>
            </w:r>
          </w:p>
          <w:p w14:paraId="2970BB1C">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701" w:type="dxa"/>
            <w:noWrap w:val="0"/>
            <w:vAlign w:val="center"/>
          </w:tcPr>
          <w:p w14:paraId="490B089D">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科研仪器设备</w:t>
            </w:r>
          </w:p>
        </w:tc>
        <w:tc>
          <w:tcPr>
            <w:tcW w:w="7540" w:type="dxa"/>
            <w:noWrap w:val="0"/>
            <w:vAlign w:val="center"/>
          </w:tcPr>
          <w:p w14:paraId="0B12FBF1">
            <w:pPr>
              <w:spacing w:before="40" w:after="40" w:line="240" w:lineRule="auto"/>
              <w:ind w:firstLine="0" w:firstLineChars="0"/>
              <w:jc w:val="both"/>
              <w:rPr>
                <w:rFonts w:ascii="宋体" w:hAnsi="宋体" w:cs="宋体"/>
                <w:color w:val="auto"/>
                <w:sz w:val="24"/>
                <w:szCs w:val="24"/>
                <w:highlight w:val="none"/>
                <w:lang w:eastAsia="zh-CN"/>
              </w:rPr>
            </w:pPr>
            <w:r>
              <w:rPr>
                <w:rFonts w:hint="eastAsia" w:ascii="宋体" w:hAnsi="宋体" w:cs="宋体"/>
                <w:color w:val="auto"/>
                <w:spacing w:val="-5"/>
                <w:sz w:val="24"/>
                <w:szCs w:val="24"/>
                <w:highlight w:val="none"/>
                <w:lang w:eastAsia="zh-CN"/>
              </w:rPr>
              <w:t>是否属于科研仪器设备采购项目：</w:t>
            </w:r>
          </w:p>
          <w:p w14:paraId="725810CF">
            <w:pPr>
              <w:pStyle w:val="279"/>
              <w:spacing w:before="40" w:after="40" w:line="240" w:lineRule="auto"/>
              <w:ind w:firstLine="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28"/>
                <w:sz w:val="24"/>
                <w:szCs w:val="24"/>
                <w:highlight w:val="none"/>
              </w:rPr>
              <w:t>是</w:t>
            </w:r>
          </w:p>
          <w:p w14:paraId="7D1C27B6">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28"/>
                <w:sz w:val="24"/>
                <w:szCs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701" w:type="dxa"/>
            <w:noWrap w:val="0"/>
            <w:vAlign w:val="center"/>
          </w:tcPr>
          <w:p w14:paraId="19E1C43E">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核心产品</w:t>
            </w:r>
          </w:p>
        </w:tc>
        <w:tc>
          <w:tcPr>
            <w:tcW w:w="7540" w:type="dxa"/>
            <w:noWrap w:val="0"/>
            <w:vAlign w:val="center"/>
          </w:tcPr>
          <w:p w14:paraId="7D84B4B6">
            <w:pPr>
              <w:keepNext w:val="0"/>
              <w:keepLines w:val="0"/>
              <w:pageBreakBefore w:val="0"/>
              <w:kinsoku/>
              <w:overflowPunct/>
              <w:topLinePunct w:val="0"/>
              <w:bidi w:val="0"/>
              <w:snapToGrid w:val="0"/>
              <w:spacing w:before="60" w:after="60" w:line="240" w:lineRule="auto"/>
              <w:jc w:val="left"/>
              <w:textAlignment w:val="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□关于核心产品本项目__包不适用。</w:t>
            </w:r>
          </w:p>
          <w:p w14:paraId="6715AAD8">
            <w:pPr>
              <w:keepNext w:val="0"/>
              <w:keepLines w:val="0"/>
              <w:pageBreakBefore w:val="0"/>
              <w:kinsoku/>
              <w:overflowPunct/>
              <w:topLinePunct w:val="0"/>
              <w:bidi w:val="0"/>
              <w:snapToGrid w:val="0"/>
              <w:spacing w:before="60" w:after="60" w:line="240" w:lineRule="auto"/>
              <w:jc w:val="left"/>
              <w:textAlignment w:val="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□本项目__包为单一产品采购项目。</w:t>
            </w:r>
          </w:p>
          <w:p w14:paraId="6F383170">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highlight w:val="none"/>
                <w:lang w:val="en-US" w:eastAsia="zh-CN"/>
              </w:rPr>
              <w:t>本项目</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包为非单一产品采购项目，核心产品为：</w:t>
            </w:r>
            <w:r>
              <w:rPr>
                <w:rFonts w:hint="eastAsia" w:ascii="宋体" w:hAnsi="宋体" w:eastAsia="宋体" w:cs="宋体"/>
                <w:sz w:val="24"/>
                <w:highlight w:val="none"/>
                <w:u w:val="single"/>
                <w:lang w:val="en-US" w:eastAsia="zh-CN"/>
              </w:rPr>
              <w:t>荧光定量PCR仪</w:t>
            </w:r>
            <w:r>
              <w:rPr>
                <w:rFonts w:hint="eastAsia" w:ascii="宋体" w:hAnsi="宋体" w:eastAsia="宋体" w:cs="宋体"/>
                <w:sz w:val="24"/>
                <w:highlight w:val="none"/>
                <w:lang w:val="en-US" w:eastAsia="zh-CN"/>
              </w:rPr>
              <w:t>。</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701" w:type="dxa"/>
            <w:noWrap w:val="0"/>
            <w:vAlign w:val="center"/>
          </w:tcPr>
          <w:p w14:paraId="67D1A188">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现场考察</w:t>
            </w:r>
          </w:p>
        </w:tc>
        <w:tc>
          <w:tcPr>
            <w:tcW w:w="7540" w:type="dxa"/>
            <w:noWrap w:val="0"/>
            <w:vAlign w:val="center"/>
          </w:tcPr>
          <w:p w14:paraId="1221D3CB">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p>
        </w:tc>
        <w:tc>
          <w:tcPr>
            <w:tcW w:w="1701" w:type="dxa"/>
            <w:noWrap w:val="0"/>
            <w:vAlign w:val="center"/>
          </w:tcPr>
          <w:p w14:paraId="2B7D5F7E">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开标前答疑会</w:t>
            </w:r>
          </w:p>
        </w:tc>
        <w:tc>
          <w:tcPr>
            <w:tcW w:w="7540" w:type="dxa"/>
            <w:noWrap w:val="0"/>
            <w:vAlign w:val="center"/>
          </w:tcPr>
          <w:p w14:paraId="379E2DDD">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1701" w:type="dxa"/>
            <w:noWrap w:val="0"/>
            <w:vAlign w:val="center"/>
          </w:tcPr>
          <w:p w14:paraId="12AA4701">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样品</w:t>
            </w:r>
          </w:p>
        </w:tc>
        <w:tc>
          <w:tcPr>
            <w:tcW w:w="7540" w:type="dxa"/>
            <w:noWrap w:val="0"/>
            <w:vAlign w:val="center"/>
          </w:tcPr>
          <w:p w14:paraId="79A0DA11">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投标样品递交：</w:t>
            </w:r>
          </w:p>
          <w:p w14:paraId="0BC4E476">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7E814921">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val="en-US" w:eastAsia="zh-CN"/>
              </w:rPr>
              <w:t>6</w:t>
            </w:r>
          </w:p>
        </w:tc>
        <w:tc>
          <w:tcPr>
            <w:tcW w:w="1701" w:type="dxa"/>
            <w:noWrap w:val="0"/>
            <w:vAlign w:val="center"/>
          </w:tcPr>
          <w:p w14:paraId="547ACDA6">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标的所属行业</w:t>
            </w:r>
          </w:p>
        </w:tc>
        <w:tc>
          <w:tcPr>
            <w:tcW w:w="7540" w:type="dxa"/>
            <w:noWrap w:val="0"/>
            <w:vAlign w:val="center"/>
          </w:tcPr>
          <w:p w14:paraId="68EF72F8">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本项目采购标的对应的中小企业划分标准所属行业：</w:t>
            </w:r>
          </w:p>
          <w:tbl>
            <w:tblPr>
              <w:tblStyle w:val="36"/>
              <w:tblW w:w="69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6"/>
              <w:gridCol w:w="3265"/>
            </w:tblGrid>
            <w:tr w14:paraId="5C8CA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7027CC96">
                  <w:pPr>
                    <w:pStyle w:val="266"/>
                    <w:widowControl w:val="0"/>
                    <w:kinsoku/>
                    <w:spacing w:before="40" w:after="40" w:line="240" w:lineRule="auto"/>
                    <w:ind w:left="107" w:firstLine="0" w:firstLineChars="0"/>
                    <w:textAlignment w:val="auto"/>
                    <w:rPr>
                      <w:color w:val="auto"/>
                      <w:sz w:val="24"/>
                      <w:szCs w:val="24"/>
                    </w:rPr>
                  </w:pPr>
                  <w:r>
                    <w:rPr>
                      <w:rFonts w:hint="eastAsia"/>
                      <w:color w:val="auto"/>
                      <w:sz w:val="24"/>
                      <w:szCs w:val="24"/>
                    </w:rPr>
                    <w:t>标的名称</w:t>
                  </w:r>
                </w:p>
              </w:tc>
              <w:tc>
                <w:tcPr>
                  <w:tcW w:w="3265" w:type="dxa"/>
                  <w:tcBorders>
                    <w:top w:val="single" w:color="auto" w:sz="4" w:space="0"/>
                    <w:left w:val="single" w:color="auto" w:sz="4" w:space="0"/>
                    <w:bottom w:val="single" w:color="auto" w:sz="4" w:space="0"/>
                    <w:right w:val="single" w:color="auto" w:sz="4" w:space="0"/>
                  </w:tcBorders>
                  <w:vAlign w:val="center"/>
                </w:tcPr>
                <w:p w14:paraId="41E07F9E">
                  <w:pPr>
                    <w:pStyle w:val="266"/>
                    <w:widowControl w:val="0"/>
                    <w:kinsoku/>
                    <w:spacing w:before="40" w:after="40" w:line="240" w:lineRule="auto"/>
                    <w:ind w:left="107" w:firstLine="0" w:firstLineChars="0"/>
                    <w:textAlignment w:val="auto"/>
                    <w:rPr>
                      <w:color w:val="auto"/>
                      <w:sz w:val="24"/>
                      <w:szCs w:val="24"/>
                    </w:rPr>
                  </w:pPr>
                  <w:r>
                    <w:rPr>
                      <w:rFonts w:hint="eastAsia"/>
                      <w:color w:val="auto"/>
                      <w:sz w:val="24"/>
                      <w:szCs w:val="24"/>
                    </w:rPr>
                    <w:t>中小企业划分标准所属行业</w:t>
                  </w:r>
                </w:p>
              </w:tc>
            </w:tr>
            <w:tr w14:paraId="2E5A2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1A85C22E">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超低温保存箱</w:t>
                  </w:r>
                </w:p>
              </w:tc>
              <w:tc>
                <w:tcPr>
                  <w:tcW w:w="3265" w:type="dxa"/>
                  <w:tcBorders>
                    <w:top w:val="single" w:color="auto" w:sz="4" w:space="0"/>
                    <w:left w:val="single" w:color="auto" w:sz="4" w:space="0"/>
                    <w:bottom w:val="single" w:color="auto" w:sz="4" w:space="0"/>
                    <w:right w:val="single" w:color="auto" w:sz="4" w:space="0"/>
                  </w:tcBorders>
                  <w:vAlign w:val="center"/>
                </w:tcPr>
                <w:p w14:paraId="18772885">
                  <w:pPr>
                    <w:pStyle w:val="266"/>
                    <w:widowControl w:val="0"/>
                    <w:kinsoku/>
                    <w:spacing w:before="40" w:after="40" w:line="240" w:lineRule="auto"/>
                    <w:ind w:left="107" w:firstLine="0" w:firstLineChars="0"/>
                    <w:textAlignment w:val="auto"/>
                    <w:rPr>
                      <w:color w:val="auto"/>
                      <w:sz w:val="24"/>
                      <w:szCs w:val="24"/>
                    </w:rPr>
                  </w:pPr>
                  <w:r>
                    <w:rPr>
                      <w:rFonts w:hint="eastAsia"/>
                      <w:color w:val="auto"/>
                      <w:sz w:val="24"/>
                      <w:szCs w:val="24"/>
                    </w:rPr>
                    <w:t>其他未列明行业</w:t>
                  </w:r>
                </w:p>
              </w:tc>
            </w:tr>
            <w:tr w14:paraId="7DF30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54100176">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程序降温仪</w:t>
                  </w:r>
                </w:p>
              </w:tc>
              <w:tc>
                <w:tcPr>
                  <w:tcW w:w="3265" w:type="dxa"/>
                  <w:tcBorders>
                    <w:top w:val="single" w:color="auto" w:sz="4" w:space="0"/>
                    <w:left w:val="single" w:color="auto" w:sz="4" w:space="0"/>
                    <w:bottom w:val="single" w:color="auto" w:sz="4" w:space="0"/>
                    <w:right w:val="single" w:color="auto" w:sz="4" w:space="0"/>
                  </w:tcBorders>
                  <w:vAlign w:val="center"/>
                </w:tcPr>
                <w:p w14:paraId="392ABEA0">
                  <w:pPr>
                    <w:widowControl w:val="0"/>
                    <w:kinsoku/>
                    <w:spacing w:before="40" w:after="40" w:line="240" w:lineRule="auto"/>
                    <w:ind w:left="107" w:firstLine="0" w:firstLineChars="0"/>
                    <w:textAlignment w:val="auto"/>
                    <w:rPr>
                      <w:rFonts w:hint="eastAsia"/>
                      <w:color w:val="auto"/>
                      <w:sz w:val="24"/>
                      <w:szCs w:val="24"/>
                    </w:rPr>
                  </w:pPr>
                  <w:r>
                    <w:rPr>
                      <w:rFonts w:hint="eastAsia"/>
                      <w:color w:val="auto"/>
                      <w:sz w:val="24"/>
                      <w:szCs w:val="24"/>
                    </w:rPr>
                    <w:t>其他未列明行业</w:t>
                  </w:r>
                </w:p>
              </w:tc>
            </w:tr>
            <w:tr w14:paraId="08573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370DC33E">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生物安全柜</w:t>
                  </w:r>
                </w:p>
              </w:tc>
              <w:tc>
                <w:tcPr>
                  <w:tcW w:w="3265" w:type="dxa"/>
                  <w:tcBorders>
                    <w:top w:val="single" w:color="auto" w:sz="4" w:space="0"/>
                    <w:left w:val="single" w:color="auto" w:sz="4" w:space="0"/>
                    <w:bottom w:val="single" w:color="auto" w:sz="4" w:space="0"/>
                    <w:right w:val="single" w:color="auto" w:sz="4" w:space="0"/>
                  </w:tcBorders>
                  <w:vAlign w:val="center"/>
                </w:tcPr>
                <w:p w14:paraId="5BCBB85F">
                  <w:pPr>
                    <w:widowControl w:val="0"/>
                    <w:kinsoku/>
                    <w:spacing w:before="40" w:after="40" w:line="240" w:lineRule="auto"/>
                    <w:ind w:left="107" w:firstLine="0" w:firstLineChars="0"/>
                    <w:textAlignment w:val="auto"/>
                    <w:rPr>
                      <w:rFonts w:hint="eastAsia"/>
                      <w:color w:val="auto"/>
                      <w:sz w:val="24"/>
                      <w:szCs w:val="24"/>
                    </w:rPr>
                  </w:pPr>
                  <w:r>
                    <w:rPr>
                      <w:rFonts w:hint="eastAsia"/>
                      <w:color w:val="auto"/>
                      <w:sz w:val="24"/>
                      <w:szCs w:val="24"/>
                    </w:rPr>
                    <w:t>其他未列明行业</w:t>
                  </w:r>
                </w:p>
              </w:tc>
            </w:tr>
            <w:tr w14:paraId="5D9C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5B1FAD41">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三气培养箱</w:t>
                  </w:r>
                </w:p>
              </w:tc>
              <w:tc>
                <w:tcPr>
                  <w:tcW w:w="3265" w:type="dxa"/>
                  <w:tcBorders>
                    <w:top w:val="single" w:color="auto" w:sz="4" w:space="0"/>
                    <w:left w:val="single" w:color="auto" w:sz="4" w:space="0"/>
                    <w:bottom w:val="single" w:color="auto" w:sz="4" w:space="0"/>
                    <w:right w:val="single" w:color="auto" w:sz="4" w:space="0"/>
                  </w:tcBorders>
                  <w:vAlign w:val="center"/>
                </w:tcPr>
                <w:p w14:paraId="68D714BC">
                  <w:pPr>
                    <w:widowControl w:val="0"/>
                    <w:kinsoku/>
                    <w:spacing w:before="40" w:after="40" w:line="240" w:lineRule="auto"/>
                    <w:ind w:left="107" w:firstLine="0" w:firstLineChars="0"/>
                    <w:textAlignment w:val="auto"/>
                    <w:rPr>
                      <w:rFonts w:hint="eastAsia"/>
                      <w:color w:val="auto"/>
                      <w:sz w:val="24"/>
                      <w:szCs w:val="24"/>
                    </w:rPr>
                  </w:pPr>
                  <w:r>
                    <w:rPr>
                      <w:rFonts w:hint="eastAsia"/>
                      <w:color w:val="auto"/>
                      <w:sz w:val="24"/>
                      <w:szCs w:val="24"/>
                    </w:rPr>
                    <w:t>其他未列明行业</w:t>
                  </w:r>
                </w:p>
              </w:tc>
            </w:tr>
            <w:tr w14:paraId="6C085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37B54137">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细胞计数仪</w:t>
                  </w:r>
                </w:p>
              </w:tc>
              <w:tc>
                <w:tcPr>
                  <w:tcW w:w="3265" w:type="dxa"/>
                  <w:tcBorders>
                    <w:top w:val="single" w:color="auto" w:sz="4" w:space="0"/>
                    <w:left w:val="single" w:color="auto" w:sz="4" w:space="0"/>
                    <w:bottom w:val="single" w:color="auto" w:sz="4" w:space="0"/>
                    <w:right w:val="single" w:color="auto" w:sz="4" w:space="0"/>
                  </w:tcBorders>
                  <w:vAlign w:val="center"/>
                </w:tcPr>
                <w:p w14:paraId="084638A7">
                  <w:pPr>
                    <w:widowControl w:val="0"/>
                    <w:kinsoku/>
                    <w:spacing w:before="40" w:after="40" w:line="240" w:lineRule="auto"/>
                    <w:ind w:left="107" w:firstLine="0" w:firstLineChars="0"/>
                    <w:textAlignment w:val="auto"/>
                    <w:rPr>
                      <w:rFonts w:hint="eastAsia"/>
                      <w:color w:val="auto"/>
                      <w:sz w:val="24"/>
                      <w:szCs w:val="24"/>
                    </w:rPr>
                  </w:pPr>
                  <w:r>
                    <w:rPr>
                      <w:rFonts w:hint="eastAsia"/>
                      <w:color w:val="auto"/>
                      <w:sz w:val="24"/>
                      <w:szCs w:val="24"/>
                    </w:rPr>
                    <w:t>其他未列明行业</w:t>
                  </w:r>
                </w:p>
              </w:tc>
            </w:tr>
            <w:tr w14:paraId="11DE8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67E27510">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多功能酶标仪</w:t>
                  </w:r>
                </w:p>
              </w:tc>
              <w:tc>
                <w:tcPr>
                  <w:tcW w:w="3265" w:type="dxa"/>
                  <w:tcBorders>
                    <w:top w:val="single" w:color="auto" w:sz="4" w:space="0"/>
                    <w:left w:val="single" w:color="auto" w:sz="4" w:space="0"/>
                    <w:bottom w:val="single" w:color="auto" w:sz="4" w:space="0"/>
                    <w:right w:val="single" w:color="auto" w:sz="4" w:space="0"/>
                  </w:tcBorders>
                  <w:vAlign w:val="center"/>
                </w:tcPr>
                <w:p w14:paraId="140CA996">
                  <w:pPr>
                    <w:widowControl w:val="0"/>
                    <w:kinsoku/>
                    <w:spacing w:before="40" w:after="40" w:line="240" w:lineRule="auto"/>
                    <w:ind w:left="107" w:firstLine="0" w:firstLineChars="0"/>
                    <w:textAlignment w:val="auto"/>
                    <w:rPr>
                      <w:rFonts w:hint="eastAsia"/>
                      <w:color w:val="auto"/>
                      <w:sz w:val="24"/>
                      <w:szCs w:val="24"/>
                    </w:rPr>
                  </w:pPr>
                  <w:r>
                    <w:rPr>
                      <w:rFonts w:hint="eastAsia"/>
                      <w:color w:val="auto"/>
                      <w:sz w:val="24"/>
                      <w:szCs w:val="24"/>
                    </w:rPr>
                    <w:t>其他未列明行业</w:t>
                  </w:r>
                </w:p>
              </w:tc>
            </w:tr>
            <w:tr w14:paraId="2BEBC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48B11C7E">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荧光定量PCR仪</w:t>
                  </w:r>
                </w:p>
              </w:tc>
              <w:tc>
                <w:tcPr>
                  <w:tcW w:w="3265" w:type="dxa"/>
                  <w:tcBorders>
                    <w:top w:val="single" w:color="auto" w:sz="4" w:space="0"/>
                    <w:left w:val="single" w:color="auto" w:sz="4" w:space="0"/>
                    <w:bottom w:val="single" w:color="auto" w:sz="4" w:space="0"/>
                    <w:right w:val="single" w:color="auto" w:sz="4" w:space="0"/>
                  </w:tcBorders>
                  <w:vAlign w:val="center"/>
                </w:tcPr>
                <w:p w14:paraId="3910FA0F">
                  <w:pPr>
                    <w:widowControl w:val="0"/>
                    <w:kinsoku/>
                    <w:spacing w:before="40" w:after="40" w:line="240" w:lineRule="auto"/>
                    <w:ind w:left="107" w:firstLine="0" w:firstLineChars="0"/>
                    <w:textAlignment w:val="auto"/>
                    <w:rPr>
                      <w:rFonts w:hint="eastAsia"/>
                      <w:color w:val="auto"/>
                      <w:sz w:val="24"/>
                      <w:szCs w:val="24"/>
                    </w:rPr>
                  </w:pPr>
                  <w:r>
                    <w:rPr>
                      <w:rFonts w:hint="eastAsia"/>
                      <w:color w:val="auto"/>
                      <w:sz w:val="24"/>
                      <w:szCs w:val="24"/>
                    </w:rPr>
                    <w:t>其他未列明行业</w:t>
                  </w:r>
                </w:p>
              </w:tc>
            </w:tr>
            <w:tr w14:paraId="15038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288E02E2">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动物全自动生化分析仪</w:t>
                  </w:r>
                </w:p>
              </w:tc>
              <w:tc>
                <w:tcPr>
                  <w:tcW w:w="3265" w:type="dxa"/>
                  <w:tcBorders>
                    <w:top w:val="single" w:color="auto" w:sz="4" w:space="0"/>
                    <w:left w:val="single" w:color="auto" w:sz="4" w:space="0"/>
                    <w:bottom w:val="single" w:color="auto" w:sz="4" w:space="0"/>
                    <w:right w:val="single" w:color="auto" w:sz="4" w:space="0"/>
                  </w:tcBorders>
                  <w:vAlign w:val="center"/>
                </w:tcPr>
                <w:p w14:paraId="4496BF36">
                  <w:pPr>
                    <w:widowControl w:val="0"/>
                    <w:kinsoku/>
                    <w:spacing w:before="40" w:after="40" w:line="240" w:lineRule="auto"/>
                    <w:ind w:left="107" w:firstLine="0" w:firstLineChars="0"/>
                    <w:textAlignment w:val="auto"/>
                    <w:rPr>
                      <w:rFonts w:hint="eastAsia"/>
                      <w:color w:val="auto"/>
                      <w:sz w:val="24"/>
                      <w:szCs w:val="24"/>
                    </w:rPr>
                  </w:pPr>
                  <w:r>
                    <w:rPr>
                      <w:rFonts w:hint="eastAsia"/>
                      <w:color w:val="auto"/>
                      <w:sz w:val="24"/>
                      <w:szCs w:val="24"/>
                    </w:rPr>
                    <w:t>其他未列明行业</w:t>
                  </w:r>
                </w:p>
              </w:tc>
            </w:tr>
            <w:tr w14:paraId="74936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6F0260FD">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全自动五分类血细胞分析仪</w:t>
                  </w:r>
                </w:p>
              </w:tc>
              <w:tc>
                <w:tcPr>
                  <w:tcW w:w="3265" w:type="dxa"/>
                  <w:tcBorders>
                    <w:top w:val="single" w:color="auto" w:sz="4" w:space="0"/>
                    <w:left w:val="single" w:color="auto" w:sz="4" w:space="0"/>
                    <w:bottom w:val="single" w:color="auto" w:sz="4" w:space="0"/>
                    <w:right w:val="single" w:color="auto" w:sz="4" w:space="0"/>
                  </w:tcBorders>
                  <w:vAlign w:val="center"/>
                </w:tcPr>
                <w:p w14:paraId="2AB1C03E">
                  <w:pPr>
                    <w:widowControl w:val="0"/>
                    <w:kinsoku/>
                    <w:spacing w:before="40" w:after="40" w:line="240" w:lineRule="auto"/>
                    <w:ind w:left="107" w:firstLine="0" w:firstLineChars="0"/>
                    <w:textAlignment w:val="auto"/>
                    <w:rPr>
                      <w:rFonts w:hint="eastAsia"/>
                      <w:color w:val="auto"/>
                      <w:sz w:val="24"/>
                      <w:szCs w:val="24"/>
                    </w:rPr>
                  </w:pPr>
                  <w:r>
                    <w:rPr>
                      <w:rFonts w:hint="eastAsia"/>
                      <w:color w:val="auto"/>
                      <w:sz w:val="24"/>
                      <w:szCs w:val="24"/>
                    </w:rPr>
                    <w:t>其他未列明行业</w:t>
                  </w:r>
                </w:p>
              </w:tc>
            </w:tr>
            <w:tr w14:paraId="304C1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696" w:type="dxa"/>
                  <w:tcBorders>
                    <w:top w:val="single" w:color="auto" w:sz="4" w:space="0"/>
                    <w:left w:val="single" w:color="auto" w:sz="4" w:space="0"/>
                    <w:bottom w:val="single" w:color="auto" w:sz="4" w:space="0"/>
                    <w:right w:val="single" w:color="auto" w:sz="4" w:space="0"/>
                  </w:tcBorders>
                  <w:shd w:val="clear" w:color="auto" w:fill="auto"/>
                  <w:vAlign w:val="center"/>
                </w:tcPr>
                <w:p w14:paraId="09805102">
                  <w:pPr>
                    <w:pStyle w:val="266"/>
                    <w:widowControl w:val="0"/>
                    <w:kinsoku/>
                    <w:spacing w:before="40" w:after="40" w:line="240" w:lineRule="auto"/>
                    <w:ind w:left="107" w:firstLine="0" w:firstLineChars="0"/>
                    <w:textAlignment w:val="auto"/>
                    <w:rPr>
                      <w:rFonts w:hint="eastAsia"/>
                      <w:color w:val="auto"/>
                      <w:sz w:val="24"/>
                      <w:szCs w:val="24"/>
                      <w:lang w:val="en-US" w:eastAsia="zh-CN"/>
                    </w:rPr>
                  </w:pPr>
                  <w:r>
                    <w:rPr>
                      <w:rFonts w:hint="eastAsia"/>
                      <w:color w:val="auto"/>
                      <w:sz w:val="24"/>
                      <w:szCs w:val="24"/>
                      <w:lang w:val="en-US" w:eastAsia="zh-CN"/>
                    </w:rPr>
                    <w:t>全光谱水质分析仪</w:t>
                  </w:r>
                </w:p>
              </w:tc>
              <w:tc>
                <w:tcPr>
                  <w:tcW w:w="3265" w:type="dxa"/>
                  <w:tcBorders>
                    <w:top w:val="single" w:color="auto" w:sz="4" w:space="0"/>
                    <w:left w:val="single" w:color="auto" w:sz="4" w:space="0"/>
                    <w:bottom w:val="single" w:color="auto" w:sz="4" w:space="0"/>
                    <w:right w:val="single" w:color="auto" w:sz="4" w:space="0"/>
                  </w:tcBorders>
                  <w:vAlign w:val="center"/>
                </w:tcPr>
                <w:p w14:paraId="7A5C99D3">
                  <w:pPr>
                    <w:widowControl w:val="0"/>
                    <w:kinsoku/>
                    <w:spacing w:before="40" w:after="40" w:line="240" w:lineRule="auto"/>
                    <w:ind w:left="107" w:firstLine="0" w:firstLineChars="0"/>
                    <w:textAlignment w:val="auto"/>
                    <w:rPr>
                      <w:rFonts w:hint="eastAsia"/>
                      <w:color w:val="auto"/>
                      <w:sz w:val="24"/>
                      <w:szCs w:val="24"/>
                    </w:rPr>
                  </w:pPr>
                  <w:r>
                    <w:rPr>
                      <w:rFonts w:hint="eastAsia"/>
                      <w:color w:val="auto"/>
                      <w:sz w:val="24"/>
                      <w:szCs w:val="24"/>
                    </w:rPr>
                    <w:t>其他未列明行业</w:t>
                  </w:r>
                </w:p>
              </w:tc>
            </w:tr>
          </w:tbl>
          <w:p w14:paraId="038F95E2">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1701" w:type="dxa"/>
            <w:noWrap w:val="0"/>
            <w:vAlign w:val="center"/>
          </w:tcPr>
          <w:p w14:paraId="1E1A1E25">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7540" w:type="dxa"/>
            <w:noWrap w:val="0"/>
            <w:vAlign w:val="center"/>
          </w:tcPr>
          <w:p w14:paraId="5A274457">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投标报价的特殊规定：</w:t>
            </w:r>
          </w:p>
          <w:p w14:paraId="76B333D0">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无</w:t>
            </w:r>
          </w:p>
          <w:p w14:paraId="16E7C197">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701" w:type="dxa"/>
            <w:vMerge w:val="restart"/>
            <w:noWrap w:val="0"/>
            <w:vAlign w:val="center"/>
          </w:tcPr>
          <w:p w14:paraId="4D436DEE">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7540" w:type="dxa"/>
            <w:noWrap w:val="0"/>
            <w:vAlign w:val="center"/>
          </w:tcPr>
          <w:p w14:paraId="2AACEF8C">
            <w:pPr>
              <w:pStyle w:val="16"/>
              <w:widowControl w:val="0"/>
              <w:tabs>
                <w:tab w:val="left" w:pos="4421"/>
                <w:tab w:val="left" w:pos="5021"/>
                <w:tab w:val="left" w:pos="5621"/>
                <w:tab w:val="left" w:pos="6221"/>
                <w:tab w:val="left" w:pos="6821"/>
                <w:tab w:val="clear" w:pos="567"/>
              </w:tabs>
              <w:spacing w:before="40" w:after="40" w:line="240" w:lineRule="auto"/>
              <w:ind w:right="65" w:rightChars="31" w:firstLine="0" w:firstLineChars="0"/>
              <w:textAlignment w:val="auto"/>
              <w:rPr>
                <w:color w:val="auto"/>
                <w:spacing w:val="-2"/>
                <w:sz w:val="24"/>
                <w:szCs w:val="24"/>
                <w:lang w:eastAsia="zh-CN"/>
              </w:rPr>
            </w:pPr>
            <w:r>
              <w:rPr>
                <w:rFonts w:hint="eastAsia"/>
                <w:color w:val="auto"/>
                <w:spacing w:val="-2"/>
                <w:sz w:val="24"/>
                <w:szCs w:val="24"/>
                <w:lang w:eastAsia="zh-CN"/>
              </w:rPr>
              <w:t>投标保证金金额</w:t>
            </w:r>
            <w:r>
              <w:rPr>
                <w:rFonts w:hint="eastAsia"/>
                <w:color w:val="auto"/>
                <w:spacing w:val="-2"/>
                <w:sz w:val="24"/>
                <w:szCs w:val="24"/>
                <w:highlight w:val="none"/>
                <w:lang w:eastAsia="zh-CN"/>
              </w:rPr>
              <w:t>：</w:t>
            </w:r>
            <w:r>
              <w:rPr>
                <w:rFonts w:hint="eastAsia"/>
                <w:color w:val="auto"/>
                <w:spacing w:val="-2"/>
                <w:sz w:val="24"/>
                <w:szCs w:val="24"/>
                <w:highlight w:val="none"/>
                <w:lang w:val="en-US" w:eastAsia="zh-CN"/>
              </w:rPr>
              <w:t>30000</w:t>
            </w:r>
            <w:r>
              <w:rPr>
                <w:rFonts w:hint="eastAsia"/>
                <w:color w:val="auto"/>
                <w:spacing w:val="-2"/>
                <w:sz w:val="24"/>
                <w:szCs w:val="24"/>
                <w:lang w:eastAsia="zh-CN"/>
              </w:rPr>
              <w:t>元。</w:t>
            </w:r>
          </w:p>
          <w:p w14:paraId="452AAA84">
            <w:pPr>
              <w:pStyle w:val="16"/>
              <w:widowControl w:val="0"/>
              <w:tabs>
                <w:tab w:val="left" w:pos="4421"/>
                <w:tab w:val="left" w:pos="5021"/>
                <w:tab w:val="left" w:pos="5621"/>
                <w:tab w:val="left" w:pos="6221"/>
                <w:tab w:val="left" w:pos="6821"/>
                <w:tab w:val="clear" w:pos="567"/>
              </w:tabs>
              <w:spacing w:before="40" w:after="40" w:line="240" w:lineRule="auto"/>
              <w:ind w:right="65" w:rightChars="31" w:firstLine="0" w:firstLineChars="0"/>
              <w:textAlignment w:val="auto"/>
              <w:rPr>
                <w:rFonts w:hint="eastAsia"/>
                <w:color w:val="auto"/>
                <w:spacing w:val="-2"/>
                <w:sz w:val="24"/>
                <w:szCs w:val="24"/>
                <w:lang w:eastAsia="zh-CN"/>
              </w:rPr>
            </w:pPr>
            <w:r>
              <w:rPr>
                <w:rFonts w:hint="eastAsia"/>
                <w:color w:val="auto"/>
                <w:spacing w:val="-2"/>
                <w:sz w:val="24"/>
                <w:szCs w:val="24"/>
                <w:lang w:eastAsia="zh-CN"/>
              </w:rPr>
              <w:t>投标保证金收受人信息：</w:t>
            </w:r>
          </w:p>
          <w:p w14:paraId="6B6EAE80">
            <w:pPr>
              <w:pStyle w:val="16"/>
              <w:widowControl w:val="0"/>
              <w:tabs>
                <w:tab w:val="left" w:pos="4421"/>
                <w:tab w:val="left" w:pos="5021"/>
                <w:tab w:val="left" w:pos="5621"/>
                <w:tab w:val="left" w:pos="6221"/>
                <w:tab w:val="left" w:pos="6821"/>
                <w:tab w:val="clear" w:pos="567"/>
              </w:tabs>
              <w:spacing w:before="40" w:after="40" w:line="240" w:lineRule="auto"/>
              <w:ind w:right="65" w:rightChars="31" w:firstLine="0" w:firstLineChars="0"/>
              <w:textAlignment w:val="auto"/>
              <w:rPr>
                <w:rFonts w:hint="eastAsia"/>
                <w:color w:val="auto"/>
                <w:spacing w:val="-2"/>
                <w:sz w:val="24"/>
                <w:szCs w:val="24"/>
                <w:lang w:eastAsia="zh-CN"/>
              </w:rPr>
            </w:pPr>
            <w:r>
              <w:rPr>
                <w:rFonts w:hint="eastAsia"/>
                <w:color w:val="auto"/>
                <w:spacing w:val="-2"/>
                <w:sz w:val="24"/>
                <w:szCs w:val="24"/>
                <w:lang w:eastAsia="zh-CN"/>
              </w:rPr>
              <w:t>账户：中技国际招标有限公司</w:t>
            </w:r>
          </w:p>
          <w:p w14:paraId="70FB3F3D">
            <w:pPr>
              <w:pStyle w:val="16"/>
              <w:widowControl w:val="0"/>
              <w:tabs>
                <w:tab w:val="left" w:pos="4421"/>
                <w:tab w:val="left" w:pos="5021"/>
                <w:tab w:val="left" w:pos="5621"/>
                <w:tab w:val="left" w:pos="6221"/>
                <w:tab w:val="left" w:pos="6821"/>
                <w:tab w:val="clear" w:pos="567"/>
              </w:tabs>
              <w:spacing w:before="40" w:after="40" w:line="240" w:lineRule="auto"/>
              <w:ind w:right="65" w:rightChars="31" w:firstLine="0" w:firstLineChars="0"/>
              <w:textAlignment w:val="auto"/>
              <w:rPr>
                <w:rFonts w:hint="eastAsia"/>
                <w:color w:val="auto"/>
                <w:spacing w:val="-2"/>
                <w:sz w:val="24"/>
                <w:szCs w:val="24"/>
                <w:lang w:eastAsia="zh-CN"/>
              </w:rPr>
            </w:pPr>
            <w:r>
              <w:rPr>
                <w:rFonts w:hint="eastAsia"/>
                <w:color w:val="auto"/>
                <w:spacing w:val="-2"/>
                <w:sz w:val="24"/>
                <w:szCs w:val="24"/>
                <w:lang w:eastAsia="zh-CN"/>
              </w:rPr>
              <w:t>开户行：华夏银行</w:t>
            </w:r>
            <w:r>
              <w:rPr>
                <w:rFonts w:hint="eastAsia"/>
                <w:color w:val="auto"/>
                <w:spacing w:val="-2"/>
                <w:sz w:val="24"/>
                <w:szCs w:val="24"/>
                <w:lang w:val="en-US" w:eastAsia="zh-CN"/>
              </w:rPr>
              <w:t>北京丽泽</w:t>
            </w:r>
            <w:r>
              <w:rPr>
                <w:rFonts w:hint="eastAsia"/>
                <w:color w:val="auto"/>
                <w:spacing w:val="-2"/>
                <w:sz w:val="24"/>
                <w:szCs w:val="24"/>
                <w:lang w:eastAsia="zh-CN"/>
              </w:rPr>
              <w:t>支行</w:t>
            </w:r>
          </w:p>
          <w:p w14:paraId="05B4FFE1">
            <w:pPr>
              <w:pStyle w:val="16"/>
              <w:widowControl w:val="0"/>
              <w:tabs>
                <w:tab w:val="left" w:pos="4421"/>
                <w:tab w:val="left" w:pos="5021"/>
                <w:tab w:val="left" w:pos="5621"/>
                <w:tab w:val="left" w:pos="6221"/>
                <w:tab w:val="left" w:pos="6821"/>
                <w:tab w:val="clear" w:pos="567"/>
              </w:tabs>
              <w:spacing w:before="40" w:after="40" w:line="240" w:lineRule="auto"/>
              <w:ind w:right="65" w:rightChars="31" w:firstLine="0" w:firstLineChars="0"/>
              <w:textAlignment w:val="auto"/>
              <w:rPr>
                <w:rFonts w:hint="eastAsia" w:ascii="宋体" w:hAnsi="宋体" w:eastAsia="宋体" w:cs="宋体"/>
                <w:highlight w:val="none"/>
                <w:lang w:val="en-US"/>
              </w:rPr>
            </w:pPr>
            <w:r>
              <w:rPr>
                <w:rFonts w:hint="eastAsia"/>
                <w:color w:val="auto"/>
                <w:spacing w:val="-2"/>
                <w:sz w:val="24"/>
                <w:szCs w:val="24"/>
                <w:lang w:eastAsia="zh-CN"/>
              </w:rPr>
              <w:t>帐号：1026</w:t>
            </w:r>
            <w:r>
              <w:rPr>
                <w:rFonts w:hint="eastAsia"/>
                <w:color w:val="auto"/>
                <w:spacing w:val="-2"/>
                <w:sz w:val="24"/>
                <w:szCs w:val="24"/>
                <w:lang w:val="en-US" w:eastAsia="zh-CN"/>
              </w:rPr>
              <w:t xml:space="preserve"> </w:t>
            </w:r>
            <w:r>
              <w:rPr>
                <w:rFonts w:hint="eastAsia"/>
                <w:color w:val="auto"/>
                <w:spacing w:val="-2"/>
                <w:sz w:val="24"/>
                <w:szCs w:val="24"/>
                <w:lang w:eastAsia="zh-CN"/>
              </w:rPr>
              <w:t>9000</w:t>
            </w:r>
            <w:r>
              <w:rPr>
                <w:rFonts w:hint="eastAsia"/>
                <w:color w:val="auto"/>
                <w:spacing w:val="-2"/>
                <w:sz w:val="24"/>
                <w:szCs w:val="24"/>
                <w:lang w:val="en-US" w:eastAsia="zh-CN"/>
              </w:rPr>
              <w:t xml:space="preserve"> </w:t>
            </w:r>
            <w:r>
              <w:rPr>
                <w:rFonts w:hint="eastAsia"/>
                <w:color w:val="auto"/>
                <w:spacing w:val="-2"/>
                <w:sz w:val="24"/>
                <w:szCs w:val="24"/>
                <w:lang w:eastAsia="zh-CN"/>
              </w:rPr>
              <w:t>0004</w:t>
            </w:r>
            <w:r>
              <w:rPr>
                <w:rFonts w:hint="eastAsia"/>
                <w:color w:val="auto"/>
                <w:spacing w:val="-2"/>
                <w:sz w:val="24"/>
                <w:szCs w:val="24"/>
                <w:lang w:val="en-US" w:eastAsia="zh-CN"/>
              </w:rPr>
              <w:t xml:space="preserve"> </w:t>
            </w:r>
            <w:r>
              <w:rPr>
                <w:rFonts w:hint="eastAsia"/>
                <w:color w:val="auto"/>
                <w:spacing w:val="-2"/>
                <w:sz w:val="24"/>
                <w:szCs w:val="24"/>
                <w:lang w:eastAsia="zh-CN"/>
              </w:rPr>
              <w:t>86082</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p>
        </w:tc>
        <w:tc>
          <w:tcPr>
            <w:tcW w:w="1701" w:type="dxa"/>
            <w:vMerge w:val="continue"/>
            <w:noWrap w:val="0"/>
            <w:vAlign w:val="center"/>
          </w:tcPr>
          <w:p w14:paraId="6996FE36">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p>
        </w:tc>
        <w:tc>
          <w:tcPr>
            <w:tcW w:w="7540" w:type="dxa"/>
            <w:noWrap w:val="0"/>
            <w:vAlign w:val="center"/>
          </w:tcPr>
          <w:p w14:paraId="42698DC7">
            <w:pPr>
              <w:spacing w:before="40" w:after="40" w:line="240" w:lineRule="auto"/>
              <w:ind w:firstLine="0" w:firstLineChars="0"/>
              <w:jc w:val="both"/>
              <w:rPr>
                <w:rFonts w:hint="eastAsia" w:ascii="宋体" w:hAnsi="宋体" w:eastAsia="宋体" w:cs="Times New Roman"/>
                <w:color w:val="auto"/>
                <w:spacing w:val="-2"/>
                <w:kern w:val="2"/>
                <w:sz w:val="24"/>
                <w:szCs w:val="24"/>
                <w:lang w:val="en-US" w:eastAsia="zh-CN" w:bidi="ar-SA"/>
              </w:rPr>
            </w:pPr>
            <w:r>
              <w:rPr>
                <w:rFonts w:hint="eastAsia" w:ascii="宋体" w:hAnsi="宋体" w:cs="Times New Roman"/>
                <w:color w:val="auto"/>
                <w:spacing w:val="-2"/>
                <w:kern w:val="2"/>
                <w:sz w:val="24"/>
                <w:szCs w:val="24"/>
                <w:lang w:val="en-US" w:eastAsia="zh-CN" w:bidi="ar-SA"/>
              </w:rPr>
              <w:t>投标</w:t>
            </w:r>
            <w:r>
              <w:rPr>
                <w:rFonts w:hint="eastAsia" w:ascii="宋体" w:hAnsi="宋体" w:eastAsia="宋体" w:cs="Times New Roman"/>
                <w:color w:val="auto"/>
                <w:spacing w:val="-2"/>
                <w:kern w:val="2"/>
                <w:sz w:val="24"/>
                <w:szCs w:val="24"/>
                <w:lang w:val="en-US" w:eastAsia="zh-CN" w:bidi="ar-SA"/>
              </w:rPr>
              <w:t>保证金不予退还的其他情形：</w:t>
            </w:r>
          </w:p>
          <w:p w14:paraId="7109B553">
            <w:pPr>
              <w:pStyle w:val="279"/>
              <w:spacing w:before="40" w:after="40" w:line="240" w:lineRule="auto"/>
              <w:ind w:firstLine="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pacing w:val="28"/>
                <w:sz w:val="24"/>
                <w:szCs w:val="24"/>
                <w:lang w:eastAsia="zh-CN"/>
              </w:rPr>
              <w:t>无</w:t>
            </w:r>
          </w:p>
          <w:p w14:paraId="731E79EA">
            <w:pPr>
              <w:pStyle w:val="279"/>
              <w:spacing w:before="40" w:after="40" w:line="240" w:lineRule="auto"/>
              <w:ind w:firstLine="0" w:firstLineChars="0"/>
              <w:jc w:val="both"/>
              <w:rPr>
                <w:rFonts w:hint="eastAsia" w:ascii="宋体" w:hAnsi="宋体" w:eastAsia="宋体" w:cs="宋体"/>
                <w:sz w:val="24"/>
                <w:highlight w:val="none"/>
              </w:rPr>
            </w:pPr>
            <w:r>
              <w:rPr>
                <w:rFonts w:hint="eastAsia" w:ascii="宋体" w:hAnsi="宋体" w:eastAsia="宋体" w:cs="宋体"/>
                <w:color w:val="auto"/>
                <w:sz w:val="24"/>
                <w:szCs w:val="24"/>
                <w:lang w:eastAsia="zh-CN"/>
              </w:rPr>
              <w:t>■</w:t>
            </w:r>
            <w:r>
              <w:rPr>
                <w:rFonts w:hint="eastAsia" w:ascii="宋体" w:hAnsi="宋体" w:eastAsia="宋体" w:cs="宋体"/>
                <w:color w:val="auto"/>
                <w:spacing w:val="6"/>
                <w:sz w:val="24"/>
                <w:szCs w:val="24"/>
                <w:lang w:eastAsia="zh-CN"/>
              </w:rPr>
              <w:t>有，具体情形：</w:t>
            </w:r>
            <w:r>
              <w:rPr>
                <w:rFonts w:hint="eastAsia" w:ascii="宋体" w:hAnsi="宋体" w:eastAsia="宋体" w:cs="宋体"/>
                <w:color w:val="auto"/>
                <w:spacing w:val="6"/>
                <w:sz w:val="24"/>
                <w:szCs w:val="24"/>
                <w:u w:val="single"/>
                <w:lang w:eastAsia="zh-CN"/>
              </w:rPr>
              <w:t>供应商</w:t>
            </w:r>
            <w:r>
              <w:rPr>
                <w:rFonts w:hint="eastAsia" w:ascii="宋体" w:hAnsi="宋体" w:eastAsia="宋体" w:cs="宋体"/>
                <w:color w:val="auto"/>
                <w:spacing w:val="6"/>
                <w:sz w:val="24"/>
                <w:szCs w:val="24"/>
                <w:u w:val="single"/>
                <w:lang w:val="en-US" w:eastAsia="zh-CN"/>
              </w:rPr>
              <w:t>中标</w:t>
            </w:r>
            <w:r>
              <w:rPr>
                <w:rFonts w:hint="eastAsia" w:ascii="宋体" w:hAnsi="宋体" w:eastAsia="宋体" w:cs="宋体"/>
                <w:color w:val="auto"/>
                <w:spacing w:val="6"/>
                <w:sz w:val="24"/>
                <w:szCs w:val="24"/>
                <w:u w:val="single"/>
                <w:lang w:eastAsia="zh-CN"/>
              </w:rPr>
              <w:t>以后，因自身原因无法签订合同或未按合同约定提交履约保证金的</w:t>
            </w:r>
            <w:r>
              <w:rPr>
                <w:rFonts w:hint="eastAsia" w:ascii="宋体" w:hAnsi="宋体" w:eastAsia="宋体" w:cs="宋体"/>
                <w:color w:val="auto"/>
                <w:spacing w:val="6"/>
                <w:sz w:val="24"/>
                <w:szCs w:val="24"/>
                <w:lang w:eastAsia="zh-CN"/>
              </w:rPr>
              <w:t>。</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701" w:type="dxa"/>
            <w:noWrap w:val="0"/>
            <w:vAlign w:val="center"/>
          </w:tcPr>
          <w:p w14:paraId="0FBAFFE3">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7540" w:type="dxa"/>
            <w:noWrap w:val="0"/>
            <w:vAlign w:val="center"/>
          </w:tcPr>
          <w:p w14:paraId="0151C8CC">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自提交投标文件的截止之日起算</w:t>
            </w:r>
            <w:r>
              <w:rPr>
                <w:rFonts w:hint="eastAsia" w:ascii="宋体" w:hAnsi="宋体" w:cs="宋体"/>
                <w:sz w:val="24"/>
                <w:highlight w:val="none"/>
                <w:lang w:val="en-US" w:eastAsia="zh-CN"/>
              </w:rPr>
              <w:t>120</w:t>
            </w:r>
            <w:r>
              <w:rPr>
                <w:rFonts w:hint="eastAsia" w:ascii="宋体" w:hAnsi="宋体" w:eastAsia="宋体" w:cs="宋体"/>
                <w:sz w:val="24"/>
                <w:highlight w:val="none"/>
              </w:rPr>
              <w:t>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15.7</w:t>
            </w:r>
          </w:p>
        </w:tc>
        <w:tc>
          <w:tcPr>
            <w:tcW w:w="1701" w:type="dxa"/>
            <w:noWrap w:val="0"/>
            <w:vAlign w:val="center"/>
          </w:tcPr>
          <w:p w14:paraId="686454E1">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投标截止时间及地点</w:t>
            </w:r>
          </w:p>
        </w:tc>
        <w:tc>
          <w:tcPr>
            <w:tcW w:w="7540" w:type="dxa"/>
            <w:noWrap w:val="0"/>
            <w:vAlign w:val="center"/>
          </w:tcPr>
          <w:p w14:paraId="55D42C32">
            <w:pPr>
              <w:keepNext w:val="0"/>
              <w:keepLines w:val="0"/>
              <w:pageBreakBefore w:val="0"/>
              <w:widowControl w:val="0"/>
              <w:kinsoku/>
              <w:wordWrap/>
              <w:overflowPunct/>
              <w:topLinePunct w:val="0"/>
              <w:bidi w:val="0"/>
              <w:adjustRightInd w:val="0"/>
              <w:snapToGrid w:val="0"/>
              <w:spacing w:before="60" w:after="60" w:line="240" w:lineRule="auto"/>
              <w:ind w:left="0" w:right="0" w:firstLine="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投标文件递交截止时间：</w:t>
            </w:r>
            <w:r>
              <w:rPr>
                <w:rFonts w:hint="eastAsia" w:ascii="宋体" w:hAnsi="宋体" w:eastAsia="宋体" w:cs="宋体"/>
                <w:sz w:val="24"/>
                <w:szCs w:val="24"/>
                <w:highlight w:val="none"/>
                <w:vertAlign w:val="baseline"/>
                <w:lang w:val="en-US" w:eastAsia="zh-CN"/>
              </w:rPr>
              <w:t>2025年</w:t>
            </w:r>
            <w:r>
              <w:rPr>
                <w:rFonts w:hint="eastAsia" w:ascii="宋体" w:hAnsi="宋体" w:cs="宋体"/>
                <w:sz w:val="24"/>
                <w:szCs w:val="24"/>
                <w:highlight w:val="none"/>
                <w:vertAlign w:val="baseline"/>
                <w:lang w:val="en-US" w:eastAsia="zh-CN"/>
              </w:rPr>
              <w:t>08</w:t>
            </w:r>
            <w:r>
              <w:rPr>
                <w:rFonts w:hint="eastAsia" w:ascii="宋体" w:hAnsi="宋体" w:eastAsia="宋体" w:cs="宋体"/>
                <w:sz w:val="24"/>
                <w:szCs w:val="24"/>
                <w:highlight w:val="none"/>
                <w:vertAlign w:val="baseline"/>
                <w:lang w:val="en-US" w:eastAsia="zh-CN"/>
              </w:rPr>
              <w:t>月</w:t>
            </w:r>
            <w:r>
              <w:rPr>
                <w:rFonts w:hint="eastAsia" w:ascii="宋体" w:hAnsi="宋体" w:cs="宋体"/>
                <w:sz w:val="24"/>
                <w:szCs w:val="24"/>
                <w:highlight w:val="none"/>
                <w:vertAlign w:val="baseline"/>
                <w:lang w:val="en-US" w:eastAsia="zh-CN"/>
              </w:rPr>
              <w:t>07</w:t>
            </w:r>
            <w:r>
              <w:rPr>
                <w:rFonts w:hint="eastAsia" w:ascii="宋体" w:hAnsi="宋体" w:eastAsia="宋体" w:cs="宋体"/>
                <w:sz w:val="24"/>
                <w:szCs w:val="24"/>
                <w:highlight w:val="none"/>
                <w:vertAlign w:val="baseline"/>
                <w:lang w:val="en-US" w:eastAsia="zh-CN"/>
              </w:rPr>
              <w:t>日</w:t>
            </w:r>
            <w:r>
              <w:rPr>
                <w:rFonts w:hint="eastAsia" w:ascii="宋体" w:hAnsi="宋体" w:eastAsia="宋体" w:cs="宋体"/>
                <w:color w:val="000000"/>
                <w:sz w:val="24"/>
                <w:szCs w:val="24"/>
                <w:highlight w:val="none"/>
                <w:lang w:val="en-US" w:eastAsia="zh-CN"/>
              </w:rPr>
              <w:t>09</w:t>
            </w:r>
            <w:r>
              <w:rPr>
                <w:rFonts w:hint="eastAsia" w:ascii="宋体" w:hAnsi="宋体" w:eastAsia="宋体" w:cs="宋体"/>
                <w:color w:val="000000"/>
                <w:sz w:val="24"/>
                <w:szCs w:val="24"/>
                <w:highlight w:val="none"/>
                <w:lang w:eastAsia="zh-CN"/>
              </w:rPr>
              <w:t>点</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0分</w:t>
            </w:r>
            <w:r>
              <w:rPr>
                <w:rFonts w:hint="eastAsia" w:ascii="宋体" w:hAnsi="宋体" w:eastAsia="宋体" w:cs="宋体"/>
                <w:color w:val="000000"/>
                <w:sz w:val="24"/>
                <w:szCs w:val="24"/>
                <w:highlight w:val="none"/>
              </w:rPr>
              <w:t>（北京时间）</w:t>
            </w:r>
          </w:p>
          <w:p w14:paraId="765E8173">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color w:val="000000"/>
                <w:sz w:val="24"/>
                <w:szCs w:val="24"/>
                <w:highlight w:val="none"/>
              </w:rPr>
              <w:t>投标文件递交地点：</w:t>
            </w:r>
            <w:r>
              <w:rPr>
                <w:rFonts w:hint="eastAsia" w:ascii="宋体" w:hAnsi="宋体" w:eastAsia="宋体" w:cs="宋体"/>
                <w:color w:val="000000"/>
                <w:sz w:val="24"/>
                <w:szCs w:val="24"/>
                <w:highlight w:val="none"/>
                <w:lang w:eastAsia="zh-CN"/>
              </w:rPr>
              <w:t>北京市丰台区首科大厦四层</w:t>
            </w:r>
            <w:r>
              <w:rPr>
                <w:rFonts w:hint="eastAsia" w:ascii="宋体" w:hAnsi="宋体" w:eastAsia="宋体" w:cs="宋体"/>
                <w:color w:val="000000"/>
                <w:sz w:val="24"/>
                <w:szCs w:val="24"/>
                <w:highlight w:val="none"/>
              </w:rPr>
              <w:t>。</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p>
        </w:tc>
        <w:tc>
          <w:tcPr>
            <w:tcW w:w="1701" w:type="dxa"/>
            <w:noWrap w:val="0"/>
            <w:vAlign w:val="center"/>
          </w:tcPr>
          <w:p w14:paraId="694C40F3">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确定中标人</w:t>
            </w:r>
          </w:p>
        </w:tc>
        <w:tc>
          <w:tcPr>
            <w:tcW w:w="7540" w:type="dxa"/>
            <w:noWrap w:val="0"/>
            <w:vAlign w:val="center"/>
          </w:tcPr>
          <w:p w14:paraId="78C816B8">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中标候选人并列的，采购人是否委托评标委员会确定中标人：</w:t>
            </w:r>
          </w:p>
          <w:p w14:paraId="2F53E1E0">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否</w:t>
            </w:r>
          </w:p>
          <w:p w14:paraId="1EDF2E71">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□是</w:t>
            </w:r>
          </w:p>
          <w:p w14:paraId="208BBE47">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中标候选人并列的，按照以下方式确定中标人： </w:t>
            </w:r>
          </w:p>
          <w:p w14:paraId="3FFA757F">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得分且投标报价均相同的，以技术部分评审得分高者为中标人。</w:t>
            </w:r>
          </w:p>
          <w:p w14:paraId="7F00F319">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□随机抽取</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.5</w:t>
            </w:r>
          </w:p>
        </w:tc>
        <w:tc>
          <w:tcPr>
            <w:tcW w:w="1701" w:type="dxa"/>
            <w:noWrap w:val="0"/>
            <w:vAlign w:val="center"/>
          </w:tcPr>
          <w:p w14:paraId="7DE3F142">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分包</w:t>
            </w:r>
          </w:p>
        </w:tc>
        <w:tc>
          <w:tcPr>
            <w:tcW w:w="7540" w:type="dxa"/>
            <w:noWrap w:val="0"/>
            <w:vAlign w:val="center"/>
          </w:tcPr>
          <w:p w14:paraId="3A560DA1">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本项目的非主体、非关键性工作是否允许分包： </w:t>
            </w:r>
          </w:p>
          <w:p w14:paraId="12A28AD6">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不允许</w:t>
            </w:r>
          </w:p>
          <w:p w14:paraId="537F7C6F">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允许，具体要求：</w:t>
            </w:r>
          </w:p>
          <w:p w14:paraId="5D71C682">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（1）可以分包履行的具体内容：</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rPr>
              <w:t>；</w:t>
            </w:r>
          </w:p>
          <w:p w14:paraId="7D4D4E79">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（2）允许分包的金额或者比例：</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rPr>
              <w:t>；</w:t>
            </w:r>
          </w:p>
          <w:p w14:paraId="23A56AB1">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keepNext w:val="0"/>
              <w:keepLines w:val="0"/>
              <w:pageBreakBefore w:val="0"/>
              <w:widowControl/>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000000"/>
                <w:kern w:val="2"/>
                <w:sz w:val="24"/>
                <w:szCs w:val="24"/>
                <w:highlight w:val="none"/>
                <w:lang w:val="en-US" w:eastAsia="zh-CN" w:bidi="ar"/>
              </w:rPr>
              <w:t>24.6</w:t>
            </w:r>
          </w:p>
        </w:tc>
        <w:tc>
          <w:tcPr>
            <w:tcW w:w="1701" w:type="dxa"/>
            <w:noWrap w:val="0"/>
            <w:vAlign w:val="center"/>
          </w:tcPr>
          <w:p w14:paraId="7541A747">
            <w:pPr>
              <w:keepNext w:val="0"/>
              <w:keepLines w:val="0"/>
              <w:pageBreakBefore w:val="0"/>
              <w:widowControl/>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color w:val="auto"/>
                <w:kern w:val="2"/>
                <w:sz w:val="24"/>
                <w:szCs w:val="24"/>
                <w:highlight w:val="none"/>
                <w:lang w:val="en-US" w:eastAsia="zh-CN" w:bidi="ar"/>
              </w:rPr>
              <w:t>政采贷</w:t>
            </w:r>
          </w:p>
        </w:tc>
        <w:tc>
          <w:tcPr>
            <w:tcW w:w="7540" w:type="dxa"/>
            <w:noWrap w:val="0"/>
            <w:vAlign w:val="center"/>
          </w:tcPr>
          <w:p w14:paraId="4B37BE7B">
            <w:pPr>
              <w:keepNext w:val="0"/>
              <w:keepLines w:val="0"/>
              <w:pageBreakBefore w:val="0"/>
              <w:widowControl/>
              <w:suppressLineNumbers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color w:val="auto"/>
                <w:kern w:val="2"/>
                <w:sz w:val="24"/>
                <w:szCs w:val="24"/>
                <w:highlight w:val="none"/>
                <w:lang w:val="en-US" w:eastAsia="zh-CN" w:bidi="ar"/>
              </w:rPr>
              <w:t>为更大力度激发市场活力和社会创造力，增强发展动力，按照《北京市</w:t>
            </w:r>
          </w:p>
          <w:p w14:paraId="5BFE3970">
            <w:pPr>
              <w:keepNext w:val="0"/>
              <w:keepLines w:val="0"/>
              <w:pageBreakBefore w:val="0"/>
              <w:widowControl/>
              <w:suppressLineNumbers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color w:val="auto"/>
                <w:kern w:val="2"/>
                <w:sz w:val="24"/>
                <w:szCs w:val="24"/>
                <w:highlight w:val="none"/>
                <w:lang w:val="en-US" w:eastAsia="zh-CN" w:bidi="ar"/>
              </w:rPr>
              <w:t>全面优化营商环境助力企业高质量发展实施方案》（京政办发〔2023〕</w:t>
            </w:r>
          </w:p>
          <w:p w14:paraId="53323083">
            <w:pPr>
              <w:keepNext w:val="0"/>
              <w:keepLines w:val="0"/>
              <w:pageBreakBefore w:val="0"/>
              <w:widowControl/>
              <w:suppressLineNumbers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color w:val="auto"/>
                <w:kern w:val="2"/>
                <w:sz w:val="24"/>
                <w:szCs w:val="24"/>
                <w:highlight w:val="none"/>
                <w:lang w:val="en-US" w:eastAsia="zh-CN" w:bidi="ar"/>
              </w:rPr>
              <w:t>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.1.1</w:t>
            </w:r>
          </w:p>
        </w:tc>
        <w:tc>
          <w:tcPr>
            <w:tcW w:w="1701" w:type="dxa"/>
            <w:noWrap w:val="0"/>
            <w:vAlign w:val="center"/>
          </w:tcPr>
          <w:p w14:paraId="6444065B">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询问</w:t>
            </w:r>
          </w:p>
        </w:tc>
        <w:tc>
          <w:tcPr>
            <w:tcW w:w="7540" w:type="dxa"/>
            <w:noWrap w:val="0"/>
            <w:vAlign w:val="center"/>
          </w:tcPr>
          <w:p w14:paraId="50358F16">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询问</w:t>
            </w:r>
            <w:r>
              <w:rPr>
                <w:rFonts w:hint="eastAsia" w:ascii="宋体" w:hAnsi="宋体" w:eastAsia="宋体" w:cs="宋体"/>
                <w:sz w:val="24"/>
                <w:highlight w:val="none"/>
                <w:lang w:val="en-US" w:eastAsia="zh-CN"/>
              </w:rPr>
              <w:t>提出</w:t>
            </w:r>
            <w:r>
              <w:rPr>
                <w:rFonts w:hint="eastAsia" w:ascii="宋体" w:hAnsi="宋体" w:eastAsia="宋体" w:cs="宋体"/>
                <w:sz w:val="24"/>
                <w:highlight w:val="none"/>
              </w:rPr>
              <w:t>形式：致电采购代理公司项目联系人。</w:t>
            </w:r>
          </w:p>
          <w:p w14:paraId="50BE54FB">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lang w:val="en-US"/>
              </w:rPr>
            </w:pPr>
            <w:r>
              <w:rPr>
                <w:rFonts w:hint="eastAsia" w:ascii="宋体" w:hAnsi="宋体" w:eastAsia="宋体" w:cs="宋体"/>
                <w:sz w:val="24"/>
                <w:highlight w:val="none"/>
              </w:rPr>
              <w:t>联系人：</w:t>
            </w:r>
            <w:r>
              <w:rPr>
                <w:rFonts w:hint="eastAsia" w:ascii="宋体" w:hAnsi="宋体" w:eastAsia="宋体" w:cs="宋体"/>
                <w:bCs/>
                <w:sz w:val="24"/>
                <w:highlight w:val="none"/>
                <w:lang w:val="en-US" w:eastAsia="zh-CN"/>
              </w:rPr>
              <w:t>于心远、徐聪宇、王曼</w:t>
            </w:r>
            <w:r>
              <w:rPr>
                <w:rFonts w:hint="eastAsia" w:ascii="宋体" w:hAnsi="宋体" w:eastAsia="宋体" w:cs="宋体"/>
                <w:sz w:val="24"/>
                <w:highlight w:val="none"/>
              </w:rPr>
              <w:t xml:space="preserve">  联系电话：</w:t>
            </w:r>
            <w:r>
              <w:rPr>
                <w:rFonts w:hint="eastAsia" w:ascii="宋体" w:hAnsi="宋体" w:eastAsia="宋体" w:cs="宋体"/>
                <w:bCs/>
                <w:sz w:val="24"/>
                <w:highlight w:val="none"/>
                <w:lang w:val="en-US" w:eastAsia="zh-CN"/>
              </w:rPr>
              <w:t>010-81168240、8277、8455</w:t>
            </w:r>
          </w:p>
          <w:p w14:paraId="04FEDF96">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邮箱：</w:t>
            </w:r>
            <w:r>
              <w:rPr>
                <w:rFonts w:hint="eastAsia" w:ascii="宋体" w:hAnsi="宋体" w:eastAsia="宋体" w:cs="宋体"/>
                <w:sz w:val="24"/>
                <w:highlight w:val="none"/>
                <w:lang w:val="en-US" w:eastAsia="zh-CN"/>
              </w:rPr>
              <w:t>yuxinyuan@cgci.gt.cn</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w:t>
            </w:r>
          </w:p>
        </w:tc>
        <w:tc>
          <w:tcPr>
            <w:tcW w:w="1701" w:type="dxa"/>
            <w:noWrap w:val="0"/>
            <w:vAlign w:val="center"/>
          </w:tcPr>
          <w:p w14:paraId="14FC835A">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540" w:type="dxa"/>
            <w:noWrap w:val="0"/>
            <w:vAlign w:val="center"/>
          </w:tcPr>
          <w:p w14:paraId="5F7DEBAA">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6001C8B1">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eastAsia="宋体" w:cs="宋体"/>
                <w:sz w:val="24"/>
                <w:highlight w:val="none"/>
                <w:lang w:val="en-US" w:eastAsia="zh-CN"/>
              </w:rPr>
              <w:t>中技国际招标有限公司</w:t>
            </w:r>
            <w:r>
              <w:rPr>
                <w:rFonts w:hint="eastAsia" w:ascii="宋体" w:hAnsi="宋体" w:eastAsia="宋体" w:cs="宋体"/>
                <w:sz w:val="24"/>
                <w:highlight w:val="none"/>
              </w:rPr>
              <w:t>招标部；</w:t>
            </w:r>
          </w:p>
          <w:p w14:paraId="2730F70B">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bCs/>
                <w:sz w:val="24"/>
                <w:highlight w:val="none"/>
                <w:lang w:val="en-US" w:eastAsia="zh-CN"/>
              </w:rPr>
              <w:t>010-81168240、8277、8455</w:t>
            </w:r>
            <w:r>
              <w:rPr>
                <w:rFonts w:hint="eastAsia" w:ascii="宋体" w:hAnsi="宋体" w:eastAsia="宋体" w:cs="宋体"/>
                <w:sz w:val="24"/>
                <w:highlight w:val="none"/>
              </w:rPr>
              <w:t>；</w:t>
            </w:r>
          </w:p>
          <w:p w14:paraId="7201BC91">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lang w:val="en-US" w:eastAsia="zh-CN"/>
              </w:rPr>
              <w:t>北京市丰台区通用时代中心C座</w:t>
            </w:r>
            <w:r>
              <w:rPr>
                <w:rFonts w:hint="eastAsia" w:ascii="宋体" w:hAnsi="宋体" w:eastAsia="宋体" w:cs="宋体"/>
                <w:sz w:val="24"/>
                <w:highlight w:val="none"/>
              </w:rPr>
              <w:t>。</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1"/>
              <w:keepNext w:val="0"/>
              <w:keepLines w:val="0"/>
              <w:pageBreakBefore w:val="0"/>
              <w:kinsoku/>
              <w:overflowPunct/>
              <w:topLinePunct w:val="0"/>
              <w:bidi w:val="0"/>
              <w:adjustRightInd w:val="0"/>
              <w:snapToGrid w:val="0"/>
              <w:spacing w:before="60" w:after="6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C411B98">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收费对象：</w:t>
            </w:r>
          </w:p>
          <w:p w14:paraId="0CB2FF85">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□采购人</w:t>
            </w:r>
          </w:p>
          <w:p w14:paraId="0767E28B">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中标人</w:t>
            </w:r>
          </w:p>
          <w:p w14:paraId="32F36548">
            <w:pPr>
              <w:keepNext w:val="0"/>
              <w:keepLines w:val="0"/>
              <w:pageBreakBefore w:val="0"/>
              <w:widowControl w:val="0"/>
              <w:kinsoku/>
              <w:wordWrap w:val="0"/>
              <w:overflowPunct/>
              <w:topLinePunct w:val="0"/>
              <w:autoSpaceDE/>
              <w:autoSpaceDN/>
              <w:bidi w:val="0"/>
              <w:adjustRightInd/>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收费标准：采购代理机构参考价格[2002]1980号文、发改办价格[2003]857号文及发改价格[2011]534号文有关规定计取；</w:t>
            </w:r>
          </w:p>
          <w:p w14:paraId="7EFC9296">
            <w:pPr>
              <w:keepNext w:val="0"/>
              <w:keepLines w:val="0"/>
              <w:pageBreakBefore w:val="0"/>
              <w:kinsoku/>
              <w:overflowPunct/>
              <w:topLinePunct w:val="0"/>
              <w:bidi w:val="0"/>
              <w:snapToGrid w:val="0"/>
              <w:spacing w:before="60" w:after="6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缴纳时间：中标供应商在领取中标通知书时一次性向采购代理机构交纳所有中标服务费。</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keepNext w:val="0"/>
              <w:keepLines w:val="0"/>
              <w:pageBreakBefore w:val="0"/>
              <w:kinsoku/>
              <w:overflowPunct/>
              <w:topLinePunct w:val="0"/>
              <w:bidi w:val="0"/>
              <w:snapToGrid w:val="0"/>
              <w:spacing w:before="60" w:after="60" w:line="240" w:lineRule="auto"/>
              <w:jc w:val="center"/>
              <w:textAlignment w:val="auto"/>
              <w:rPr>
                <w:rFonts w:hint="eastAsia" w:ascii="宋体" w:hAnsi="宋体" w:eastAsia="宋体" w:cs="宋体"/>
                <w:sz w:val="24"/>
                <w:highlight w:val="none"/>
              </w:rPr>
            </w:pPr>
            <w:r>
              <w:rPr>
                <w:rFonts w:hint="eastAsia" w:ascii="宋体" w:hAnsi="宋体" w:eastAsia="宋体" w:cs="宋体"/>
                <w:b/>
                <w:bCs/>
                <w:sz w:val="24"/>
                <w:highlight w:val="none"/>
              </w:rPr>
              <w:t>其他须知</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1"/>
              <w:keepNext w:val="0"/>
              <w:keepLines w:val="0"/>
              <w:pageBreakBefore w:val="0"/>
              <w:kinsoku/>
              <w:overflowPunct/>
              <w:topLinePunct w:val="0"/>
              <w:bidi w:val="0"/>
              <w:adjustRightInd w:val="0"/>
              <w:snapToGrid w:val="0"/>
              <w:spacing w:before="60" w:after="6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keepNext w:val="0"/>
              <w:keepLines w:val="0"/>
              <w:pageBreakBefore w:val="0"/>
              <w:kinsoku/>
              <w:overflowPunct/>
              <w:topLinePunct w:val="0"/>
              <w:bidi w:val="0"/>
              <w:snapToGrid w:val="0"/>
              <w:spacing w:before="60" w:after="60" w:line="240" w:lineRule="auto"/>
              <w:ind w:left="0" w:leftChars="0" w:right="0" w:right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keepNext w:val="0"/>
              <w:keepLines w:val="0"/>
              <w:pageBreakBefore w:val="0"/>
              <w:kinsoku/>
              <w:overflowPunct/>
              <w:topLinePunct w:val="0"/>
              <w:bidi w:val="0"/>
              <w:snapToGrid w:val="0"/>
              <w:spacing w:before="60" w:after="60" w:line="240" w:lineRule="auto"/>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构成招标文件组成部分的“合同条款”“采购需求”等章节中出现的措词“甲方</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发包人</w:t>
            </w:r>
            <w:r>
              <w:rPr>
                <w:rFonts w:hint="eastAsia" w:ascii="宋体" w:hAnsi="宋体" w:eastAsia="宋体" w:cs="宋体"/>
                <w:sz w:val="24"/>
                <w:highlight w:val="none"/>
                <w:lang w:eastAsia="zh-CN"/>
              </w:rPr>
              <w:t>）</w:t>
            </w:r>
            <w:r>
              <w:rPr>
                <w:rFonts w:hint="eastAsia" w:ascii="宋体" w:hAnsi="宋体" w:eastAsia="宋体" w:cs="宋体"/>
                <w:sz w:val="24"/>
                <w:highlight w:val="none"/>
              </w:rPr>
              <w:t>”、“乙方</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承包人</w:t>
            </w:r>
            <w:r>
              <w:rPr>
                <w:rFonts w:hint="eastAsia" w:ascii="宋体" w:hAnsi="宋体" w:eastAsia="宋体" w:cs="宋体"/>
                <w:sz w:val="24"/>
                <w:highlight w:val="none"/>
                <w:lang w:eastAsia="zh-CN"/>
              </w:rPr>
              <w:t>）</w:t>
            </w:r>
            <w:r>
              <w:rPr>
                <w:rFonts w:hint="eastAsia" w:ascii="宋体" w:hAnsi="宋体" w:eastAsia="宋体" w:cs="宋体"/>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1"/>
              <w:keepNext w:val="0"/>
              <w:keepLines w:val="0"/>
              <w:pageBreakBefore w:val="0"/>
              <w:kinsoku/>
              <w:overflowPunct/>
              <w:topLinePunct w:val="0"/>
              <w:bidi w:val="0"/>
              <w:adjustRightInd w:val="0"/>
              <w:snapToGrid w:val="0"/>
              <w:spacing w:before="60" w:after="6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keepNext w:val="0"/>
              <w:keepLines w:val="0"/>
              <w:pageBreakBefore w:val="0"/>
              <w:kinsoku/>
              <w:overflowPunct/>
              <w:topLinePunct w:val="0"/>
              <w:bidi w:val="0"/>
              <w:snapToGrid w:val="0"/>
              <w:spacing w:before="60" w:after="60" w:line="240" w:lineRule="auto"/>
              <w:ind w:left="0" w:leftChars="0" w:right="0" w:right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keepNext w:val="0"/>
              <w:keepLines w:val="0"/>
              <w:pageBreakBefore w:val="0"/>
              <w:kinsoku/>
              <w:overflowPunct/>
              <w:topLinePunct w:val="0"/>
              <w:bidi w:val="0"/>
              <w:snapToGrid w:val="0"/>
              <w:spacing w:before="60" w:after="60" w:line="240" w:lineRule="auto"/>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66"/>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4"/>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66"/>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firstLine="0" w:firstLineChars="0"/>
              <w:jc w:val="center"/>
              <w:textAlignment w:val="auto"/>
              <w:rPr>
                <w:rFonts w:hint="default" w:ascii="宋体" w:hAnsi="宋体" w:eastAsia="宋体" w:cs="宋体"/>
                <w:sz w:val="24"/>
                <w:highlight w:val="none"/>
                <w:lang w:val="en-US"/>
              </w:rPr>
            </w:pPr>
            <w:r>
              <w:rPr>
                <w:rFonts w:hint="eastAsia" w:ascii="宋体" w:hAnsi="宋体" w:eastAsia="宋体" w:cs="宋体"/>
                <w:spacing w:val="-2"/>
                <w:sz w:val="24"/>
                <w:szCs w:val="24"/>
                <w:highlight w:val="none"/>
                <w:lang w:val="en-US" w:eastAsia="zh-CN"/>
              </w:rPr>
              <w:t>投标文件份数</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pStyle w:val="266"/>
              <w:keepNext w:val="0"/>
              <w:keepLines w:val="0"/>
              <w:pageBreakBefore w:val="0"/>
              <w:widowControl w:val="0"/>
              <w:kinsoku/>
              <w:wordWrap/>
              <w:overflowPunct/>
              <w:topLinePunct w:val="0"/>
              <w:bidi w:val="0"/>
              <w:adjustRightInd w:val="0"/>
              <w:snapToGrid w:val="0"/>
              <w:spacing w:before="60" w:after="60" w:line="240" w:lineRule="auto"/>
              <w:ind w:left="0" w:leftChars="0" w:right="0" w:rightChars="0" w:firstLine="0" w:firstLineChars="0"/>
              <w:jc w:val="both"/>
              <w:textAlignment w:val="auto"/>
              <w:rPr>
                <w:rFonts w:hint="eastAsia" w:ascii="宋体" w:hAnsi="宋体" w:eastAsia="宋体" w:cs="宋体"/>
                <w:sz w:val="24"/>
                <w:highlight w:val="none"/>
              </w:rPr>
            </w:pPr>
            <w:r>
              <w:rPr>
                <w:rFonts w:hint="eastAsia" w:ascii="宋体" w:hAnsi="宋体" w:eastAsia="宋体" w:cs="宋体"/>
                <w:b/>
                <w:bCs/>
                <w:sz w:val="24"/>
                <w:szCs w:val="24"/>
                <w:highlight w:val="none"/>
              </w:rPr>
              <w:t>纸质版正本：1份；副本：2份；电子版：1份（格式为PDF,载体为U盘）</w:t>
            </w:r>
          </w:p>
        </w:tc>
      </w:tr>
    </w:tbl>
    <w:p w14:paraId="2AC694A4">
      <w:pPr>
        <w:rPr>
          <w:color w:val="auto"/>
        </w:rPr>
      </w:pPr>
      <w:r>
        <w:rPr>
          <w:color w:val="auto"/>
        </w:rPr>
        <w:br w:type="page"/>
      </w:r>
    </w:p>
    <w:p w14:paraId="4023548C">
      <w:pPr>
        <w:tabs>
          <w:tab w:val="left" w:pos="5580"/>
        </w:tabs>
        <w:adjustRightInd w:val="0"/>
        <w:spacing w:line="360" w:lineRule="auto"/>
        <w:jc w:val="distribute"/>
        <w:rPr>
          <w:color w:val="auto"/>
          <w:sz w:val="24"/>
        </w:rPr>
        <w:sectPr>
          <w:headerReference r:id="rId10" w:type="first"/>
          <w:footerReference r:id="rId11" w:type="default"/>
          <w:type w:val="nextColumn"/>
          <w:pgSz w:w="11907" w:h="16840"/>
          <w:pgMar w:top="1418" w:right="1134" w:bottom="1418" w:left="1701" w:header="851" w:footer="851" w:gutter="0"/>
          <w:pgNumType w:fmt="decimal" w:start="0"/>
          <w:cols w:space="720" w:num="1"/>
          <w:titlePg/>
          <w:docGrid w:linePitch="462" w:charSpace="0"/>
        </w:sectPr>
      </w:pPr>
    </w:p>
    <w:p w14:paraId="264E72B9">
      <w:pPr>
        <w:spacing w:before="240" w:beforeLines="100" w:after="240" w:afterLines="100"/>
        <w:jc w:val="center"/>
        <w:rPr>
          <w:rFonts w:hint="eastAsia" w:ascii="仿宋" w:hAnsi="仿宋" w:eastAsia="仿宋" w:cs="仿宋"/>
          <w:b/>
          <w:sz w:val="28"/>
          <w:szCs w:val="28"/>
        </w:rPr>
      </w:pPr>
      <w:bookmarkStart w:id="69" w:name="_Toc353873932"/>
      <w:bookmarkStart w:id="70" w:name="_Toc264969207"/>
      <w:bookmarkStart w:id="71" w:name="_Toc353873662"/>
      <w:bookmarkStart w:id="72" w:name="_Toc195842882"/>
      <w:bookmarkStart w:id="73" w:name="_Toc265228355"/>
      <w:bookmarkStart w:id="74" w:name="_Toc142311019"/>
      <w:bookmarkStart w:id="75" w:name="_Toc150774722"/>
      <w:bookmarkStart w:id="76" w:name="_Toc127151517"/>
      <w:bookmarkStart w:id="77" w:name="_Toc150480755"/>
      <w:bookmarkStart w:id="78" w:name="_Toc305158785"/>
      <w:bookmarkStart w:id="79" w:name="_Toc353825542"/>
      <w:bookmarkStart w:id="80" w:name="_Toc226965790"/>
      <w:bookmarkStart w:id="81" w:name="_Toc305158859"/>
      <w:bookmarkStart w:id="82" w:name="_Toc226337213"/>
      <w:r>
        <w:rPr>
          <w:rFonts w:hint="eastAsia" w:ascii="仿宋" w:hAnsi="仿宋" w:eastAsia="仿宋" w:cs="仿宋"/>
          <w:b/>
          <w:sz w:val="28"/>
          <w:szCs w:val="28"/>
        </w:rPr>
        <w:t>投标人须知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1CA571F">
      <w:pPr>
        <w:pStyle w:val="3"/>
        <w:tabs>
          <w:tab w:val="center" w:pos="4592"/>
          <w:tab w:val="left" w:pos="7860"/>
        </w:tabs>
        <w:spacing w:before="0" w:line="360" w:lineRule="auto"/>
        <w:jc w:val="left"/>
        <w:rPr>
          <w:rFonts w:hint="eastAsia" w:ascii="仿宋" w:hAnsi="仿宋" w:eastAsia="仿宋" w:cs="仿宋"/>
          <w:sz w:val="28"/>
        </w:rPr>
      </w:pPr>
      <w:bookmarkStart w:id="83" w:name="_Toc127151518"/>
      <w:bookmarkStart w:id="84" w:name="_Toc520356143"/>
      <w:r>
        <w:rPr>
          <w:rFonts w:hint="eastAsia" w:ascii="仿宋" w:hAnsi="仿宋" w:eastAsia="仿宋" w:cs="仿宋"/>
          <w:sz w:val="28"/>
        </w:rPr>
        <w:tab/>
      </w:r>
      <w:bookmarkStart w:id="85" w:name="_Toc151193616"/>
      <w:bookmarkStart w:id="86" w:name="_Toc151193906"/>
      <w:bookmarkStart w:id="87" w:name="_Toc142311020"/>
      <w:bookmarkStart w:id="88" w:name="_Toc305158860"/>
      <w:bookmarkStart w:id="89" w:name="_Toc226337214"/>
      <w:bookmarkStart w:id="90" w:name="_Toc226965791"/>
      <w:bookmarkStart w:id="91" w:name="_Toc151190145"/>
      <w:bookmarkStart w:id="92" w:name="_Toc226309762"/>
      <w:bookmarkStart w:id="93" w:name="_Toc305158786"/>
      <w:bookmarkStart w:id="94" w:name="_Toc150774723"/>
      <w:bookmarkStart w:id="95" w:name="_Toc151193760"/>
      <w:bookmarkStart w:id="96" w:name="_Toc150480756"/>
      <w:bookmarkStart w:id="97" w:name="_Toc151193832"/>
      <w:bookmarkStart w:id="98" w:name="_Toc150774618"/>
      <w:bookmarkStart w:id="99" w:name="_Toc265228356"/>
      <w:bookmarkStart w:id="100" w:name="_Toc150509269"/>
      <w:bookmarkStart w:id="101" w:name="_Toc226965708"/>
      <w:bookmarkStart w:id="102" w:name="_Toc264969208"/>
      <w:bookmarkStart w:id="103" w:name="_Toc195842883"/>
      <w:bookmarkStart w:id="104" w:name="_Toc151193688"/>
      <w:r>
        <w:rPr>
          <w:rFonts w:hint="eastAsia" w:ascii="仿宋" w:hAnsi="仿宋" w:eastAsia="仿宋" w:cs="仿宋"/>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仿宋" w:hAnsi="仿宋" w:eastAsia="仿宋" w:cs="仿宋"/>
          <w:sz w:val="28"/>
        </w:rPr>
        <w:tab/>
      </w:r>
    </w:p>
    <w:p w14:paraId="44F9BB27">
      <w:pPr>
        <w:pageBreakBefore w:val="0"/>
        <w:widowControl w:val="0"/>
        <w:numPr>
          <w:ilvl w:val="0"/>
          <w:numId w:val="8"/>
        </w:numPr>
        <w:tabs>
          <w:tab w:val="left" w:pos="360"/>
          <w:tab w:val="clear" w:pos="90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105" w:name="_Toc305158787"/>
      <w:bookmarkStart w:id="106" w:name="_Toc264969209"/>
      <w:bookmarkStart w:id="107" w:name="_Toc305158861"/>
      <w:bookmarkStart w:id="108" w:name="_Toc265228357"/>
      <w:r>
        <w:rPr>
          <w:rFonts w:hint="eastAsia" w:ascii="宋体" w:hAnsi="宋体" w:eastAsia="宋体" w:cs="宋体"/>
          <w:sz w:val="24"/>
        </w:rPr>
        <w:t>采购人、采购代理机构、投标人</w:t>
      </w:r>
      <w:bookmarkEnd w:id="105"/>
      <w:bookmarkEnd w:id="106"/>
      <w:bookmarkEnd w:id="107"/>
      <w:bookmarkEnd w:id="108"/>
      <w:r>
        <w:rPr>
          <w:rFonts w:hint="eastAsia" w:ascii="宋体" w:hAnsi="宋体" w:eastAsia="宋体" w:cs="宋体"/>
          <w:sz w:val="24"/>
        </w:rPr>
        <w:t>、联合体</w:t>
      </w:r>
    </w:p>
    <w:p w14:paraId="252C9D05">
      <w:pPr>
        <w:pageBreakBefore w:val="0"/>
        <w:widowControl w:val="0"/>
        <w:numPr>
          <w:ilvl w:val="1"/>
          <w:numId w:val="8"/>
        </w:numPr>
        <w:tabs>
          <w:tab w:val="left" w:pos="1080"/>
          <w:tab w:val="left" w:pos="2014"/>
          <w:tab w:val="left" w:pos="5521"/>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采购人、采购代理机构：指依法进行政府采购的国家机关、事业单位、团体组织，及其委托的采购代理机构。本项目采购人、采购代理机构见第一章《投标邀请》。</w:t>
      </w:r>
    </w:p>
    <w:p w14:paraId="2AA2AFD4">
      <w:pPr>
        <w:pageBreakBefore w:val="0"/>
        <w:widowControl w:val="0"/>
        <w:numPr>
          <w:ilvl w:val="1"/>
          <w:numId w:val="8"/>
        </w:numPr>
        <w:tabs>
          <w:tab w:val="left" w:pos="1080"/>
          <w:tab w:val="left" w:pos="2014"/>
          <w:tab w:val="left" w:pos="5521"/>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投标人（也称“供应商”、“申请人”）：指向采购人提供货物、工程或者服务的法人、其他组织或者自然人。</w:t>
      </w:r>
    </w:p>
    <w:p w14:paraId="110BBC86">
      <w:pPr>
        <w:pageBreakBefore w:val="0"/>
        <w:widowControl w:val="0"/>
        <w:numPr>
          <w:ilvl w:val="1"/>
          <w:numId w:val="8"/>
        </w:numPr>
        <w:tabs>
          <w:tab w:val="left" w:pos="1080"/>
          <w:tab w:val="left" w:pos="2014"/>
          <w:tab w:val="left" w:pos="5521"/>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0B088016">
      <w:pPr>
        <w:pageBreakBefore w:val="0"/>
        <w:widowControl w:val="0"/>
        <w:numPr>
          <w:ilvl w:val="0"/>
          <w:numId w:val="8"/>
        </w:numPr>
        <w:tabs>
          <w:tab w:val="left" w:pos="360"/>
          <w:tab w:val="clear" w:pos="90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109" w:name="_Toc265228358"/>
      <w:bookmarkStart w:id="110" w:name="_Toc164351614"/>
      <w:bookmarkStart w:id="111" w:name="_Toc264969210"/>
      <w:bookmarkStart w:id="112" w:name="_Toc226965710"/>
      <w:bookmarkStart w:id="113" w:name="_Toc150774620"/>
      <w:bookmarkStart w:id="114" w:name="_Toc305158862"/>
      <w:bookmarkStart w:id="115" w:name="_Toc151193762"/>
      <w:bookmarkStart w:id="116" w:name="_Toc127151721"/>
      <w:bookmarkStart w:id="117" w:name="_Toc151193690"/>
      <w:bookmarkStart w:id="118" w:name="_Toc226337216"/>
      <w:bookmarkStart w:id="119" w:name="_Toc195842885"/>
      <w:bookmarkStart w:id="120" w:name="_Toc226965793"/>
      <w:bookmarkStart w:id="121" w:name="_Toc305158788"/>
      <w:bookmarkStart w:id="122" w:name="_Toc164608634"/>
      <w:bookmarkStart w:id="123" w:name="_Toc150480758"/>
      <w:bookmarkStart w:id="124" w:name="_Toc164229361"/>
      <w:bookmarkStart w:id="125" w:name="_Toc150509271"/>
      <w:bookmarkStart w:id="126" w:name="_Toc127151520"/>
      <w:bookmarkStart w:id="127" w:name="_Toc151193908"/>
      <w:bookmarkStart w:id="128" w:name="_Toc151193618"/>
      <w:bookmarkStart w:id="129" w:name="_Toc164608789"/>
      <w:bookmarkStart w:id="130" w:name="_Toc151190147"/>
      <w:bookmarkStart w:id="131" w:name="_Toc150774725"/>
      <w:bookmarkStart w:id="132" w:name="_Toc142311022"/>
      <w:bookmarkStart w:id="133" w:name="_Toc127161434"/>
      <w:bookmarkStart w:id="134" w:name="_Toc149720813"/>
      <w:bookmarkStart w:id="135" w:name="_Toc151193834"/>
      <w:bookmarkStart w:id="136" w:name="_Toc164229215"/>
      <w:bookmarkStart w:id="137" w:name="_Toc226309764"/>
      <w:r>
        <w:rPr>
          <w:rFonts w:hint="eastAsia" w:ascii="宋体" w:hAnsi="宋体" w:eastAsia="宋体" w:cs="宋体"/>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宋体" w:hAnsi="宋体" w:eastAsia="宋体" w:cs="宋体"/>
          <w:sz w:val="24"/>
        </w:rPr>
        <w:t>、项目属性、科研仪器设备采购、核心产品</w:t>
      </w:r>
    </w:p>
    <w:p w14:paraId="425AC15D">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3E759718">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项目属性见《投标人须知资料表》。</w:t>
      </w:r>
    </w:p>
    <w:p w14:paraId="07167F36">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是否属于科研仪器设备采购见《投标人须知资料表》。</w:t>
      </w:r>
    </w:p>
    <w:p w14:paraId="6F058A45">
      <w:pPr>
        <w:pageBreakBefore w:val="0"/>
        <w:widowControl w:val="0"/>
        <w:numPr>
          <w:ilvl w:val="1"/>
          <w:numId w:val="8"/>
        </w:numPr>
        <w:tabs>
          <w:tab w:val="left" w:pos="1080"/>
          <w:tab w:val="left" w:pos="2014"/>
          <w:tab w:val="left" w:pos="5521"/>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核心产品见《投标人须知资料表》。</w:t>
      </w:r>
    </w:p>
    <w:p w14:paraId="568D39D7">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现场考察、开标前答疑会</w:t>
      </w:r>
    </w:p>
    <w:p w14:paraId="04C1863E">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8"/>
        </w:rPr>
      </w:pPr>
      <w:r>
        <w:rPr>
          <w:rFonts w:hint="eastAsia" w:ascii="宋体" w:hAnsi="宋体" w:eastAsia="宋体" w:cs="宋体"/>
          <w:sz w:val="24"/>
        </w:rPr>
        <w:t>若《投标人须知资料表》中规定了组织现场考察、召开开标前答疑会，则投标人应按要求在规定的时间和地点参加。</w:t>
      </w:r>
      <w:bookmarkStart w:id="138" w:name="_Toc142311024"/>
      <w:bookmarkStart w:id="139" w:name="_Toc195842887"/>
      <w:bookmarkStart w:id="140" w:name="_Toc127151522"/>
      <w:bookmarkStart w:id="141" w:name="_Toc226965795"/>
      <w:bookmarkStart w:id="142" w:name="_Toc151193836"/>
      <w:bookmarkStart w:id="143" w:name="_Toc150480760"/>
      <w:bookmarkStart w:id="144" w:name="_Toc305158864"/>
      <w:bookmarkStart w:id="145" w:name="_Toc520356146"/>
      <w:bookmarkStart w:id="146" w:name="_Toc305158790"/>
      <w:bookmarkStart w:id="147" w:name="_Toc150774622"/>
      <w:bookmarkStart w:id="148" w:name="_Toc265228360"/>
      <w:bookmarkStart w:id="149" w:name="_Toc151193764"/>
      <w:bookmarkStart w:id="150" w:name="_Toc151193910"/>
      <w:bookmarkStart w:id="151" w:name="_Toc150509273"/>
      <w:bookmarkStart w:id="152" w:name="_Toc151190149"/>
      <w:bookmarkStart w:id="153" w:name="_Toc151193620"/>
      <w:bookmarkStart w:id="154" w:name="_Toc264969212"/>
      <w:bookmarkStart w:id="155" w:name="_Toc151193692"/>
      <w:bookmarkStart w:id="156" w:name="_Toc226337218"/>
      <w:bookmarkStart w:id="157" w:name="_Toc150774727"/>
      <w:bookmarkStart w:id="158" w:name="_Toc226965712"/>
      <w:bookmarkStart w:id="159" w:name="_Toc226309766"/>
    </w:p>
    <w:p w14:paraId="53BBAD48">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由于未参加现场考察或开标前答疑会而导致对项目实际情况不了解，影响投标文件编制、投标报价准确性、综合因素响应不全面等问题的，由投标人自行承担不利评审后果。</w:t>
      </w:r>
    </w:p>
    <w:p w14:paraId="4273584C">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样品（不适用）</w:t>
      </w:r>
    </w:p>
    <w:p w14:paraId="12950494">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本项目是否要求投标人提供样品，以及样品制作的标准和要求、是否需要随样品提交相关检测报告、样品的递交与退还等要求见《投标人须知资料表》。</w:t>
      </w:r>
    </w:p>
    <w:p w14:paraId="22DC5A34">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样品的评审方法以及评审标准等内容见第</w:t>
      </w:r>
      <w:r>
        <w:rPr>
          <w:rFonts w:hint="eastAsia" w:ascii="宋体" w:hAnsi="宋体" w:eastAsia="宋体" w:cs="宋体"/>
          <w:sz w:val="24"/>
          <w:lang w:val="en-US" w:eastAsia="zh-CN"/>
        </w:rPr>
        <w:t>四</w:t>
      </w:r>
      <w:r>
        <w:rPr>
          <w:rFonts w:hint="eastAsia" w:ascii="宋体" w:hAnsi="宋体" w:eastAsia="宋体" w:cs="宋体"/>
          <w:sz w:val="24"/>
        </w:rPr>
        <w:t>章《评标方法和评标标准》。</w:t>
      </w:r>
    </w:p>
    <w:p w14:paraId="58D36B84">
      <w:pPr>
        <w:pageBreakBefore w:val="0"/>
        <w:widowControl w:val="0"/>
        <w:numPr>
          <w:ilvl w:val="0"/>
          <w:numId w:val="8"/>
        </w:numPr>
        <w:tabs>
          <w:tab w:val="left" w:pos="360"/>
          <w:tab w:val="clear" w:pos="90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6B57987B">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进口产品（不适用）</w:t>
      </w:r>
    </w:p>
    <w:p w14:paraId="277A49AE">
      <w:pPr>
        <w:pageBreakBefore w:val="0"/>
        <w:widowControl w:val="0"/>
        <w:numPr>
          <w:ilvl w:val="2"/>
          <w:numId w:val="8"/>
        </w:numPr>
        <w:tabs>
          <w:tab w:val="left" w:pos="2014"/>
        </w:tabs>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429304D">
      <w:pPr>
        <w:pageBreakBefore w:val="0"/>
        <w:widowControl w:val="0"/>
        <w:numPr>
          <w:ilvl w:val="2"/>
          <w:numId w:val="8"/>
        </w:numPr>
        <w:tabs>
          <w:tab w:val="left" w:pos="2014"/>
        </w:tabs>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本项目是否接受进口产品见第</w:t>
      </w:r>
      <w:r>
        <w:rPr>
          <w:rFonts w:hint="eastAsia" w:ascii="宋体" w:hAnsi="宋体" w:eastAsia="宋体" w:cs="宋体"/>
          <w:sz w:val="24"/>
          <w:lang w:val="en-US" w:eastAsia="zh-CN"/>
        </w:rPr>
        <w:t>五</w:t>
      </w:r>
      <w:r>
        <w:rPr>
          <w:rFonts w:hint="eastAsia" w:ascii="宋体" w:hAnsi="宋体" w:eastAsia="宋体" w:cs="宋体"/>
          <w:sz w:val="24"/>
        </w:rPr>
        <w:t>章《采购需求》。</w:t>
      </w:r>
    </w:p>
    <w:p w14:paraId="2DFEA2AA">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中小企业、监狱企业及残疾人福利性单位</w:t>
      </w:r>
    </w:p>
    <w:p w14:paraId="21C1768B">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中小企业定义：</w:t>
      </w:r>
    </w:p>
    <w:p w14:paraId="15E8FFD8">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color w:val="000000"/>
          <w:sz w:val="24"/>
        </w:rPr>
      </w:pPr>
      <w:r>
        <w:rPr>
          <w:rFonts w:hint="eastAsia" w:ascii="宋体" w:hAnsi="宋体" w:eastAsia="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0EBDFDF">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color w:val="000000"/>
          <w:sz w:val="24"/>
        </w:rPr>
      </w:pPr>
      <w:r>
        <w:rPr>
          <w:rFonts w:hint="eastAsia" w:ascii="宋体" w:hAnsi="宋体" w:eastAsia="宋体" w:cs="宋体"/>
          <w:sz w:val="24"/>
        </w:rPr>
        <w:t>供应商提供的货物、工程或者服务符合下列情形的，享受中小企业扶持政策：</w:t>
      </w:r>
    </w:p>
    <w:p w14:paraId="0A609F23">
      <w:pPr>
        <w:pageBreakBefore w:val="0"/>
        <w:widowControl w:val="0"/>
        <w:tabs>
          <w:tab w:val="left" w:pos="1980"/>
        </w:tabs>
        <w:kinsoku/>
        <w:wordWrap/>
        <w:overflowPunct/>
        <w:topLinePunct w:val="0"/>
        <w:bidi w:val="0"/>
        <w:snapToGrid w:val="0"/>
        <w:spacing w:after="0" w:line="540" w:lineRule="exact"/>
        <w:ind w:left="2835" w:leftChars="1350"/>
        <w:textAlignment w:val="auto"/>
        <w:rPr>
          <w:rFonts w:hint="eastAsia" w:ascii="宋体" w:hAnsi="宋体" w:eastAsia="宋体" w:cs="宋体"/>
          <w:color w:val="000000"/>
          <w:sz w:val="24"/>
        </w:rPr>
      </w:pPr>
      <w:r>
        <w:rPr>
          <w:rFonts w:hint="eastAsia" w:ascii="宋体" w:hAnsi="宋体" w:eastAsia="宋体" w:cs="宋体"/>
          <w:color w:val="000000"/>
          <w:sz w:val="24"/>
        </w:rPr>
        <w:t>（1）在货物采购项目中，货物由中小企业制造，即货物由中小企业生产且使用该中小企业商号或者注册商标；</w:t>
      </w:r>
    </w:p>
    <w:p w14:paraId="6FDC13E0">
      <w:pPr>
        <w:pageBreakBefore w:val="0"/>
        <w:widowControl w:val="0"/>
        <w:tabs>
          <w:tab w:val="left" w:pos="1980"/>
        </w:tabs>
        <w:kinsoku/>
        <w:wordWrap/>
        <w:overflowPunct/>
        <w:topLinePunct w:val="0"/>
        <w:bidi w:val="0"/>
        <w:snapToGrid w:val="0"/>
        <w:spacing w:after="0" w:line="540" w:lineRule="exact"/>
        <w:ind w:left="2835" w:leftChars="1350"/>
        <w:textAlignment w:val="auto"/>
        <w:rPr>
          <w:rFonts w:hint="eastAsia" w:ascii="宋体" w:hAnsi="宋体" w:eastAsia="宋体" w:cs="宋体"/>
          <w:color w:val="000000"/>
          <w:sz w:val="24"/>
        </w:rPr>
      </w:pPr>
      <w:r>
        <w:rPr>
          <w:rFonts w:hint="eastAsia" w:ascii="宋体" w:hAnsi="宋体" w:eastAsia="宋体" w:cs="宋体"/>
          <w:color w:val="000000"/>
          <w:sz w:val="24"/>
        </w:rPr>
        <w:t>（2）在工程采购项目中，工程由中小企业承建，即工程施工单位为中小企业；</w:t>
      </w:r>
    </w:p>
    <w:p w14:paraId="767B4931">
      <w:pPr>
        <w:pageBreakBefore w:val="0"/>
        <w:widowControl w:val="0"/>
        <w:tabs>
          <w:tab w:val="left" w:pos="1980"/>
        </w:tabs>
        <w:kinsoku/>
        <w:wordWrap/>
        <w:overflowPunct/>
        <w:topLinePunct w:val="0"/>
        <w:bidi w:val="0"/>
        <w:snapToGrid w:val="0"/>
        <w:spacing w:after="0" w:line="540" w:lineRule="exact"/>
        <w:ind w:left="2835" w:leftChars="1350"/>
        <w:textAlignment w:val="auto"/>
        <w:rPr>
          <w:rFonts w:hint="eastAsia" w:ascii="宋体" w:hAnsi="宋体" w:eastAsia="宋体" w:cs="宋体"/>
          <w:color w:val="000000"/>
          <w:sz w:val="24"/>
        </w:rPr>
      </w:pPr>
      <w:r>
        <w:rPr>
          <w:rFonts w:hint="eastAsia" w:ascii="宋体" w:hAnsi="宋体" w:eastAsia="宋体" w:cs="宋体"/>
          <w:color w:val="000000"/>
          <w:sz w:val="24"/>
        </w:rPr>
        <w:t>（3）在服务采购项目中，服务由中小企业承接，即提供服务的人员为中小企业依照《中华人民共和国劳动合同法》订立劳动合同的从业人员。</w:t>
      </w:r>
    </w:p>
    <w:p w14:paraId="0F55FC27">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05949872">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sz w:val="24"/>
        </w:rPr>
      </w:pPr>
      <w:r>
        <w:rPr>
          <w:rFonts w:hint="eastAsia" w:ascii="宋体" w:hAnsi="宋体" w:eastAsia="宋体" w:cs="宋体"/>
          <w:color w:val="000000"/>
          <w:sz w:val="24"/>
        </w:rPr>
        <w:t>以联合体形式参加政府采购活动，联合体各方均为中小企业的，联合体视同中小企业。其中，联合体各方均为小微企业的，联合体视同小微企业。</w:t>
      </w:r>
    </w:p>
    <w:p w14:paraId="07DAC143">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7D5C0F">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残疾人福利单位定义：享受政府采购支持政策的残疾人福利性单位应当同时满足以下条件：</w:t>
      </w:r>
    </w:p>
    <w:p w14:paraId="0006E92C">
      <w:pPr>
        <w:pStyle w:val="114"/>
        <w:pageBreakBefore w:val="0"/>
        <w:widowControl w:val="0"/>
        <w:numPr>
          <w:ilvl w:val="2"/>
          <w:numId w:val="8"/>
        </w:numPr>
        <w:tabs>
          <w:tab w:val="left" w:pos="2035"/>
          <w:tab w:val="left" w:pos="2977"/>
        </w:tabs>
        <w:kinsoku/>
        <w:wordWrap/>
        <w:overflowPunct/>
        <w:topLinePunct w:val="0"/>
        <w:bidi w:val="0"/>
        <w:snapToGrid w:val="0"/>
        <w:spacing w:after="0" w:line="540" w:lineRule="exact"/>
        <w:ind w:firstLineChars="0"/>
        <w:textAlignment w:val="auto"/>
        <w:rPr>
          <w:rFonts w:hint="eastAsia" w:ascii="宋体" w:hAnsi="宋体" w:eastAsia="宋体" w:cs="宋体"/>
          <w:vanish/>
          <w:color w:val="000000"/>
          <w:sz w:val="24"/>
          <w:szCs w:val="24"/>
        </w:rPr>
      </w:pPr>
    </w:p>
    <w:p w14:paraId="33BD8531">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color w:val="000000"/>
          <w:sz w:val="24"/>
        </w:rPr>
      </w:pPr>
      <w:r>
        <w:rPr>
          <w:rFonts w:hint="eastAsia" w:ascii="宋体" w:hAnsi="宋体" w:eastAsia="宋体" w:cs="宋体"/>
          <w:color w:val="000000"/>
          <w:sz w:val="24"/>
        </w:rPr>
        <w:t>安置的残疾人占本单位在职职工人数的比例不低于25%（含25%），并且安置的残疾人人数不少于10 人（含10 人）；</w:t>
      </w:r>
    </w:p>
    <w:p w14:paraId="06BAB0DF">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color w:val="000000"/>
          <w:sz w:val="24"/>
        </w:rPr>
      </w:pPr>
      <w:r>
        <w:rPr>
          <w:rFonts w:hint="eastAsia" w:ascii="宋体" w:hAnsi="宋体" w:eastAsia="宋体" w:cs="宋体"/>
          <w:sz w:val="24"/>
        </w:rPr>
        <w:t>依法与安置的每位残疾人签订了一年以上（含一年）的劳动合同或服务协议；</w:t>
      </w:r>
    </w:p>
    <w:p w14:paraId="3C634268">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color w:val="000000"/>
          <w:sz w:val="24"/>
        </w:rPr>
      </w:pPr>
      <w:r>
        <w:rPr>
          <w:rFonts w:hint="eastAsia" w:ascii="宋体" w:hAnsi="宋体" w:eastAsia="宋体" w:cs="宋体"/>
          <w:sz w:val="24"/>
        </w:rPr>
        <w:t>为安置的每位残疾人按月足额缴纳了基本养老保险、基本医疗保险、失业保险、工伤保险和生育保险等社会保险费；</w:t>
      </w:r>
    </w:p>
    <w:p w14:paraId="1B4224C0">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color w:val="000000"/>
          <w:sz w:val="24"/>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2229CF0B">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color w:val="000000"/>
          <w:sz w:val="24"/>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6F973292">
      <w:pPr>
        <w:pageBreakBefore w:val="0"/>
        <w:widowControl w:val="0"/>
        <w:numPr>
          <w:ilvl w:val="3"/>
          <w:numId w:val="8"/>
        </w:numPr>
        <w:tabs>
          <w:tab w:val="left" w:pos="1980"/>
          <w:tab w:val="left" w:pos="2035"/>
          <w:tab w:val="left" w:pos="2885"/>
          <w:tab w:val="left" w:pos="2977"/>
          <w:tab w:val="clear" w:pos="900"/>
        </w:tabs>
        <w:kinsoku/>
        <w:wordWrap/>
        <w:overflowPunct/>
        <w:topLinePunct w:val="0"/>
        <w:bidi w:val="0"/>
        <w:snapToGrid w:val="0"/>
        <w:spacing w:after="0" w:line="540" w:lineRule="exact"/>
        <w:ind w:left="2885"/>
        <w:textAlignment w:val="auto"/>
        <w:rPr>
          <w:rFonts w:hint="eastAsia" w:ascii="宋体" w:hAnsi="宋体" w:eastAsia="宋体" w:cs="宋体"/>
          <w:color w:val="000000"/>
          <w:sz w:val="24"/>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2623EEF">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本项目是否专门面向中小企业预留采购份额见第一章《投标邀请》。</w:t>
      </w:r>
    </w:p>
    <w:p w14:paraId="49FA813C">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采购标的对应的中小企业划分标准所属行业见《投标人须知资料表》。</w:t>
      </w:r>
    </w:p>
    <w:p w14:paraId="4A5A6F40">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小微企业价格评审优惠的政策调整：见第</w:t>
      </w:r>
      <w:r>
        <w:rPr>
          <w:rFonts w:hint="eastAsia" w:ascii="宋体" w:hAnsi="宋体" w:eastAsia="宋体" w:cs="宋体"/>
          <w:sz w:val="24"/>
          <w:lang w:val="en-US" w:eastAsia="zh-CN"/>
        </w:rPr>
        <w:t>四</w:t>
      </w:r>
      <w:r>
        <w:rPr>
          <w:rFonts w:hint="eastAsia" w:ascii="宋体" w:hAnsi="宋体" w:eastAsia="宋体" w:cs="宋体"/>
          <w:sz w:val="24"/>
        </w:rPr>
        <w:t>章《评标方法和评标标准》。</w:t>
      </w:r>
    </w:p>
    <w:p w14:paraId="2A76690B">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政府采购节能产品、环境标志产品</w:t>
      </w:r>
    </w:p>
    <w:p w14:paraId="2D34E7D1">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7C8907">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6C7B99F">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w:t>
      </w:r>
    </w:p>
    <w:p w14:paraId="3C71AE6A">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w:t>
      </w:r>
      <w:r>
        <w:rPr>
          <w:rFonts w:hint="eastAsia" w:ascii="宋体" w:hAnsi="宋体" w:eastAsia="宋体" w:cs="宋体"/>
          <w:sz w:val="24"/>
          <w:lang w:val="en-US" w:eastAsia="zh-CN"/>
        </w:rPr>
        <w:t>四</w:t>
      </w:r>
      <w:r>
        <w:rPr>
          <w:rFonts w:hint="eastAsia" w:ascii="宋体" w:hAnsi="宋体" w:eastAsia="宋体" w:cs="宋体"/>
          <w:sz w:val="24"/>
        </w:rPr>
        <w:t>章《评标方法和评标标准》（如涉及）。</w:t>
      </w:r>
    </w:p>
    <w:p w14:paraId="7969BF62">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支持乡村产业振兴管理</w:t>
      </w:r>
    </w:p>
    <w:p w14:paraId="305C80E5">
      <w:pPr>
        <w:pageBreakBefore w:val="0"/>
        <w:widowControl w:val="0"/>
        <w:numPr>
          <w:ilvl w:val="2"/>
          <w:numId w:val="8"/>
        </w:numPr>
        <w:tabs>
          <w:tab w:val="left" w:pos="2014"/>
        </w:tabs>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为落实《关于运用政府采购政策支持乡村产业振兴的通知》（财库〔2021〕19号）有关要求，做好支持脱贫攻坚工作，本项目采购活动中对于支持乡村振兴管理的相关要求见第</w:t>
      </w:r>
      <w:r>
        <w:rPr>
          <w:rFonts w:hint="eastAsia" w:ascii="宋体" w:hAnsi="宋体" w:eastAsia="宋体" w:cs="宋体"/>
          <w:sz w:val="24"/>
          <w:lang w:val="en-US" w:eastAsia="zh-CN"/>
        </w:rPr>
        <w:t>五</w:t>
      </w:r>
      <w:r>
        <w:rPr>
          <w:rFonts w:hint="eastAsia" w:ascii="宋体" w:hAnsi="宋体" w:eastAsia="宋体" w:cs="宋体"/>
          <w:sz w:val="24"/>
        </w:rPr>
        <w:t>章《采购需求》（如涉及）。</w:t>
      </w:r>
    </w:p>
    <w:p w14:paraId="5224D36A">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正版软件</w:t>
      </w:r>
      <w:r>
        <w:rPr>
          <w:rFonts w:hint="eastAsia" w:ascii="宋体" w:hAnsi="宋体" w:eastAsia="宋体" w:cs="宋体"/>
          <w:sz w:val="24"/>
          <w:lang w:eastAsia="zh-CN"/>
        </w:rPr>
        <w:t>（</w:t>
      </w:r>
      <w:r>
        <w:rPr>
          <w:rFonts w:hint="eastAsia" w:ascii="宋体" w:hAnsi="宋体" w:eastAsia="宋体" w:cs="宋体"/>
          <w:sz w:val="24"/>
        </w:rPr>
        <w:t>不适用</w:t>
      </w:r>
      <w:r>
        <w:rPr>
          <w:rFonts w:hint="eastAsia" w:ascii="宋体" w:hAnsi="宋体" w:eastAsia="宋体" w:cs="宋体"/>
          <w:sz w:val="24"/>
          <w:lang w:eastAsia="zh-CN"/>
        </w:rPr>
        <w:t>）</w:t>
      </w:r>
    </w:p>
    <w:p w14:paraId="717DE1A1">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68E190E">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A81C5C1">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信息安全产品</w:t>
      </w:r>
      <w:r>
        <w:rPr>
          <w:rFonts w:hint="eastAsia" w:ascii="宋体" w:hAnsi="宋体" w:eastAsia="宋体" w:cs="宋体"/>
          <w:sz w:val="24"/>
          <w:lang w:eastAsia="zh-CN"/>
        </w:rPr>
        <w:t>（</w:t>
      </w:r>
      <w:r>
        <w:rPr>
          <w:rFonts w:hint="eastAsia" w:ascii="宋体" w:hAnsi="宋体" w:eastAsia="宋体" w:cs="宋体"/>
          <w:sz w:val="24"/>
        </w:rPr>
        <w:t>不适用</w:t>
      </w:r>
      <w:r>
        <w:rPr>
          <w:rFonts w:hint="eastAsia" w:ascii="宋体" w:hAnsi="宋体" w:eastAsia="宋体" w:cs="宋体"/>
          <w:sz w:val="24"/>
          <w:lang w:eastAsia="zh-CN"/>
        </w:rPr>
        <w:t>）</w:t>
      </w:r>
    </w:p>
    <w:p w14:paraId="1C8EBCFD">
      <w:pPr>
        <w:pageBreakBefore w:val="0"/>
        <w:widowControl w:val="0"/>
        <w:numPr>
          <w:ilvl w:val="2"/>
          <w:numId w:val="8"/>
        </w:numPr>
        <w:tabs>
          <w:tab w:val="left" w:pos="2014"/>
        </w:tabs>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所投产品属于《关于调整信息安全产品强制性认证实施要求的公告》（2009 年第33 号）范围的，采购经国家认证的信息安全产品，</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。关于信息安全相关规定依据《关于信息安全产品实施政府采购的通知》（财库〔2010〕48 号）。</w:t>
      </w:r>
    </w:p>
    <w:p w14:paraId="08633DE8">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推广使用低挥发性有机化合物（VOCs）</w:t>
      </w:r>
    </w:p>
    <w:p w14:paraId="02D8332A">
      <w:pPr>
        <w:pageBreakBefore w:val="0"/>
        <w:widowControl w:val="0"/>
        <w:numPr>
          <w:ilvl w:val="2"/>
          <w:numId w:val="8"/>
        </w:numPr>
        <w:tabs>
          <w:tab w:val="left" w:pos="2014"/>
        </w:tabs>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宋体" w:hAnsi="宋体" w:eastAsia="宋体" w:cs="宋体"/>
          <w:sz w:val="24"/>
          <w:lang w:val="en-US" w:eastAsia="zh-CN"/>
        </w:rPr>
        <w:t>五</w:t>
      </w:r>
      <w:r>
        <w:rPr>
          <w:rFonts w:hint="eastAsia" w:ascii="宋体" w:hAnsi="宋体" w:eastAsia="宋体" w:cs="宋体"/>
          <w:sz w:val="24"/>
        </w:rPr>
        <w:t>章《采购需求》），</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sz w:val="24"/>
        </w:rPr>
        <w:t>；属于推荐性标准的，优先采购，具体见第</w:t>
      </w:r>
      <w:r>
        <w:rPr>
          <w:rFonts w:hint="eastAsia" w:ascii="宋体" w:hAnsi="宋体" w:eastAsia="宋体" w:cs="宋体"/>
          <w:sz w:val="24"/>
          <w:lang w:val="en-US" w:eastAsia="zh-CN"/>
        </w:rPr>
        <w:t>四</w:t>
      </w:r>
      <w:r>
        <w:rPr>
          <w:rFonts w:hint="eastAsia" w:ascii="宋体" w:hAnsi="宋体" w:eastAsia="宋体" w:cs="宋体"/>
          <w:sz w:val="24"/>
        </w:rPr>
        <w:t>章《评标方法和评标标准》。</w:t>
      </w:r>
    </w:p>
    <w:p w14:paraId="7F70C84E">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投标费用</w:t>
      </w:r>
    </w:p>
    <w:p w14:paraId="1D18E681">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投标人应自行承担所有与准备和参加投标有关的费用，无论投标的结果如何，采购人或采购代理机构在任何情况下均无承担这些费用的义务和责任。</w:t>
      </w:r>
    </w:p>
    <w:p w14:paraId="32C6CC69">
      <w:pPr>
        <w:pStyle w:val="3"/>
        <w:pageBreakBefore w:val="0"/>
        <w:widowControl w:val="0"/>
        <w:kinsoku/>
        <w:wordWrap/>
        <w:overflowPunct/>
        <w:topLinePunct w:val="0"/>
        <w:bidi w:val="0"/>
        <w:snapToGrid w:val="0"/>
        <w:spacing w:before="0" w:after="0" w:line="540" w:lineRule="exact"/>
        <w:textAlignment w:val="auto"/>
        <w:rPr>
          <w:rFonts w:hint="eastAsia" w:ascii="宋体" w:hAnsi="宋体" w:eastAsia="宋体" w:cs="宋体"/>
          <w:sz w:val="28"/>
        </w:rPr>
      </w:pPr>
      <w:bookmarkStart w:id="160" w:name="_1.8_计量单位"/>
      <w:bookmarkEnd w:id="160"/>
      <w:r>
        <w:rPr>
          <w:rFonts w:hint="eastAsia" w:ascii="宋体" w:hAnsi="宋体" w:eastAsia="宋体" w:cs="宋体"/>
          <w:sz w:val="28"/>
        </w:rPr>
        <w:t>二   招标文件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0D525C4F">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161" w:name="_Toc127151523"/>
      <w:bookmarkStart w:id="162" w:name="_Toc149720816"/>
      <w:bookmarkStart w:id="163" w:name="_Toc226309767"/>
      <w:bookmarkStart w:id="164" w:name="_Toc151193837"/>
      <w:bookmarkStart w:id="165" w:name="_Toc151193693"/>
      <w:bookmarkStart w:id="166" w:name="_Toc150480761"/>
      <w:bookmarkStart w:id="167" w:name="_Toc226965713"/>
      <w:bookmarkStart w:id="168" w:name="_Toc151193621"/>
      <w:bookmarkStart w:id="169" w:name="_Toc164229218"/>
      <w:bookmarkStart w:id="170" w:name="_Toc305158791"/>
      <w:bookmarkStart w:id="171" w:name="_Toc127161437"/>
      <w:bookmarkStart w:id="172" w:name="_Toc142311025"/>
      <w:bookmarkStart w:id="173" w:name="_Toc520356147"/>
      <w:bookmarkStart w:id="174" w:name="_Toc195842888"/>
      <w:bookmarkStart w:id="175" w:name="_Toc264969213"/>
      <w:bookmarkStart w:id="176" w:name="_Toc226965796"/>
      <w:bookmarkStart w:id="177" w:name="_Toc226337219"/>
      <w:bookmarkStart w:id="178" w:name="_Toc164351617"/>
      <w:bookmarkStart w:id="179" w:name="_Toc305158865"/>
      <w:bookmarkStart w:id="180" w:name="_Toc127151724"/>
      <w:bookmarkStart w:id="181" w:name="_Toc164608637"/>
      <w:bookmarkStart w:id="182" w:name="_Toc150774623"/>
      <w:bookmarkStart w:id="183" w:name="_Toc150509274"/>
      <w:bookmarkStart w:id="184" w:name="_Toc164608792"/>
      <w:bookmarkStart w:id="185" w:name="_Toc150774728"/>
      <w:bookmarkStart w:id="186" w:name="_Toc164229364"/>
      <w:bookmarkStart w:id="187" w:name="_Toc151193911"/>
      <w:bookmarkStart w:id="188" w:name="_Toc265228361"/>
      <w:bookmarkStart w:id="189" w:name="_Toc151193765"/>
      <w:bookmarkStart w:id="190" w:name="_Toc151190150"/>
      <w:r>
        <w:rPr>
          <w:rFonts w:hint="eastAsia" w:ascii="宋体" w:hAnsi="宋体" w:eastAsia="宋体" w:cs="宋体"/>
          <w:sz w:val="24"/>
        </w:rPr>
        <w:t>招标文件构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24"/>
        </w:rPr>
        <w:t>成</w:t>
      </w:r>
    </w:p>
    <w:p w14:paraId="66213B7F">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招标文件包括以下部分：</w:t>
      </w:r>
    </w:p>
    <w:p w14:paraId="161EDC36">
      <w:pPr>
        <w:pageBreakBefore w:val="0"/>
        <w:widowControl w:val="0"/>
        <w:numPr>
          <w:ilvl w:val="0"/>
          <w:numId w:val="9"/>
        </w:numPr>
        <w:tabs>
          <w:tab w:val="left" w:pos="1980"/>
          <w:tab w:val="left" w:pos="2520"/>
        </w:tabs>
        <w:kinsoku/>
        <w:wordWrap/>
        <w:overflowPunct/>
        <w:topLinePunct w:val="0"/>
        <w:bidi w:val="0"/>
        <w:snapToGrid w:val="0"/>
        <w:spacing w:after="0" w:line="540" w:lineRule="exact"/>
        <w:ind w:left="1440" w:firstLine="5"/>
        <w:textAlignment w:val="auto"/>
        <w:rPr>
          <w:rFonts w:hint="eastAsia" w:ascii="宋体" w:hAnsi="宋体" w:eastAsia="宋体" w:cs="宋体"/>
          <w:sz w:val="24"/>
        </w:rPr>
      </w:pPr>
      <w:r>
        <w:rPr>
          <w:rFonts w:hint="eastAsia" w:ascii="宋体" w:hAnsi="宋体" w:eastAsia="宋体" w:cs="宋体"/>
          <w:sz w:val="24"/>
        </w:rPr>
        <w:t>投标邀请</w:t>
      </w:r>
    </w:p>
    <w:p w14:paraId="7737AE4B">
      <w:pPr>
        <w:pageBreakBefore w:val="0"/>
        <w:widowControl w:val="0"/>
        <w:numPr>
          <w:ilvl w:val="0"/>
          <w:numId w:val="9"/>
        </w:numPr>
        <w:tabs>
          <w:tab w:val="left" w:pos="1980"/>
          <w:tab w:val="left" w:pos="2520"/>
        </w:tabs>
        <w:kinsoku/>
        <w:wordWrap/>
        <w:overflowPunct/>
        <w:topLinePunct w:val="0"/>
        <w:bidi w:val="0"/>
        <w:snapToGrid w:val="0"/>
        <w:spacing w:after="0" w:line="540" w:lineRule="exact"/>
        <w:ind w:left="1440" w:firstLine="5"/>
        <w:textAlignment w:val="auto"/>
        <w:rPr>
          <w:rFonts w:hint="eastAsia" w:ascii="宋体" w:hAnsi="宋体" w:eastAsia="宋体" w:cs="宋体"/>
          <w:sz w:val="24"/>
        </w:rPr>
      </w:pPr>
      <w:r>
        <w:rPr>
          <w:rFonts w:hint="eastAsia" w:ascii="宋体" w:hAnsi="宋体" w:eastAsia="宋体" w:cs="宋体"/>
          <w:sz w:val="24"/>
        </w:rPr>
        <w:t>投标人须知</w:t>
      </w:r>
    </w:p>
    <w:p w14:paraId="23537217">
      <w:pPr>
        <w:pageBreakBefore w:val="0"/>
        <w:widowControl w:val="0"/>
        <w:numPr>
          <w:ilvl w:val="0"/>
          <w:numId w:val="9"/>
        </w:numPr>
        <w:tabs>
          <w:tab w:val="left" w:pos="1980"/>
          <w:tab w:val="left" w:pos="2520"/>
        </w:tabs>
        <w:kinsoku/>
        <w:wordWrap/>
        <w:overflowPunct/>
        <w:topLinePunct w:val="0"/>
        <w:bidi w:val="0"/>
        <w:snapToGrid w:val="0"/>
        <w:spacing w:after="0" w:line="540" w:lineRule="exact"/>
        <w:ind w:left="1440" w:firstLine="5"/>
        <w:textAlignment w:val="auto"/>
        <w:rPr>
          <w:rFonts w:hint="eastAsia" w:ascii="宋体" w:hAnsi="宋体" w:eastAsia="宋体" w:cs="宋体"/>
          <w:sz w:val="24"/>
        </w:rPr>
      </w:pPr>
      <w:r>
        <w:rPr>
          <w:rFonts w:hint="eastAsia" w:ascii="宋体" w:hAnsi="宋体" w:eastAsia="宋体" w:cs="宋体"/>
          <w:sz w:val="24"/>
        </w:rPr>
        <w:t>资格审查</w:t>
      </w:r>
    </w:p>
    <w:p w14:paraId="01989F03">
      <w:pPr>
        <w:pageBreakBefore w:val="0"/>
        <w:widowControl w:val="0"/>
        <w:numPr>
          <w:ilvl w:val="0"/>
          <w:numId w:val="9"/>
        </w:numPr>
        <w:tabs>
          <w:tab w:val="left" w:pos="1980"/>
          <w:tab w:val="left" w:pos="2520"/>
        </w:tabs>
        <w:kinsoku/>
        <w:wordWrap/>
        <w:overflowPunct/>
        <w:topLinePunct w:val="0"/>
        <w:bidi w:val="0"/>
        <w:snapToGrid w:val="0"/>
        <w:spacing w:after="0" w:line="540" w:lineRule="exact"/>
        <w:ind w:left="1440" w:firstLine="5"/>
        <w:textAlignment w:val="auto"/>
        <w:rPr>
          <w:rFonts w:hint="eastAsia" w:ascii="宋体" w:hAnsi="宋体" w:eastAsia="宋体" w:cs="宋体"/>
          <w:sz w:val="24"/>
        </w:rPr>
      </w:pPr>
      <w:r>
        <w:rPr>
          <w:rFonts w:hint="eastAsia" w:ascii="宋体" w:hAnsi="宋体" w:eastAsia="宋体" w:cs="宋体"/>
          <w:sz w:val="24"/>
        </w:rPr>
        <w:t>评标程序、评标方法和评标标准</w:t>
      </w:r>
    </w:p>
    <w:p w14:paraId="46B9451E">
      <w:pPr>
        <w:pageBreakBefore w:val="0"/>
        <w:widowControl w:val="0"/>
        <w:numPr>
          <w:ilvl w:val="0"/>
          <w:numId w:val="9"/>
        </w:numPr>
        <w:tabs>
          <w:tab w:val="left" w:pos="1980"/>
          <w:tab w:val="left" w:pos="2520"/>
        </w:tabs>
        <w:kinsoku/>
        <w:wordWrap/>
        <w:overflowPunct/>
        <w:topLinePunct w:val="0"/>
        <w:bidi w:val="0"/>
        <w:snapToGrid w:val="0"/>
        <w:spacing w:after="0" w:line="540" w:lineRule="exact"/>
        <w:ind w:left="1440" w:firstLine="5"/>
        <w:textAlignment w:val="auto"/>
        <w:rPr>
          <w:rFonts w:hint="eastAsia" w:ascii="宋体" w:hAnsi="宋体" w:eastAsia="宋体" w:cs="宋体"/>
          <w:sz w:val="24"/>
        </w:rPr>
      </w:pPr>
      <w:r>
        <w:rPr>
          <w:rFonts w:hint="eastAsia" w:ascii="宋体" w:hAnsi="宋体" w:eastAsia="宋体" w:cs="宋体"/>
          <w:sz w:val="24"/>
          <w:lang w:val="en-US" w:eastAsia="zh-CN"/>
        </w:rPr>
        <w:t>采购需求</w:t>
      </w:r>
    </w:p>
    <w:p w14:paraId="55547569">
      <w:pPr>
        <w:pageBreakBefore w:val="0"/>
        <w:widowControl w:val="0"/>
        <w:numPr>
          <w:ilvl w:val="0"/>
          <w:numId w:val="9"/>
        </w:numPr>
        <w:tabs>
          <w:tab w:val="left" w:pos="1980"/>
          <w:tab w:val="left" w:pos="2520"/>
        </w:tabs>
        <w:kinsoku/>
        <w:wordWrap/>
        <w:overflowPunct/>
        <w:topLinePunct w:val="0"/>
        <w:bidi w:val="0"/>
        <w:snapToGrid w:val="0"/>
        <w:spacing w:after="0" w:line="540" w:lineRule="exact"/>
        <w:ind w:left="1440" w:firstLine="5"/>
        <w:textAlignment w:val="auto"/>
        <w:rPr>
          <w:rFonts w:hint="eastAsia" w:ascii="宋体" w:hAnsi="宋体" w:eastAsia="宋体" w:cs="宋体"/>
          <w:sz w:val="24"/>
        </w:rPr>
      </w:pPr>
      <w:r>
        <w:rPr>
          <w:rFonts w:hint="eastAsia" w:ascii="宋体" w:hAnsi="宋体" w:eastAsia="宋体" w:cs="宋体"/>
          <w:sz w:val="24"/>
        </w:rPr>
        <w:t>拟签订的合同文本</w:t>
      </w:r>
    </w:p>
    <w:p w14:paraId="0AF9AA35">
      <w:pPr>
        <w:pageBreakBefore w:val="0"/>
        <w:widowControl w:val="0"/>
        <w:numPr>
          <w:ilvl w:val="0"/>
          <w:numId w:val="9"/>
        </w:numPr>
        <w:tabs>
          <w:tab w:val="left" w:pos="1980"/>
          <w:tab w:val="left" w:pos="2520"/>
        </w:tabs>
        <w:kinsoku/>
        <w:wordWrap/>
        <w:overflowPunct/>
        <w:topLinePunct w:val="0"/>
        <w:bidi w:val="0"/>
        <w:snapToGrid w:val="0"/>
        <w:spacing w:after="0" w:line="540" w:lineRule="exact"/>
        <w:ind w:left="1440" w:firstLine="5"/>
        <w:textAlignment w:val="auto"/>
        <w:rPr>
          <w:rFonts w:hint="eastAsia" w:ascii="宋体" w:hAnsi="宋体" w:eastAsia="宋体" w:cs="宋体"/>
          <w:sz w:val="24"/>
        </w:rPr>
      </w:pPr>
      <w:r>
        <w:rPr>
          <w:rFonts w:hint="eastAsia" w:ascii="宋体" w:hAnsi="宋体" w:eastAsia="宋体" w:cs="宋体"/>
          <w:sz w:val="24"/>
        </w:rPr>
        <w:t>投标文件格式</w:t>
      </w:r>
    </w:p>
    <w:p w14:paraId="3D39FD20">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rPr>
        <w:t>投标无效</w:t>
      </w:r>
      <w:r>
        <w:rPr>
          <w:rFonts w:hint="eastAsia" w:ascii="宋体" w:hAnsi="宋体" w:eastAsia="宋体" w:cs="宋体"/>
          <w:sz w:val="24"/>
        </w:rPr>
        <w:t>。</w:t>
      </w:r>
    </w:p>
    <w:p w14:paraId="7DD3998B">
      <w:pPr>
        <w:pageBreakBefore w:val="0"/>
        <w:widowControl w:val="0"/>
        <w:numPr>
          <w:ilvl w:val="0"/>
          <w:numId w:val="8"/>
        </w:numPr>
        <w:tabs>
          <w:tab w:val="left" w:pos="1080"/>
          <w:tab w:val="left" w:pos="2014"/>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对招标文件的澄清或修改</w:t>
      </w:r>
    </w:p>
    <w:p w14:paraId="28F935CD">
      <w:pPr>
        <w:pageBreakBefore w:val="0"/>
        <w:widowControl w:val="0"/>
        <w:numPr>
          <w:ilvl w:val="1"/>
          <w:numId w:val="8"/>
        </w:numPr>
        <w:tabs>
          <w:tab w:val="left" w:pos="1080"/>
          <w:tab w:val="left" w:pos="1561"/>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采购人或采购代理机构对已发出的招标文件进行必要澄清或者修改的，将在原公告发布媒体上发布更正公告，并以书面形式通知所有获取招标文件的潜在投标人。</w:t>
      </w:r>
    </w:p>
    <w:p w14:paraId="62F3FFF3">
      <w:pPr>
        <w:pageBreakBefore w:val="0"/>
        <w:widowControl w:val="0"/>
        <w:numPr>
          <w:ilvl w:val="1"/>
          <w:numId w:val="8"/>
        </w:numPr>
        <w:tabs>
          <w:tab w:val="left" w:pos="1080"/>
          <w:tab w:val="left" w:pos="1561"/>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上述书面通知，按照获取招标文件的潜在投标人提供的联系方式发出，因提供的信息有误导致通知延迟或无法通知的，采购人或采购代理机构不承担责任。</w:t>
      </w:r>
    </w:p>
    <w:p w14:paraId="62F5A747">
      <w:pPr>
        <w:pageBreakBefore w:val="0"/>
        <w:widowControl w:val="0"/>
        <w:numPr>
          <w:ilvl w:val="1"/>
          <w:numId w:val="8"/>
        </w:numPr>
        <w:tabs>
          <w:tab w:val="left" w:pos="1080"/>
          <w:tab w:val="left" w:pos="1561"/>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B0C8FFC">
      <w:pPr>
        <w:pageBreakBefore w:val="0"/>
        <w:widowControl w:val="0"/>
        <w:tabs>
          <w:tab w:val="left" w:pos="1080"/>
          <w:tab w:val="left" w:pos="1561"/>
        </w:tabs>
        <w:kinsoku/>
        <w:wordWrap/>
        <w:overflowPunct/>
        <w:topLinePunct w:val="0"/>
        <w:bidi w:val="0"/>
        <w:snapToGrid w:val="0"/>
        <w:spacing w:after="0" w:line="540" w:lineRule="exact"/>
        <w:ind w:left="1080"/>
        <w:textAlignment w:val="auto"/>
        <w:rPr>
          <w:rFonts w:hint="eastAsia" w:ascii="宋体" w:hAnsi="宋体" w:eastAsia="宋体" w:cs="宋体"/>
          <w:sz w:val="28"/>
        </w:rPr>
      </w:pPr>
      <w:bookmarkStart w:id="191" w:name="_Toc516367020"/>
      <w:bookmarkStart w:id="192" w:name="_Toc195842891"/>
      <w:bookmarkStart w:id="193" w:name="_Toc305158868"/>
      <w:bookmarkStart w:id="194" w:name="_Toc151193840"/>
      <w:bookmarkStart w:id="195" w:name="_Toc151193914"/>
      <w:bookmarkStart w:id="196" w:name="_Toc151193696"/>
      <w:bookmarkStart w:id="197" w:name="_Toc226337222"/>
      <w:bookmarkStart w:id="198" w:name="_Toc150774626"/>
      <w:bookmarkStart w:id="199" w:name="_Toc150480764"/>
      <w:bookmarkStart w:id="200" w:name="_Toc226965799"/>
      <w:bookmarkStart w:id="201" w:name="_Toc151190153"/>
      <w:bookmarkStart w:id="202" w:name="_Toc151193768"/>
      <w:bookmarkStart w:id="203" w:name="_Toc226965716"/>
      <w:bookmarkStart w:id="204" w:name="_Toc150774731"/>
      <w:bookmarkStart w:id="205" w:name="_Toc142311028"/>
      <w:bookmarkStart w:id="206" w:name="_Toc305158794"/>
      <w:bookmarkStart w:id="207" w:name="_Toc151193624"/>
      <w:bookmarkStart w:id="208" w:name="_Toc226309770"/>
      <w:bookmarkStart w:id="209" w:name="_Toc264969216"/>
      <w:bookmarkStart w:id="210" w:name="_Toc520356150"/>
      <w:bookmarkStart w:id="211" w:name="_Toc150509277"/>
      <w:bookmarkStart w:id="212" w:name="_Toc265228364"/>
      <w:bookmarkStart w:id="213" w:name="_Toc127151526"/>
    </w:p>
    <w:p w14:paraId="2E9A8FB6">
      <w:pPr>
        <w:pStyle w:val="3"/>
        <w:pageBreakBefore w:val="0"/>
        <w:widowControl w:val="0"/>
        <w:kinsoku/>
        <w:wordWrap/>
        <w:overflowPunct/>
        <w:topLinePunct w:val="0"/>
        <w:bidi w:val="0"/>
        <w:snapToGrid w:val="0"/>
        <w:spacing w:before="0" w:after="0" w:line="540" w:lineRule="exact"/>
        <w:textAlignment w:val="auto"/>
        <w:rPr>
          <w:rFonts w:hint="eastAsia" w:ascii="宋体" w:hAnsi="宋体" w:eastAsia="宋体" w:cs="宋体"/>
          <w:sz w:val="28"/>
        </w:rPr>
      </w:pPr>
      <w:r>
        <w:rPr>
          <w:rFonts w:hint="eastAsia" w:ascii="宋体" w:hAnsi="宋体" w:eastAsia="宋体" w:cs="宋体"/>
          <w:sz w:val="28"/>
        </w:rPr>
        <w:t>三   投标文件</w:t>
      </w:r>
      <w:bookmarkEnd w:id="191"/>
      <w:r>
        <w:rPr>
          <w:rFonts w:hint="eastAsia" w:ascii="宋体" w:hAnsi="宋体" w:eastAsia="宋体" w:cs="宋体"/>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62961D1E">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214" w:name="_Toc164351621"/>
      <w:bookmarkStart w:id="215" w:name="_Toc164229368"/>
      <w:bookmarkStart w:id="216" w:name="_Toc516367021"/>
      <w:bookmarkStart w:id="217" w:name="_Toc164608641"/>
      <w:bookmarkStart w:id="218" w:name="_Toc264969217"/>
      <w:bookmarkStart w:id="219" w:name="_Toc265228365"/>
      <w:bookmarkStart w:id="220" w:name="_Toc149720820"/>
      <w:bookmarkStart w:id="221" w:name="_Toc226309771"/>
      <w:bookmarkStart w:id="222" w:name="_Toc142311029"/>
      <w:bookmarkStart w:id="223" w:name="_Toc150774732"/>
      <w:bookmarkStart w:id="224" w:name="_Toc150509278"/>
      <w:bookmarkStart w:id="225" w:name="_Toc226965800"/>
      <w:bookmarkStart w:id="226" w:name="_Toc150480765"/>
      <w:bookmarkStart w:id="227" w:name="_Toc151190154"/>
      <w:bookmarkStart w:id="228" w:name="_Toc127151728"/>
      <w:bookmarkStart w:id="229" w:name="_Toc151193769"/>
      <w:bookmarkStart w:id="230" w:name="_Toc151193625"/>
      <w:bookmarkStart w:id="231" w:name="_Toc151193841"/>
      <w:bookmarkStart w:id="232" w:name="_Toc151193915"/>
      <w:bookmarkStart w:id="233" w:name="_Toc164608796"/>
      <w:bookmarkStart w:id="234" w:name="_Toc226965717"/>
      <w:bookmarkStart w:id="235" w:name="_Toc164229222"/>
      <w:bookmarkStart w:id="236" w:name="_Toc520356151"/>
      <w:bookmarkStart w:id="237" w:name="_Toc305158795"/>
      <w:bookmarkStart w:id="238" w:name="_Toc226337223"/>
      <w:bookmarkStart w:id="239" w:name="_Toc151193697"/>
      <w:bookmarkStart w:id="240" w:name="_Toc127161441"/>
      <w:bookmarkStart w:id="241" w:name="_Toc195842892"/>
      <w:bookmarkStart w:id="242" w:name="_Toc127151527"/>
      <w:bookmarkStart w:id="243" w:name="_Toc305158869"/>
      <w:bookmarkStart w:id="244" w:name="_Toc150774627"/>
      <w:r>
        <w:rPr>
          <w:rFonts w:hint="eastAsia" w:ascii="宋体" w:hAnsi="宋体" w:eastAsia="宋体" w:cs="宋体"/>
          <w:sz w:val="24"/>
        </w:rPr>
        <w:t>投标范围、投标文件中计量单位的使用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宋体" w:hAnsi="宋体" w:eastAsia="宋体" w:cs="宋体"/>
          <w:sz w:val="24"/>
        </w:rPr>
        <w:t>及投标语言</w:t>
      </w:r>
    </w:p>
    <w:p w14:paraId="16F0E41C">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本项目如划分采购包，投标人可以对本项目的其中一个采购包进行投标，也可同时对多个采购包进行投标。投标人应当对所投采购包对应第</w:t>
      </w:r>
      <w:r>
        <w:rPr>
          <w:rFonts w:hint="eastAsia" w:ascii="宋体" w:hAnsi="宋体" w:eastAsia="宋体" w:cs="宋体"/>
          <w:sz w:val="24"/>
          <w:lang w:val="en-US" w:eastAsia="zh-CN"/>
        </w:rPr>
        <w:t>五</w:t>
      </w:r>
      <w:r>
        <w:rPr>
          <w:rFonts w:hint="eastAsia" w:ascii="宋体" w:hAnsi="宋体" w:eastAsia="宋体" w:cs="宋体"/>
          <w:sz w:val="24"/>
        </w:rPr>
        <w:t>章《采购需求》所列的全部内容进行投标，不得将一个采购包中的内容拆开投标，否则其对该采购包的投标将被认定为</w:t>
      </w:r>
      <w:r>
        <w:rPr>
          <w:rFonts w:hint="eastAsia" w:ascii="宋体" w:hAnsi="宋体" w:eastAsia="宋体" w:cs="宋体"/>
          <w:b/>
          <w:sz w:val="24"/>
        </w:rPr>
        <w:t>无效投标</w:t>
      </w:r>
      <w:r>
        <w:rPr>
          <w:rFonts w:hint="eastAsia" w:ascii="宋体" w:hAnsi="宋体" w:eastAsia="宋体" w:cs="宋体"/>
          <w:sz w:val="24"/>
        </w:rPr>
        <w:t>。</w:t>
      </w:r>
    </w:p>
    <w:p w14:paraId="111C9834">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除招标文件有特殊要求外，本项目投标所使用的计量单位，应采用中华人民共和国法定计量单位。</w:t>
      </w:r>
    </w:p>
    <w:p w14:paraId="068BE8B5">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CDBAD32">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245" w:name="_Ref467306676"/>
      <w:bookmarkStart w:id="246" w:name="_Toc516367022"/>
      <w:bookmarkStart w:id="247" w:name="_Ref467306195"/>
      <w:bookmarkStart w:id="248" w:name="_Toc195842893"/>
      <w:bookmarkStart w:id="249" w:name="_Toc142311030"/>
      <w:bookmarkStart w:id="250" w:name="_Toc164229223"/>
      <w:bookmarkStart w:id="251" w:name="_Toc150480766"/>
      <w:bookmarkStart w:id="252" w:name="_Toc164608642"/>
      <w:bookmarkStart w:id="253" w:name="_Toc226337224"/>
      <w:bookmarkStart w:id="254" w:name="_Toc151193770"/>
      <w:bookmarkStart w:id="255" w:name="_Toc150509279"/>
      <w:bookmarkStart w:id="256" w:name="_Toc151193842"/>
      <w:bookmarkStart w:id="257" w:name="_Toc151193916"/>
      <w:bookmarkStart w:id="258" w:name="_Toc151193698"/>
      <w:bookmarkStart w:id="259" w:name="_Toc164351622"/>
      <w:bookmarkStart w:id="260" w:name="_Toc150774733"/>
      <w:bookmarkStart w:id="261" w:name="_Toc305158796"/>
      <w:bookmarkStart w:id="262" w:name="_Toc226965718"/>
      <w:bookmarkStart w:id="263" w:name="_Toc149720821"/>
      <w:bookmarkStart w:id="264" w:name="_Toc164229369"/>
      <w:bookmarkStart w:id="265" w:name="_Toc164608797"/>
      <w:bookmarkStart w:id="266" w:name="_Toc265228366"/>
      <w:bookmarkStart w:id="267" w:name="_Toc151190155"/>
      <w:bookmarkStart w:id="268" w:name="_Toc305158870"/>
      <w:bookmarkStart w:id="269" w:name="_Toc151193626"/>
      <w:bookmarkStart w:id="270" w:name="_Toc150774628"/>
      <w:bookmarkStart w:id="271" w:name="_Toc127151528"/>
      <w:bookmarkStart w:id="272" w:name="_Toc520356152"/>
      <w:bookmarkStart w:id="273" w:name="_Toc226965801"/>
      <w:bookmarkStart w:id="274" w:name="_Toc264969218"/>
      <w:bookmarkStart w:id="275" w:name="_Toc226309772"/>
      <w:bookmarkStart w:id="276" w:name="_Toc127151729"/>
      <w:bookmarkStart w:id="277" w:name="_Toc127161442"/>
      <w:r>
        <w:rPr>
          <w:rFonts w:hint="eastAsia" w:ascii="宋体" w:hAnsi="宋体" w:eastAsia="宋体" w:cs="宋体"/>
          <w:sz w:val="24"/>
        </w:rPr>
        <w:t>投标文件</w:t>
      </w:r>
      <w:bookmarkEnd w:id="245"/>
      <w:bookmarkEnd w:id="246"/>
      <w:bookmarkEnd w:id="247"/>
      <w:r>
        <w:rPr>
          <w:rFonts w:hint="eastAsia" w:ascii="宋体" w:hAnsi="宋体" w:eastAsia="宋体" w:cs="宋体"/>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43B3759">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bookmarkStart w:id="278" w:name="_Ref467052588"/>
      <w:r>
        <w:rPr>
          <w:rFonts w:hint="eastAsia" w:ascii="宋体" w:hAnsi="宋体" w:eastAsia="宋体" w:cs="宋体"/>
          <w:sz w:val="24"/>
        </w:rPr>
        <w:t>投标人应当按照招标文件的要求编制投标文件。投标文件应由《资格证明文件》、《商务技术文件》两部分构成。投标文件的部分格式要求，见第</w:t>
      </w:r>
      <w:r>
        <w:rPr>
          <w:rFonts w:hint="eastAsia" w:ascii="宋体" w:hAnsi="宋体" w:eastAsia="宋体" w:cs="宋体"/>
          <w:sz w:val="24"/>
          <w:lang w:val="en-US" w:eastAsia="zh-CN"/>
        </w:rPr>
        <w:t>七</w:t>
      </w:r>
      <w:r>
        <w:rPr>
          <w:rFonts w:hint="eastAsia" w:ascii="宋体" w:hAnsi="宋体" w:eastAsia="宋体" w:cs="宋体"/>
          <w:sz w:val="24"/>
        </w:rPr>
        <w:t>章《投标文件格式》。</w:t>
      </w:r>
    </w:p>
    <w:p w14:paraId="391952EC">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。未标记“实质性格式”的文件和招标文件未提供格式的内容，可由投标人自行编写。</w:t>
      </w:r>
    </w:p>
    <w:p w14:paraId="50430404">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章《评标程序、评标方法和评标标准》中涉及的证明文件。</w:t>
      </w:r>
    </w:p>
    <w:p w14:paraId="114D0FAC">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对照第</w:t>
      </w:r>
      <w:r>
        <w:rPr>
          <w:rFonts w:hint="eastAsia" w:ascii="宋体" w:hAnsi="宋体" w:eastAsia="宋体" w:cs="宋体"/>
          <w:sz w:val="24"/>
          <w:lang w:val="en-US" w:eastAsia="zh-CN"/>
        </w:rPr>
        <w:t>五</w:t>
      </w:r>
      <w:r>
        <w:rPr>
          <w:rFonts w:hint="eastAsia" w:ascii="宋体" w:hAnsi="宋体" w:eastAsia="宋体" w:cs="宋体"/>
          <w:sz w:val="24"/>
        </w:rPr>
        <w:t>章《采购需求》，说明所提供货物和服务已对第</w:t>
      </w:r>
      <w:r>
        <w:rPr>
          <w:rFonts w:hint="eastAsia" w:ascii="宋体" w:hAnsi="宋体" w:eastAsia="宋体" w:cs="宋体"/>
          <w:sz w:val="24"/>
          <w:lang w:val="en-US" w:eastAsia="zh-CN"/>
        </w:rPr>
        <w:t>五</w:t>
      </w:r>
      <w:r>
        <w:rPr>
          <w:rFonts w:hint="eastAsia" w:ascii="宋体" w:hAnsi="宋体" w:eastAsia="宋体" w:cs="宋体"/>
          <w:sz w:val="24"/>
        </w:rPr>
        <w:t>章《采购需求》做出了响应，或申明与第</w:t>
      </w:r>
      <w:r>
        <w:rPr>
          <w:rFonts w:hint="eastAsia" w:ascii="宋体" w:hAnsi="宋体" w:eastAsia="宋体" w:cs="宋体"/>
          <w:sz w:val="24"/>
          <w:lang w:val="en-US" w:eastAsia="zh-CN"/>
        </w:rPr>
        <w:t>五</w:t>
      </w:r>
      <w:r>
        <w:rPr>
          <w:rFonts w:hint="eastAsia" w:ascii="宋体" w:hAnsi="宋体" w:eastAsia="宋体" w:cs="宋体"/>
          <w:sz w:val="24"/>
        </w:rPr>
        <w:t>章《采购需求》的偏差和例外。如第</w:t>
      </w:r>
      <w:r>
        <w:rPr>
          <w:rFonts w:hint="eastAsia" w:ascii="宋体" w:hAnsi="宋体" w:eastAsia="宋体" w:cs="宋体"/>
          <w:sz w:val="24"/>
          <w:lang w:val="en-US" w:eastAsia="zh-CN"/>
        </w:rPr>
        <w:t>五</w:t>
      </w:r>
      <w:r>
        <w:rPr>
          <w:rFonts w:hint="eastAsia" w:ascii="宋体" w:hAnsi="宋体" w:eastAsia="宋体" w:cs="宋体"/>
          <w:sz w:val="24"/>
        </w:rPr>
        <w:t>章《采购需求》中要求提供证明文件的，投标人应当按具体要求提供证明文件。</w:t>
      </w:r>
    </w:p>
    <w:p w14:paraId="00790E3F">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投标人认为应附的其他材料。</w:t>
      </w:r>
      <w:bookmarkEnd w:id="278"/>
    </w:p>
    <w:p w14:paraId="7FADA58D">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279" w:name="_Toc127151530"/>
      <w:bookmarkStart w:id="280" w:name="_Toc127151731"/>
      <w:bookmarkStart w:id="281" w:name="_Toc164229371"/>
      <w:bookmarkStart w:id="282" w:name="_Toc127161444"/>
      <w:bookmarkStart w:id="283" w:name="_Toc164608799"/>
      <w:bookmarkStart w:id="284" w:name="_Toc149720823"/>
      <w:bookmarkStart w:id="285" w:name="_Toc164351624"/>
      <w:bookmarkStart w:id="286" w:name="_Toc151193844"/>
      <w:bookmarkStart w:id="287" w:name="_Toc150509281"/>
      <w:bookmarkStart w:id="288" w:name="_Toc150774630"/>
      <w:bookmarkStart w:id="289" w:name="_Toc151193918"/>
      <w:bookmarkStart w:id="290" w:name="_Toc195842895"/>
      <w:bookmarkStart w:id="291" w:name="_Toc142311032"/>
      <w:bookmarkStart w:id="292" w:name="_Toc151190157"/>
      <w:bookmarkStart w:id="293" w:name="_Toc151193700"/>
      <w:bookmarkStart w:id="294" w:name="_Toc164229225"/>
      <w:bookmarkStart w:id="295" w:name="_Toc150774735"/>
      <w:bookmarkStart w:id="296" w:name="_Toc150480768"/>
      <w:bookmarkStart w:id="297" w:name="_Toc151193772"/>
      <w:bookmarkStart w:id="298" w:name="_Toc164608644"/>
      <w:bookmarkStart w:id="299" w:name="_Toc520356155"/>
      <w:bookmarkStart w:id="300" w:name="_Toc151193628"/>
      <w:r>
        <w:rPr>
          <w:rFonts w:hint="eastAsia" w:ascii="宋体" w:hAnsi="宋体" w:eastAsia="宋体" w:cs="宋体"/>
          <w:sz w:val="24"/>
        </w:rPr>
        <w:t>投标报价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8B5FEDA">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所有投标均以人民币报价。</w:t>
      </w:r>
    </w:p>
    <w:p w14:paraId="0BDB8EEA">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投标人的报价应包括为完成本项目所发生的一切费用和税费，</w:t>
      </w:r>
      <w:r>
        <w:rPr>
          <w:rFonts w:hint="eastAsia" w:ascii="宋体" w:hAnsi="宋体" w:eastAsia="宋体" w:cs="宋体"/>
          <w:sz w:val="24"/>
          <w:lang w:eastAsia="zh-CN"/>
        </w:rPr>
        <w:t>采购人</w:t>
      </w:r>
      <w:r>
        <w:rPr>
          <w:rFonts w:hint="eastAsia" w:ascii="宋体" w:hAnsi="宋体" w:eastAsia="宋体" w:cs="宋体"/>
          <w:sz w:val="24"/>
        </w:rPr>
        <w:t>将不再支付报价以外的任何费用。投标人的报价应包括但不限于下列内容，《投标人须知资料表》中有特殊规定的，从其规定。</w:t>
      </w:r>
    </w:p>
    <w:p w14:paraId="5662BEF0">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适用于货物类）；</w:t>
      </w:r>
    </w:p>
    <w:p w14:paraId="54F541B0">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 xml:space="preserve">按照招标文件要求完成本项目的全部相关服务费用（适用于服务类）。 </w:t>
      </w:r>
    </w:p>
    <w:p w14:paraId="336CD2A2">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7EC1B127">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80" w:hanging="720"/>
        <w:textAlignment w:val="auto"/>
        <w:rPr>
          <w:rFonts w:hint="eastAsia" w:ascii="宋体" w:hAnsi="宋体" w:eastAsia="宋体" w:cs="宋体"/>
          <w:sz w:val="24"/>
        </w:rPr>
      </w:pPr>
      <w:r>
        <w:rPr>
          <w:rFonts w:hint="eastAsia" w:ascii="宋体" w:hAnsi="宋体" w:eastAsia="宋体" w:cs="宋体"/>
          <w:sz w:val="24"/>
        </w:rPr>
        <w:t>投标人不能提供任何有选择性或可调整的报价，否则其</w:t>
      </w:r>
      <w:r>
        <w:rPr>
          <w:rFonts w:hint="eastAsia" w:ascii="宋体" w:hAnsi="宋体" w:eastAsia="宋体" w:cs="宋体"/>
          <w:b/>
          <w:sz w:val="24"/>
        </w:rPr>
        <w:t>投标无效</w:t>
      </w:r>
      <w:r>
        <w:rPr>
          <w:rFonts w:hint="eastAsia" w:ascii="宋体" w:hAnsi="宋体" w:eastAsia="宋体" w:cs="宋体"/>
          <w:sz w:val="24"/>
        </w:rPr>
        <w:t>。</w:t>
      </w:r>
    </w:p>
    <w:p w14:paraId="312A7DEF">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301" w:name="_Toc164608645"/>
      <w:bookmarkStart w:id="302" w:name="_Toc265228369"/>
      <w:bookmarkStart w:id="303" w:name="_Ref467306513"/>
      <w:bookmarkStart w:id="304" w:name="_Toc149720824"/>
      <w:bookmarkStart w:id="305" w:name="_Toc226337227"/>
      <w:bookmarkStart w:id="306" w:name="_Toc151190158"/>
      <w:bookmarkStart w:id="307" w:name="_Toc151193773"/>
      <w:bookmarkStart w:id="308" w:name="_Toc226965804"/>
      <w:bookmarkStart w:id="309" w:name="_Toc164351625"/>
      <w:bookmarkStart w:id="310" w:name="_Toc305158799"/>
      <w:bookmarkStart w:id="311" w:name="_Toc195842896"/>
      <w:bookmarkStart w:id="312" w:name="_Toc305158873"/>
      <w:bookmarkStart w:id="313" w:name="_Toc150774631"/>
      <w:bookmarkStart w:id="314" w:name="_Toc520356156"/>
      <w:bookmarkStart w:id="315" w:name="_Toc127151531"/>
      <w:bookmarkStart w:id="316" w:name="_Toc264969221"/>
      <w:bookmarkStart w:id="317" w:name="_Toc127151732"/>
      <w:bookmarkStart w:id="318" w:name="_Toc151193845"/>
      <w:bookmarkStart w:id="319" w:name="_Toc151193629"/>
      <w:bookmarkStart w:id="320" w:name="_Toc127161445"/>
      <w:bookmarkStart w:id="321" w:name="_Toc150509282"/>
      <w:bookmarkStart w:id="322" w:name="_Toc226965721"/>
      <w:bookmarkStart w:id="323" w:name="_Toc164608800"/>
      <w:bookmarkStart w:id="324" w:name="_Toc150480769"/>
      <w:bookmarkStart w:id="325" w:name="_Toc150774736"/>
      <w:bookmarkStart w:id="326" w:name="_Toc164229372"/>
      <w:bookmarkStart w:id="327" w:name="_Toc226309775"/>
      <w:bookmarkStart w:id="328" w:name="_Toc164229226"/>
      <w:bookmarkStart w:id="329" w:name="_Toc151193919"/>
      <w:bookmarkStart w:id="330" w:name="_Toc151193701"/>
      <w:bookmarkStart w:id="331" w:name="_Toc142311033"/>
      <w:r>
        <w:rPr>
          <w:rFonts w:hint="eastAsia" w:ascii="宋体" w:hAnsi="宋体" w:eastAsia="宋体" w:cs="宋体"/>
          <w:sz w:val="24"/>
        </w:rPr>
        <w:t>投标保证金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05CEE0C">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bookmarkStart w:id="332" w:name="_Ref467306302"/>
      <w:r>
        <w:rPr>
          <w:rFonts w:hint="eastAsia" w:ascii="宋体" w:hAnsi="宋体" w:eastAsia="宋体" w:cs="宋体"/>
          <w:sz w:val="24"/>
        </w:rPr>
        <w:t>投标人应按《投标人须知资料表》中规定的金额及要求交纳投标保证金</w:t>
      </w:r>
      <w:bookmarkEnd w:id="332"/>
      <w:r>
        <w:rPr>
          <w:rFonts w:hint="eastAsia" w:ascii="宋体" w:hAnsi="宋体" w:eastAsia="宋体" w:cs="宋体"/>
          <w:sz w:val="24"/>
        </w:rPr>
        <w:t>，并作为其投标的一部分。</w:t>
      </w:r>
    </w:p>
    <w:p w14:paraId="2AB58A8D">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交纳投标保证金可采用的形式：政府采购法律法规接受的支票、汇票、本票、网上银行支付或者金融机构、担保机构出具的保函等非现金形式。</w:t>
      </w:r>
    </w:p>
    <w:p w14:paraId="5B0F6A54">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eastAsia="宋体" w:cs="宋体"/>
          <w:b/>
          <w:sz w:val="24"/>
        </w:rPr>
        <w:t>投标无效</w:t>
      </w:r>
      <w:r>
        <w:rPr>
          <w:rFonts w:hint="eastAsia" w:ascii="宋体" w:hAnsi="宋体" w:eastAsia="宋体" w:cs="宋体"/>
          <w:sz w:val="24"/>
        </w:rPr>
        <w:t>。</w:t>
      </w:r>
    </w:p>
    <w:p w14:paraId="1C2B039B">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投标保证金（保函）有效期同投标有效期。</w:t>
      </w:r>
    </w:p>
    <w:p w14:paraId="54115FF8">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联合体投标的，可以由联合体中的一方或者共同提交投标保证金，以一方名义提交投标保证金的，对联合体各方均具有约束力。</w:t>
      </w:r>
    </w:p>
    <w:p w14:paraId="6D32A7FD">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61CA05D0">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投标人在投标截止时间前撤回已提交的投标文件的，自收到投标人书面撤回通知之日起5个工作日内退还已收取的投标保证金；</w:t>
      </w:r>
    </w:p>
    <w:p w14:paraId="6AAB8445">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中标人的投标保证金，自采购合同签订</w:t>
      </w:r>
      <w:r>
        <w:rPr>
          <w:rFonts w:hint="eastAsia" w:ascii="宋体" w:hAnsi="宋体" w:eastAsia="宋体" w:cs="宋体"/>
          <w:sz w:val="24"/>
          <w:lang w:val="en-US" w:eastAsia="zh-CN"/>
        </w:rPr>
        <w:t>并支付履约保证金</w:t>
      </w:r>
      <w:r>
        <w:rPr>
          <w:rFonts w:hint="eastAsia" w:ascii="宋体" w:hAnsi="宋体" w:eastAsia="宋体" w:cs="宋体"/>
          <w:sz w:val="24"/>
        </w:rPr>
        <w:t>之日起5个工作日内退还中标人；</w:t>
      </w:r>
    </w:p>
    <w:p w14:paraId="719252B6">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未中标投标人的投标保证金，自中标通知书发出之日起5个工作日内退还未中标人；</w:t>
      </w:r>
    </w:p>
    <w:p w14:paraId="49A9D903">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终止招标项目已经收取投标保证金的，自终止采购活动后5个工作日内退还已收取的投标保证金及其在银行产生的孳息。</w:t>
      </w:r>
    </w:p>
    <w:p w14:paraId="3C281F9E">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有下列情形之一的，采购人或采购代理机构可以不予退还投标保证金：</w:t>
      </w:r>
    </w:p>
    <w:p w14:paraId="1126C3A6">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投标有效期内投标人撤销投标文件的；</w:t>
      </w:r>
    </w:p>
    <w:p w14:paraId="4D39170C">
      <w:pPr>
        <w:pageBreakBefore w:val="0"/>
        <w:widowControl w:val="0"/>
        <w:numPr>
          <w:ilvl w:val="2"/>
          <w:numId w:val="8"/>
        </w:numPr>
        <w:tabs>
          <w:tab w:val="left" w:pos="900"/>
          <w:tab w:val="left" w:pos="1080"/>
          <w:tab w:val="left" w:pos="2014"/>
        </w:tabs>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《投标人须知资料表》中规定的其他情形。</w:t>
      </w:r>
    </w:p>
    <w:p w14:paraId="6EFA7B68">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333" w:name="_Toc226965722"/>
      <w:bookmarkStart w:id="334" w:name="_Toc127161446"/>
      <w:bookmarkStart w:id="335" w:name="_Toc151193630"/>
      <w:bookmarkStart w:id="336" w:name="_Toc265228370"/>
      <w:bookmarkStart w:id="337" w:name="_Toc151190159"/>
      <w:bookmarkStart w:id="338" w:name="_Toc164229373"/>
      <w:bookmarkStart w:id="339" w:name="_Toc164608646"/>
      <w:bookmarkStart w:id="340" w:name="_Toc264969222"/>
      <w:bookmarkStart w:id="341" w:name="_Toc305158874"/>
      <w:bookmarkStart w:id="342" w:name="_Toc149720825"/>
      <w:bookmarkStart w:id="343" w:name="_Toc151193774"/>
      <w:bookmarkStart w:id="344" w:name="_Toc150774737"/>
      <w:bookmarkStart w:id="345" w:name="_Toc164351626"/>
      <w:bookmarkStart w:id="346" w:name="_Toc226337228"/>
      <w:bookmarkStart w:id="347" w:name="_Toc151193920"/>
      <w:bookmarkStart w:id="348" w:name="_Toc127151532"/>
      <w:bookmarkStart w:id="349" w:name="_Toc150774632"/>
      <w:bookmarkStart w:id="350" w:name="_Toc164229227"/>
      <w:bookmarkStart w:id="351" w:name="_Toc151193846"/>
      <w:bookmarkStart w:id="352" w:name="_Toc150509283"/>
      <w:bookmarkStart w:id="353" w:name="_Toc226309776"/>
      <w:bookmarkStart w:id="354" w:name="_Toc305158800"/>
      <w:bookmarkStart w:id="355" w:name="_Toc142311034"/>
      <w:bookmarkStart w:id="356" w:name="_Toc226965805"/>
      <w:bookmarkStart w:id="357" w:name="_Toc164608801"/>
      <w:bookmarkStart w:id="358" w:name="_Toc150480770"/>
      <w:bookmarkStart w:id="359" w:name="_Toc195842897"/>
      <w:bookmarkStart w:id="360" w:name="_Toc127151733"/>
      <w:bookmarkStart w:id="361" w:name="_Toc151193702"/>
      <w:bookmarkStart w:id="362" w:name="_Toc520356157"/>
      <w:r>
        <w:rPr>
          <w:rFonts w:hint="eastAsia" w:ascii="宋体" w:hAnsi="宋体" w:eastAsia="宋体" w:cs="宋体"/>
          <w:sz w:val="24"/>
        </w:rPr>
        <w:t>投标有效期</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DC1D30B">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投标文件应在本招标文件《投标人须知资料表》中规定的投标有效期内保持有效，投标有效期少于招标文件规定期限的，其</w:t>
      </w:r>
      <w:r>
        <w:rPr>
          <w:rFonts w:hint="eastAsia" w:ascii="宋体" w:hAnsi="宋体" w:eastAsia="宋体" w:cs="宋体"/>
          <w:b/>
          <w:sz w:val="24"/>
        </w:rPr>
        <w:t>投标无效</w:t>
      </w:r>
      <w:r>
        <w:rPr>
          <w:rFonts w:hint="eastAsia" w:ascii="宋体" w:hAnsi="宋体" w:eastAsia="宋体" w:cs="宋体"/>
          <w:sz w:val="24"/>
        </w:rPr>
        <w:t>。</w:t>
      </w:r>
    </w:p>
    <w:p w14:paraId="160BCBEA">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363" w:name="_Toc150509284"/>
      <w:bookmarkStart w:id="364" w:name="_Toc164351627"/>
      <w:bookmarkStart w:id="365" w:name="_Toc520356158"/>
      <w:bookmarkStart w:id="366" w:name="_Toc226965723"/>
      <w:bookmarkStart w:id="367" w:name="_Toc150774633"/>
      <w:bookmarkStart w:id="368" w:name="_Toc150774738"/>
      <w:bookmarkStart w:id="369" w:name="_Toc149720826"/>
      <w:bookmarkStart w:id="370" w:name="_Toc151193703"/>
      <w:bookmarkStart w:id="371" w:name="_Toc305158801"/>
      <w:bookmarkStart w:id="372" w:name="_Toc151193921"/>
      <w:bookmarkStart w:id="373" w:name="_Toc127161447"/>
      <w:bookmarkStart w:id="374" w:name="_Toc226309777"/>
      <w:bookmarkStart w:id="375" w:name="_Toc164608802"/>
      <w:bookmarkStart w:id="376" w:name="_Toc151193631"/>
      <w:bookmarkStart w:id="377" w:name="_Toc195842898"/>
      <w:bookmarkStart w:id="378" w:name="_Toc226965806"/>
      <w:bookmarkStart w:id="379" w:name="_Toc150480771"/>
      <w:bookmarkStart w:id="380" w:name="_Toc265228371"/>
      <w:bookmarkStart w:id="381" w:name="_Toc127151533"/>
      <w:bookmarkStart w:id="382" w:name="_Toc151193847"/>
      <w:bookmarkStart w:id="383" w:name="_Toc164229374"/>
      <w:bookmarkStart w:id="384" w:name="_Toc264969223"/>
      <w:bookmarkStart w:id="385" w:name="_Toc142311035"/>
      <w:bookmarkStart w:id="386" w:name="_Toc226337229"/>
      <w:bookmarkStart w:id="387" w:name="_Toc164608647"/>
      <w:bookmarkStart w:id="388" w:name="_Toc164229228"/>
      <w:bookmarkStart w:id="389" w:name="_Toc151193775"/>
      <w:bookmarkStart w:id="390" w:name="_Toc305158875"/>
      <w:bookmarkStart w:id="391" w:name="_Toc127151734"/>
      <w:bookmarkStart w:id="392" w:name="_Toc151190160"/>
      <w:r>
        <w:rPr>
          <w:rFonts w:hint="eastAsia" w:ascii="宋体" w:hAnsi="宋体" w:eastAsia="宋体" w:cs="宋体"/>
          <w:sz w:val="24"/>
        </w:rPr>
        <w:t>投标文件的签署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hint="eastAsia" w:ascii="宋体" w:hAnsi="宋体" w:eastAsia="宋体" w:cs="宋体"/>
          <w:sz w:val="24"/>
        </w:rPr>
        <w:t>、盖章</w:t>
      </w:r>
    </w:p>
    <w:p w14:paraId="633739ED">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bookmarkStart w:id="393" w:name="_Toc151193776"/>
      <w:bookmarkStart w:id="394" w:name="_Toc151190161"/>
      <w:bookmarkStart w:id="395" w:name="_Toc150774739"/>
      <w:bookmarkStart w:id="396" w:name="_Toc226965807"/>
      <w:bookmarkStart w:id="397" w:name="_Toc151193632"/>
      <w:bookmarkStart w:id="398" w:name="_Toc520356159"/>
      <w:bookmarkStart w:id="399" w:name="_Toc305158802"/>
      <w:bookmarkStart w:id="400" w:name="_Toc150480772"/>
      <w:bookmarkStart w:id="401" w:name="_Toc151193922"/>
      <w:bookmarkStart w:id="402" w:name="_Toc265228372"/>
      <w:bookmarkStart w:id="403" w:name="_Toc226965724"/>
      <w:bookmarkStart w:id="404" w:name="_Toc195842899"/>
      <w:bookmarkStart w:id="405" w:name="_Toc151193704"/>
      <w:bookmarkStart w:id="406" w:name="_Toc150774634"/>
      <w:bookmarkStart w:id="407" w:name="_Toc226309778"/>
      <w:bookmarkStart w:id="408" w:name="_Toc142311036"/>
      <w:bookmarkStart w:id="409" w:name="_Toc264969224"/>
      <w:bookmarkStart w:id="410" w:name="_Toc305158876"/>
      <w:bookmarkStart w:id="411" w:name="_Toc151193848"/>
      <w:bookmarkStart w:id="412" w:name="_Toc127151534"/>
      <w:bookmarkStart w:id="413" w:name="_Toc150509285"/>
      <w:bookmarkStart w:id="414" w:name="_Toc226337230"/>
      <w:r>
        <w:rPr>
          <w:rFonts w:hint="eastAsia" w:ascii="宋体" w:hAnsi="宋体" w:eastAsia="宋体" w:cs="宋体"/>
          <w:sz w:val="24"/>
        </w:rPr>
        <w:t>招标文件要求签字的内容（如授权委托书等），是指签字人用不退色墨水书写；</w:t>
      </w:r>
    </w:p>
    <w:p w14:paraId="4580101F">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招标文件要求盖章的内容，是指行政公章，加盖合同专用章、报价专用章等非行政公章的《投标文件》无效。</w:t>
      </w:r>
    </w:p>
    <w:p w14:paraId="6E4DAB99">
      <w:pPr>
        <w:pageBreakBefore w:val="0"/>
        <w:widowControl w:val="0"/>
        <w:tabs>
          <w:tab w:val="left" w:pos="900"/>
          <w:tab w:val="left" w:pos="1080"/>
        </w:tabs>
        <w:kinsoku/>
        <w:wordWrap/>
        <w:overflowPunct/>
        <w:topLinePunct w:val="0"/>
        <w:bidi w:val="0"/>
        <w:snapToGrid w:val="0"/>
        <w:spacing w:after="0" w:line="540" w:lineRule="exact"/>
        <w:ind w:left="357"/>
        <w:textAlignment w:val="auto"/>
        <w:rPr>
          <w:rFonts w:hint="eastAsia" w:ascii="宋体" w:hAnsi="宋体" w:eastAsia="宋体" w:cs="宋体"/>
        </w:rPr>
      </w:pPr>
    </w:p>
    <w:p w14:paraId="1E0815A0">
      <w:pPr>
        <w:pStyle w:val="3"/>
        <w:pageBreakBefore w:val="0"/>
        <w:widowControl w:val="0"/>
        <w:kinsoku/>
        <w:wordWrap/>
        <w:overflowPunct/>
        <w:topLinePunct w:val="0"/>
        <w:bidi w:val="0"/>
        <w:snapToGrid w:val="0"/>
        <w:spacing w:before="0" w:after="0" w:line="540" w:lineRule="exact"/>
        <w:textAlignment w:val="auto"/>
        <w:rPr>
          <w:rFonts w:hint="eastAsia" w:ascii="宋体" w:hAnsi="宋体" w:eastAsia="宋体" w:cs="宋体"/>
          <w:sz w:val="28"/>
        </w:rPr>
      </w:pPr>
      <w:r>
        <w:rPr>
          <w:rFonts w:hint="eastAsia" w:ascii="宋体" w:hAnsi="宋体" w:eastAsia="宋体" w:cs="宋体"/>
          <w:sz w:val="28"/>
        </w:rPr>
        <w:t>四   投标文件的提交</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2118AC9">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415" w:name="_Toc151193777"/>
      <w:bookmarkStart w:id="416" w:name="_Toc151193705"/>
      <w:bookmarkStart w:id="417" w:name="_Toc151193849"/>
      <w:bookmarkStart w:id="418" w:name="_Toc127161449"/>
      <w:bookmarkStart w:id="419" w:name="_Toc305158877"/>
      <w:bookmarkStart w:id="420" w:name="_Toc150774740"/>
      <w:bookmarkStart w:id="421" w:name="_Toc150480773"/>
      <w:bookmarkStart w:id="422" w:name="_Toc164229230"/>
      <w:bookmarkStart w:id="423" w:name="_Toc142311037"/>
      <w:bookmarkStart w:id="424" w:name="_Toc151193923"/>
      <w:bookmarkStart w:id="425" w:name="_Toc164351629"/>
      <w:bookmarkStart w:id="426" w:name="_Toc127151736"/>
      <w:bookmarkStart w:id="427" w:name="_Toc226965725"/>
      <w:bookmarkStart w:id="428" w:name="_Toc226309779"/>
      <w:bookmarkStart w:id="429" w:name="_Toc520356160"/>
      <w:bookmarkStart w:id="430" w:name="_Toc195842900"/>
      <w:bookmarkStart w:id="431" w:name="_Toc150509286"/>
      <w:bookmarkStart w:id="432" w:name="_Toc226337231"/>
      <w:bookmarkStart w:id="433" w:name="_Toc151190162"/>
      <w:bookmarkStart w:id="434" w:name="_Toc164229376"/>
      <w:bookmarkStart w:id="435" w:name="_Toc149720828"/>
      <w:bookmarkStart w:id="436" w:name="_Toc164608649"/>
      <w:bookmarkStart w:id="437" w:name="_Toc127151535"/>
      <w:bookmarkStart w:id="438" w:name="_Toc264969225"/>
      <w:bookmarkStart w:id="439" w:name="_Toc164608804"/>
      <w:bookmarkStart w:id="440" w:name="_Toc226965808"/>
      <w:bookmarkStart w:id="441" w:name="_Toc150774635"/>
      <w:bookmarkStart w:id="442" w:name="_Toc265228373"/>
      <w:bookmarkStart w:id="443" w:name="_Toc305158803"/>
      <w:bookmarkStart w:id="444" w:name="_Toc151193633"/>
      <w:r>
        <w:rPr>
          <w:rFonts w:hint="eastAsia" w:ascii="宋体" w:hAnsi="宋体" w:eastAsia="宋体" w:cs="宋体"/>
          <w:sz w:val="24"/>
        </w:rPr>
        <w:t>投标文件的</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宋体" w:hAnsi="宋体" w:eastAsia="宋体" w:cs="宋体"/>
          <w:sz w:val="24"/>
        </w:rPr>
        <w:t>提交</w:t>
      </w:r>
    </w:p>
    <w:p w14:paraId="5319356D">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人应当准备投标文件正本1份、副本2份和相应的电子文档1份，以及用于开标唱标单独提交的“开标一览表”（壹份）。投标文件的正本和副本须双面打印或复印且在其封面右上角清楚地标明“正本”或“副本”字样。若正本和副本有不一致的内容，以正本书面投标文件为准。</w:t>
      </w:r>
    </w:p>
    <w:p w14:paraId="627A6D33">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bookmarkStart w:id="445" w:name="_Toc265228374"/>
      <w:bookmarkStart w:id="446" w:name="_Toc226965809"/>
      <w:bookmarkStart w:id="447" w:name="_Toc264969226"/>
      <w:bookmarkStart w:id="448" w:name="_Toc226337232"/>
      <w:bookmarkStart w:id="449" w:name="_Toc151190163"/>
      <w:bookmarkStart w:id="450" w:name="_Toc150509287"/>
      <w:bookmarkStart w:id="451" w:name="_Toc150774741"/>
      <w:bookmarkStart w:id="452" w:name="_Toc151193778"/>
      <w:bookmarkStart w:id="453" w:name="_Toc151193634"/>
      <w:bookmarkStart w:id="454" w:name="_Toc305158878"/>
      <w:bookmarkStart w:id="455" w:name="_Toc149720829"/>
      <w:bookmarkStart w:id="456" w:name="_Toc150774636"/>
      <w:bookmarkStart w:id="457" w:name="_Toc520356161"/>
      <w:bookmarkStart w:id="458" w:name="_Toc164229377"/>
      <w:bookmarkStart w:id="459" w:name="_Toc305158804"/>
      <w:bookmarkStart w:id="460" w:name="_Toc164351630"/>
      <w:bookmarkStart w:id="461" w:name="_Toc127151536"/>
      <w:bookmarkStart w:id="462" w:name="_Toc151193706"/>
      <w:bookmarkStart w:id="463" w:name="_Toc226965726"/>
      <w:bookmarkStart w:id="464" w:name="_Toc151193850"/>
      <w:bookmarkStart w:id="465" w:name="_Toc151193924"/>
      <w:bookmarkStart w:id="466" w:name="_Toc164608805"/>
      <w:bookmarkStart w:id="467" w:name="_Toc127161450"/>
      <w:bookmarkStart w:id="468" w:name="_Toc142311038"/>
      <w:bookmarkStart w:id="469" w:name="_Toc150480774"/>
      <w:bookmarkStart w:id="470" w:name="_Toc164608650"/>
      <w:bookmarkStart w:id="471" w:name="_Toc164229231"/>
      <w:bookmarkStart w:id="472" w:name="_Toc195842901"/>
      <w:bookmarkStart w:id="473" w:name="_Toc226309780"/>
      <w:bookmarkStart w:id="474" w:name="_Toc127151737"/>
      <w:r>
        <w:rPr>
          <w:rFonts w:hint="eastAsia" w:ascii="宋体" w:hAnsi="宋体" w:eastAsia="宋体" w:cs="宋体"/>
          <w:sz w:val="24"/>
        </w:rPr>
        <w:t>投标文件的正本和副本均需打印或用不褪色、不变质的墨水书写，并由投标人法定代表人或授权代表在投标文件封面上签字或盖章并加盖单位印章。投标文件副本可采用正本的复印件，电子文档采用U盘制作。用于开标唱标单独提交的“开标一览表”应为原件。</w:t>
      </w:r>
    </w:p>
    <w:p w14:paraId="47B75ADC">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文件的打印和书写应清楚工整，任何行间插字、涂改或增删，必须由投标人的法定代表人或其授权代表签字或盖个人印鉴并盖单位公章。字迹潦草、表达不清或可能导致非唯一理解的投标文件可能视为无效投标。</w:t>
      </w:r>
    </w:p>
    <w:p w14:paraId="5618DA2D">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投标文件正本和副本必须装订成册并编码。</w:t>
      </w:r>
    </w:p>
    <w:p w14:paraId="3F659174">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投标文件应根据招标文件的要求制作，签署、盖章和内容应完整，如有遗漏，将被视为无效投标。</w:t>
      </w:r>
    </w:p>
    <w:p w14:paraId="69A7CEFD">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投标文件统一用A4幅面纸印制。</w:t>
      </w:r>
    </w:p>
    <w:p w14:paraId="4CC29EB1">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投标截止</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ascii="宋体" w:hAnsi="宋体" w:eastAsia="宋体" w:cs="宋体"/>
          <w:sz w:val="24"/>
        </w:rPr>
        <w:t>时间及地点</w:t>
      </w:r>
    </w:p>
    <w:p w14:paraId="55C1C82A">
      <w:pPr>
        <w:pageBreakBefore w:val="0"/>
        <w:widowControl w:val="0"/>
        <w:tabs>
          <w:tab w:val="left" w:pos="1080"/>
          <w:tab w:val="left" w:pos="2014"/>
        </w:tabs>
        <w:kinsoku/>
        <w:wordWrap/>
        <w:overflowPunct/>
        <w:topLinePunct w:val="0"/>
        <w:bidi w:val="0"/>
        <w:snapToGrid w:val="0"/>
        <w:spacing w:after="0" w:line="540" w:lineRule="exact"/>
        <w:ind w:left="1075" w:leftChars="512"/>
        <w:textAlignment w:val="auto"/>
        <w:rPr>
          <w:rFonts w:hint="eastAsia" w:ascii="宋体" w:hAnsi="宋体" w:eastAsia="宋体" w:cs="宋体"/>
          <w:sz w:val="24"/>
        </w:rPr>
      </w:pPr>
      <w:r>
        <w:rPr>
          <w:rFonts w:hint="eastAsia" w:ascii="宋体" w:hAnsi="宋体" w:eastAsia="宋体" w:cs="宋体"/>
          <w:sz w:val="24"/>
        </w:rPr>
        <w:t>投标人应在招标文件要求提交投标文件截止时间前，将投标文件提交至指定地点，见《投标人须知资料表》。</w:t>
      </w:r>
    </w:p>
    <w:p w14:paraId="4E3C1CB1">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firstLineChars="0"/>
        <w:textAlignment w:val="auto"/>
        <w:rPr>
          <w:rFonts w:hint="eastAsia" w:ascii="宋体" w:hAnsi="宋体" w:eastAsia="宋体" w:cs="宋体"/>
          <w:sz w:val="24"/>
        </w:rPr>
      </w:pPr>
      <w:r>
        <w:rPr>
          <w:rFonts w:hint="eastAsia" w:ascii="宋体" w:hAnsi="宋体" w:eastAsia="宋体" w:cs="宋体"/>
          <w:sz w:val="24"/>
        </w:rPr>
        <w:t>投标时，投标人应将投标文件正本和所有的副本分开密封装在单独的密封袋或密封箱中，且在密封袋或密封箱正面标明“正本”“副本”字样。对封装材料及样式不作特别规定，但投标人应保证其封装的可靠性，不会因搬运、堆放等原因散开。</w:t>
      </w:r>
    </w:p>
    <w:p w14:paraId="102FFB6A">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firstLineChars="0"/>
        <w:textAlignment w:val="auto"/>
        <w:rPr>
          <w:rFonts w:hint="eastAsia" w:ascii="宋体" w:hAnsi="宋体" w:eastAsia="宋体" w:cs="宋体"/>
          <w:sz w:val="24"/>
        </w:rPr>
      </w:pPr>
      <w:r>
        <w:rPr>
          <w:rFonts w:hint="eastAsia" w:ascii="宋体" w:hAnsi="宋体" w:eastAsia="宋体" w:cs="宋体"/>
          <w:sz w:val="24"/>
        </w:rPr>
        <w:t>为方便开标唱标，投标人应将“开标一览表”单独密封，并在密封袋上标明“开标一览表”字样，在投标时单独递交。</w:t>
      </w:r>
    </w:p>
    <w:p w14:paraId="7D139D7E">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firstLineChars="0"/>
        <w:textAlignment w:val="auto"/>
        <w:rPr>
          <w:rFonts w:hint="eastAsia" w:ascii="宋体" w:hAnsi="宋体" w:eastAsia="宋体" w:cs="宋体"/>
          <w:sz w:val="24"/>
        </w:rPr>
      </w:pPr>
      <w:r>
        <w:rPr>
          <w:rFonts w:hint="eastAsia" w:ascii="宋体" w:hAnsi="宋体" w:eastAsia="宋体" w:cs="宋体"/>
          <w:sz w:val="24"/>
        </w:rPr>
        <w:t>为方便核查投标文件电子版，投标人应将“投标文件电子版”单独密封，并在密封袋上标明 “投标文件电子版”字样。</w:t>
      </w:r>
    </w:p>
    <w:p w14:paraId="177D5716">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firstLineChars="0"/>
        <w:textAlignment w:val="auto"/>
        <w:rPr>
          <w:rFonts w:hint="eastAsia" w:ascii="宋体" w:hAnsi="宋体" w:eastAsia="宋体" w:cs="宋体"/>
          <w:sz w:val="24"/>
        </w:rPr>
      </w:pPr>
      <w:r>
        <w:rPr>
          <w:rFonts w:hint="eastAsia" w:ascii="宋体" w:hAnsi="宋体" w:eastAsia="宋体" w:cs="宋体"/>
          <w:sz w:val="24"/>
        </w:rPr>
        <w:t>所有密封袋或密封箱上均应：</w:t>
      </w:r>
    </w:p>
    <w:p w14:paraId="7C234383">
      <w:pPr>
        <w:pageBreakBefore w:val="0"/>
        <w:widowControl w:val="0"/>
        <w:numPr>
          <w:ilvl w:val="0"/>
          <w:numId w:val="0"/>
        </w:numPr>
        <w:tabs>
          <w:tab w:val="left" w:pos="1080"/>
          <w:tab w:val="left" w:pos="2014"/>
        </w:tabs>
        <w:kinsoku/>
        <w:wordWrap/>
        <w:overflowPunct/>
        <w:topLinePunct w:val="0"/>
        <w:bidi w:val="0"/>
        <w:snapToGrid w:val="0"/>
        <w:spacing w:after="0" w:line="540" w:lineRule="exact"/>
        <w:ind w:left="357" w:leftChars="0" w:firstLine="720" w:firstLineChars="300"/>
        <w:textAlignment w:val="auto"/>
        <w:rPr>
          <w:rFonts w:hint="eastAsia" w:ascii="宋体" w:hAnsi="宋体" w:eastAsia="宋体" w:cs="宋体"/>
          <w:sz w:val="24"/>
        </w:rPr>
      </w:pPr>
      <w:r>
        <w:rPr>
          <w:rFonts w:hint="eastAsia" w:ascii="宋体" w:hAnsi="宋体" w:eastAsia="宋体" w:cs="宋体"/>
          <w:sz w:val="24"/>
        </w:rPr>
        <w:t>1）清楚标明递交至招标公告中指明的地址。</w:t>
      </w:r>
    </w:p>
    <w:p w14:paraId="102A4DFB">
      <w:pPr>
        <w:pageBreakBefore w:val="0"/>
        <w:widowControl w:val="0"/>
        <w:numPr>
          <w:ilvl w:val="0"/>
          <w:numId w:val="0"/>
        </w:numPr>
        <w:tabs>
          <w:tab w:val="left" w:pos="1080"/>
          <w:tab w:val="left" w:pos="2014"/>
        </w:tabs>
        <w:kinsoku/>
        <w:wordWrap/>
        <w:overflowPunct/>
        <w:topLinePunct w:val="0"/>
        <w:bidi w:val="0"/>
        <w:snapToGrid w:val="0"/>
        <w:spacing w:after="0" w:line="540" w:lineRule="exact"/>
        <w:ind w:left="1075" w:leftChars="512" w:firstLine="0" w:firstLineChars="0"/>
        <w:textAlignment w:val="auto"/>
        <w:rPr>
          <w:rFonts w:hint="eastAsia" w:ascii="宋体" w:hAnsi="宋体" w:eastAsia="宋体" w:cs="宋体"/>
          <w:sz w:val="24"/>
        </w:rPr>
      </w:pPr>
      <w:r>
        <w:rPr>
          <w:rFonts w:hint="eastAsia" w:ascii="宋体" w:hAnsi="宋体" w:eastAsia="宋体" w:cs="宋体"/>
          <w:sz w:val="24"/>
        </w:rPr>
        <w:t>2）注明招标公告中指明的项目名称、项目编号和“在 （开标日期、时间）之前不得启封”的字样。</w:t>
      </w:r>
    </w:p>
    <w:p w14:paraId="6DF921A9">
      <w:pPr>
        <w:pageBreakBefore w:val="0"/>
        <w:widowControl w:val="0"/>
        <w:numPr>
          <w:ilvl w:val="0"/>
          <w:numId w:val="0"/>
        </w:numPr>
        <w:tabs>
          <w:tab w:val="left" w:pos="1080"/>
          <w:tab w:val="left" w:pos="2014"/>
        </w:tabs>
        <w:kinsoku/>
        <w:wordWrap/>
        <w:overflowPunct/>
        <w:topLinePunct w:val="0"/>
        <w:bidi w:val="0"/>
        <w:snapToGrid w:val="0"/>
        <w:spacing w:after="0" w:line="540" w:lineRule="exact"/>
        <w:ind w:left="357" w:leftChars="0" w:firstLine="720" w:firstLineChars="300"/>
        <w:textAlignment w:val="auto"/>
        <w:rPr>
          <w:rFonts w:hint="eastAsia" w:ascii="宋体" w:hAnsi="宋体" w:eastAsia="宋体" w:cs="宋体"/>
          <w:sz w:val="24"/>
        </w:rPr>
      </w:pPr>
      <w:r>
        <w:rPr>
          <w:rFonts w:hint="eastAsia" w:ascii="宋体" w:hAnsi="宋体" w:eastAsia="宋体" w:cs="宋体"/>
          <w:sz w:val="24"/>
        </w:rPr>
        <w:t>3）在密封袋或密封箱的封装处加盖投标人公章和法定代表人签字</w:t>
      </w:r>
      <w:r>
        <w:rPr>
          <w:rFonts w:hint="eastAsia" w:ascii="宋体" w:hAnsi="宋体" w:eastAsia="宋体" w:cs="宋体"/>
          <w:sz w:val="24"/>
          <w:lang w:val="en-US" w:eastAsia="zh-CN"/>
        </w:rPr>
        <w:t>或</w:t>
      </w:r>
      <w:r>
        <w:rPr>
          <w:rFonts w:hint="eastAsia" w:ascii="宋体" w:hAnsi="宋体" w:eastAsia="宋体" w:cs="宋体"/>
          <w:sz w:val="24"/>
        </w:rPr>
        <w:t>盖章。</w:t>
      </w:r>
    </w:p>
    <w:p w14:paraId="39BFBDD7">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leftChars="0" w:hanging="720"/>
        <w:textAlignment w:val="auto"/>
        <w:rPr>
          <w:rFonts w:hint="eastAsia" w:ascii="宋体" w:hAnsi="宋体" w:eastAsia="宋体" w:cs="宋体"/>
        </w:rPr>
      </w:pPr>
      <w:r>
        <w:rPr>
          <w:rFonts w:hint="eastAsia" w:ascii="宋体" w:hAnsi="宋体" w:eastAsia="宋体" w:cs="宋体"/>
          <w:sz w:val="24"/>
        </w:rPr>
        <w:t>如果投标人未按上述要求密封及加写标记，包括未单独提交开标一览表及投标文件电子版的，其投标将被拒绝，并且招标采购单位对投标文件的误投或过早启封概不负责。</w:t>
      </w:r>
    </w:p>
    <w:p w14:paraId="74A39D59">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475" w:name="_Toc150774637"/>
      <w:bookmarkStart w:id="476" w:name="_Toc305158805"/>
      <w:bookmarkStart w:id="477" w:name="_Toc226965810"/>
      <w:bookmarkStart w:id="478" w:name="_Toc305158879"/>
      <w:bookmarkStart w:id="479" w:name="_Toc127151537"/>
      <w:bookmarkStart w:id="480" w:name="_Toc151190164"/>
      <w:bookmarkStart w:id="481" w:name="_Toc149720830"/>
      <w:bookmarkStart w:id="482" w:name="_Toc226309781"/>
      <w:bookmarkStart w:id="483" w:name="_Toc150509288"/>
      <w:bookmarkStart w:id="484" w:name="_Toc164229378"/>
      <w:bookmarkStart w:id="485" w:name="_Toc164229232"/>
      <w:bookmarkStart w:id="486" w:name="_Toc164608651"/>
      <w:bookmarkStart w:id="487" w:name="_Toc151193707"/>
      <w:bookmarkStart w:id="488" w:name="_Toc150774742"/>
      <w:bookmarkStart w:id="489" w:name="_Toc226337233"/>
      <w:bookmarkStart w:id="490" w:name="_Toc151193635"/>
      <w:bookmarkStart w:id="491" w:name="_Toc151193925"/>
      <w:bookmarkStart w:id="492" w:name="_Toc164608806"/>
      <w:bookmarkStart w:id="493" w:name="_Toc127161451"/>
      <w:bookmarkStart w:id="494" w:name="_Toc151193779"/>
      <w:bookmarkStart w:id="495" w:name="_Toc264969227"/>
      <w:bookmarkStart w:id="496" w:name="_Toc127151738"/>
      <w:bookmarkStart w:id="497" w:name="_Toc265228375"/>
      <w:bookmarkStart w:id="498" w:name="_Toc150480775"/>
      <w:bookmarkStart w:id="499" w:name="_Toc151193851"/>
      <w:bookmarkStart w:id="500" w:name="_Toc520356162"/>
      <w:bookmarkStart w:id="501" w:name="_Toc195842902"/>
      <w:bookmarkStart w:id="502" w:name="_Toc164351631"/>
      <w:bookmarkStart w:id="503" w:name="_Toc226965727"/>
      <w:bookmarkStart w:id="504" w:name="_Toc142311039"/>
      <w:r>
        <w:rPr>
          <w:rFonts w:hint="eastAsia" w:ascii="宋体" w:hAnsi="宋体" w:eastAsia="宋体" w:cs="宋体"/>
          <w:sz w:val="24"/>
        </w:rPr>
        <w:t>投标文件的修改与撤回</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93CC833">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投标截止时间前，投标人可以对所提交的投标文件进行补充、修改或者撤回，并就其补充、修改或者撤回通知采购人或采购代理机构。</w:t>
      </w:r>
    </w:p>
    <w:p w14:paraId="06EDEB6B">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投标人对投标文件的补充、修改的内容应当按照招标文件要求签署、盖章，作为投标文件的组成部分。</w:t>
      </w:r>
    </w:p>
    <w:p w14:paraId="0CB89810">
      <w:pPr>
        <w:pageBreakBefore w:val="0"/>
        <w:widowControl w:val="0"/>
        <w:kinsoku/>
        <w:wordWrap/>
        <w:overflowPunct/>
        <w:topLinePunct w:val="0"/>
        <w:bidi w:val="0"/>
        <w:snapToGrid w:val="0"/>
        <w:spacing w:after="0" w:line="540" w:lineRule="exact"/>
        <w:textAlignment w:val="auto"/>
        <w:rPr>
          <w:rFonts w:hint="eastAsia" w:ascii="宋体" w:hAnsi="宋体" w:eastAsia="宋体" w:cs="宋体"/>
          <w:sz w:val="24"/>
        </w:rPr>
      </w:pPr>
    </w:p>
    <w:p w14:paraId="13EA140F">
      <w:pPr>
        <w:pStyle w:val="3"/>
        <w:pageBreakBefore w:val="0"/>
        <w:widowControl w:val="0"/>
        <w:kinsoku/>
        <w:wordWrap/>
        <w:overflowPunct/>
        <w:topLinePunct w:val="0"/>
        <w:bidi w:val="0"/>
        <w:snapToGrid w:val="0"/>
        <w:spacing w:before="0" w:after="0" w:line="540" w:lineRule="exact"/>
        <w:textAlignment w:val="auto"/>
        <w:rPr>
          <w:rFonts w:hint="eastAsia" w:ascii="宋体" w:hAnsi="宋体" w:eastAsia="宋体" w:cs="宋体"/>
          <w:sz w:val="28"/>
        </w:rPr>
      </w:pPr>
      <w:bookmarkStart w:id="505" w:name="_Toc151190165"/>
      <w:bookmarkStart w:id="506" w:name="_Toc264969228"/>
      <w:bookmarkStart w:id="507" w:name="_Toc265228376"/>
      <w:bookmarkStart w:id="508" w:name="_Toc150480776"/>
      <w:bookmarkStart w:id="509" w:name="_Toc150509289"/>
      <w:bookmarkStart w:id="510" w:name="_Toc520356163"/>
      <w:bookmarkStart w:id="511" w:name="_Toc151193780"/>
      <w:bookmarkStart w:id="512" w:name="_Toc150774743"/>
      <w:bookmarkStart w:id="513" w:name="_Toc151193636"/>
      <w:bookmarkStart w:id="514" w:name="_Toc151193708"/>
      <w:bookmarkStart w:id="515" w:name="_Toc226965728"/>
      <w:bookmarkStart w:id="516" w:name="_Toc142311040"/>
      <w:bookmarkStart w:id="517" w:name="_Toc305158880"/>
      <w:bookmarkStart w:id="518" w:name="_Toc226337234"/>
      <w:bookmarkStart w:id="519" w:name="_Toc151193852"/>
      <w:bookmarkStart w:id="520" w:name="_Toc151193926"/>
      <w:bookmarkStart w:id="521" w:name="_Toc195842903"/>
      <w:bookmarkStart w:id="522" w:name="_Toc305158806"/>
      <w:bookmarkStart w:id="523" w:name="_Toc150774638"/>
      <w:bookmarkStart w:id="524" w:name="_Toc226309782"/>
      <w:bookmarkStart w:id="525" w:name="_Toc127151538"/>
      <w:bookmarkStart w:id="526" w:name="_Toc226965811"/>
      <w:r>
        <w:rPr>
          <w:rFonts w:hint="eastAsia" w:ascii="宋体" w:hAnsi="宋体" w:eastAsia="宋体" w:cs="宋体"/>
          <w:sz w:val="28"/>
        </w:rPr>
        <w:t>五   开标、资格审查及评标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15C85990">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527" w:name="_Toc151193709"/>
      <w:bookmarkStart w:id="528" w:name="_Toc226965729"/>
      <w:bookmarkStart w:id="529" w:name="_Toc164229234"/>
      <w:bookmarkStart w:id="530" w:name="_Toc127161453"/>
      <w:bookmarkStart w:id="531" w:name="_Toc226965812"/>
      <w:bookmarkStart w:id="532" w:name="_Toc520356164"/>
      <w:bookmarkStart w:id="533" w:name="_Toc264969229"/>
      <w:bookmarkStart w:id="534" w:name="_Toc151193927"/>
      <w:bookmarkStart w:id="535" w:name="_Toc195842904"/>
      <w:bookmarkStart w:id="536" w:name="_Toc305158807"/>
      <w:bookmarkStart w:id="537" w:name="_Toc226309783"/>
      <w:bookmarkStart w:id="538" w:name="_Toc151193781"/>
      <w:bookmarkStart w:id="539" w:name="_Toc164608653"/>
      <w:bookmarkStart w:id="540" w:name="_Toc150774744"/>
      <w:bookmarkStart w:id="541" w:name="_Toc127151740"/>
      <w:bookmarkStart w:id="542" w:name="_Toc151190166"/>
      <w:bookmarkStart w:id="543" w:name="_Toc164229380"/>
      <w:bookmarkStart w:id="544" w:name="_Toc164351633"/>
      <w:bookmarkStart w:id="545" w:name="_Toc150480777"/>
      <w:bookmarkStart w:id="546" w:name="_Toc151193637"/>
      <w:bookmarkStart w:id="547" w:name="_Toc305158881"/>
      <w:bookmarkStart w:id="548" w:name="_Toc164608808"/>
      <w:bookmarkStart w:id="549" w:name="_Toc150509290"/>
      <w:bookmarkStart w:id="550" w:name="_Toc142311041"/>
      <w:bookmarkStart w:id="551" w:name="_Toc127151539"/>
      <w:bookmarkStart w:id="552" w:name="_Toc265228377"/>
      <w:bookmarkStart w:id="553" w:name="_Toc151193853"/>
      <w:bookmarkStart w:id="554" w:name="_Toc149720832"/>
      <w:bookmarkStart w:id="555" w:name="_Toc226337235"/>
      <w:bookmarkStart w:id="556" w:name="_Toc150774639"/>
      <w:r>
        <w:rPr>
          <w:rFonts w:hint="eastAsia" w:ascii="宋体" w:hAnsi="宋体" w:eastAsia="宋体" w:cs="宋体"/>
          <w:sz w:val="24"/>
        </w:rPr>
        <w:t>开标</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1FB4BF19">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采购人或采购代理机构将按招标文件的规定，在投标截止时间的同一时间和招标文件预先确定的地点组织开标。投标人代表应签名报到以证明其出席，签到并递交《投标文件》后，投标人代表应在指定区域等待开标。</w:t>
      </w:r>
    </w:p>
    <w:p w14:paraId="09910E56">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本项目开标使用现场开启。开标时，采购人及采购代理机构应让投标人对其投标文件的密封情况进行检查，或申请公证机构检查投标文件的密封情况并公证。经确认无误后，由招标工作人员或公证人员将投标人单独递交的“开标一览表”及投标文件当众拆封。</w:t>
      </w:r>
    </w:p>
    <w:p w14:paraId="1E069A34">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开标过程将现场宣布投标人名称、投标价格和招标文件规定的需要宣布的其他内容并进行记录，并由参加开标的各投标人代表确认</w:t>
      </w:r>
      <w:bookmarkStart w:id="557" w:name="_Toc520356165"/>
      <w:r>
        <w:rPr>
          <w:rFonts w:hint="eastAsia" w:ascii="宋体" w:hAnsi="宋体" w:eastAsia="宋体" w:cs="宋体"/>
          <w:sz w:val="24"/>
        </w:rPr>
        <w:t>。</w:t>
      </w:r>
    </w:p>
    <w:p w14:paraId="3F465AFE">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开标时，“开标一览表”中的大写金额与小写金额不一致的，以大写金额为准；总价金额与按单价计算的汇总金额不一致的，以单价计算的汇总金额为准；单价金额有明显小数点错误的，以总价为准，并修改单价。</w:t>
      </w:r>
    </w:p>
    <w:p w14:paraId="6C365EFA">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投标文件中有关明细表内容与“开标一览表”不一致的，以“开标一览表”为准。对不同文字文本投标文件的解释发生异议的，以中文文本为准。</w:t>
      </w:r>
    </w:p>
    <w:p w14:paraId="499F47E1">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146C0B62">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投标人不足3家的，不予开标。</w:t>
      </w:r>
    </w:p>
    <w:p w14:paraId="48A264B8">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资格审查</w:t>
      </w:r>
    </w:p>
    <w:p w14:paraId="66E7AFAA">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见第</w:t>
      </w:r>
      <w:r>
        <w:rPr>
          <w:rFonts w:hint="eastAsia" w:ascii="宋体" w:hAnsi="宋体" w:eastAsia="宋体" w:cs="宋体"/>
          <w:sz w:val="24"/>
          <w:lang w:val="en-US" w:eastAsia="zh-CN"/>
        </w:rPr>
        <w:t>三</w:t>
      </w:r>
      <w:r>
        <w:rPr>
          <w:rFonts w:hint="eastAsia" w:ascii="宋体" w:hAnsi="宋体" w:eastAsia="宋体" w:cs="宋体"/>
          <w:sz w:val="24"/>
        </w:rPr>
        <w:t>章《资格审查》。</w:t>
      </w:r>
    </w:p>
    <w:bookmarkEnd w:id="557"/>
    <w:p w14:paraId="6CA36E65">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558" w:name="_Toc226337236"/>
      <w:bookmarkStart w:id="559" w:name="_Toc151193710"/>
      <w:bookmarkStart w:id="560" w:name="_Toc151190167"/>
      <w:bookmarkStart w:id="561" w:name="_Toc164608654"/>
      <w:bookmarkStart w:id="562" w:name="_Toc164229235"/>
      <w:bookmarkStart w:id="563" w:name="_Toc265228378"/>
      <w:bookmarkStart w:id="564" w:name="_Toc127161454"/>
      <w:bookmarkStart w:id="565" w:name="_Toc142311042"/>
      <w:bookmarkStart w:id="566" w:name="_Toc164608809"/>
      <w:bookmarkStart w:id="567" w:name="_Toc127151741"/>
      <w:bookmarkStart w:id="568" w:name="_Toc150774640"/>
      <w:bookmarkStart w:id="569" w:name="_Toc226309784"/>
      <w:bookmarkStart w:id="570" w:name="_Toc150509291"/>
      <w:bookmarkStart w:id="571" w:name="_Toc264969230"/>
      <w:bookmarkStart w:id="572" w:name="_Toc151193782"/>
      <w:bookmarkStart w:id="573" w:name="_Toc151193928"/>
      <w:bookmarkStart w:id="574" w:name="_Toc164229381"/>
      <w:bookmarkStart w:id="575" w:name="_Toc149720833"/>
      <w:bookmarkStart w:id="576" w:name="_Toc305158808"/>
      <w:bookmarkStart w:id="577" w:name="_Toc305158882"/>
      <w:bookmarkStart w:id="578" w:name="_Toc195842905"/>
      <w:bookmarkStart w:id="579" w:name="_Toc150480778"/>
      <w:bookmarkStart w:id="580" w:name="_Toc164351634"/>
      <w:bookmarkStart w:id="581" w:name="_Toc226965730"/>
      <w:bookmarkStart w:id="582" w:name="_Toc226965813"/>
      <w:bookmarkStart w:id="583" w:name="_Toc127151540"/>
      <w:bookmarkStart w:id="584" w:name="_Toc150774745"/>
      <w:bookmarkStart w:id="585" w:name="_Toc151193638"/>
      <w:bookmarkStart w:id="586" w:name="_Toc151193854"/>
      <w:r>
        <w:rPr>
          <w:rFonts w:hint="eastAsia" w:ascii="宋体" w:hAnsi="宋体" w:eastAsia="宋体" w:cs="宋体"/>
          <w:sz w:val="24"/>
        </w:rPr>
        <w:t>评标委员会</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9FDD33">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评标委员会根据政府采购有关规定和本次招标采购项目的特点进行组建，并负责具体评标事务，独立履行职责。</w:t>
      </w:r>
      <w:bookmarkStart w:id="587" w:name="_Toc520356166"/>
    </w:p>
    <w:p w14:paraId="4E29D1CA">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87"/>
      <w:bookmarkStart w:id="588" w:name="_Toc520356169"/>
    </w:p>
    <w:p w14:paraId="004EFF62">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评标程序、评标方法和评标标准</w:t>
      </w:r>
    </w:p>
    <w:p w14:paraId="1D92C892">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见第</w:t>
      </w:r>
      <w:r>
        <w:rPr>
          <w:rFonts w:hint="eastAsia" w:ascii="宋体" w:hAnsi="宋体" w:eastAsia="宋体" w:cs="宋体"/>
          <w:sz w:val="24"/>
          <w:lang w:val="en-US" w:eastAsia="zh-CN"/>
        </w:rPr>
        <w:t>四</w:t>
      </w:r>
      <w:r>
        <w:rPr>
          <w:rFonts w:hint="eastAsia" w:ascii="宋体" w:hAnsi="宋体" w:eastAsia="宋体" w:cs="宋体"/>
          <w:sz w:val="24"/>
        </w:rPr>
        <w:t>章《评标程序、评标方法和评标标准》。</w:t>
      </w:r>
    </w:p>
    <w:p w14:paraId="7AD0775C">
      <w:pPr>
        <w:pageBreakBefore w:val="0"/>
        <w:widowControl w:val="0"/>
        <w:tabs>
          <w:tab w:val="left" w:pos="360"/>
          <w:tab w:val="left" w:pos="1080"/>
        </w:tabs>
        <w:kinsoku/>
        <w:wordWrap/>
        <w:overflowPunct/>
        <w:topLinePunct w:val="0"/>
        <w:bidi w:val="0"/>
        <w:snapToGrid w:val="0"/>
        <w:spacing w:after="0" w:line="540" w:lineRule="exact"/>
        <w:ind w:left="1080"/>
        <w:textAlignment w:val="auto"/>
        <w:rPr>
          <w:rFonts w:hint="eastAsia" w:ascii="宋体" w:hAnsi="宋体" w:eastAsia="宋体" w:cs="宋体"/>
          <w:sz w:val="24"/>
        </w:rPr>
      </w:pPr>
    </w:p>
    <w:p w14:paraId="1C726833">
      <w:pPr>
        <w:pStyle w:val="3"/>
        <w:pageBreakBefore w:val="0"/>
        <w:widowControl w:val="0"/>
        <w:kinsoku/>
        <w:wordWrap/>
        <w:overflowPunct/>
        <w:topLinePunct w:val="0"/>
        <w:bidi w:val="0"/>
        <w:snapToGrid w:val="0"/>
        <w:spacing w:before="0" w:after="0" w:line="540" w:lineRule="exact"/>
        <w:textAlignment w:val="auto"/>
        <w:rPr>
          <w:rFonts w:hint="eastAsia" w:ascii="宋体" w:hAnsi="宋体" w:eastAsia="宋体" w:cs="宋体"/>
          <w:sz w:val="28"/>
        </w:rPr>
      </w:pPr>
      <w:bookmarkStart w:id="589" w:name="_Toc127151545"/>
      <w:bookmarkStart w:id="590" w:name="_Toc151193933"/>
      <w:bookmarkStart w:id="591" w:name="_Toc195842910"/>
      <w:bookmarkStart w:id="592" w:name="_Toc226309789"/>
      <w:bookmarkStart w:id="593" w:name="_Toc151193787"/>
      <w:bookmarkStart w:id="594" w:name="_Toc226965735"/>
      <w:bookmarkStart w:id="595" w:name="_Toc151190172"/>
      <w:bookmarkStart w:id="596" w:name="_Toc142311047"/>
      <w:bookmarkStart w:id="597" w:name="_Toc150774750"/>
      <w:bookmarkStart w:id="598" w:name="_Toc264969235"/>
      <w:bookmarkStart w:id="599" w:name="_Toc151193859"/>
      <w:bookmarkStart w:id="600" w:name="_Toc305158887"/>
      <w:bookmarkStart w:id="601" w:name="_Toc151193715"/>
      <w:bookmarkStart w:id="602" w:name="_Toc151193643"/>
      <w:bookmarkStart w:id="603" w:name="_Toc305158813"/>
      <w:bookmarkStart w:id="604" w:name="_Toc226337241"/>
      <w:bookmarkStart w:id="605" w:name="_Toc265228383"/>
      <w:bookmarkStart w:id="606" w:name="_Toc150774645"/>
      <w:bookmarkStart w:id="607" w:name="_Toc150509296"/>
      <w:bookmarkStart w:id="608" w:name="_Toc150480783"/>
      <w:bookmarkStart w:id="609" w:name="_Toc226965818"/>
      <w:r>
        <w:rPr>
          <w:rFonts w:hint="eastAsia" w:ascii="宋体" w:hAnsi="宋体" w:eastAsia="宋体" w:cs="宋体"/>
          <w:sz w:val="28"/>
        </w:rPr>
        <w:t xml:space="preserve">六   </w:t>
      </w:r>
      <w:bookmarkEnd w:id="588"/>
      <w:r>
        <w:rPr>
          <w:rFonts w:hint="eastAsia" w:ascii="宋体" w:hAnsi="宋体" w:eastAsia="宋体" w:cs="宋体"/>
          <w:sz w:val="28"/>
        </w:rPr>
        <w:t>确定中标</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Start w:id="610" w:name="_Toc150774752"/>
      <w:bookmarkStart w:id="611" w:name="_Toc305158815"/>
      <w:bookmarkStart w:id="612" w:name="_Toc164608661"/>
      <w:bookmarkStart w:id="613" w:name="_Toc226965820"/>
      <w:bookmarkStart w:id="614" w:name="_Toc151193861"/>
      <w:bookmarkStart w:id="615" w:name="_Toc142311049"/>
      <w:bookmarkStart w:id="616" w:name="_Toc164351641"/>
      <w:bookmarkStart w:id="617" w:name="_Toc151193935"/>
      <w:bookmarkStart w:id="618" w:name="_Toc226337243"/>
      <w:bookmarkStart w:id="619" w:name="_Toc164229388"/>
      <w:bookmarkStart w:id="620" w:name="_Toc151193789"/>
      <w:bookmarkStart w:id="621" w:name="_Toc151190174"/>
      <w:bookmarkStart w:id="622" w:name="_Toc226965737"/>
      <w:bookmarkStart w:id="623" w:name="_Toc149720840"/>
      <w:bookmarkStart w:id="624" w:name="_Toc264969237"/>
      <w:bookmarkStart w:id="625" w:name="_Toc305158889"/>
      <w:bookmarkStart w:id="626" w:name="_Toc150509298"/>
      <w:bookmarkStart w:id="627" w:name="_Toc265228385"/>
      <w:bookmarkStart w:id="628" w:name="_Toc164229242"/>
      <w:bookmarkStart w:id="629" w:name="_Toc226309791"/>
      <w:bookmarkStart w:id="630" w:name="_Toc151193645"/>
      <w:bookmarkStart w:id="631" w:name="_Toc127161461"/>
      <w:bookmarkStart w:id="632" w:name="_Toc150774647"/>
      <w:bookmarkStart w:id="633" w:name="_Toc151193717"/>
      <w:bookmarkStart w:id="634" w:name="_Toc195842912"/>
      <w:bookmarkStart w:id="635" w:name="_Toc127151547"/>
      <w:bookmarkStart w:id="636" w:name="_Toc150480785"/>
      <w:bookmarkStart w:id="637" w:name="_Toc127151748"/>
      <w:bookmarkStart w:id="638" w:name="_Toc164608816"/>
    </w:p>
    <w:p w14:paraId="4809B58B">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确定中标人</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733B5C5E">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供应商。</w:t>
      </w:r>
    </w:p>
    <w:p w14:paraId="21429743">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639" w:name="_Toc305158891"/>
      <w:bookmarkStart w:id="640" w:name="_Toc305158817"/>
      <w:bookmarkStart w:id="641" w:name="_Toc150480787"/>
      <w:bookmarkStart w:id="642" w:name="_Toc195842914"/>
      <w:bookmarkStart w:id="643" w:name="_Toc127151750"/>
      <w:bookmarkStart w:id="644" w:name="_Toc164608663"/>
      <w:bookmarkStart w:id="645" w:name="_Toc164351643"/>
      <w:bookmarkStart w:id="646" w:name="_Toc226337245"/>
      <w:bookmarkStart w:id="647" w:name="_Toc142311051"/>
      <w:bookmarkStart w:id="648" w:name="_Toc127161463"/>
      <w:bookmarkStart w:id="649" w:name="_Toc149720842"/>
      <w:bookmarkStart w:id="650" w:name="_Toc264969239"/>
      <w:bookmarkStart w:id="651" w:name="_Toc151190176"/>
      <w:bookmarkStart w:id="652" w:name="_Toc151193937"/>
      <w:bookmarkStart w:id="653" w:name="_Toc151193647"/>
      <w:bookmarkStart w:id="654" w:name="_Toc164229390"/>
      <w:bookmarkStart w:id="655" w:name="_Toc226965739"/>
      <w:bookmarkStart w:id="656" w:name="_Toc150774649"/>
      <w:bookmarkStart w:id="657" w:name="_Toc151193863"/>
      <w:bookmarkStart w:id="658" w:name="_Toc150509300"/>
      <w:bookmarkStart w:id="659" w:name="_Toc164608818"/>
      <w:bookmarkStart w:id="660" w:name="_Toc151193791"/>
      <w:bookmarkStart w:id="661" w:name="_Toc151193719"/>
      <w:bookmarkStart w:id="662" w:name="_Toc164229244"/>
      <w:bookmarkStart w:id="663" w:name="_Toc150774754"/>
      <w:bookmarkStart w:id="664" w:name="_Toc226309793"/>
      <w:bookmarkStart w:id="665" w:name="_Toc265228387"/>
      <w:bookmarkStart w:id="666" w:name="_Toc226965822"/>
      <w:bookmarkStart w:id="667" w:name="_Toc127151549"/>
      <w:bookmarkStart w:id="668" w:name="_Ref467307090"/>
      <w:bookmarkStart w:id="669" w:name="_Ref467306425"/>
      <w:bookmarkStart w:id="670" w:name="_Toc520356176"/>
      <w:r>
        <w:rPr>
          <w:rFonts w:hint="eastAsia" w:ascii="宋体" w:hAnsi="宋体" w:eastAsia="宋体" w:cs="宋体"/>
          <w:sz w:val="24"/>
        </w:rPr>
        <w:t>中标公告与中标通知书</w:t>
      </w:r>
      <w:bookmarkEnd w:id="639"/>
      <w:bookmarkEnd w:id="640"/>
    </w:p>
    <w:p w14:paraId="3F575929">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采购人或采购代理机构自中标人确定之日起2个工作日内，</w:t>
      </w:r>
      <w:r>
        <w:rPr>
          <w:rFonts w:hint="eastAsia" w:ascii="宋体" w:hAnsi="宋体" w:eastAsia="宋体" w:cs="宋体"/>
          <w:color w:val="000000"/>
          <w:kern w:val="0"/>
          <w:sz w:val="24"/>
        </w:rPr>
        <w:t>在</w:t>
      </w:r>
      <w:r>
        <w:rPr>
          <w:rFonts w:hint="eastAsia" w:ascii="宋体" w:hAnsi="宋体" w:eastAsia="宋体" w:cs="宋体"/>
          <w:kern w:val="0"/>
          <w:sz w:val="24"/>
        </w:rPr>
        <w:t>《中国政府采购网》、《北京市政府采购网》、《北京市公共资源交易</w:t>
      </w:r>
      <w:r>
        <w:rPr>
          <w:rFonts w:hint="eastAsia" w:ascii="宋体" w:hAnsi="宋体" w:eastAsia="宋体" w:cs="宋体"/>
          <w:kern w:val="0"/>
          <w:sz w:val="24"/>
          <w:lang w:val="en-US" w:eastAsia="zh-CN"/>
        </w:rPr>
        <w:t>服务平台</w:t>
      </w:r>
      <w:r>
        <w:rPr>
          <w:rFonts w:hint="eastAsia" w:ascii="宋体" w:hAnsi="宋体" w:eastAsia="宋体" w:cs="宋体"/>
          <w:kern w:val="0"/>
          <w:sz w:val="24"/>
        </w:rPr>
        <w:t>》</w:t>
      </w:r>
      <w:r>
        <w:rPr>
          <w:rFonts w:hint="eastAsia" w:ascii="宋体" w:hAnsi="宋体" w:eastAsia="宋体" w:cs="宋体"/>
          <w:color w:val="000000"/>
          <w:kern w:val="0"/>
          <w:sz w:val="24"/>
        </w:rPr>
        <w:t>公告中标结果</w:t>
      </w:r>
      <w:r>
        <w:rPr>
          <w:rFonts w:hint="eastAsia" w:ascii="宋体" w:hAnsi="宋体" w:eastAsia="宋体" w:cs="宋体"/>
          <w:sz w:val="24"/>
        </w:rPr>
        <w:t>，同时向中标人发出中标通知书，中标公告期限为1个工作日。</w:t>
      </w:r>
    </w:p>
    <w:p w14:paraId="0A838322">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中标通知书对采购人和中标供应商均具有法律效力。中标通知书发出后，采购人改变中标结果的，或者中标供应商放弃中标项目的，应当依法承担法律责任。</w:t>
      </w:r>
    </w:p>
    <w:p w14:paraId="5DD35061">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废标</w:t>
      </w:r>
    </w:p>
    <w:p w14:paraId="3D98B9D9">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在招标采购中，出现下列情形之一的，应予废标：</w:t>
      </w:r>
    </w:p>
    <w:p w14:paraId="7E030185">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符合专业条件的供应商或者对招标文件作实质响应的供应商不足三家的；</w:t>
      </w:r>
    </w:p>
    <w:p w14:paraId="15FCA130">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出现影响采购公正的违法、违规行为的；</w:t>
      </w:r>
    </w:p>
    <w:p w14:paraId="62E14797">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投标人的报价均超过了采购预算，采购人不能支付的；</w:t>
      </w:r>
    </w:p>
    <w:p w14:paraId="668FF010">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因重大变故，采购任务取消的。</w:t>
      </w:r>
    </w:p>
    <w:p w14:paraId="078292C2">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废标后，采购人将废标理由通知所有投标人。</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14:paraId="599425D8">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bookmarkStart w:id="671" w:name="_Ref467307204"/>
      <w:bookmarkStart w:id="672" w:name="_Toc164608819"/>
      <w:bookmarkStart w:id="673" w:name="_Toc226965740"/>
      <w:bookmarkStart w:id="674" w:name="_Toc265228388"/>
      <w:bookmarkStart w:id="675" w:name="_Toc127151550"/>
      <w:bookmarkStart w:id="676" w:name="_Toc226309794"/>
      <w:bookmarkStart w:id="677" w:name="_Toc164229245"/>
      <w:bookmarkStart w:id="678" w:name="_Toc520356175"/>
      <w:bookmarkStart w:id="679" w:name="_Toc142311052"/>
      <w:bookmarkStart w:id="680" w:name="_Toc150480788"/>
      <w:bookmarkStart w:id="681" w:name="_Toc164351644"/>
      <w:bookmarkStart w:id="682" w:name="_Toc164229391"/>
      <w:bookmarkStart w:id="683" w:name="_Ref467306377"/>
      <w:bookmarkStart w:id="684" w:name="_Toc164608664"/>
      <w:bookmarkStart w:id="685" w:name="_Ref467306978"/>
      <w:bookmarkStart w:id="686" w:name="_Toc195842915"/>
      <w:bookmarkStart w:id="687" w:name="_Toc151193938"/>
      <w:bookmarkStart w:id="688" w:name="_Toc151193648"/>
      <w:bookmarkStart w:id="689" w:name="_Toc149720843"/>
      <w:bookmarkStart w:id="690" w:name="_Toc127151751"/>
      <w:bookmarkStart w:id="691" w:name="_Toc226337246"/>
      <w:bookmarkStart w:id="692" w:name="_Ref467307062"/>
      <w:bookmarkStart w:id="693" w:name="_Toc150774755"/>
      <w:bookmarkStart w:id="694" w:name="_Toc151193720"/>
      <w:bookmarkStart w:id="695" w:name="_Toc151190177"/>
      <w:bookmarkStart w:id="696" w:name="_Toc226965823"/>
      <w:bookmarkStart w:id="697" w:name="_Toc151193864"/>
      <w:bookmarkStart w:id="698" w:name="_Toc264969240"/>
      <w:bookmarkStart w:id="699" w:name="_Toc127161464"/>
      <w:bookmarkStart w:id="700" w:name="_Toc305158818"/>
      <w:bookmarkStart w:id="701" w:name="_Toc305158892"/>
      <w:bookmarkStart w:id="702" w:name="_Toc150509301"/>
      <w:bookmarkStart w:id="703" w:name="_Toc151193792"/>
      <w:bookmarkStart w:id="704" w:name="_Toc150774650"/>
      <w:r>
        <w:rPr>
          <w:rFonts w:hint="eastAsia" w:ascii="宋体" w:hAnsi="宋体" w:eastAsia="宋体" w:cs="宋体"/>
          <w:sz w:val="24"/>
        </w:rPr>
        <w:t>签订合同</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0547372C">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2C4F4D4C">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中标人拒绝与采购人签订合同的，采购人可以按照评标报告推荐的中标候选人名单排序，确定下一候选人为中标人，也可以重新开展政府采购活动。</w:t>
      </w:r>
    </w:p>
    <w:p w14:paraId="30672E70">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联合体中标的，联合体各方应当共同与采购人签订合同，就中标项目向采购人承担连带责任。</w:t>
      </w:r>
    </w:p>
    <w:p w14:paraId="7A148326">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政府采购合同不能转包。</w:t>
      </w:r>
    </w:p>
    <w:p w14:paraId="79866B7B">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rPr>
      </w:pPr>
      <w:r>
        <w:rPr>
          <w:rFonts w:hint="eastAsia" w:ascii="宋体" w:hAnsi="宋体"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rPr>
        <w:t>，</w:t>
      </w:r>
      <w:r>
        <w:rPr>
          <w:rFonts w:hint="eastAsia" w:ascii="宋体" w:hAnsi="宋体" w:eastAsia="宋体" w:cs="宋体"/>
          <w:sz w:val="24"/>
        </w:rPr>
        <w:t>否则</w:t>
      </w:r>
      <w:r>
        <w:rPr>
          <w:rFonts w:hint="eastAsia" w:ascii="宋体" w:hAnsi="宋体" w:eastAsia="宋体" w:cs="宋体"/>
          <w:b/>
          <w:sz w:val="24"/>
        </w:rPr>
        <w:t>投标无效</w:t>
      </w:r>
      <w:r>
        <w:rPr>
          <w:rFonts w:hint="eastAsia" w:ascii="宋体" w:hAnsi="宋体" w:eastAsia="宋体" w:cs="宋体"/>
          <w:sz w:val="24"/>
        </w:rPr>
        <w:t>。中标人就采购项目和分包项目向采购人负责，分包供应商就分包项目承担责任。</w:t>
      </w:r>
    </w:p>
    <w:p w14:paraId="41EBE829">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rPr>
      </w:pPr>
      <w:r>
        <w:rPr>
          <w:rFonts w:hint="eastAsia" w:ascii="宋体" w:hAnsi="宋体" w:eastAsia="宋体" w:cs="宋体"/>
          <w:sz w:val="24"/>
        </w:rPr>
        <w:t>“政采贷”融资指引：详见《投标人须知资料表》。</w:t>
      </w:r>
    </w:p>
    <w:bookmarkEnd w:id="668"/>
    <w:bookmarkEnd w:id="669"/>
    <w:bookmarkEnd w:id="670"/>
    <w:p w14:paraId="0B940066">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询问与质疑</w:t>
      </w:r>
    </w:p>
    <w:p w14:paraId="6B682766">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询问</w:t>
      </w:r>
    </w:p>
    <w:p w14:paraId="6640568D">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投标人对政府采购活动事项有疑问的，可依法提出询问，并按《投标人须知资料表》载明的形式送达采购人或采购代理机构。</w:t>
      </w:r>
    </w:p>
    <w:p w14:paraId="7178B5CB">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68F6824E">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质疑</w:t>
      </w:r>
    </w:p>
    <w:p w14:paraId="4FB8B556">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9FBC289">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质疑函须使用财政部制定的范本文件。</w:t>
      </w:r>
    </w:p>
    <w:p w14:paraId="356EFAE8">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投标人为自然人的，应当由本人签字；投标人为法人或者其他组织的，应当由法定代表人、主要负责人，或者其授权代表签字或者盖章，并加盖公章。</w:t>
      </w:r>
    </w:p>
    <w:p w14:paraId="1689F735">
      <w:pPr>
        <w:pageBreakBefore w:val="0"/>
        <w:widowControl w:val="0"/>
        <w:numPr>
          <w:ilvl w:val="2"/>
          <w:numId w:val="8"/>
        </w:numPr>
        <w:kinsoku/>
        <w:wordWrap/>
        <w:overflowPunct/>
        <w:topLinePunct w:val="0"/>
        <w:bidi w:val="0"/>
        <w:snapToGrid w:val="0"/>
        <w:spacing w:after="0" w:line="540" w:lineRule="exact"/>
        <w:textAlignment w:val="auto"/>
        <w:rPr>
          <w:rFonts w:hint="eastAsia" w:ascii="宋体" w:hAnsi="宋体" w:eastAsia="宋体" w:cs="宋体"/>
          <w:sz w:val="24"/>
        </w:rPr>
      </w:pPr>
      <w:r>
        <w:rPr>
          <w:rFonts w:hint="eastAsia" w:ascii="宋体" w:hAnsi="宋体" w:eastAsia="宋体" w:cs="宋体"/>
          <w:sz w:val="24"/>
        </w:rPr>
        <w:t>投标人应在法定质疑期内一次性提出针对同一采购程序环节的质疑，法定质疑期内针对同一采购程序环节再次提出的质疑，采购人、采购代理机构有权不予答复。</w:t>
      </w:r>
    </w:p>
    <w:p w14:paraId="14666404">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接收询问和质疑的联系部门、联系电话和通讯地址见《投标人须知资料表》。</w:t>
      </w:r>
    </w:p>
    <w:p w14:paraId="441991BD">
      <w:pPr>
        <w:pageBreakBefore w:val="0"/>
        <w:widowControl w:val="0"/>
        <w:numPr>
          <w:ilvl w:val="0"/>
          <w:numId w:val="8"/>
        </w:numPr>
        <w:tabs>
          <w:tab w:val="left" w:pos="360"/>
        </w:tabs>
        <w:kinsoku/>
        <w:wordWrap/>
        <w:overflowPunct/>
        <w:topLinePunct w:val="0"/>
        <w:bidi w:val="0"/>
        <w:snapToGrid w:val="0"/>
        <w:spacing w:after="0" w:line="540" w:lineRule="exact"/>
        <w:ind w:left="357" w:hanging="357"/>
        <w:textAlignment w:val="auto"/>
        <w:outlineLvl w:val="1"/>
        <w:rPr>
          <w:rFonts w:hint="eastAsia" w:ascii="宋体" w:hAnsi="宋体" w:eastAsia="宋体" w:cs="宋体"/>
          <w:sz w:val="24"/>
        </w:rPr>
      </w:pPr>
      <w:r>
        <w:rPr>
          <w:rFonts w:hint="eastAsia" w:ascii="宋体" w:hAnsi="宋体" w:eastAsia="宋体" w:cs="宋体"/>
          <w:sz w:val="24"/>
        </w:rPr>
        <w:t>代理费</w:t>
      </w:r>
    </w:p>
    <w:p w14:paraId="0413977A">
      <w:pPr>
        <w:pageBreakBefore w:val="0"/>
        <w:widowControl w:val="0"/>
        <w:numPr>
          <w:ilvl w:val="1"/>
          <w:numId w:val="8"/>
        </w:numPr>
        <w:tabs>
          <w:tab w:val="left" w:pos="1080"/>
          <w:tab w:val="left" w:pos="2014"/>
        </w:tabs>
        <w:kinsoku/>
        <w:wordWrap/>
        <w:overflowPunct/>
        <w:topLinePunct w:val="0"/>
        <w:bidi w:val="0"/>
        <w:snapToGrid w:val="0"/>
        <w:spacing w:after="0" w:line="540" w:lineRule="exact"/>
        <w:ind w:left="1077" w:hanging="720"/>
        <w:textAlignment w:val="auto"/>
        <w:rPr>
          <w:rFonts w:hint="eastAsia" w:ascii="宋体" w:hAnsi="宋体" w:eastAsia="宋体" w:cs="宋体"/>
          <w:sz w:val="24"/>
        </w:rPr>
      </w:pPr>
      <w:r>
        <w:rPr>
          <w:rFonts w:hint="eastAsia" w:ascii="宋体" w:hAnsi="宋体" w:eastAsia="宋体" w:cs="宋体"/>
          <w:sz w:val="24"/>
        </w:rPr>
        <w:t>收费对象、收费标准及缴纳时间见《投标人须知资料表》。由中标人支付的，中标人须一次性向采购代理机构缴纳代理费。</w:t>
      </w:r>
    </w:p>
    <w:p w14:paraId="1CE8D445">
      <w:pPr>
        <w:spacing w:line="360" w:lineRule="auto"/>
        <w:jc w:val="center"/>
        <w:outlineLvl w:val="0"/>
        <w:rPr>
          <w:b/>
          <w:color w:val="auto"/>
          <w:sz w:val="36"/>
          <w:szCs w:val="36"/>
        </w:rPr>
      </w:pPr>
      <w:bookmarkStart w:id="705" w:name="_Toc150480792"/>
      <w:bookmarkStart w:id="706" w:name="_Toc265228392"/>
      <w:bookmarkStart w:id="707" w:name="_Toc264969244"/>
      <w:bookmarkStart w:id="708" w:name="_Toc305158896"/>
      <w:bookmarkStart w:id="709" w:name="_Toc353873934"/>
      <w:bookmarkStart w:id="710" w:name="_Toc142311056"/>
      <w:bookmarkStart w:id="711" w:name="_Toc305158822"/>
      <w:bookmarkStart w:id="712" w:name="_Toc226965827"/>
      <w:bookmarkStart w:id="713" w:name="_Toc127151554"/>
      <w:bookmarkStart w:id="714" w:name="_Toc150774759"/>
      <w:bookmarkStart w:id="715" w:name="_Toc353825544"/>
      <w:bookmarkStart w:id="716" w:name="_Toc226337250"/>
      <w:bookmarkStart w:id="717" w:name="_Toc353873664"/>
      <w:r>
        <w:rPr>
          <w:color w:val="auto"/>
          <w:sz w:val="24"/>
        </w:rPr>
        <w:br w:type="page"/>
      </w:r>
      <w:bookmarkStart w:id="718" w:name="_Toc12436"/>
      <w:r>
        <w:rPr>
          <w:b/>
          <w:color w:val="auto"/>
          <w:sz w:val="36"/>
          <w:szCs w:val="36"/>
        </w:rPr>
        <w:t xml:space="preserve">第三章   </w:t>
      </w:r>
      <w:bookmarkEnd w:id="705"/>
      <w:bookmarkEnd w:id="706"/>
      <w:bookmarkEnd w:id="707"/>
      <w:bookmarkEnd w:id="708"/>
      <w:bookmarkEnd w:id="709"/>
      <w:bookmarkEnd w:id="710"/>
      <w:bookmarkEnd w:id="711"/>
      <w:bookmarkEnd w:id="712"/>
      <w:bookmarkEnd w:id="713"/>
      <w:bookmarkEnd w:id="714"/>
      <w:bookmarkEnd w:id="715"/>
      <w:bookmarkEnd w:id="716"/>
      <w:bookmarkEnd w:id="717"/>
      <w:r>
        <w:rPr>
          <w:b/>
          <w:color w:val="auto"/>
          <w:sz w:val="36"/>
          <w:szCs w:val="36"/>
        </w:rPr>
        <w:t>资格审查</w:t>
      </w:r>
      <w:bookmarkEnd w:id="718"/>
      <w:bookmarkStart w:id="719" w:name="_Toc487900382"/>
    </w:p>
    <w:p w14:paraId="28EFD107">
      <w:pPr>
        <w:tabs>
          <w:tab w:val="left" w:pos="360"/>
          <w:tab w:val="left" w:pos="900"/>
        </w:tabs>
        <w:snapToGrid w:val="0"/>
        <w:spacing w:line="360" w:lineRule="auto"/>
        <w:jc w:val="center"/>
        <w:outlineLvl w:val="1"/>
        <w:rPr>
          <w:b/>
          <w:color w:val="auto"/>
          <w:sz w:val="24"/>
        </w:rPr>
      </w:pPr>
      <w:bookmarkStart w:id="720" w:name="_Toc99301422"/>
      <w:r>
        <w:rPr>
          <w:b/>
          <w:color w:val="auto"/>
          <w:sz w:val="24"/>
        </w:rPr>
        <w:t>一、资格审查程序</w:t>
      </w:r>
      <w:bookmarkEnd w:id="720"/>
    </w:p>
    <w:p w14:paraId="0067C5AD">
      <w:pPr>
        <w:numPr>
          <w:ilvl w:val="0"/>
          <w:numId w:val="10"/>
        </w:numPr>
        <w:tabs>
          <w:tab w:val="left" w:pos="426"/>
          <w:tab w:val="left" w:pos="851"/>
          <w:tab w:val="clear" w:pos="900"/>
        </w:tabs>
        <w:snapToGrid w:val="0"/>
        <w:spacing w:line="360" w:lineRule="auto"/>
        <w:ind w:left="426" w:hanging="426"/>
        <w:outlineLvl w:val="1"/>
        <w:rPr>
          <w:color w:val="auto"/>
          <w:sz w:val="24"/>
        </w:rPr>
      </w:pPr>
      <w:r>
        <w:rPr>
          <w:color w:val="auto"/>
          <w:sz w:val="24"/>
        </w:rPr>
        <w:t>开标结束后，采购人或采购代理机构将根据《资格审查要求》中的规定，对投标人进行资格审查，并形成资格审查结果。</w:t>
      </w:r>
    </w:p>
    <w:p w14:paraId="62F1F5E2">
      <w:pPr>
        <w:numPr>
          <w:ilvl w:val="0"/>
          <w:numId w:val="10"/>
        </w:numPr>
        <w:tabs>
          <w:tab w:val="left" w:pos="426"/>
          <w:tab w:val="left" w:pos="851"/>
          <w:tab w:val="clear" w:pos="900"/>
        </w:tabs>
        <w:snapToGrid w:val="0"/>
        <w:spacing w:line="360" w:lineRule="auto"/>
        <w:ind w:left="426" w:hanging="426"/>
        <w:outlineLvl w:val="1"/>
        <w:rPr>
          <w:color w:val="auto"/>
          <w:sz w:val="24"/>
        </w:rPr>
      </w:pPr>
      <w:r>
        <w:rPr>
          <w:color w:val="auto"/>
          <w:sz w:val="24"/>
        </w:rPr>
        <w:t>《资格审查要求》中对格式有要求的，除招标文件另有规定外，均为“实质性格式”文件。</w:t>
      </w:r>
    </w:p>
    <w:p w14:paraId="59C2F4F2">
      <w:pPr>
        <w:numPr>
          <w:ilvl w:val="0"/>
          <w:numId w:val="10"/>
        </w:numPr>
        <w:tabs>
          <w:tab w:val="left" w:pos="426"/>
          <w:tab w:val="left" w:pos="851"/>
          <w:tab w:val="clear" w:pos="900"/>
        </w:tabs>
        <w:snapToGrid w:val="0"/>
        <w:spacing w:line="360" w:lineRule="auto"/>
        <w:ind w:left="426" w:hanging="426"/>
        <w:outlineLvl w:val="1"/>
        <w:rPr>
          <w:color w:val="auto"/>
          <w:sz w:val="24"/>
        </w:rPr>
      </w:pPr>
      <w:r>
        <w:rPr>
          <w:color w:val="auto"/>
          <w:sz w:val="24"/>
        </w:rPr>
        <w:t>投标人《资格证明文件》有任何一项不符合《资格审查要求》的，资格审查不合格，其</w:t>
      </w:r>
      <w:r>
        <w:rPr>
          <w:b/>
          <w:color w:val="auto"/>
          <w:sz w:val="24"/>
        </w:rPr>
        <w:t>投标无效</w:t>
      </w:r>
      <w:r>
        <w:rPr>
          <w:color w:val="auto"/>
          <w:sz w:val="24"/>
        </w:rPr>
        <w:t>。</w:t>
      </w:r>
    </w:p>
    <w:p w14:paraId="1D56AF25">
      <w:pPr>
        <w:numPr>
          <w:ilvl w:val="0"/>
          <w:numId w:val="10"/>
        </w:numPr>
        <w:tabs>
          <w:tab w:val="left" w:pos="426"/>
          <w:tab w:val="left" w:pos="851"/>
          <w:tab w:val="clear" w:pos="900"/>
        </w:tabs>
        <w:snapToGrid w:val="0"/>
        <w:spacing w:line="360" w:lineRule="auto"/>
        <w:ind w:left="426" w:hanging="426"/>
        <w:outlineLvl w:val="1"/>
        <w:rPr>
          <w:color w:val="auto"/>
          <w:sz w:val="24"/>
        </w:rPr>
      </w:pPr>
      <w:r>
        <w:rPr>
          <w:color w:val="auto"/>
          <w:sz w:val="24"/>
        </w:rPr>
        <w:t>资格审查合格的投标人不足3家的，不进行评标。</w:t>
      </w:r>
    </w:p>
    <w:p w14:paraId="4BECE806">
      <w:pPr>
        <w:tabs>
          <w:tab w:val="left" w:pos="360"/>
          <w:tab w:val="left" w:pos="900"/>
        </w:tabs>
        <w:snapToGrid w:val="0"/>
        <w:spacing w:line="360" w:lineRule="auto"/>
        <w:jc w:val="center"/>
        <w:outlineLvl w:val="1"/>
        <w:rPr>
          <w:b/>
          <w:color w:val="auto"/>
          <w:sz w:val="24"/>
        </w:rPr>
      </w:pPr>
      <w:r>
        <w:rPr>
          <w:b/>
          <w:color w:val="auto"/>
          <w:sz w:val="24"/>
        </w:rPr>
        <w:t>二、资格审查要求</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719"/>
    <w:tbl>
      <w:tblPr>
        <w:tblStyle w:val="36"/>
        <w:tblW w:w="9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2"/>
        <w:gridCol w:w="2173"/>
        <w:gridCol w:w="5127"/>
        <w:gridCol w:w="1786"/>
      </w:tblGrid>
      <w:tr w14:paraId="4426F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802" w:type="dxa"/>
            <w:vAlign w:val="center"/>
          </w:tcPr>
          <w:p w14:paraId="782CC82E">
            <w:pPr>
              <w:widowControl w:val="0"/>
              <w:kinsoku/>
              <w:adjustRightInd/>
              <w:spacing w:before="20" w:after="20" w:line="240" w:lineRule="auto"/>
              <w:ind w:right="157" w:firstLine="0" w:firstLineChars="0"/>
              <w:jc w:val="center"/>
              <w:textAlignment w:val="auto"/>
              <w:rPr>
                <w:rFonts w:hint="eastAsia" w:ascii="宋体" w:hAnsi="宋体" w:eastAsia="宋体" w:cs="宋体"/>
                <w:color w:val="auto"/>
                <w:sz w:val="24"/>
                <w:szCs w:val="24"/>
                <w:lang w:eastAsia="zh-CN"/>
              </w:rPr>
            </w:pPr>
            <w:bookmarkStart w:id="721" w:name="_Hlt487972895"/>
            <w:bookmarkEnd w:id="721"/>
            <w:bookmarkStart w:id="722" w:name="_Toc127161490"/>
            <w:bookmarkStart w:id="723" w:name="_Toc353873940"/>
            <w:bookmarkStart w:id="724" w:name="_Toc127151779"/>
            <w:bookmarkStart w:id="725" w:name="_Toc353825550"/>
            <w:bookmarkStart w:id="726" w:name="_Toc226965858"/>
            <w:r>
              <w:rPr>
                <w:rFonts w:hint="eastAsia" w:ascii="宋体" w:hAnsi="宋体" w:eastAsia="宋体" w:cs="宋体"/>
                <w:color w:val="auto"/>
                <w:spacing w:val="-5"/>
                <w:sz w:val="24"/>
                <w:szCs w:val="24"/>
                <w:lang w:eastAsia="zh-CN"/>
              </w:rPr>
              <w:t>序号</w:t>
            </w:r>
          </w:p>
        </w:tc>
        <w:tc>
          <w:tcPr>
            <w:tcW w:w="2173" w:type="dxa"/>
          </w:tcPr>
          <w:p w14:paraId="69088DCF">
            <w:pPr>
              <w:widowControl w:val="0"/>
              <w:kinsoku/>
              <w:adjustRightInd/>
              <w:spacing w:before="20" w:after="20" w:line="240" w:lineRule="auto"/>
              <w:ind w:right="83"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审查因素</w:t>
            </w:r>
          </w:p>
        </w:tc>
        <w:tc>
          <w:tcPr>
            <w:tcW w:w="5127" w:type="dxa"/>
          </w:tcPr>
          <w:p w14:paraId="08353D35">
            <w:pPr>
              <w:widowControl w:val="0"/>
              <w:kinsoku/>
              <w:adjustRightInd/>
              <w:spacing w:before="20" w:after="20" w:line="240" w:lineRule="auto"/>
              <w:ind w:right="190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审查内容</w:t>
            </w:r>
          </w:p>
        </w:tc>
        <w:tc>
          <w:tcPr>
            <w:tcW w:w="1786" w:type="dxa"/>
          </w:tcPr>
          <w:p w14:paraId="7D79C928">
            <w:pPr>
              <w:widowControl w:val="0"/>
              <w:kinsoku/>
              <w:adjustRightInd/>
              <w:spacing w:before="20" w:after="20" w:line="240" w:lineRule="auto"/>
              <w:ind w:right="84"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格式要求</w:t>
            </w:r>
          </w:p>
        </w:tc>
      </w:tr>
      <w:tr w14:paraId="7CB8F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2617E872">
            <w:pPr>
              <w:widowControl w:val="0"/>
              <w:kinsoku/>
              <w:adjustRightInd/>
              <w:spacing w:before="20" w:after="20" w:line="240" w:lineRule="auto"/>
              <w:ind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4"/>
                <w:sz w:val="24"/>
                <w:szCs w:val="24"/>
                <w:lang w:eastAsia="zh-CN"/>
              </w:rPr>
              <w:t>1</w:t>
            </w:r>
          </w:p>
        </w:tc>
        <w:tc>
          <w:tcPr>
            <w:tcW w:w="2173" w:type="dxa"/>
            <w:vAlign w:val="center"/>
          </w:tcPr>
          <w:p w14:paraId="7E3D1BC0">
            <w:pPr>
              <w:widowControl w:val="0"/>
              <w:kinsoku/>
              <w:adjustRightInd/>
              <w:spacing w:before="20" w:after="20" w:line="240" w:lineRule="auto"/>
              <w:ind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满足《中华人民共和国政府采购法》第二十二条</w:t>
            </w:r>
            <w:r>
              <w:rPr>
                <w:rFonts w:hint="eastAsia" w:ascii="宋体" w:hAnsi="宋体" w:eastAsia="宋体" w:cs="宋体"/>
                <w:color w:val="auto"/>
                <w:spacing w:val="-5"/>
                <w:sz w:val="24"/>
                <w:szCs w:val="24"/>
                <w:lang w:eastAsia="zh-CN"/>
              </w:rPr>
              <w:t>规定</w:t>
            </w:r>
          </w:p>
        </w:tc>
        <w:tc>
          <w:tcPr>
            <w:tcW w:w="5127" w:type="dxa"/>
            <w:vAlign w:val="center"/>
          </w:tcPr>
          <w:p w14:paraId="095E99C0">
            <w:pPr>
              <w:widowControl w:val="0"/>
              <w:kinsoku/>
              <w:adjustRightInd/>
              <w:spacing w:before="20" w:after="20" w:line="240" w:lineRule="auto"/>
              <w:ind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具体规定见第一章《采购邀请》</w:t>
            </w:r>
          </w:p>
        </w:tc>
        <w:tc>
          <w:tcPr>
            <w:tcW w:w="1786" w:type="dxa"/>
            <w:vAlign w:val="center"/>
          </w:tcPr>
          <w:p w14:paraId="0D3D1E1D">
            <w:pPr>
              <w:widowControl w:val="0"/>
              <w:kinsoku/>
              <w:adjustRightInd/>
              <w:spacing w:before="20" w:after="20" w:line="240" w:lineRule="auto"/>
              <w:ind w:firstLine="0" w:firstLineChars="0"/>
              <w:jc w:val="both"/>
              <w:textAlignment w:val="auto"/>
              <w:rPr>
                <w:rFonts w:hint="eastAsia" w:ascii="宋体" w:hAnsi="宋体" w:eastAsia="宋体" w:cs="宋体"/>
                <w:color w:val="auto"/>
                <w:sz w:val="24"/>
                <w:szCs w:val="24"/>
                <w:lang w:eastAsia="zh-CN"/>
              </w:rPr>
            </w:pPr>
          </w:p>
        </w:tc>
      </w:tr>
      <w:tr w14:paraId="13AE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5FDB3B3B">
            <w:pPr>
              <w:widowControl w:val="0"/>
              <w:kinsoku/>
              <w:adjustRightInd/>
              <w:spacing w:before="20" w:after="20" w:line="240" w:lineRule="auto"/>
              <w:ind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1-</w:t>
            </w:r>
            <w:r>
              <w:rPr>
                <w:rFonts w:hint="eastAsia" w:ascii="宋体" w:hAnsi="宋体" w:eastAsia="宋体" w:cs="宋体"/>
                <w:color w:val="auto"/>
                <w:spacing w:val="-10"/>
                <w:w w:val="110"/>
                <w:sz w:val="24"/>
                <w:szCs w:val="24"/>
                <w:lang w:eastAsia="zh-CN"/>
              </w:rPr>
              <w:t>1</w:t>
            </w:r>
          </w:p>
        </w:tc>
        <w:tc>
          <w:tcPr>
            <w:tcW w:w="2173" w:type="dxa"/>
            <w:vAlign w:val="center"/>
          </w:tcPr>
          <w:p w14:paraId="787C3DCB">
            <w:pPr>
              <w:widowControl w:val="0"/>
              <w:kinsoku/>
              <w:adjustRightInd/>
              <w:spacing w:before="20" w:after="20" w:line="240" w:lineRule="auto"/>
              <w:ind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营业执照等证明</w:t>
            </w:r>
            <w:r>
              <w:rPr>
                <w:rFonts w:hint="eastAsia" w:ascii="宋体" w:hAnsi="宋体" w:eastAsia="宋体" w:cs="宋体"/>
                <w:color w:val="auto"/>
                <w:spacing w:val="-6"/>
                <w:sz w:val="24"/>
                <w:szCs w:val="24"/>
                <w:lang w:eastAsia="zh-CN"/>
              </w:rPr>
              <w:t>文件</w:t>
            </w:r>
          </w:p>
        </w:tc>
        <w:tc>
          <w:tcPr>
            <w:tcW w:w="5127" w:type="dxa"/>
            <w:vAlign w:val="center"/>
          </w:tcPr>
          <w:p w14:paraId="515B7C25">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2"/>
                <w:sz w:val="24"/>
                <w:szCs w:val="24"/>
                <w:lang w:eastAsia="zh-CN"/>
              </w:rPr>
              <w:t>供应商为企业（包括合伙企业）的，应提供</w:t>
            </w:r>
            <w:r>
              <w:rPr>
                <w:rFonts w:hint="eastAsia" w:ascii="宋体" w:hAnsi="宋体" w:eastAsia="宋体" w:cs="宋体"/>
                <w:color w:val="auto"/>
                <w:spacing w:val="10"/>
                <w:sz w:val="24"/>
                <w:szCs w:val="24"/>
                <w:lang w:eastAsia="zh-CN"/>
              </w:rPr>
              <w:t>有效的“营业执照”；</w:t>
            </w:r>
          </w:p>
          <w:p w14:paraId="3DB68AC2">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供应商为事业单位的，应提供有效的“事业单位法人证书”；</w:t>
            </w:r>
          </w:p>
          <w:p w14:paraId="1EF5FCDC">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供应商是非企业机构的，应提供有效的“执业许可证”、“登记证书”等证明文件；</w:t>
            </w:r>
          </w:p>
          <w:p w14:paraId="5DF2493B">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供应商是个体工商户的，应提供有效的“个体工商户营业执照”；</w:t>
            </w:r>
          </w:p>
          <w:p w14:paraId="32F036F3">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供应商是自然人的，应提供有效的自然人身份证明。</w:t>
            </w:r>
          </w:p>
          <w:p w14:paraId="4478CBF0">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w:t>
            </w:r>
          </w:p>
          <w:p w14:paraId="693490D9">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属法人/其他组织的有关文件或制度等能够证明授权其独立开展业务的证明材料。</w:t>
            </w:r>
          </w:p>
        </w:tc>
        <w:tc>
          <w:tcPr>
            <w:tcW w:w="1786" w:type="dxa"/>
            <w:vAlign w:val="center"/>
          </w:tcPr>
          <w:p w14:paraId="20A5CCCB">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需提供证明文件复印件并加盖供应商公章</w:t>
            </w:r>
          </w:p>
        </w:tc>
      </w:tr>
      <w:tr w14:paraId="0FDE9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22C5F5F8">
            <w:pPr>
              <w:widowControl w:val="0"/>
              <w:kinsoku/>
              <w:adjustRightInd/>
              <w:spacing w:before="20" w:after="20" w:line="240" w:lineRule="auto"/>
              <w:ind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1-</w:t>
            </w:r>
            <w:r>
              <w:rPr>
                <w:rFonts w:hint="eastAsia" w:ascii="宋体" w:hAnsi="宋体" w:eastAsia="宋体" w:cs="宋体"/>
                <w:color w:val="auto"/>
                <w:spacing w:val="-10"/>
                <w:w w:val="110"/>
                <w:sz w:val="24"/>
                <w:szCs w:val="24"/>
                <w:lang w:eastAsia="zh-CN"/>
              </w:rPr>
              <w:t>2</w:t>
            </w:r>
          </w:p>
        </w:tc>
        <w:tc>
          <w:tcPr>
            <w:tcW w:w="2173" w:type="dxa"/>
            <w:vAlign w:val="center"/>
          </w:tcPr>
          <w:p w14:paraId="1F79F679">
            <w:pPr>
              <w:widowControl w:val="0"/>
              <w:kinsoku/>
              <w:adjustRightInd/>
              <w:spacing w:before="20" w:after="20" w:line="240" w:lineRule="auto"/>
              <w:ind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供应商资格声明</w:t>
            </w:r>
            <w:r>
              <w:rPr>
                <w:rFonts w:hint="eastAsia" w:ascii="宋体" w:hAnsi="宋体" w:eastAsia="宋体" w:cs="宋体"/>
                <w:color w:val="auto"/>
                <w:spacing w:val="-10"/>
                <w:sz w:val="24"/>
                <w:szCs w:val="24"/>
                <w:lang w:eastAsia="zh-CN"/>
              </w:rPr>
              <w:t>书</w:t>
            </w:r>
          </w:p>
        </w:tc>
        <w:tc>
          <w:tcPr>
            <w:tcW w:w="5127" w:type="dxa"/>
            <w:vAlign w:val="center"/>
          </w:tcPr>
          <w:p w14:paraId="24F14F75">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提供了符合</w:t>
            </w:r>
            <w:r>
              <w:rPr>
                <w:rFonts w:hint="eastAsia" w:ascii="宋体" w:hAnsi="宋体" w:cs="宋体"/>
                <w:color w:val="auto"/>
                <w:spacing w:val="-2"/>
                <w:sz w:val="24"/>
                <w:szCs w:val="24"/>
                <w:lang w:eastAsia="zh-CN"/>
              </w:rPr>
              <w:t>投标</w:t>
            </w:r>
            <w:r>
              <w:rPr>
                <w:rFonts w:hint="eastAsia" w:ascii="宋体" w:hAnsi="宋体" w:eastAsia="宋体" w:cs="宋体"/>
                <w:color w:val="auto"/>
                <w:spacing w:val="-2"/>
                <w:sz w:val="24"/>
                <w:szCs w:val="24"/>
                <w:lang w:eastAsia="zh-CN"/>
              </w:rPr>
              <w:t>文件要求的《供应商资格声</w:t>
            </w:r>
            <w:r>
              <w:rPr>
                <w:rFonts w:hint="eastAsia" w:ascii="宋体" w:hAnsi="宋体" w:eastAsia="宋体" w:cs="宋体"/>
                <w:color w:val="auto"/>
                <w:spacing w:val="-34"/>
                <w:sz w:val="24"/>
                <w:szCs w:val="24"/>
                <w:lang w:eastAsia="zh-CN"/>
              </w:rPr>
              <w:t>明书》。</w:t>
            </w:r>
          </w:p>
        </w:tc>
        <w:tc>
          <w:tcPr>
            <w:tcW w:w="1786" w:type="dxa"/>
            <w:vAlign w:val="center"/>
          </w:tcPr>
          <w:p w14:paraId="58820AA1">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格式见《</w:t>
            </w:r>
            <w:r>
              <w:rPr>
                <w:rFonts w:hint="eastAsia" w:ascii="宋体" w:hAnsi="宋体" w:cs="宋体"/>
                <w:color w:val="auto"/>
                <w:spacing w:val="-4"/>
                <w:sz w:val="24"/>
                <w:szCs w:val="24"/>
                <w:lang w:eastAsia="zh-CN"/>
              </w:rPr>
              <w:t>投标文件</w:t>
            </w:r>
            <w:r>
              <w:rPr>
                <w:rFonts w:hint="eastAsia" w:ascii="宋体" w:hAnsi="宋体" w:eastAsia="宋体" w:cs="宋体"/>
                <w:color w:val="auto"/>
                <w:spacing w:val="-2"/>
                <w:sz w:val="24"/>
                <w:szCs w:val="24"/>
                <w:lang w:eastAsia="zh-CN"/>
              </w:rPr>
              <w:t>格式》</w:t>
            </w:r>
          </w:p>
        </w:tc>
      </w:tr>
      <w:tr w14:paraId="51901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690C209A">
            <w:pPr>
              <w:widowControl w:val="0"/>
              <w:kinsoku/>
              <w:adjustRightInd/>
              <w:spacing w:before="20" w:after="20" w:line="240" w:lineRule="auto"/>
              <w:ind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1-</w:t>
            </w:r>
            <w:r>
              <w:rPr>
                <w:rFonts w:hint="eastAsia" w:ascii="宋体" w:hAnsi="宋体" w:eastAsia="宋体" w:cs="宋体"/>
                <w:color w:val="auto"/>
                <w:spacing w:val="-10"/>
                <w:w w:val="110"/>
                <w:sz w:val="24"/>
                <w:szCs w:val="24"/>
                <w:lang w:eastAsia="zh-CN"/>
              </w:rPr>
              <w:t>3</w:t>
            </w:r>
          </w:p>
        </w:tc>
        <w:tc>
          <w:tcPr>
            <w:tcW w:w="2173" w:type="dxa"/>
            <w:vAlign w:val="center"/>
          </w:tcPr>
          <w:p w14:paraId="114B9954">
            <w:pPr>
              <w:widowControl w:val="0"/>
              <w:kinsoku/>
              <w:adjustRightInd/>
              <w:spacing w:before="20" w:after="20" w:line="240" w:lineRule="auto"/>
              <w:ind w:right="169"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供应商信用记录</w:t>
            </w:r>
          </w:p>
        </w:tc>
        <w:tc>
          <w:tcPr>
            <w:tcW w:w="5127" w:type="dxa"/>
            <w:vAlign w:val="center"/>
          </w:tcPr>
          <w:p w14:paraId="1C45D5C7">
            <w:pPr>
              <w:widowControl w:val="0"/>
              <w:tabs>
                <w:tab w:val="left" w:pos="1174"/>
                <w:tab w:val="left" w:pos="4483"/>
              </w:tabs>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查询渠道：信用中国网站和中国政府采购网</w:t>
            </w:r>
            <w:r>
              <w:rPr>
                <w:rFonts w:hint="eastAsia" w:ascii="宋体" w:hAnsi="宋体" w:eastAsia="宋体" w:cs="宋体"/>
                <w:color w:val="auto"/>
                <w:spacing w:val="-10"/>
                <w:w w:val="105"/>
                <w:sz w:val="24"/>
                <w:szCs w:val="24"/>
                <w:lang w:eastAsia="zh-CN"/>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\h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2"/>
                <w:w w:val="105"/>
                <w:sz w:val="24"/>
                <w:szCs w:val="24"/>
                <w:lang w:eastAsia="zh-CN"/>
              </w:rPr>
              <w:t>www.creditchina.gov.cn</w:t>
            </w:r>
            <w:r>
              <w:rPr>
                <w:rFonts w:hint="eastAsia" w:ascii="宋体" w:hAnsi="宋体" w:eastAsia="宋体" w:cs="宋体"/>
                <w:color w:val="auto"/>
                <w:spacing w:val="-2"/>
                <w:w w:val="105"/>
                <w:sz w:val="24"/>
                <w:szCs w:val="24"/>
                <w:lang w:eastAsia="zh-CN"/>
              </w:rPr>
              <w:fldChar w:fldCharType="end"/>
            </w:r>
            <w:r>
              <w:rPr>
                <w:rFonts w:hint="eastAsia" w:ascii="宋体" w:hAnsi="宋体" w:eastAsia="宋体" w:cs="宋体"/>
                <w:color w:val="auto"/>
                <w:spacing w:val="-10"/>
                <w:w w:val="105"/>
                <w:sz w:val="24"/>
                <w:szCs w:val="24"/>
                <w:lang w:eastAsia="zh-CN"/>
              </w:rPr>
              <w:t>、</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"http://www.ccgp.gov.cn/" \h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pacing w:val="6"/>
                <w:w w:val="111"/>
                <w:sz w:val="24"/>
                <w:szCs w:val="24"/>
                <w:lang w:eastAsia="zh-CN"/>
              </w:rPr>
              <w:t>ww</w:t>
            </w:r>
            <w:r>
              <w:rPr>
                <w:rFonts w:hint="eastAsia" w:ascii="宋体" w:hAnsi="宋体" w:eastAsia="宋体" w:cs="宋体"/>
                <w:color w:val="auto"/>
                <w:spacing w:val="-11"/>
                <w:w w:val="111"/>
                <w:sz w:val="24"/>
                <w:szCs w:val="24"/>
                <w:lang w:eastAsia="zh-CN"/>
              </w:rPr>
              <w:t>w</w:t>
            </w:r>
            <w:r>
              <w:rPr>
                <w:rFonts w:hint="eastAsia" w:ascii="宋体" w:hAnsi="宋体" w:eastAsia="宋体" w:cs="宋体"/>
                <w:color w:val="auto"/>
                <w:spacing w:val="7"/>
                <w:w w:val="112"/>
                <w:sz w:val="24"/>
                <w:szCs w:val="24"/>
                <w:lang w:eastAsia="zh-CN"/>
              </w:rPr>
              <w:t>.</w:t>
            </w:r>
            <w:r>
              <w:rPr>
                <w:rFonts w:hint="eastAsia" w:ascii="宋体" w:hAnsi="宋体" w:eastAsia="宋体" w:cs="宋体"/>
                <w:color w:val="auto"/>
                <w:spacing w:val="7"/>
                <w:w w:val="108"/>
                <w:sz w:val="24"/>
                <w:szCs w:val="24"/>
                <w:lang w:eastAsia="zh-CN"/>
              </w:rPr>
              <w:t>cc</w:t>
            </w:r>
            <w:r>
              <w:rPr>
                <w:rFonts w:hint="eastAsia" w:ascii="宋体" w:hAnsi="宋体" w:eastAsia="宋体" w:cs="宋体"/>
                <w:color w:val="auto"/>
                <w:spacing w:val="6"/>
                <w:w w:val="112"/>
                <w:sz w:val="24"/>
                <w:szCs w:val="24"/>
                <w:lang w:eastAsia="zh-CN"/>
              </w:rPr>
              <w:t>g</w:t>
            </w:r>
            <w:r>
              <w:rPr>
                <w:rFonts w:hint="eastAsia" w:ascii="宋体" w:hAnsi="宋体" w:eastAsia="宋体" w:cs="宋体"/>
                <w:color w:val="auto"/>
                <w:spacing w:val="8"/>
                <w:w w:val="112"/>
                <w:sz w:val="24"/>
                <w:szCs w:val="24"/>
                <w:lang w:eastAsia="zh-CN"/>
              </w:rPr>
              <w:t>p</w:t>
            </w:r>
            <w:r>
              <w:rPr>
                <w:rFonts w:hint="eastAsia" w:ascii="宋体" w:hAnsi="宋体" w:eastAsia="宋体" w:cs="宋体"/>
                <w:color w:val="auto"/>
                <w:spacing w:val="7"/>
                <w:w w:val="112"/>
                <w:sz w:val="24"/>
                <w:szCs w:val="24"/>
                <w:lang w:eastAsia="zh-CN"/>
              </w:rPr>
              <w:t>.</w:t>
            </w:r>
            <w:r>
              <w:rPr>
                <w:rFonts w:hint="eastAsia" w:ascii="宋体" w:hAnsi="宋体" w:eastAsia="宋体" w:cs="宋体"/>
                <w:color w:val="auto"/>
                <w:spacing w:val="6"/>
                <w:w w:val="112"/>
                <w:sz w:val="24"/>
                <w:szCs w:val="24"/>
                <w:lang w:eastAsia="zh-CN"/>
              </w:rPr>
              <w:t>g</w:t>
            </w:r>
            <w:r>
              <w:rPr>
                <w:rFonts w:hint="eastAsia" w:ascii="宋体" w:hAnsi="宋体" w:eastAsia="宋体" w:cs="宋体"/>
                <w:color w:val="auto"/>
                <w:spacing w:val="8"/>
                <w:w w:val="108"/>
                <w:sz w:val="24"/>
                <w:szCs w:val="24"/>
                <w:lang w:eastAsia="zh-CN"/>
              </w:rPr>
              <w:t>o</w:t>
            </w:r>
            <w:r>
              <w:rPr>
                <w:rFonts w:hint="eastAsia" w:ascii="宋体" w:hAnsi="宋体" w:eastAsia="宋体" w:cs="宋体"/>
                <w:color w:val="auto"/>
                <w:spacing w:val="-9"/>
                <w:w w:val="116"/>
                <w:sz w:val="24"/>
                <w:szCs w:val="24"/>
                <w:lang w:eastAsia="zh-CN"/>
              </w:rPr>
              <w:t>v</w:t>
            </w:r>
            <w:r>
              <w:rPr>
                <w:rFonts w:hint="eastAsia" w:ascii="宋体" w:hAnsi="宋体" w:eastAsia="宋体" w:cs="宋体"/>
                <w:color w:val="auto"/>
                <w:spacing w:val="7"/>
                <w:w w:val="112"/>
                <w:sz w:val="24"/>
                <w:szCs w:val="24"/>
                <w:lang w:eastAsia="zh-CN"/>
              </w:rPr>
              <w:t>.</w:t>
            </w:r>
            <w:r>
              <w:rPr>
                <w:rFonts w:hint="eastAsia" w:ascii="宋体" w:hAnsi="宋体" w:eastAsia="宋体" w:cs="宋体"/>
                <w:color w:val="auto"/>
                <w:spacing w:val="7"/>
                <w:w w:val="108"/>
                <w:sz w:val="24"/>
                <w:szCs w:val="24"/>
                <w:lang w:eastAsia="zh-CN"/>
              </w:rPr>
              <w:t>c</w:t>
            </w:r>
            <w:r>
              <w:rPr>
                <w:rFonts w:hint="eastAsia" w:ascii="宋体" w:hAnsi="宋体" w:eastAsia="宋体" w:cs="宋体"/>
                <w:color w:val="auto"/>
                <w:spacing w:val="6"/>
                <w:w w:val="112"/>
                <w:sz w:val="24"/>
                <w:szCs w:val="24"/>
                <w:lang w:eastAsia="zh-CN"/>
              </w:rPr>
              <w:t>n</w:t>
            </w:r>
            <w:r>
              <w:rPr>
                <w:rFonts w:hint="eastAsia" w:ascii="宋体" w:hAnsi="宋体" w:eastAsia="宋体" w:cs="宋体"/>
                <w:color w:val="auto"/>
                <w:spacing w:val="6"/>
                <w:w w:val="112"/>
                <w:sz w:val="24"/>
                <w:szCs w:val="24"/>
                <w:lang w:eastAsia="zh-CN"/>
              </w:rPr>
              <w:fldChar w:fldCharType="end"/>
            </w:r>
            <w:r>
              <w:rPr>
                <w:rFonts w:hint="eastAsia" w:ascii="宋体" w:hAnsi="宋体" w:eastAsia="宋体" w:cs="宋体"/>
                <w:color w:val="auto"/>
                <w:spacing w:val="-113"/>
                <w:w w:val="99"/>
                <w:sz w:val="24"/>
                <w:szCs w:val="24"/>
                <w:lang w:eastAsia="zh-CN"/>
              </w:rPr>
              <w:t>）</w:t>
            </w:r>
            <w:r>
              <w:rPr>
                <w:rFonts w:hint="eastAsia" w:ascii="宋体" w:hAnsi="宋体" w:eastAsia="宋体" w:cs="宋体"/>
                <w:color w:val="auto"/>
                <w:spacing w:val="7"/>
                <w:w w:val="99"/>
                <w:sz w:val="24"/>
                <w:szCs w:val="24"/>
                <w:lang w:eastAsia="zh-CN"/>
              </w:rPr>
              <w:t>；</w:t>
            </w:r>
          </w:p>
          <w:p w14:paraId="3E26F7DA">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77FF47C0">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信用信息的使用原则：经认定的被列入失信被执行人、重大税收违法案件当事人名单、政府采购严重违法失信行为记录名单的供应商，其响应无效。联合体形式</w:t>
            </w:r>
            <w:r>
              <w:rPr>
                <w:rFonts w:hint="eastAsia" w:ascii="宋体" w:hAnsi="宋体" w:cs="宋体"/>
                <w:color w:val="auto"/>
                <w:spacing w:val="-2"/>
                <w:sz w:val="24"/>
                <w:szCs w:val="24"/>
                <w:lang w:eastAsia="zh-CN"/>
              </w:rPr>
              <w:t>投标</w:t>
            </w:r>
            <w:r>
              <w:rPr>
                <w:rFonts w:hint="eastAsia" w:ascii="宋体" w:hAnsi="宋体" w:eastAsia="宋体" w:cs="宋体"/>
                <w:color w:val="auto"/>
                <w:spacing w:val="-2"/>
                <w:sz w:val="24"/>
                <w:szCs w:val="24"/>
                <w:lang w:eastAsia="zh-CN"/>
              </w:rPr>
              <w:t>的，联合</w:t>
            </w:r>
            <w:r>
              <w:rPr>
                <w:rFonts w:hint="eastAsia" w:ascii="宋体" w:hAnsi="宋体" w:eastAsia="宋体" w:cs="宋体"/>
                <w:color w:val="auto"/>
                <w:spacing w:val="-1"/>
                <w:sz w:val="24"/>
                <w:szCs w:val="24"/>
                <w:lang w:eastAsia="zh-CN"/>
              </w:rPr>
              <w:t>体成员存在不良信用记录，视同联合体存在</w:t>
            </w:r>
            <w:r>
              <w:rPr>
                <w:rFonts w:hint="eastAsia" w:ascii="宋体" w:hAnsi="宋体" w:eastAsia="宋体" w:cs="宋体"/>
                <w:color w:val="auto"/>
                <w:spacing w:val="-2"/>
                <w:sz w:val="24"/>
                <w:szCs w:val="24"/>
                <w:lang w:eastAsia="zh-CN"/>
              </w:rPr>
              <w:t>不良信用记录。</w:t>
            </w:r>
          </w:p>
        </w:tc>
        <w:tc>
          <w:tcPr>
            <w:tcW w:w="1786" w:type="dxa"/>
            <w:vAlign w:val="center"/>
          </w:tcPr>
          <w:p w14:paraId="17707DA0">
            <w:pPr>
              <w:widowControl w:val="0"/>
              <w:kinsoku/>
              <w:adjustRightInd/>
              <w:spacing w:before="20" w:after="20" w:line="240" w:lineRule="auto"/>
              <w:ind w:left="95" w:right="84"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2"/>
                <w:sz w:val="24"/>
                <w:szCs w:val="24"/>
                <w:lang w:eastAsia="zh-CN"/>
              </w:rPr>
              <w:t>无须供应商</w:t>
            </w:r>
            <w:r>
              <w:rPr>
                <w:rFonts w:hint="eastAsia" w:ascii="宋体" w:hAnsi="宋体" w:eastAsia="宋体" w:cs="宋体"/>
                <w:color w:val="auto"/>
                <w:spacing w:val="-2"/>
                <w:sz w:val="24"/>
                <w:szCs w:val="24"/>
                <w:lang w:eastAsia="zh-CN"/>
              </w:rPr>
              <w:t>提供，由</w:t>
            </w:r>
            <w:r>
              <w:rPr>
                <w:rFonts w:hint="eastAsia" w:ascii="宋体" w:hAnsi="宋体" w:eastAsia="宋体" w:cs="宋体"/>
                <w:color w:val="auto"/>
                <w:spacing w:val="42"/>
                <w:sz w:val="24"/>
                <w:szCs w:val="24"/>
                <w:lang w:eastAsia="zh-CN"/>
              </w:rPr>
              <w:t>采购代</w:t>
            </w:r>
            <w:r>
              <w:rPr>
                <w:rFonts w:hint="eastAsia" w:ascii="宋体" w:hAnsi="宋体" w:eastAsia="宋体" w:cs="宋体"/>
                <w:color w:val="auto"/>
                <w:spacing w:val="-2"/>
                <w:sz w:val="24"/>
                <w:szCs w:val="24"/>
                <w:lang w:eastAsia="zh-CN"/>
              </w:rPr>
              <w:t>理机构查询。</w:t>
            </w:r>
          </w:p>
        </w:tc>
      </w:tr>
      <w:tr w14:paraId="67D8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1F52A889">
            <w:pPr>
              <w:widowControl w:val="0"/>
              <w:kinsoku/>
              <w:adjustRightInd/>
              <w:spacing w:before="20" w:after="20" w:line="240" w:lineRule="auto"/>
              <w:ind w:left="164"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1-</w:t>
            </w:r>
            <w:r>
              <w:rPr>
                <w:rFonts w:hint="eastAsia" w:ascii="宋体" w:hAnsi="宋体" w:eastAsia="宋体" w:cs="宋体"/>
                <w:color w:val="auto"/>
                <w:spacing w:val="-10"/>
                <w:w w:val="110"/>
                <w:sz w:val="24"/>
                <w:szCs w:val="24"/>
                <w:lang w:eastAsia="zh-CN"/>
              </w:rPr>
              <w:t>4</w:t>
            </w:r>
          </w:p>
        </w:tc>
        <w:tc>
          <w:tcPr>
            <w:tcW w:w="2173" w:type="dxa"/>
            <w:vAlign w:val="center"/>
          </w:tcPr>
          <w:p w14:paraId="411845F1">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法律、行政法规</w:t>
            </w:r>
            <w:r>
              <w:rPr>
                <w:rFonts w:hint="eastAsia" w:ascii="宋体" w:hAnsi="宋体" w:eastAsia="宋体" w:cs="宋体"/>
                <w:color w:val="auto"/>
                <w:spacing w:val="-2"/>
                <w:sz w:val="24"/>
                <w:szCs w:val="24"/>
                <w:lang w:eastAsia="zh-CN"/>
              </w:rPr>
              <w:t>规定的其他条件</w:t>
            </w:r>
          </w:p>
        </w:tc>
        <w:tc>
          <w:tcPr>
            <w:tcW w:w="5127" w:type="dxa"/>
            <w:vAlign w:val="center"/>
          </w:tcPr>
          <w:p w14:paraId="5B4014E7">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法律、行政法规规定的其他条件</w:t>
            </w:r>
          </w:p>
        </w:tc>
        <w:tc>
          <w:tcPr>
            <w:tcW w:w="1786" w:type="dxa"/>
            <w:vAlign w:val="center"/>
          </w:tcPr>
          <w:p w14:paraId="446EC067">
            <w:pPr>
              <w:widowControl w:val="0"/>
              <w:kinsoku/>
              <w:adjustRightInd/>
              <w:spacing w:before="20" w:after="20" w:line="240" w:lineRule="auto"/>
              <w:ind w:left="7"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21"/>
                <w:sz w:val="24"/>
                <w:szCs w:val="24"/>
                <w:lang w:eastAsia="zh-CN"/>
              </w:rPr>
              <w:t>/</w:t>
            </w:r>
          </w:p>
        </w:tc>
      </w:tr>
      <w:tr w14:paraId="46018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662FD76A">
            <w:pPr>
              <w:widowControl w:val="0"/>
              <w:kinsoku/>
              <w:adjustRightInd/>
              <w:spacing w:before="20" w:after="20" w:line="240" w:lineRule="auto"/>
              <w:ind w:left="9"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4"/>
                <w:sz w:val="24"/>
                <w:szCs w:val="24"/>
                <w:lang w:eastAsia="zh-CN"/>
              </w:rPr>
              <w:t>2</w:t>
            </w:r>
          </w:p>
        </w:tc>
        <w:tc>
          <w:tcPr>
            <w:tcW w:w="2173" w:type="dxa"/>
            <w:vAlign w:val="center"/>
          </w:tcPr>
          <w:p w14:paraId="5467E2F6">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落实政府采购政策需满足的资格</w:t>
            </w:r>
            <w:r>
              <w:rPr>
                <w:rFonts w:hint="eastAsia" w:ascii="宋体" w:hAnsi="宋体" w:eastAsia="宋体" w:cs="宋体"/>
                <w:color w:val="auto"/>
                <w:spacing w:val="-5"/>
                <w:sz w:val="24"/>
                <w:szCs w:val="24"/>
                <w:lang w:eastAsia="zh-CN"/>
              </w:rPr>
              <w:t>要求</w:t>
            </w:r>
          </w:p>
        </w:tc>
        <w:tc>
          <w:tcPr>
            <w:tcW w:w="5127" w:type="dxa"/>
            <w:vAlign w:val="center"/>
          </w:tcPr>
          <w:p w14:paraId="307ACEF6">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具体要求见第一章《采购邀请》</w:t>
            </w:r>
          </w:p>
        </w:tc>
        <w:tc>
          <w:tcPr>
            <w:tcW w:w="1786" w:type="dxa"/>
            <w:vAlign w:val="center"/>
          </w:tcPr>
          <w:p w14:paraId="726273CE">
            <w:pPr>
              <w:widowControl w:val="0"/>
              <w:kinsoku/>
              <w:adjustRightInd/>
              <w:spacing w:before="20" w:after="20" w:line="240" w:lineRule="auto"/>
              <w:ind w:firstLine="0" w:firstLineChars="0"/>
              <w:jc w:val="both"/>
              <w:textAlignment w:val="auto"/>
              <w:rPr>
                <w:rFonts w:hint="eastAsia" w:ascii="宋体" w:hAnsi="宋体" w:eastAsia="宋体" w:cs="宋体"/>
                <w:color w:val="auto"/>
                <w:sz w:val="24"/>
                <w:szCs w:val="24"/>
                <w:lang w:eastAsia="zh-CN"/>
              </w:rPr>
            </w:pPr>
          </w:p>
        </w:tc>
      </w:tr>
      <w:tr w14:paraId="0CDD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43C253A1">
            <w:pPr>
              <w:widowControl w:val="0"/>
              <w:kinsoku/>
              <w:adjustRightInd/>
              <w:spacing w:before="20" w:after="20" w:line="240" w:lineRule="auto"/>
              <w:ind w:left="164"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2-</w:t>
            </w:r>
            <w:r>
              <w:rPr>
                <w:rFonts w:hint="eastAsia" w:ascii="宋体" w:hAnsi="宋体" w:eastAsia="宋体" w:cs="宋体"/>
                <w:color w:val="auto"/>
                <w:spacing w:val="-10"/>
                <w:w w:val="110"/>
                <w:sz w:val="24"/>
                <w:szCs w:val="24"/>
                <w:lang w:eastAsia="zh-CN"/>
              </w:rPr>
              <w:t>1</w:t>
            </w:r>
          </w:p>
        </w:tc>
        <w:tc>
          <w:tcPr>
            <w:tcW w:w="2173" w:type="dxa"/>
            <w:vAlign w:val="center"/>
          </w:tcPr>
          <w:p w14:paraId="110F10C5">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中小企业政策</w:t>
            </w:r>
          </w:p>
        </w:tc>
        <w:tc>
          <w:tcPr>
            <w:tcW w:w="5127" w:type="dxa"/>
            <w:vAlign w:val="center"/>
          </w:tcPr>
          <w:p w14:paraId="0A0321C6">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具体要求见第一章《采购邀请》</w:t>
            </w:r>
          </w:p>
        </w:tc>
        <w:tc>
          <w:tcPr>
            <w:tcW w:w="1786" w:type="dxa"/>
            <w:vAlign w:val="center"/>
          </w:tcPr>
          <w:p w14:paraId="353351FE">
            <w:pPr>
              <w:widowControl w:val="0"/>
              <w:kinsoku/>
              <w:adjustRightInd/>
              <w:spacing w:before="20" w:after="20" w:line="240" w:lineRule="auto"/>
              <w:ind w:firstLine="0" w:firstLineChars="0"/>
              <w:jc w:val="both"/>
              <w:textAlignment w:val="auto"/>
              <w:rPr>
                <w:rFonts w:hint="eastAsia" w:ascii="宋体" w:hAnsi="宋体" w:eastAsia="宋体" w:cs="宋体"/>
                <w:color w:val="auto"/>
                <w:sz w:val="24"/>
                <w:szCs w:val="24"/>
                <w:lang w:eastAsia="zh-CN"/>
              </w:rPr>
            </w:pPr>
          </w:p>
        </w:tc>
      </w:tr>
      <w:tr w14:paraId="3706D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1FBD63BB">
            <w:pPr>
              <w:widowControl w:val="0"/>
              <w:kinsoku/>
              <w:adjustRightInd/>
              <w:spacing w:before="20" w:after="20" w:line="240" w:lineRule="auto"/>
              <w:ind w:left="165"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2-</w:t>
            </w:r>
            <w:r>
              <w:rPr>
                <w:rFonts w:hint="eastAsia" w:ascii="宋体" w:hAnsi="宋体" w:eastAsia="宋体" w:cs="宋体"/>
                <w:color w:val="auto"/>
                <w:spacing w:val="-5"/>
                <w:w w:val="110"/>
                <w:sz w:val="24"/>
                <w:szCs w:val="24"/>
                <w:lang w:eastAsia="zh-CN"/>
              </w:rPr>
              <w:t>1-</w:t>
            </w:r>
            <w:r>
              <w:rPr>
                <w:rFonts w:hint="eastAsia" w:ascii="宋体" w:hAnsi="宋体" w:eastAsia="宋体" w:cs="宋体"/>
                <w:color w:val="auto"/>
                <w:w w:val="114"/>
                <w:sz w:val="24"/>
                <w:szCs w:val="24"/>
                <w:lang w:eastAsia="zh-CN"/>
              </w:rPr>
              <w:t>1</w:t>
            </w:r>
          </w:p>
        </w:tc>
        <w:tc>
          <w:tcPr>
            <w:tcW w:w="2173" w:type="dxa"/>
            <w:vAlign w:val="center"/>
          </w:tcPr>
          <w:p w14:paraId="3FA7BD72">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中小企业证明文</w:t>
            </w:r>
            <w:r>
              <w:rPr>
                <w:rFonts w:hint="eastAsia" w:ascii="宋体" w:hAnsi="宋体" w:eastAsia="宋体" w:cs="宋体"/>
                <w:color w:val="auto"/>
                <w:spacing w:val="-10"/>
                <w:sz w:val="24"/>
                <w:szCs w:val="24"/>
                <w:lang w:eastAsia="zh-CN"/>
              </w:rPr>
              <w:t>件</w:t>
            </w:r>
          </w:p>
        </w:tc>
        <w:tc>
          <w:tcPr>
            <w:tcW w:w="5127" w:type="dxa"/>
            <w:vAlign w:val="center"/>
          </w:tcPr>
          <w:p w14:paraId="211BA751">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当本项目（包）涉及预留份额专门面向中小企业采购，</w:t>
            </w:r>
            <w:r>
              <w:rPr>
                <w:rFonts w:hint="eastAsia" w:ascii="宋体" w:hAnsi="宋体" w:eastAsia="宋体" w:cs="宋体"/>
                <w:color w:val="auto"/>
                <w:spacing w:val="-4"/>
                <w:sz w:val="24"/>
                <w:szCs w:val="24"/>
                <w:lang w:eastAsia="zh-CN"/>
              </w:rPr>
              <w:t>提供如下资料：</w:t>
            </w:r>
          </w:p>
          <w:p w14:paraId="3CEE8D4B">
            <w:pPr>
              <w:widowControl w:val="0"/>
              <w:kinsoku/>
              <w:adjustRightInd/>
              <w:spacing w:before="20" w:after="20" w:line="240" w:lineRule="auto"/>
              <w:ind w:left="108" w:right="94"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1、供应商单独响应的，应提供《中小企业声</w:t>
            </w:r>
            <w:r>
              <w:rPr>
                <w:rFonts w:hint="eastAsia" w:ascii="宋体" w:hAnsi="宋体" w:eastAsia="宋体" w:cs="宋体"/>
                <w:color w:val="auto"/>
                <w:spacing w:val="-2"/>
                <w:sz w:val="24"/>
                <w:szCs w:val="24"/>
                <w:lang w:eastAsia="zh-CN"/>
              </w:rPr>
              <w:t>明函》或《残疾人福利性单位声明函》或由省级以上监狱管理局、戒毒管理局（含新疆生产建设兵团）出具的属于监狱企业的证明</w:t>
            </w:r>
            <w:r>
              <w:rPr>
                <w:rFonts w:hint="eastAsia" w:ascii="宋体" w:hAnsi="宋体" w:eastAsia="宋体" w:cs="宋体"/>
                <w:color w:val="auto"/>
                <w:spacing w:val="-4"/>
                <w:sz w:val="24"/>
                <w:szCs w:val="24"/>
                <w:lang w:eastAsia="zh-CN"/>
              </w:rPr>
              <w:t>文件。</w:t>
            </w:r>
          </w:p>
          <w:p w14:paraId="26AF38EF">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w:t>
            </w:r>
            <w:r>
              <w:rPr>
                <w:rFonts w:hint="eastAsia" w:ascii="宋体" w:hAnsi="宋体" w:eastAsia="宋体" w:cs="宋体"/>
                <w:color w:val="auto"/>
                <w:spacing w:val="-13"/>
                <w:sz w:val="24"/>
                <w:szCs w:val="24"/>
                <w:lang w:eastAsia="zh-CN"/>
              </w:rPr>
              <w:t>、如</w:t>
            </w:r>
            <w:r>
              <w:rPr>
                <w:rFonts w:hint="eastAsia" w:ascii="宋体" w:hAnsi="宋体" w:cs="宋体"/>
                <w:color w:val="auto"/>
                <w:spacing w:val="-13"/>
                <w:sz w:val="24"/>
                <w:szCs w:val="24"/>
                <w:lang w:eastAsia="zh-CN"/>
              </w:rPr>
              <w:t>投标</w:t>
            </w:r>
            <w:r>
              <w:rPr>
                <w:rFonts w:hint="eastAsia" w:ascii="宋体" w:hAnsi="宋体" w:eastAsia="宋体" w:cs="宋体"/>
                <w:color w:val="auto"/>
                <w:spacing w:val="-13"/>
                <w:sz w:val="24"/>
                <w:szCs w:val="24"/>
                <w:lang w:eastAsia="zh-CN"/>
              </w:rPr>
              <w:t>文件要求以联合体形式参加或者要</w:t>
            </w:r>
            <w:r>
              <w:rPr>
                <w:rFonts w:hint="eastAsia" w:ascii="宋体" w:hAnsi="宋体" w:eastAsia="宋体" w:cs="宋体"/>
                <w:color w:val="auto"/>
                <w:spacing w:val="-2"/>
                <w:sz w:val="24"/>
                <w:szCs w:val="24"/>
                <w:lang w:eastAsia="zh-CN"/>
              </w:rPr>
              <w:t>求合同分包的，且供应商为联合体或拟进行合同分包的，则联合体中的中小企业、签订分包意向协议的中小企业具体情况须在《中小企业声明函》或《残疾人福利性单位声明</w:t>
            </w:r>
            <w:r>
              <w:rPr>
                <w:rFonts w:hint="eastAsia" w:ascii="宋体" w:hAnsi="宋体" w:eastAsia="宋体" w:cs="宋体"/>
                <w:color w:val="auto"/>
                <w:spacing w:val="-1"/>
                <w:sz w:val="24"/>
                <w:szCs w:val="24"/>
                <w:lang w:eastAsia="zh-CN"/>
              </w:rPr>
              <w:t>函》或由省级以上监狱管理局、戒毒管理局</w:t>
            </w:r>
            <w:r>
              <w:rPr>
                <w:rFonts w:hint="eastAsia" w:ascii="宋体" w:hAnsi="宋体" w:eastAsia="宋体" w:cs="宋体"/>
                <w:color w:val="auto"/>
                <w:spacing w:val="-2"/>
                <w:sz w:val="24"/>
                <w:szCs w:val="24"/>
                <w:lang w:eastAsia="zh-CN"/>
              </w:rPr>
              <w:t>（含新疆生产建设兵团）出具的属于监狱企</w:t>
            </w:r>
            <w:r>
              <w:rPr>
                <w:rFonts w:hint="eastAsia" w:ascii="宋体" w:hAnsi="宋体" w:eastAsia="宋体" w:cs="宋体"/>
                <w:color w:val="auto"/>
                <w:spacing w:val="-1"/>
                <w:sz w:val="24"/>
                <w:szCs w:val="24"/>
                <w:lang w:eastAsia="zh-CN"/>
              </w:rPr>
              <w:t>业的证明文件中如实填报，且满足采购文件关于预留份额的要求。</w:t>
            </w:r>
          </w:p>
        </w:tc>
        <w:tc>
          <w:tcPr>
            <w:tcW w:w="1786" w:type="dxa"/>
            <w:vAlign w:val="center"/>
          </w:tcPr>
          <w:p w14:paraId="2B27F5A1">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格式见《</w:t>
            </w:r>
            <w:r>
              <w:rPr>
                <w:rFonts w:hint="eastAsia" w:ascii="宋体" w:hAnsi="宋体" w:cs="宋体"/>
                <w:color w:val="auto"/>
                <w:spacing w:val="-4"/>
                <w:sz w:val="24"/>
                <w:szCs w:val="24"/>
                <w:lang w:eastAsia="zh-CN"/>
              </w:rPr>
              <w:t>投标文件</w:t>
            </w:r>
            <w:r>
              <w:rPr>
                <w:rFonts w:hint="eastAsia" w:ascii="宋体" w:hAnsi="宋体" w:eastAsia="宋体" w:cs="宋体"/>
                <w:color w:val="auto"/>
                <w:spacing w:val="-2"/>
                <w:sz w:val="24"/>
                <w:szCs w:val="24"/>
                <w:lang w:eastAsia="zh-CN"/>
              </w:rPr>
              <w:t>格式》</w:t>
            </w:r>
          </w:p>
        </w:tc>
      </w:tr>
      <w:tr w14:paraId="47635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1D302D61">
            <w:pPr>
              <w:widowControl w:val="0"/>
              <w:kinsoku/>
              <w:adjustRightInd/>
              <w:spacing w:before="20" w:after="20" w:line="240" w:lineRule="auto"/>
              <w:ind w:left="165"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2-</w:t>
            </w:r>
            <w:r>
              <w:rPr>
                <w:rFonts w:hint="eastAsia" w:ascii="宋体" w:hAnsi="宋体" w:eastAsia="宋体" w:cs="宋体"/>
                <w:color w:val="auto"/>
                <w:spacing w:val="-5"/>
                <w:w w:val="110"/>
                <w:sz w:val="24"/>
                <w:szCs w:val="24"/>
                <w:lang w:eastAsia="zh-CN"/>
              </w:rPr>
              <w:t>1-</w:t>
            </w:r>
            <w:r>
              <w:rPr>
                <w:rFonts w:hint="eastAsia" w:ascii="宋体" w:hAnsi="宋体" w:eastAsia="宋体" w:cs="宋体"/>
                <w:color w:val="auto"/>
                <w:w w:val="114"/>
                <w:sz w:val="24"/>
                <w:szCs w:val="24"/>
                <w:lang w:eastAsia="zh-CN"/>
              </w:rPr>
              <w:t>2</w:t>
            </w:r>
          </w:p>
        </w:tc>
        <w:tc>
          <w:tcPr>
            <w:tcW w:w="2173" w:type="dxa"/>
            <w:vAlign w:val="center"/>
          </w:tcPr>
          <w:p w14:paraId="5C4995A3">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拟分包情况说明</w:t>
            </w:r>
            <w:r>
              <w:rPr>
                <w:rFonts w:hint="eastAsia" w:ascii="宋体" w:hAnsi="宋体" w:eastAsia="宋体" w:cs="宋体"/>
                <w:color w:val="auto"/>
                <w:spacing w:val="-2"/>
                <w:sz w:val="24"/>
                <w:szCs w:val="24"/>
                <w:lang w:eastAsia="zh-CN"/>
              </w:rPr>
              <w:t>及分包意向协议</w:t>
            </w:r>
          </w:p>
        </w:tc>
        <w:tc>
          <w:tcPr>
            <w:tcW w:w="5127" w:type="dxa"/>
            <w:vAlign w:val="center"/>
          </w:tcPr>
          <w:p w14:paraId="0DFE7F49">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如本项目（包）要求通过分包措施预留部分采购份额面向中小企业采购、且供应商因落实政府采购政策拟进行分包的，必须提供；否则无须提供。</w:t>
            </w:r>
          </w:p>
          <w:p w14:paraId="7765CAAA">
            <w:pPr>
              <w:widowControl w:val="0"/>
              <w:kinsoku/>
              <w:adjustRightInd/>
              <w:spacing w:before="20" w:after="20" w:line="240" w:lineRule="auto"/>
              <w:ind w:left="108" w:firstLine="0" w:firstLineChars="0"/>
              <w:jc w:val="both"/>
              <w:textAlignment w:val="auto"/>
              <w:rPr>
                <w:rFonts w:hint="eastAsia" w:ascii="宋体" w:hAnsi="宋体" w:eastAsia="宋体" w:cs="宋体"/>
                <w:color w:val="auto"/>
                <w:spacing w:val="-11"/>
                <w:sz w:val="24"/>
                <w:szCs w:val="24"/>
                <w:lang w:eastAsia="zh-CN"/>
              </w:rPr>
            </w:pPr>
            <w:r>
              <w:rPr>
                <w:rFonts w:hint="eastAsia" w:ascii="宋体" w:hAnsi="宋体" w:eastAsia="宋体" w:cs="宋体"/>
                <w:color w:val="auto"/>
                <w:spacing w:val="-1"/>
                <w:sz w:val="24"/>
                <w:szCs w:val="24"/>
                <w:lang w:eastAsia="zh-CN"/>
              </w:rPr>
              <w:t>对于预留份额专门面向中小企业采购的项目</w:t>
            </w:r>
            <w:r>
              <w:rPr>
                <w:rFonts w:hint="eastAsia" w:ascii="宋体" w:hAnsi="宋体" w:eastAsia="宋体" w:cs="宋体"/>
                <w:color w:val="auto"/>
                <w:sz w:val="24"/>
                <w:szCs w:val="24"/>
                <w:lang w:eastAsia="zh-CN"/>
              </w:rPr>
              <w:t>（包</w:t>
            </w:r>
            <w:r>
              <w:rPr>
                <w:rFonts w:hint="eastAsia" w:ascii="宋体" w:hAnsi="宋体" w:eastAsia="宋体" w:cs="宋体"/>
                <w:color w:val="auto"/>
                <w:spacing w:val="-98"/>
                <w:sz w:val="24"/>
                <w:szCs w:val="24"/>
                <w:lang w:eastAsia="zh-CN"/>
              </w:rPr>
              <w:t>）</w:t>
            </w:r>
            <w:r>
              <w:rPr>
                <w:rFonts w:hint="eastAsia" w:ascii="宋体" w:hAnsi="宋体" w:eastAsia="宋体" w:cs="宋体"/>
                <w:color w:val="auto"/>
                <w:spacing w:val="-11"/>
                <w:sz w:val="24"/>
                <w:szCs w:val="24"/>
                <w:lang w:eastAsia="zh-CN"/>
              </w:rPr>
              <w:t>，组成联合体或者接受分包合同的中小</w:t>
            </w:r>
            <w:r>
              <w:rPr>
                <w:rFonts w:hint="eastAsia" w:ascii="宋体" w:hAnsi="宋体" w:eastAsia="宋体" w:cs="宋体"/>
                <w:color w:val="auto"/>
                <w:spacing w:val="-2"/>
                <w:sz w:val="24"/>
                <w:szCs w:val="24"/>
                <w:lang w:eastAsia="zh-CN"/>
              </w:rPr>
              <w:t>企业与联合体内其他企业、分包企业之间不得存在直接控股、管理关系。</w:t>
            </w:r>
          </w:p>
        </w:tc>
        <w:tc>
          <w:tcPr>
            <w:tcW w:w="1786" w:type="dxa"/>
            <w:vAlign w:val="center"/>
          </w:tcPr>
          <w:p w14:paraId="171CCFF9">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格式见《</w:t>
            </w:r>
            <w:r>
              <w:rPr>
                <w:rFonts w:hint="eastAsia" w:ascii="宋体" w:hAnsi="宋体" w:cs="宋体"/>
                <w:color w:val="auto"/>
                <w:spacing w:val="-4"/>
                <w:sz w:val="24"/>
                <w:szCs w:val="24"/>
                <w:lang w:eastAsia="zh-CN"/>
              </w:rPr>
              <w:t>投标文件</w:t>
            </w:r>
            <w:r>
              <w:rPr>
                <w:rFonts w:hint="eastAsia" w:ascii="宋体" w:hAnsi="宋体" w:eastAsia="宋体" w:cs="宋体"/>
                <w:color w:val="auto"/>
                <w:spacing w:val="-2"/>
                <w:sz w:val="24"/>
                <w:szCs w:val="24"/>
                <w:lang w:eastAsia="zh-CN"/>
              </w:rPr>
              <w:t>格式》</w:t>
            </w:r>
          </w:p>
        </w:tc>
      </w:tr>
      <w:tr w14:paraId="0A988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486C9063">
            <w:pPr>
              <w:widowControl w:val="0"/>
              <w:kinsoku/>
              <w:adjustRightInd/>
              <w:spacing w:before="20" w:after="20" w:line="240" w:lineRule="auto"/>
              <w:ind w:left="164"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2-</w:t>
            </w:r>
            <w:r>
              <w:rPr>
                <w:rFonts w:hint="eastAsia" w:ascii="宋体" w:hAnsi="宋体" w:eastAsia="宋体" w:cs="宋体"/>
                <w:color w:val="auto"/>
                <w:spacing w:val="-10"/>
                <w:w w:val="110"/>
                <w:sz w:val="24"/>
                <w:szCs w:val="24"/>
                <w:lang w:eastAsia="zh-CN"/>
              </w:rPr>
              <w:t>2</w:t>
            </w:r>
          </w:p>
        </w:tc>
        <w:tc>
          <w:tcPr>
            <w:tcW w:w="2173" w:type="dxa"/>
            <w:vAlign w:val="center"/>
          </w:tcPr>
          <w:p w14:paraId="07EC00DB">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其它落实政府采购政策的资格要</w:t>
            </w:r>
            <w:r>
              <w:rPr>
                <w:rFonts w:hint="eastAsia" w:ascii="宋体" w:hAnsi="宋体" w:eastAsia="宋体" w:cs="宋体"/>
                <w:color w:val="auto"/>
                <w:sz w:val="24"/>
                <w:szCs w:val="24"/>
                <w:lang w:eastAsia="zh-CN"/>
              </w:rPr>
              <w:t>求</w:t>
            </w:r>
          </w:p>
        </w:tc>
        <w:tc>
          <w:tcPr>
            <w:tcW w:w="5127" w:type="dxa"/>
            <w:vAlign w:val="center"/>
          </w:tcPr>
          <w:p w14:paraId="03E991B4">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如有，见第一章《采购邀请》</w:t>
            </w:r>
          </w:p>
        </w:tc>
        <w:tc>
          <w:tcPr>
            <w:tcW w:w="1786" w:type="dxa"/>
            <w:vAlign w:val="center"/>
          </w:tcPr>
          <w:p w14:paraId="32874616">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p>
        </w:tc>
      </w:tr>
      <w:tr w14:paraId="3EFF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1977CF0C">
            <w:pPr>
              <w:widowControl w:val="0"/>
              <w:kinsoku/>
              <w:adjustRightInd/>
              <w:spacing w:before="20" w:after="20" w:line="240" w:lineRule="auto"/>
              <w:ind w:left="9"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4"/>
                <w:sz w:val="24"/>
                <w:szCs w:val="24"/>
                <w:lang w:eastAsia="zh-CN"/>
              </w:rPr>
              <w:t>3</w:t>
            </w:r>
          </w:p>
        </w:tc>
        <w:tc>
          <w:tcPr>
            <w:tcW w:w="2173" w:type="dxa"/>
            <w:vAlign w:val="center"/>
          </w:tcPr>
          <w:p w14:paraId="244EB768">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本项目的特定资</w:t>
            </w:r>
            <w:r>
              <w:rPr>
                <w:rFonts w:hint="eastAsia" w:ascii="宋体" w:hAnsi="宋体" w:eastAsia="宋体" w:cs="宋体"/>
                <w:color w:val="auto"/>
                <w:spacing w:val="-4"/>
                <w:sz w:val="24"/>
                <w:szCs w:val="24"/>
                <w:lang w:eastAsia="zh-CN"/>
              </w:rPr>
              <w:t>格要求</w:t>
            </w:r>
          </w:p>
        </w:tc>
        <w:tc>
          <w:tcPr>
            <w:tcW w:w="5127" w:type="dxa"/>
            <w:vAlign w:val="center"/>
          </w:tcPr>
          <w:p w14:paraId="7ADEE586">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如有，见第一章《采购邀请》</w:t>
            </w:r>
          </w:p>
        </w:tc>
        <w:tc>
          <w:tcPr>
            <w:tcW w:w="1786" w:type="dxa"/>
            <w:vAlign w:val="center"/>
          </w:tcPr>
          <w:p w14:paraId="5418303A">
            <w:pPr>
              <w:widowControl w:val="0"/>
              <w:kinsoku/>
              <w:adjustRightInd/>
              <w:spacing w:before="20" w:after="20" w:line="240" w:lineRule="auto"/>
              <w:ind w:firstLine="0" w:firstLineChars="0"/>
              <w:jc w:val="both"/>
              <w:textAlignment w:val="auto"/>
              <w:rPr>
                <w:rFonts w:hint="eastAsia" w:ascii="宋体" w:hAnsi="宋体" w:eastAsia="宋体" w:cs="宋体"/>
                <w:color w:val="auto"/>
                <w:sz w:val="24"/>
                <w:szCs w:val="24"/>
                <w:lang w:eastAsia="zh-CN"/>
              </w:rPr>
            </w:pPr>
          </w:p>
        </w:tc>
      </w:tr>
      <w:tr w14:paraId="01EA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58A17AA8">
            <w:pPr>
              <w:widowControl w:val="0"/>
              <w:kinsoku/>
              <w:adjustRightInd/>
              <w:spacing w:before="20" w:after="20" w:line="240" w:lineRule="auto"/>
              <w:ind w:left="164"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3-</w:t>
            </w:r>
            <w:r>
              <w:rPr>
                <w:rFonts w:hint="eastAsia" w:ascii="宋体" w:hAnsi="宋体" w:eastAsia="宋体" w:cs="宋体"/>
                <w:color w:val="auto"/>
                <w:spacing w:val="-10"/>
                <w:w w:val="110"/>
                <w:sz w:val="24"/>
                <w:szCs w:val="24"/>
                <w:lang w:eastAsia="zh-CN"/>
              </w:rPr>
              <w:t>1</w:t>
            </w:r>
          </w:p>
        </w:tc>
        <w:tc>
          <w:tcPr>
            <w:tcW w:w="2173" w:type="dxa"/>
            <w:vAlign w:val="center"/>
          </w:tcPr>
          <w:p w14:paraId="45EB7232">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本项目对于联合</w:t>
            </w:r>
            <w:r>
              <w:rPr>
                <w:rFonts w:hint="eastAsia" w:ascii="宋体" w:hAnsi="宋体" w:eastAsia="宋体" w:cs="宋体"/>
                <w:color w:val="auto"/>
                <w:spacing w:val="-4"/>
                <w:sz w:val="24"/>
                <w:szCs w:val="24"/>
                <w:lang w:eastAsia="zh-CN"/>
              </w:rPr>
              <w:t>体的要求</w:t>
            </w:r>
          </w:p>
        </w:tc>
        <w:tc>
          <w:tcPr>
            <w:tcW w:w="5127" w:type="dxa"/>
            <w:vAlign w:val="center"/>
          </w:tcPr>
          <w:p w14:paraId="7488C8F8">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w:t>
            </w:r>
            <w:r>
              <w:rPr>
                <w:rFonts w:hint="eastAsia" w:ascii="宋体" w:hAnsi="宋体" w:eastAsia="宋体" w:cs="宋体"/>
                <w:color w:val="auto"/>
                <w:spacing w:val="-14"/>
                <w:sz w:val="24"/>
                <w:szCs w:val="24"/>
                <w:lang w:eastAsia="zh-CN"/>
              </w:rPr>
              <w:t>、如本项目接受联合体</w:t>
            </w:r>
            <w:r>
              <w:rPr>
                <w:rFonts w:hint="eastAsia" w:ascii="宋体" w:hAnsi="宋体" w:cs="宋体"/>
                <w:color w:val="auto"/>
                <w:spacing w:val="-14"/>
                <w:sz w:val="24"/>
                <w:szCs w:val="24"/>
                <w:lang w:eastAsia="zh-CN"/>
              </w:rPr>
              <w:t>投标</w:t>
            </w:r>
            <w:r>
              <w:rPr>
                <w:rFonts w:hint="eastAsia" w:ascii="宋体" w:hAnsi="宋体" w:eastAsia="宋体" w:cs="宋体"/>
                <w:color w:val="auto"/>
                <w:spacing w:val="-14"/>
                <w:sz w:val="24"/>
                <w:szCs w:val="24"/>
                <w:lang w:eastAsia="zh-CN"/>
              </w:rPr>
              <w:t>，且供应商为联</w:t>
            </w:r>
            <w:r>
              <w:rPr>
                <w:rFonts w:hint="eastAsia" w:ascii="宋体" w:hAnsi="宋体" w:eastAsia="宋体" w:cs="宋体"/>
                <w:color w:val="auto"/>
                <w:spacing w:val="-15"/>
                <w:sz w:val="24"/>
                <w:szCs w:val="24"/>
                <w:lang w:eastAsia="zh-CN"/>
              </w:rPr>
              <w:t>合体时必须提供《联合协议》，明确各方拟承</w:t>
            </w:r>
            <w:r>
              <w:rPr>
                <w:rFonts w:hint="eastAsia" w:ascii="宋体" w:hAnsi="宋体" w:eastAsia="宋体" w:cs="宋体"/>
                <w:color w:val="auto"/>
                <w:spacing w:val="-2"/>
                <w:sz w:val="24"/>
                <w:szCs w:val="24"/>
                <w:lang w:eastAsia="zh-CN"/>
              </w:rPr>
              <w:t>担的工作和责任，并指定联合体牵头人，授权其代表所有联合体成员负责本项目</w:t>
            </w:r>
            <w:r>
              <w:rPr>
                <w:rFonts w:hint="eastAsia" w:ascii="宋体" w:hAnsi="宋体" w:cs="宋体"/>
                <w:color w:val="auto"/>
                <w:spacing w:val="-2"/>
                <w:sz w:val="24"/>
                <w:szCs w:val="24"/>
                <w:lang w:eastAsia="zh-CN"/>
              </w:rPr>
              <w:t>投标</w:t>
            </w:r>
            <w:r>
              <w:rPr>
                <w:rFonts w:hint="eastAsia" w:ascii="宋体" w:hAnsi="宋体" w:eastAsia="宋体" w:cs="宋体"/>
                <w:color w:val="auto"/>
                <w:spacing w:val="-2"/>
                <w:sz w:val="24"/>
                <w:szCs w:val="24"/>
                <w:lang w:eastAsia="zh-CN"/>
              </w:rPr>
              <w:t>和合同实施阶段的牵头、协调工作。该联合协议应当作为</w:t>
            </w:r>
            <w:r>
              <w:rPr>
                <w:rFonts w:hint="eastAsia" w:ascii="宋体" w:hAnsi="宋体" w:cs="宋体"/>
                <w:color w:val="auto"/>
                <w:spacing w:val="-2"/>
                <w:sz w:val="24"/>
                <w:szCs w:val="24"/>
                <w:lang w:eastAsia="zh-CN"/>
              </w:rPr>
              <w:t>投标文件</w:t>
            </w:r>
            <w:r>
              <w:rPr>
                <w:rFonts w:hint="eastAsia" w:ascii="宋体" w:hAnsi="宋体" w:eastAsia="宋体" w:cs="宋体"/>
                <w:color w:val="auto"/>
                <w:spacing w:val="-2"/>
                <w:sz w:val="24"/>
                <w:szCs w:val="24"/>
                <w:lang w:eastAsia="zh-CN"/>
              </w:rPr>
              <w:t>的组成部分，与</w:t>
            </w:r>
            <w:r>
              <w:rPr>
                <w:rFonts w:hint="eastAsia" w:ascii="宋体" w:hAnsi="宋体" w:cs="宋体"/>
                <w:color w:val="auto"/>
                <w:spacing w:val="-2"/>
                <w:sz w:val="24"/>
                <w:szCs w:val="24"/>
                <w:lang w:eastAsia="zh-CN"/>
              </w:rPr>
              <w:t>投标文件</w:t>
            </w:r>
            <w:r>
              <w:rPr>
                <w:rFonts w:hint="eastAsia" w:ascii="宋体" w:hAnsi="宋体" w:eastAsia="宋体" w:cs="宋体"/>
                <w:color w:val="auto"/>
                <w:spacing w:val="-2"/>
                <w:sz w:val="24"/>
                <w:szCs w:val="24"/>
                <w:lang w:eastAsia="zh-CN"/>
              </w:rPr>
              <w:t>其他内容同时递交。</w:t>
            </w:r>
          </w:p>
          <w:p w14:paraId="3E92C602">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pacing w:val="-1"/>
                <w:sz w:val="24"/>
                <w:szCs w:val="24"/>
                <w:lang w:eastAsia="zh-CN"/>
              </w:rPr>
              <w:t>、联合体各成员单位均须提供本表中序号</w:t>
            </w:r>
            <w:r>
              <w:rPr>
                <w:rFonts w:hint="eastAsia" w:ascii="宋体" w:hAnsi="宋体" w:eastAsia="宋体" w:cs="宋体"/>
                <w:color w:val="auto"/>
                <w:sz w:val="24"/>
                <w:szCs w:val="24"/>
                <w:lang w:eastAsia="zh-CN"/>
              </w:rPr>
              <w:t>1-1、1-2的证明文件。联合体各成员单位均</w:t>
            </w:r>
            <w:r>
              <w:rPr>
                <w:rFonts w:hint="eastAsia" w:ascii="宋体" w:hAnsi="宋体" w:eastAsia="宋体" w:cs="宋体"/>
                <w:color w:val="auto"/>
                <w:spacing w:val="-8"/>
                <w:w w:val="105"/>
                <w:sz w:val="24"/>
                <w:szCs w:val="24"/>
                <w:lang w:eastAsia="zh-CN"/>
              </w:rPr>
              <w:t>应满足本表</w:t>
            </w:r>
            <w:r>
              <w:rPr>
                <w:rFonts w:hint="eastAsia" w:ascii="宋体" w:hAnsi="宋体" w:eastAsia="宋体" w:cs="宋体"/>
                <w:color w:val="auto"/>
                <w:w w:val="105"/>
                <w:sz w:val="24"/>
                <w:szCs w:val="24"/>
                <w:lang w:eastAsia="zh-CN"/>
              </w:rPr>
              <w:t>3-2</w:t>
            </w:r>
            <w:r>
              <w:rPr>
                <w:rFonts w:hint="eastAsia" w:ascii="宋体" w:hAnsi="宋体" w:eastAsia="宋体" w:cs="宋体"/>
                <w:color w:val="auto"/>
                <w:spacing w:val="-23"/>
                <w:w w:val="105"/>
                <w:sz w:val="24"/>
                <w:szCs w:val="24"/>
                <w:lang w:eastAsia="zh-CN"/>
              </w:rPr>
              <w:t>及</w:t>
            </w:r>
            <w:r>
              <w:rPr>
                <w:rFonts w:hint="eastAsia" w:ascii="宋体" w:hAnsi="宋体" w:eastAsia="宋体" w:cs="宋体"/>
                <w:color w:val="auto"/>
                <w:w w:val="105"/>
                <w:sz w:val="24"/>
                <w:szCs w:val="24"/>
                <w:lang w:eastAsia="zh-CN"/>
              </w:rPr>
              <w:t>3-3项规定。</w:t>
            </w:r>
          </w:p>
          <w:p w14:paraId="1FC31491">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3、本表序号3-4项规定的其他特定资格要</w:t>
            </w:r>
            <w:r>
              <w:rPr>
                <w:rFonts w:hint="eastAsia" w:ascii="宋体" w:hAnsi="宋体" w:eastAsia="宋体" w:cs="宋体"/>
                <w:color w:val="auto"/>
                <w:spacing w:val="-2"/>
                <w:sz w:val="24"/>
                <w:szCs w:val="24"/>
                <w:lang w:eastAsia="zh-CN"/>
              </w:rPr>
              <w:t>求中的每一小项要求，联合体各方中至少应当有一方符合本表中其他资格要求并提供证</w:t>
            </w:r>
            <w:r>
              <w:rPr>
                <w:rFonts w:hint="eastAsia" w:ascii="宋体" w:hAnsi="宋体" w:eastAsia="宋体" w:cs="宋体"/>
                <w:color w:val="auto"/>
                <w:spacing w:val="-4"/>
                <w:sz w:val="24"/>
                <w:szCs w:val="24"/>
                <w:lang w:eastAsia="zh-CN"/>
              </w:rPr>
              <w:t>明文件。</w:t>
            </w:r>
          </w:p>
          <w:p w14:paraId="19F8D05A">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w:t>
            </w:r>
            <w:r>
              <w:rPr>
                <w:rFonts w:hint="eastAsia" w:ascii="宋体" w:hAnsi="宋体" w:eastAsia="宋体" w:cs="宋体"/>
                <w:color w:val="auto"/>
                <w:spacing w:val="-13"/>
                <w:sz w:val="24"/>
                <w:szCs w:val="24"/>
                <w:lang w:eastAsia="zh-CN"/>
              </w:rPr>
              <w:t>、联合体中有同类资质的供应商按照联合体</w:t>
            </w:r>
            <w:r>
              <w:rPr>
                <w:rFonts w:hint="eastAsia" w:ascii="宋体" w:hAnsi="宋体" w:eastAsia="宋体" w:cs="宋体"/>
                <w:color w:val="auto"/>
                <w:spacing w:val="-2"/>
                <w:sz w:val="24"/>
                <w:szCs w:val="24"/>
                <w:lang w:eastAsia="zh-CN"/>
              </w:rPr>
              <w:t>分工承担相同工作的，应当按照资质等级较低的供应商确定资质等级。</w:t>
            </w:r>
          </w:p>
          <w:p w14:paraId="795DBFB8">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w:t>
            </w:r>
            <w:r>
              <w:rPr>
                <w:rFonts w:hint="eastAsia" w:ascii="宋体" w:hAnsi="宋体" w:eastAsia="宋体" w:cs="宋体"/>
                <w:color w:val="auto"/>
                <w:spacing w:val="-13"/>
                <w:sz w:val="24"/>
                <w:szCs w:val="24"/>
                <w:lang w:eastAsia="zh-CN"/>
              </w:rPr>
              <w:t>、以联合体形式参加政府采购活动的，联合</w:t>
            </w:r>
            <w:r>
              <w:rPr>
                <w:rFonts w:hint="eastAsia" w:ascii="宋体" w:hAnsi="宋体" w:eastAsia="宋体" w:cs="宋体"/>
                <w:color w:val="auto"/>
                <w:spacing w:val="-2"/>
                <w:sz w:val="24"/>
                <w:szCs w:val="24"/>
                <w:lang w:eastAsia="zh-CN"/>
              </w:rPr>
              <w:t>体各方不得再单独参加或者与其他供应商另外组成联合体参加同一合同项下的政府采购</w:t>
            </w:r>
            <w:r>
              <w:rPr>
                <w:rFonts w:hint="eastAsia" w:ascii="宋体" w:hAnsi="宋体" w:eastAsia="宋体" w:cs="宋体"/>
                <w:color w:val="auto"/>
                <w:spacing w:val="-4"/>
                <w:sz w:val="24"/>
                <w:szCs w:val="24"/>
                <w:lang w:eastAsia="zh-CN"/>
              </w:rPr>
              <w:t>活动。</w:t>
            </w:r>
          </w:p>
          <w:p w14:paraId="1C90EA6F">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w:t>
            </w:r>
            <w:r>
              <w:rPr>
                <w:rFonts w:hint="eastAsia" w:ascii="宋体" w:hAnsi="宋体" w:eastAsia="宋体" w:cs="宋体"/>
                <w:color w:val="auto"/>
                <w:spacing w:val="-13"/>
                <w:sz w:val="24"/>
                <w:szCs w:val="24"/>
                <w:lang w:eastAsia="zh-CN"/>
              </w:rPr>
              <w:t>、若联合体中任一成员单位中途退出，则该</w:t>
            </w:r>
            <w:r>
              <w:rPr>
                <w:rFonts w:hint="eastAsia" w:ascii="宋体" w:hAnsi="宋体" w:eastAsia="宋体" w:cs="宋体"/>
                <w:color w:val="auto"/>
                <w:spacing w:val="-2"/>
                <w:sz w:val="24"/>
                <w:szCs w:val="24"/>
                <w:lang w:eastAsia="zh-CN"/>
              </w:rPr>
              <w:t>联合体的响应无效。</w:t>
            </w:r>
          </w:p>
          <w:p w14:paraId="7E7E7013">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w:t>
            </w:r>
            <w:r>
              <w:rPr>
                <w:rFonts w:hint="eastAsia" w:ascii="宋体" w:hAnsi="宋体" w:eastAsia="宋体" w:cs="宋体"/>
                <w:color w:val="auto"/>
                <w:spacing w:val="-12"/>
                <w:sz w:val="24"/>
                <w:szCs w:val="24"/>
                <w:lang w:eastAsia="zh-CN"/>
              </w:rPr>
              <w:t>、本项目不接受联合体投标时，供应商不得</w:t>
            </w:r>
            <w:r>
              <w:rPr>
                <w:rFonts w:hint="eastAsia" w:ascii="宋体" w:hAnsi="宋体" w:eastAsia="宋体" w:cs="宋体"/>
                <w:color w:val="auto"/>
                <w:spacing w:val="-2"/>
                <w:sz w:val="24"/>
                <w:szCs w:val="24"/>
                <w:lang w:eastAsia="zh-CN"/>
              </w:rPr>
              <w:t>为联合体。</w:t>
            </w:r>
          </w:p>
        </w:tc>
        <w:tc>
          <w:tcPr>
            <w:tcW w:w="1786" w:type="dxa"/>
            <w:vAlign w:val="center"/>
          </w:tcPr>
          <w:p w14:paraId="539E7B3E">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不适用</w:t>
            </w:r>
          </w:p>
        </w:tc>
      </w:tr>
      <w:tr w14:paraId="41FA0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29CF5C0B">
            <w:pPr>
              <w:widowControl w:val="0"/>
              <w:kinsoku/>
              <w:adjustRightInd/>
              <w:spacing w:before="20" w:after="20" w:line="240" w:lineRule="auto"/>
              <w:ind w:left="164" w:right="157"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w w:val="110"/>
                <w:sz w:val="24"/>
                <w:szCs w:val="24"/>
                <w:lang w:eastAsia="zh-CN"/>
              </w:rPr>
              <w:t>3-</w:t>
            </w:r>
            <w:r>
              <w:rPr>
                <w:rFonts w:hint="eastAsia" w:ascii="宋体" w:hAnsi="宋体" w:eastAsia="宋体" w:cs="宋体"/>
                <w:color w:val="auto"/>
                <w:spacing w:val="-10"/>
                <w:w w:val="110"/>
                <w:sz w:val="24"/>
                <w:szCs w:val="24"/>
                <w:lang w:eastAsia="zh-CN"/>
              </w:rPr>
              <w:t>2</w:t>
            </w:r>
          </w:p>
        </w:tc>
        <w:tc>
          <w:tcPr>
            <w:tcW w:w="2173" w:type="dxa"/>
            <w:vAlign w:val="center"/>
          </w:tcPr>
          <w:p w14:paraId="130ADF67">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政府购买服务承</w:t>
            </w:r>
            <w:r>
              <w:rPr>
                <w:rFonts w:hint="eastAsia" w:ascii="宋体" w:hAnsi="宋体" w:eastAsia="宋体" w:cs="宋体"/>
                <w:color w:val="auto"/>
                <w:spacing w:val="-2"/>
                <w:sz w:val="24"/>
                <w:szCs w:val="24"/>
                <w:lang w:eastAsia="zh-CN"/>
              </w:rPr>
              <w:t>接主体的要求</w:t>
            </w:r>
          </w:p>
        </w:tc>
        <w:tc>
          <w:tcPr>
            <w:tcW w:w="5127" w:type="dxa"/>
            <w:vAlign w:val="center"/>
          </w:tcPr>
          <w:p w14:paraId="23292EE3">
            <w:pPr>
              <w:widowControl w:val="0"/>
              <w:kinsoku/>
              <w:adjustRightInd/>
              <w:spacing w:before="20" w:after="20" w:line="240" w:lineRule="auto"/>
              <w:ind w:left="108"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如本项目属于政府购买服务，供应商不属于</w:t>
            </w:r>
            <w:r>
              <w:rPr>
                <w:rFonts w:hint="eastAsia" w:ascii="宋体" w:hAnsi="宋体" w:eastAsia="宋体" w:cs="宋体"/>
                <w:color w:val="auto"/>
                <w:spacing w:val="-2"/>
                <w:sz w:val="24"/>
                <w:szCs w:val="24"/>
                <w:lang w:eastAsia="zh-CN"/>
              </w:rPr>
              <w:t>公益一类事业单位、使用事业编制且由财政拨款保障的群团组织。</w:t>
            </w:r>
          </w:p>
        </w:tc>
        <w:tc>
          <w:tcPr>
            <w:tcW w:w="1786" w:type="dxa"/>
            <w:vAlign w:val="center"/>
          </w:tcPr>
          <w:p w14:paraId="7DF88457">
            <w:pPr>
              <w:widowControl w:val="0"/>
              <w:kinsoku/>
              <w:adjustRightInd/>
              <w:spacing w:before="20" w:after="20" w:line="240" w:lineRule="auto"/>
              <w:ind w:left="218" w:right="95"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格式见《</w:t>
            </w:r>
            <w:r>
              <w:rPr>
                <w:rFonts w:hint="eastAsia" w:ascii="宋体" w:hAnsi="宋体" w:cs="宋体"/>
                <w:color w:val="auto"/>
                <w:spacing w:val="-4"/>
                <w:sz w:val="24"/>
                <w:szCs w:val="24"/>
                <w:lang w:eastAsia="zh-CN"/>
              </w:rPr>
              <w:t>投标文件</w:t>
            </w:r>
            <w:r>
              <w:rPr>
                <w:rFonts w:hint="eastAsia" w:ascii="宋体" w:hAnsi="宋体" w:eastAsia="宋体" w:cs="宋体"/>
                <w:color w:val="auto"/>
                <w:spacing w:val="-2"/>
                <w:sz w:val="24"/>
                <w:szCs w:val="24"/>
                <w:lang w:eastAsia="zh-CN"/>
              </w:rPr>
              <w:t>格式》</w:t>
            </w:r>
          </w:p>
        </w:tc>
      </w:tr>
      <w:tr w14:paraId="447BD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02" w:type="dxa"/>
            <w:vAlign w:val="center"/>
          </w:tcPr>
          <w:p w14:paraId="2F1A797B">
            <w:pPr>
              <w:widowControl w:val="0"/>
              <w:kinsoku/>
              <w:adjustRightInd/>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3-3</w:t>
            </w:r>
          </w:p>
        </w:tc>
        <w:tc>
          <w:tcPr>
            <w:tcW w:w="2173" w:type="dxa"/>
            <w:vAlign w:val="center"/>
          </w:tcPr>
          <w:p w14:paraId="25B335CF">
            <w:pPr>
              <w:widowControl w:val="0"/>
              <w:kinsoku/>
              <w:adjustRightInd/>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其他特定资格要求</w:t>
            </w:r>
          </w:p>
        </w:tc>
        <w:tc>
          <w:tcPr>
            <w:tcW w:w="5127" w:type="dxa"/>
            <w:vAlign w:val="center"/>
          </w:tcPr>
          <w:p w14:paraId="6723FCAC">
            <w:pPr>
              <w:widowControl w:val="0"/>
              <w:kinsoku/>
              <w:adjustRightInd/>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如有，见第一章《采购邀请》</w:t>
            </w:r>
          </w:p>
        </w:tc>
        <w:tc>
          <w:tcPr>
            <w:tcW w:w="1786" w:type="dxa"/>
            <w:vAlign w:val="center"/>
          </w:tcPr>
          <w:p w14:paraId="6AA12E58">
            <w:pPr>
              <w:widowControl w:val="0"/>
              <w:kinsoku/>
              <w:adjustRightInd/>
              <w:spacing w:before="20" w:after="20" w:line="240" w:lineRule="auto"/>
              <w:ind w:left="218" w:right="95" w:firstLine="0" w:firstLineChars="0"/>
              <w:jc w:val="both"/>
              <w:textAlignment w:val="auto"/>
              <w:rPr>
                <w:rFonts w:hint="eastAsia" w:ascii="宋体" w:hAnsi="宋体" w:eastAsia="宋体" w:cs="宋体"/>
                <w:color w:val="auto"/>
                <w:spacing w:val="-4"/>
                <w:sz w:val="24"/>
                <w:szCs w:val="24"/>
                <w:lang w:eastAsia="zh-CN"/>
              </w:rPr>
            </w:pPr>
            <w:r>
              <w:rPr>
                <w:rFonts w:hint="eastAsia" w:ascii="宋体" w:hAnsi="宋体" w:eastAsia="宋体" w:cs="宋体"/>
                <w:color w:val="auto"/>
                <w:sz w:val="24"/>
                <w:szCs w:val="24"/>
                <w:lang w:eastAsia="zh-CN"/>
              </w:rPr>
              <w:t>需提供证明文件复印件并加盖供应商公章</w:t>
            </w:r>
          </w:p>
        </w:tc>
      </w:tr>
    </w:tbl>
    <w:p w14:paraId="79C02EDE">
      <w:pPr>
        <w:widowControl/>
        <w:jc w:val="left"/>
        <w:rPr>
          <w:color w:val="auto"/>
          <w:sz w:val="24"/>
        </w:rPr>
      </w:pPr>
      <w:r>
        <w:rPr>
          <w:color w:val="auto"/>
          <w:sz w:val="24"/>
        </w:rPr>
        <w:br w:type="page"/>
      </w:r>
    </w:p>
    <w:p w14:paraId="78FFBD71">
      <w:pPr>
        <w:spacing w:line="360" w:lineRule="auto"/>
        <w:jc w:val="center"/>
        <w:outlineLvl w:val="0"/>
        <w:rPr>
          <w:b/>
          <w:color w:val="auto"/>
          <w:sz w:val="36"/>
          <w:szCs w:val="36"/>
        </w:rPr>
      </w:pPr>
      <w:bookmarkStart w:id="727" w:name="_Toc22653"/>
      <w:r>
        <w:rPr>
          <w:b/>
          <w:color w:val="auto"/>
          <w:sz w:val="36"/>
          <w:szCs w:val="36"/>
        </w:rPr>
        <w:t xml:space="preserve">第四章   </w:t>
      </w:r>
      <w:bookmarkEnd w:id="722"/>
      <w:bookmarkEnd w:id="723"/>
      <w:bookmarkEnd w:id="724"/>
      <w:bookmarkEnd w:id="725"/>
      <w:bookmarkEnd w:id="726"/>
      <w:bookmarkStart w:id="728" w:name="_Hlt164229061"/>
      <w:bookmarkEnd w:id="728"/>
      <w:r>
        <w:rPr>
          <w:b/>
          <w:color w:val="auto"/>
          <w:sz w:val="36"/>
          <w:szCs w:val="36"/>
        </w:rPr>
        <w:t>评标程序、评标方法和评标标准</w:t>
      </w:r>
      <w:bookmarkEnd w:id="727"/>
    </w:p>
    <w:p w14:paraId="2DA83DB1">
      <w:pPr>
        <w:tabs>
          <w:tab w:val="left" w:pos="360"/>
          <w:tab w:val="left" w:pos="900"/>
        </w:tabs>
        <w:snapToGrid w:val="0"/>
        <w:spacing w:line="360" w:lineRule="auto"/>
        <w:jc w:val="center"/>
        <w:outlineLvl w:val="1"/>
        <w:rPr>
          <w:b/>
          <w:color w:val="auto"/>
        </w:rPr>
      </w:pPr>
      <w:r>
        <w:rPr>
          <w:b/>
          <w:color w:val="auto"/>
          <w:sz w:val="24"/>
        </w:rPr>
        <w:t>一、评标方法</w:t>
      </w:r>
    </w:p>
    <w:p w14:paraId="1B5B485C">
      <w:pPr>
        <w:numPr>
          <w:ilvl w:val="0"/>
          <w:numId w:val="11"/>
        </w:numPr>
        <w:tabs>
          <w:tab w:val="left" w:pos="360"/>
        </w:tabs>
        <w:snapToGrid w:val="0"/>
        <w:spacing w:line="360" w:lineRule="auto"/>
        <w:outlineLvl w:val="1"/>
        <w:rPr>
          <w:color w:val="auto"/>
          <w:sz w:val="24"/>
        </w:rPr>
      </w:pPr>
      <w:bookmarkStart w:id="729" w:name="_Toc142311043"/>
      <w:bookmarkStart w:id="730" w:name="_Toc127151742"/>
      <w:bookmarkStart w:id="731" w:name="_Toc164608810"/>
      <w:bookmarkStart w:id="732" w:name="_Toc164229236"/>
      <w:bookmarkStart w:id="733" w:name="_Toc127151541"/>
      <w:bookmarkStart w:id="734" w:name="_Toc164608655"/>
      <w:bookmarkStart w:id="735" w:name="_Toc151193855"/>
      <w:bookmarkStart w:id="736" w:name="_Toc164229382"/>
      <w:bookmarkStart w:id="737" w:name="_Toc151193929"/>
      <w:bookmarkStart w:id="738" w:name="_Toc150509292"/>
      <w:bookmarkStart w:id="739" w:name="_Toc226309785"/>
      <w:bookmarkStart w:id="740" w:name="_Toc226337237"/>
      <w:bookmarkStart w:id="741" w:name="_Toc151190168"/>
      <w:bookmarkStart w:id="742" w:name="_Toc151193711"/>
      <w:bookmarkStart w:id="743" w:name="_Toc150774746"/>
      <w:bookmarkStart w:id="744" w:name="_Toc265228379"/>
      <w:bookmarkStart w:id="745" w:name="_Toc149720834"/>
      <w:bookmarkStart w:id="746" w:name="_Toc226965814"/>
      <w:bookmarkStart w:id="747" w:name="_Toc151193783"/>
      <w:bookmarkStart w:id="748" w:name="_Toc164351635"/>
      <w:bookmarkStart w:id="749" w:name="_Toc127161455"/>
      <w:bookmarkStart w:id="750" w:name="_Toc150480779"/>
      <w:bookmarkStart w:id="751" w:name="_Toc226965731"/>
      <w:bookmarkStart w:id="752" w:name="_Toc150774641"/>
      <w:bookmarkStart w:id="753" w:name="_Toc151193639"/>
      <w:bookmarkStart w:id="754" w:name="_Toc195842906"/>
      <w:bookmarkStart w:id="755" w:name="_Toc305158809"/>
      <w:bookmarkStart w:id="756" w:name="_Toc305158883"/>
      <w:bookmarkStart w:id="757" w:name="_Toc264969231"/>
      <w:bookmarkStart w:id="758" w:name="_Toc353873941"/>
      <w:bookmarkStart w:id="759" w:name="_Toc353825551"/>
      <w:bookmarkStart w:id="760" w:name="_Toc264969245"/>
      <w:bookmarkStart w:id="761" w:name="_Toc150774760"/>
      <w:bookmarkStart w:id="762" w:name="_Toc353873935"/>
      <w:bookmarkStart w:id="763" w:name="_Toc353825545"/>
      <w:bookmarkStart w:id="764" w:name="_Toc265228393"/>
      <w:bookmarkStart w:id="765" w:name="_Toc142311057"/>
      <w:bookmarkStart w:id="766" w:name="_Toc305158897"/>
      <w:bookmarkStart w:id="767" w:name="_Toc353873665"/>
      <w:bookmarkStart w:id="768" w:name="_Toc226337251"/>
      <w:bookmarkStart w:id="769" w:name="_Toc195842920"/>
      <w:bookmarkStart w:id="770" w:name="_Toc226965828"/>
      <w:bookmarkStart w:id="771" w:name="_Toc305158823"/>
      <w:bookmarkStart w:id="772" w:name="_Toc127151555"/>
      <w:bookmarkStart w:id="773" w:name="_Toc150480793"/>
      <w:r>
        <w:rPr>
          <w:color w:val="auto"/>
          <w:sz w:val="24"/>
        </w:rPr>
        <w:t>投标文件的符合性审查</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051FD524">
      <w:pPr>
        <w:numPr>
          <w:ilvl w:val="1"/>
          <w:numId w:val="11"/>
        </w:numPr>
        <w:tabs>
          <w:tab w:val="left" w:pos="1080"/>
        </w:tabs>
        <w:snapToGrid w:val="0"/>
        <w:spacing w:line="360" w:lineRule="auto"/>
        <w:ind w:left="1077" w:hanging="720"/>
        <w:rPr>
          <w:color w:val="auto"/>
          <w:sz w:val="24"/>
        </w:rPr>
      </w:pPr>
      <w:r>
        <w:rPr>
          <w:color w:val="auto"/>
          <w:sz w:val="24"/>
        </w:rPr>
        <w:t>评标委员会对资格审查合格的投标人的投标文件进行符合性审查，以确定其是否满足招标文件的实质性要求。</w:t>
      </w:r>
      <w:bookmarkStart w:id="774" w:name="_Toc520356167"/>
    </w:p>
    <w:p w14:paraId="1DDF07FC">
      <w:pPr>
        <w:numPr>
          <w:ilvl w:val="1"/>
          <w:numId w:val="11"/>
        </w:numPr>
        <w:tabs>
          <w:tab w:val="left" w:pos="1080"/>
        </w:tabs>
        <w:snapToGrid w:val="0"/>
        <w:spacing w:line="360" w:lineRule="auto"/>
        <w:ind w:left="1077" w:hanging="720"/>
        <w:rPr>
          <w:color w:val="auto"/>
          <w:sz w:val="24"/>
        </w:rPr>
      </w:pPr>
      <w:r>
        <w:rPr>
          <w:color w:val="auto"/>
          <w:sz w:val="24"/>
        </w:rPr>
        <w:t>评标委员会根据《符合性审查</w:t>
      </w:r>
      <w:r>
        <w:rPr>
          <w:rFonts w:hint="eastAsia"/>
          <w:color w:val="auto"/>
          <w:sz w:val="24"/>
        </w:rPr>
        <w:t>要求</w:t>
      </w:r>
      <w:r>
        <w:rPr>
          <w:color w:val="auto"/>
          <w:sz w:val="24"/>
        </w:rPr>
        <w:t>》中规定的审查因素和审查内容，对投标人的投标文件是否实质上响应招标文件进行符合性审查，并形成符合性审查评审结果。</w:t>
      </w:r>
      <w:r>
        <w:rPr>
          <w:rFonts w:hint="eastAsia"/>
          <w:color w:val="auto"/>
          <w:sz w:val="24"/>
        </w:rPr>
        <w:t>投标人《商务技术文件》有任何一项不符合</w:t>
      </w:r>
      <w:r>
        <w:rPr>
          <w:color w:val="auto"/>
          <w:sz w:val="24"/>
        </w:rPr>
        <w:t>《符合性审查</w:t>
      </w:r>
      <w:r>
        <w:rPr>
          <w:rFonts w:hint="eastAsia"/>
          <w:color w:val="auto"/>
          <w:sz w:val="24"/>
        </w:rPr>
        <w:t>要求</w:t>
      </w:r>
      <w:r>
        <w:rPr>
          <w:color w:val="auto"/>
          <w:sz w:val="24"/>
        </w:rPr>
        <w:t>》</w:t>
      </w:r>
      <w:bookmarkEnd w:id="774"/>
      <w:r>
        <w:rPr>
          <w:rFonts w:hint="eastAsia"/>
          <w:color w:val="auto"/>
          <w:sz w:val="24"/>
        </w:rPr>
        <w:t>要求的，</w:t>
      </w:r>
      <w:r>
        <w:rPr>
          <w:rFonts w:hint="eastAsia"/>
          <w:b/>
          <w:color w:val="auto"/>
          <w:sz w:val="24"/>
        </w:rPr>
        <w:t>投标无效</w:t>
      </w:r>
      <w:r>
        <w:rPr>
          <w:rFonts w:hint="eastAsia"/>
          <w:color w:val="auto"/>
          <w:sz w:val="24"/>
        </w:rPr>
        <w:t>。</w:t>
      </w:r>
    </w:p>
    <w:p w14:paraId="0822A813">
      <w:pPr>
        <w:tabs>
          <w:tab w:val="left" w:pos="900"/>
          <w:tab w:val="left" w:pos="1080"/>
          <w:tab w:val="left" w:pos="1589"/>
        </w:tabs>
        <w:snapToGrid w:val="0"/>
        <w:spacing w:line="360" w:lineRule="auto"/>
        <w:ind w:leftChars="-170" w:hanging="357" w:hangingChars="148"/>
        <w:jc w:val="center"/>
        <w:rPr>
          <w:b/>
          <w:color w:val="auto"/>
          <w:sz w:val="24"/>
        </w:rPr>
      </w:pPr>
      <w:r>
        <w:rPr>
          <w:b/>
          <w:color w:val="auto"/>
          <w:sz w:val="24"/>
        </w:rPr>
        <w:t>符合性审查</w:t>
      </w:r>
      <w:r>
        <w:rPr>
          <w:rFonts w:hint="eastAsia"/>
          <w:b/>
          <w:color w:val="auto"/>
          <w:sz w:val="24"/>
        </w:rPr>
        <w:t>要求</w:t>
      </w:r>
    </w:p>
    <w:tbl>
      <w:tblPr>
        <w:tblStyle w:val="3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846"/>
        <w:gridCol w:w="4894"/>
        <w:gridCol w:w="1672"/>
      </w:tblGrid>
      <w:tr w14:paraId="03E0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4E55657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0" w:leftChars="0" w:right="-110" w:rightChars="0"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序号</w:t>
            </w:r>
          </w:p>
        </w:tc>
        <w:tc>
          <w:tcPr>
            <w:tcW w:w="1846" w:type="dxa"/>
            <w:shd w:val="clear" w:color="000000" w:fill="FFFFFF"/>
            <w:vAlign w:val="center"/>
          </w:tcPr>
          <w:p w14:paraId="0D9CE1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检查因素</w:t>
            </w:r>
          </w:p>
        </w:tc>
        <w:tc>
          <w:tcPr>
            <w:tcW w:w="4894" w:type="dxa"/>
            <w:shd w:val="clear" w:color="000000" w:fill="FFFFFF"/>
            <w:vAlign w:val="center"/>
          </w:tcPr>
          <w:p w14:paraId="14690AF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检查内容</w:t>
            </w:r>
          </w:p>
        </w:tc>
        <w:tc>
          <w:tcPr>
            <w:tcW w:w="1672" w:type="dxa"/>
            <w:shd w:val="clear" w:color="000000" w:fill="FFFFFF"/>
            <w:vAlign w:val="center"/>
          </w:tcPr>
          <w:p w14:paraId="70B4E52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0" w:leftChars="0" w:right="16" w:rightChars="0"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是否允许澄清、说明或者更正</w:t>
            </w:r>
          </w:p>
        </w:tc>
      </w:tr>
      <w:tr w14:paraId="32EE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5F8044D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1</w:t>
            </w:r>
          </w:p>
        </w:tc>
        <w:tc>
          <w:tcPr>
            <w:tcW w:w="1846" w:type="dxa"/>
            <w:shd w:val="clear" w:color="000000" w:fill="FFFFFF"/>
            <w:vAlign w:val="center"/>
          </w:tcPr>
          <w:p w14:paraId="0B59CA7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授权委托书</w:t>
            </w:r>
          </w:p>
        </w:tc>
        <w:tc>
          <w:tcPr>
            <w:tcW w:w="4894" w:type="dxa"/>
            <w:shd w:val="clear" w:color="000000" w:fill="FFFFFF"/>
            <w:vAlign w:val="center"/>
          </w:tcPr>
          <w:p w14:paraId="2DA24D0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按</w:t>
            </w:r>
            <w:r>
              <w:rPr>
                <w:rFonts w:hint="eastAsia" w:ascii="宋体" w:hAnsi="宋体" w:cs="宋体"/>
                <w:color w:val="auto"/>
                <w:spacing w:val="-1"/>
                <w:sz w:val="24"/>
                <w:szCs w:val="24"/>
                <w:lang w:eastAsia="zh-CN"/>
              </w:rPr>
              <w:t>投标</w:t>
            </w:r>
            <w:r>
              <w:rPr>
                <w:rFonts w:hint="eastAsia" w:ascii="宋体" w:hAnsi="宋体" w:eastAsia="宋体" w:cs="宋体"/>
                <w:color w:val="auto"/>
                <w:spacing w:val="-1"/>
                <w:sz w:val="24"/>
                <w:szCs w:val="24"/>
                <w:lang w:eastAsia="zh-CN"/>
              </w:rPr>
              <w:t>文件要求提供授权委托书；</w:t>
            </w:r>
          </w:p>
        </w:tc>
        <w:tc>
          <w:tcPr>
            <w:tcW w:w="1672" w:type="dxa"/>
            <w:shd w:val="clear" w:color="000000" w:fill="FFFFFF"/>
            <w:vAlign w:val="center"/>
          </w:tcPr>
          <w:p w14:paraId="604297F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default" w:ascii="宋体" w:hAnsi="宋体" w:eastAsia="宋体" w:cs="宋体"/>
                <w:color w:val="auto"/>
                <w:w w:val="110"/>
                <w:sz w:val="24"/>
                <w:szCs w:val="24"/>
                <w:lang w:val="en-US" w:eastAsia="zh-CN"/>
              </w:rPr>
            </w:pPr>
            <w:r>
              <w:rPr>
                <w:rFonts w:hint="eastAsia" w:ascii="宋体" w:hAnsi="宋体" w:eastAsia="宋体" w:cs="宋体"/>
                <w:color w:val="auto"/>
                <w:w w:val="110"/>
                <w:sz w:val="24"/>
                <w:szCs w:val="24"/>
                <w:lang w:val="en-US" w:eastAsia="zh-CN"/>
              </w:rPr>
              <w:t>否</w:t>
            </w:r>
          </w:p>
        </w:tc>
      </w:tr>
      <w:tr w14:paraId="6736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670FE8A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2</w:t>
            </w:r>
          </w:p>
        </w:tc>
        <w:tc>
          <w:tcPr>
            <w:tcW w:w="1846" w:type="dxa"/>
            <w:shd w:val="clear" w:color="000000" w:fill="FFFFFF"/>
            <w:vAlign w:val="center"/>
          </w:tcPr>
          <w:p w14:paraId="6394585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投标完整性</w:t>
            </w:r>
          </w:p>
        </w:tc>
        <w:tc>
          <w:tcPr>
            <w:tcW w:w="4894" w:type="dxa"/>
            <w:shd w:val="clear" w:color="000000" w:fill="FFFFFF"/>
            <w:vAlign w:val="center"/>
          </w:tcPr>
          <w:p w14:paraId="196E692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未将一个采购包中的内容拆开投标；</w:t>
            </w:r>
          </w:p>
        </w:tc>
        <w:tc>
          <w:tcPr>
            <w:tcW w:w="1672" w:type="dxa"/>
            <w:shd w:val="clear" w:color="000000" w:fill="FFFFFF"/>
            <w:vAlign w:val="center"/>
          </w:tcPr>
          <w:p w14:paraId="77F904A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63C0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30F1590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3</w:t>
            </w:r>
          </w:p>
        </w:tc>
        <w:tc>
          <w:tcPr>
            <w:tcW w:w="1846" w:type="dxa"/>
            <w:shd w:val="clear" w:color="000000" w:fill="FFFFFF"/>
            <w:vAlign w:val="center"/>
          </w:tcPr>
          <w:p w14:paraId="1FA74FB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投标报价</w:t>
            </w:r>
          </w:p>
        </w:tc>
        <w:tc>
          <w:tcPr>
            <w:tcW w:w="4894" w:type="dxa"/>
            <w:shd w:val="clear" w:color="000000" w:fill="FFFFFF"/>
            <w:vAlign w:val="center"/>
          </w:tcPr>
          <w:p w14:paraId="2ED88DB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投标报价未超过</w:t>
            </w:r>
            <w:r>
              <w:rPr>
                <w:rFonts w:hint="eastAsia" w:ascii="宋体" w:hAnsi="宋体" w:cs="宋体"/>
                <w:color w:val="auto"/>
                <w:spacing w:val="-1"/>
                <w:sz w:val="24"/>
                <w:szCs w:val="24"/>
                <w:lang w:eastAsia="zh-CN"/>
              </w:rPr>
              <w:t>投标</w:t>
            </w:r>
            <w:r>
              <w:rPr>
                <w:rFonts w:hint="eastAsia" w:ascii="宋体" w:hAnsi="宋体" w:eastAsia="宋体" w:cs="宋体"/>
                <w:color w:val="auto"/>
                <w:spacing w:val="-1"/>
                <w:sz w:val="24"/>
                <w:szCs w:val="24"/>
                <w:lang w:eastAsia="zh-CN"/>
              </w:rPr>
              <w:t>文件中规定的项目/采购包预算金额或者项目/采购包最高限价；</w:t>
            </w:r>
          </w:p>
        </w:tc>
        <w:tc>
          <w:tcPr>
            <w:tcW w:w="1672" w:type="dxa"/>
            <w:shd w:val="clear" w:color="000000" w:fill="FFFFFF"/>
            <w:vAlign w:val="center"/>
          </w:tcPr>
          <w:p w14:paraId="71C9D7C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6079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5DA066B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4</w:t>
            </w:r>
          </w:p>
        </w:tc>
        <w:tc>
          <w:tcPr>
            <w:tcW w:w="1846" w:type="dxa"/>
            <w:shd w:val="clear" w:color="000000" w:fill="FFFFFF"/>
            <w:vAlign w:val="center"/>
          </w:tcPr>
          <w:p w14:paraId="21DA548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报价唯一性</w:t>
            </w:r>
          </w:p>
        </w:tc>
        <w:tc>
          <w:tcPr>
            <w:tcW w:w="4894" w:type="dxa"/>
            <w:shd w:val="clear" w:color="000000" w:fill="FFFFFF"/>
            <w:vAlign w:val="center"/>
          </w:tcPr>
          <w:p w14:paraId="0A45BB6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未出现可选择性或可调整的报价（</w:t>
            </w:r>
            <w:r>
              <w:rPr>
                <w:rFonts w:hint="eastAsia" w:ascii="宋体" w:hAnsi="宋体" w:cs="宋体"/>
                <w:color w:val="auto"/>
                <w:spacing w:val="-1"/>
                <w:sz w:val="24"/>
                <w:szCs w:val="24"/>
                <w:lang w:eastAsia="zh-CN"/>
              </w:rPr>
              <w:t>投标</w:t>
            </w:r>
            <w:r>
              <w:rPr>
                <w:rFonts w:hint="eastAsia" w:ascii="宋体" w:hAnsi="宋体" w:eastAsia="宋体" w:cs="宋体"/>
                <w:color w:val="auto"/>
                <w:spacing w:val="-1"/>
                <w:sz w:val="24"/>
                <w:szCs w:val="24"/>
                <w:lang w:eastAsia="zh-CN"/>
              </w:rPr>
              <w:t>文件另有规定的除外）；</w:t>
            </w:r>
          </w:p>
        </w:tc>
        <w:tc>
          <w:tcPr>
            <w:tcW w:w="1672" w:type="dxa"/>
            <w:shd w:val="clear" w:color="000000" w:fill="FFFFFF"/>
            <w:vAlign w:val="center"/>
          </w:tcPr>
          <w:p w14:paraId="34349D3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5FE3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6CB0262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5</w:t>
            </w:r>
          </w:p>
        </w:tc>
        <w:tc>
          <w:tcPr>
            <w:tcW w:w="1846" w:type="dxa"/>
            <w:shd w:val="clear" w:color="000000" w:fill="FFFFFF"/>
            <w:vAlign w:val="center"/>
          </w:tcPr>
          <w:p w14:paraId="2539E13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投标有效期</w:t>
            </w:r>
          </w:p>
        </w:tc>
        <w:tc>
          <w:tcPr>
            <w:tcW w:w="4894" w:type="dxa"/>
            <w:shd w:val="clear" w:color="000000" w:fill="FFFFFF"/>
            <w:vAlign w:val="center"/>
          </w:tcPr>
          <w:p w14:paraId="15B126C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中承诺的投标有效期满足</w:t>
            </w:r>
            <w:r>
              <w:rPr>
                <w:rFonts w:hint="eastAsia" w:ascii="宋体" w:hAnsi="宋体" w:cs="宋体"/>
                <w:color w:val="auto"/>
                <w:spacing w:val="-1"/>
                <w:sz w:val="24"/>
                <w:szCs w:val="24"/>
                <w:lang w:eastAsia="zh-CN"/>
              </w:rPr>
              <w:t>投标</w:t>
            </w:r>
            <w:r>
              <w:rPr>
                <w:rFonts w:hint="eastAsia" w:ascii="宋体" w:hAnsi="宋体" w:eastAsia="宋体" w:cs="宋体"/>
                <w:color w:val="auto"/>
                <w:spacing w:val="-1"/>
                <w:sz w:val="24"/>
                <w:szCs w:val="24"/>
                <w:lang w:eastAsia="zh-CN"/>
              </w:rPr>
              <w:t>文件中载明的投标有效期的；</w:t>
            </w:r>
          </w:p>
        </w:tc>
        <w:tc>
          <w:tcPr>
            <w:tcW w:w="1672" w:type="dxa"/>
            <w:shd w:val="clear" w:color="000000" w:fill="FFFFFF"/>
            <w:vAlign w:val="center"/>
          </w:tcPr>
          <w:p w14:paraId="4C28B62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51E1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6ECE464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6</w:t>
            </w:r>
          </w:p>
        </w:tc>
        <w:tc>
          <w:tcPr>
            <w:tcW w:w="1846" w:type="dxa"/>
            <w:shd w:val="clear" w:color="000000" w:fill="FFFFFF"/>
            <w:vAlign w:val="center"/>
          </w:tcPr>
          <w:p w14:paraId="24B26AC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签署、盖章</w:t>
            </w:r>
          </w:p>
        </w:tc>
        <w:tc>
          <w:tcPr>
            <w:tcW w:w="4894" w:type="dxa"/>
            <w:shd w:val="clear" w:color="000000" w:fill="FFFFFF"/>
            <w:vAlign w:val="center"/>
          </w:tcPr>
          <w:p w14:paraId="7023BCA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按照</w:t>
            </w:r>
            <w:r>
              <w:rPr>
                <w:rFonts w:hint="eastAsia" w:ascii="宋体" w:hAnsi="宋体" w:cs="宋体"/>
                <w:color w:val="auto"/>
                <w:spacing w:val="-1"/>
                <w:sz w:val="24"/>
                <w:szCs w:val="24"/>
                <w:lang w:eastAsia="zh-CN"/>
              </w:rPr>
              <w:t>投标</w:t>
            </w:r>
            <w:r>
              <w:rPr>
                <w:rFonts w:hint="eastAsia" w:ascii="宋体" w:hAnsi="宋体" w:eastAsia="宋体" w:cs="宋体"/>
                <w:color w:val="auto"/>
                <w:spacing w:val="-1"/>
                <w:sz w:val="24"/>
                <w:szCs w:val="24"/>
                <w:lang w:eastAsia="zh-CN"/>
              </w:rPr>
              <w:t>文件要求签署、盖章的；</w:t>
            </w:r>
          </w:p>
        </w:tc>
        <w:tc>
          <w:tcPr>
            <w:tcW w:w="1672" w:type="dxa"/>
            <w:shd w:val="clear" w:color="000000" w:fill="FFFFFF"/>
            <w:vAlign w:val="center"/>
          </w:tcPr>
          <w:p w14:paraId="230B86F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5CF3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5DA63CC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7</w:t>
            </w:r>
          </w:p>
        </w:tc>
        <w:tc>
          <w:tcPr>
            <w:tcW w:w="1846" w:type="dxa"/>
            <w:shd w:val="clear" w:color="000000" w:fill="FFFFFF"/>
            <w:vAlign w:val="center"/>
          </w:tcPr>
          <w:p w14:paraId="14B16CF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实质性格式</w:t>
            </w:r>
          </w:p>
        </w:tc>
        <w:tc>
          <w:tcPr>
            <w:tcW w:w="4894" w:type="dxa"/>
            <w:shd w:val="clear" w:color="000000" w:fill="FFFFFF"/>
            <w:vAlign w:val="center"/>
          </w:tcPr>
          <w:p w14:paraId="54457F7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标记为“实质性格式”的文件均按</w:t>
            </w:r>
            <w:r>
              <w:rPr>
                <w:rFonts w:hint="eastAsia" w:ascii="宋体" w:hAnsi="宋体" w:cs="宋体"/>
                <w:color w:val="auto"/>
                <w:spacing w:val="-1"/>
                <w:sz w:val="24"/>
                <w:szCs w:val="24"/>
                <w:lang w:eastAsia="zh-CN"/>
              </w:rPr>
              <w:t>投标</w:t>
            </w:r>
            <w:r>
              <w:rPr>
                <w:rFonts w:hint="eastAsia" w:ascii="宋体" w:hAnsi="宋体" w:eastAsia="宋体" w:cs="宋体"/>
                <w:color w:val="auto"/>
                <w:spacing w:val="-1"/>
                <w:sz w:val="24"/>
                <w:szCs w:val="24"/>
                <w:lang w:eastAsia="zh-CN"/>
              </w:rPr>
              <w:t>文件要求提供；</w:t>
            </w:r>
          </w:p>
        </w:tc>
        <w:tc>
          <w:tcPr>
            <w:tcW w:w="1672" w:type="dxa"/>
            <w:shd w:val="clear" w:color="000000" w:fill="FFFFFF"/>
            <w:vAlign w:val="center"/>
          </w:tcPr>
          <w:p w14:paraId="0058ECD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3880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6FEC409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8</w:t>
            </w:r>
          </w:p>
        </w:tc>
        <w:tc>
          <w:tcPr>
            <w:tcW w:w="1846" w:type="dxa"/>
            <w:shd w:val="clear" w:color="000000" w:fill="FFFFFF"/>
            <w:vAlign w:val="center"/>
          </w:tcPr>
          <w:p w14:paraId="1F416E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★号条款响应</w:t>
            </w:r>
          </w:p>
        </w:tc>
        <w:tc>
          <w:tcPr>
            <w:tcW w:w="4894" w:type="dxa"/>
            <w:shd w:val="clear" w:color="000000" w:fill="FFFFFF"/>
            <w:vAlign w:val="center"/>
          </w:tcPr>
          <w:p w14:paraId="47EC6EC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满足</w:t>
            </w:r>
            <w:r>
              <w:rPr>
                <w:rFonts w:hint="eastAsia" w:ascii="宋体" w:hAnsi="宋体" w:cs="宋体"/>
                <w:color w:val="auto"/>
                <w:spacing w:val="-1"/>
                <w:sz w:val="24"/>
                <w:szCs w:val="24"/>
                <w:lang w:eastAsia="zh-CN"/>
              </w:rPr>
              <w:t>投标</w:t>
            </w:r>
            <w:r>
              <w:rPr>
                <w:rFonts w:hint="eastAsia" w:ascii="宋体" w:hAnsi="宋体" w:eastAsia="宋体" w:cs="宋体"/>
                <w:color w:val="auto"/>
                <w:spacing w:val="-1"/>
                <w:sz w:val="24"/>
                <w:szCs w:val="24"/>
                <w:lang w:eastAsia="zh-CN"/>
              </w:rPr>
              <w:t>文件第</w:t>
            </w:r>
            <w:r>
              <w:rPr>
                <w:rFonts w:hint="eastAsia" w:ascii="宋体" w:hAnsi="宋体" w:cs="宋体"/>
                <w:color w:val="auto"/>
                <w:spacing w:val="-1"/>
                <w:sz w:val="24"/>
                <w:szCs w:val="24"/>
                <w:lang w:val="en-US" w:eastAsia="zh-CN"/>
              </w:rPr>
              <w:t>五</w:t>
            </w:r>
            <w:r>
              <w:rPr>
                <w:rFonts w:hint="eastAsia" w:ascii="宋体" w:hAnsi="宋体" w:eastAsia="宋体" w:cs="宋体"/>
                <w:color w:val="auto"/>
                <w:spacing w:val="-1"/>
                <w:sz w:val="24"/>
                <w:szCs w:val="24"/>
                <w:lang w:eastAsia="zh-CN"/>
              </w:rPr>
              <w:t>章《采购需求》中★号条款要求的；</w:t>
            </w:r>
          </w:p>
        </w:tc>
        <w:tc>
          <w:tcPr>
            <w:tcW w:w="1672" w:type="dxa"/>
            <w:shd w:val="clear" w:color="000000" w:fill="FFFFFF"/>
            <w:vAlign w:val="center"/>
          </w:tcPr>
          <w:p w14:paraId="29F51A6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1DCA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43BB14C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9</w:t>
            </w:r>
          </w:p>
        </w:tc>
        <w:tc>
          <w:tcPr>
            <w:tcW w:w="1846" w:type="dxa"/>
            <w:shd w:val="clear" w:color="000000" w:fill="FFFFFF"/>
            <w:vAlign w:val="center"/>
          </w:tcPr>
          <w:p w14:paraId="0B46201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hint="eastAsia" w:ascii="宋体" w:hAnsi="宋体" w:eastAsia="宋体" w:cs="宋体"/>
                <w:snapToGrid w:val="0"/>
                <w:color w:val="auto"/>
                <w:spacing w:val="10"/>
                <w:sz w:val="24"/>
                <w:szCs w:val="24"/>
                <w:lang w:val="en-US" w:eastAsia="zh-CN" w:bidi="ar-SA"/>
              </w:rPr>
            </w:pPr>
            <w:r>
              <w:rPr>
                <w:rFonts w:hint="eastAsia" w:ascii="宋体" w:hAnsi="宋体" w:eastAsia="宋体" w:cs="宋体"/>
                <w:color w:val="auto"/>
                <w:spacing w:val="10"/>
                <w:sz w:val="24"/>
                <w:szCs w:val="24"/>
                <w:lang w:eastAsia="zh-CN"/>
              </w:rPr>
              <w:t>报价的修正（如有）</w:t>
            </w:r>
          </w:p>
        </w:tc>
        <w:tc>
          <w:tcPr>
            <w:tcW w:w="4894" w:type="dxa"/>
            <w:shd w:val="clear" w:color="000000" w:fill="FFFFFF"/>
            <w:vAlign w:val="center"/>
          </w:tcPr>
          <w:p w14:paraId="23427A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color w:val="auto"/>
                <w:spacing w:val="-1"/>
                <w:sz w:val="24"/>
                <w:szCs w:val="24"/>
                <w:lang w:eastAsia="zh-CN"/>
              </w:rPr>
              <w:t>不涉及报价修正，或</w:t>
            </w: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报价出现前后不一致时，供应商对修正后的报价予以确认；（如有）</w:t>
            </w:r>
          </w:p>
        </w:tc>
        <w:tc>
          <w:tcPr>
            <w:tcW w:w="1672" w:type="dxa"/>
            <w:shd w:val="clear" w:color="000000" w:fill="FFFFFF"/>
            <w:vAlign w:val="center"/>
          </w:tcPr>
          <w:p w14:paraId="0EFEF20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default" w:ascii="宋体" w:hAnsi="宋体" w:eastAsia="宋体" w:cs="宋体"/>
                <w:color w:val="auto"/>
                <w:w w:val="110"/>
                <w:sz w:val="24"/>
                <w:szCs w:val="24"/>
                <w:lang w:val="en-US" w:eastAsia="zh-CN"/>
              </w:rPr>
            </w:pPr>
            <w:r>
              <w:rPr>
                <w:rFonts w:hint="eastAsia" w:ascii="宋体" w:hAnsi="宋体" w:eastAsia="宋体" w:cs="宋体"/>
                <w:color w:val="auto"/>
                <w:w w:val="110"/>
                <w:sz w:val="24"/>
                <w:szCs w:val="24"/>
                <w:lang w:val="en-US" w:eastAsia="zh-CN"/>
              </w:rPr>
              <w:t>是</w:t>
            </w:r>
          </w:p>
        </w:tc>
      </w:tr>
      <w:tr w14:paraId="488F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0708C43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10</w:t>
            </w:r>
          </w:p>
        </w:tc>
        <w:tc>
          <w:tcPr>
            <w:tcW w:w="1846" w:type="dxa"/>
            <w:shd w:val="clear" w:color="000000" w:fill="FFFFFF"/>
            <w:vAlign w:val="center"/>
          </w:tcPr>
          <w:p w14:paraId="7A4B014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hint="eastAsia" w:ascii="宋体" w:hAnsi="宋体" w:eastAsia="宋体" w:cs="宋体"/>
                <w:snapToGrid w:val="0"/>
                <w:color w:val="auto"/>
                <w:spacing w:val="10"/>
                <w:sz w:val="24"/>
                <w:szCs w:val="24"/>
                <w:lang w:val="en-US" w:eastAsia="zh-CN" w:bidi="ar-SA"/>
              </w:rPr>
            </w:pPr>
            <w:r>
              <w:rPr>
                <w:rFonts w:hint="eastAsia" w:ascii="宋体" w:hAnsi="宋体" w:eastAsia="宋体" w:cs="宋体"/>
                <w:color w:val="auto"/>
                <w:spacing w:val="10"/>
                <w:sz w:val="24"/>
                <w:szCs w:val="24"/>
                <w:lang w:eastAsia="zh-CN"/>
              </w:rPr>
              <w:t>报价合理性</w:t>
            </w:r>
          </w:p>
        </w:tc>
        <w:tc>
          <w:tcPr>
            <w:tcW w:w="4894" w:type="dxa"/>
            <w:shd w:val="clear" w:color="000000" w:fill="FFFFFF"/>
            <w:vAlign w:val="center"/>
          </w:tcPr>
          <w:p w14:paraId="470E90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color w:val="auto"/>
                <w:spacing w:val="-1"/>
                <w:sz w:val="24"/>
                <w:szCs w:val="24"/>
                <w:lang w:eastAsia="zh-CN"/>
              </w:rPr>
              <w:t>报价合理，或供应商的报价明显低于其他通过符合性审查供应商的报价，有可能影响产品质量或者不能诚信履约的，能够应评标委员会要求在规定时间内证明其报价合理性；</w:t>
            </w:r>
          </w:p>
        </w:tc>
        <w:tc>
          <w:tcPr>
            <w:tcW w:w="1672" w:type="dxa"/>
            <w:shd w:val="clear" w:color="000000" w:fill="FFFFFF"/>
            <w:vAlign w:val="center"/>
          </w:tcPr>
          <w:p w14:paraId="1C211BF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default" w:ascii="宋体" w:hAnsi="宋体" w:eastAsia="宋体" w:cs="宋体"/>
                <w:color w:val="auto"/>
                <w:w w:val="110"/>
                <w:sz w:val="24"/>
                <w:szCs w:val="24"/>
                <w:lang w:val="en-US" w:eastAsia="zh-CN"/>
              </w:rPr>
            </w:pPr>
            <w:r>
              <w:rPr>
                <w:rFonts w:hint="eastAsia" w:ascii="宋体" w:hAnsi="宋体" w:eastAsia="宋体" w:cs="宋体"/>
                <w:color w:val="auto"/>
                <w:w w:val="110"/>
                <w:sz w:val="24"/>
                <w:szCs w:val="24"/>
                <w:lang w:val="en-US" w:eastAsia="zh-CN"/>
              </w:rPr>
              <w:t>是</w:t>
            </w:r>
          </w:p>
        </w:tc>
      </w:tr>
      <w:tr w14:paraId="7D9A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4EDE038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11</w:t>
            </w:r>
          </w:p>
        </w:tc>
        <w:tc>
          <w:tcPr>
            <w:tcW w:w="1846" w:type="dxa"/>
            <w:shd w:val="clear" w:color="000000" w:fill="FFFFFF"/>
            <w:vAlign w:val="center"/>
          </w:tcPr>
          <w:p w14:paraId="333E9A3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right="95" w:firstLine="0" w:firstLineChars="0"/>
              <w:jc w:val="both"/>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进口产品</w:t>
            </w:r>
          </w:p>
          <w:p w14:paraId="6DCA288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hint="eastAsia" w:ascii="宋体" w:hAnsi="宋体" w:eastAsia="宋体" w:cs="宋体"/>
                <w:snapToGrid w:val="0"/>
                <w:color w:val="auto"/>
                <w:spacing w:val="10"/>
                <w:sz w:val="24"/>
                <w:szCs w:val="24"/>
                <w:lang w:val="en-US" w:eastAsia="zh-CN" w:bidi="ar-SA"/>
              </w:rPr>
            </w:pPr>
            <w:r>
              <w:rPr>
                <w:rFonts w:hint="eastAsia" w:ascii="宋体" w:hAnsi="宋体" w:eastAsia="宋体" w:cs="宋体"/>
                <w:color w:val="auto"/>
                <w:spacing w:val="10"/>
                <w:sz w:val="24"/>
                <w:szCs w:val="24"/>
                <w:lang w:eastAsia="zh-CN"/>
              </w:rPr>
              <w:t>（如有）</w:t>
            </w:r>
          </w:p>
        </w:tc>
        <w:tc>
          <w:tcPr>
            <w:tcW w:w="4894" w:type="dxa"/>
            <w:shd w:val="clear" w:color="000000" w:fill="FFFFFF"/>
            <w:vAlign w:val="center"/>
          </w:tcPr>
          <w:p w14:paraId="4CDB53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hint="eastAsia" w:ascii="宋体" w:hAnsi="宋体" w:eastAsia="宋体" w:cs="宋体"/>
                <w:snapToGrid w:val="0"/>
                <w:color w:val="auto"/>
                <w:spacing w:val="-1"/>
                <w:sz w:val="24"/>
                <w:szCs w:val="24"/>
                <w:lang w:val="en-US" w:eastAsia="zh-CN" w:bidi="ar-SA"/>
              </w:rPr>
            </w:pPr>
            <w:r>
              <w:rPr>
                <w:rFonts w:hint="eastAsia" w:ascii="宋体" w:hAnsi="宋体" w:cs="宋体"/>
                <w:color w:val="auto"/>
                <w:spacing w:val="-1"/>
                <w:sz w:val="24"/>
                <w:szCs w:val="24"/>
                <w:lang w:eastAsia="zh-CN"/>
              </w:rPr>
              <w:t>投标</w:t>
            </w:r>
            <w:r>
              <w:rPr>
                <w:rFonts w:hint="eastAsia" w:ascii="宋体" w:hAnsi="宋体" w:eastAsia="宋体" w:cs="宋体"/>
                <w:color w:val="auto"/>
                <w:spacing w:val="-1"/>
                <w:sz w:val="24"/>
                <w:szCs w:val="24"/>
                <w:lang w:eastAsia="zh-CN"/>
              </w:rPr>
              <w:t>文件不接受进口产品投标的内容时，供应商所投产品非进口产品的；</w:t>
            </w:r>
          </w:p>
        </w:tc>
        <w:tc>
          <w:tcPr>
            <w:tcW w:w="1672" w:type="dxa"/>
            <w:shd w:val="clear" w:color="000000" w:fill="FFFFFF"/>
            <w:vAlign w:val="center"/>
          </w:tcPr>
          <w:p w14:paraId="1C6195E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2DDE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08E364F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12</w:t>
            </w:r>
          </w:p>
        </w:tc>
        <w:tc>
          <w:tcPr>
            <w:tcW w:w="1846" w:type="dxa"/>
            <w:shd w:val="clear" w:color="000000" w:fill="FFFFFF"/>
            <w:vAlign w:val="center"/>
          </w:tcPr>
          <w:p w14:paraId="1CFEB12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hint="eastAsia" w:ascii="宋体" w:hAnsi="宋体" w:eastAsia="宋体" w:cs="宋体"/>
                <w:snapToGrid w:val="0"/>
                <w:color w:val="auto"/>
                <w:spacing w:val="10"/>
                <w:sz w:val="24"/>
                <w:szCs w:val="24"/>
                <w:lang w:val="en-US" w:eastAsia="zh-CN" w:bidi="ar-SA"/>
              </w:rPr>
            </w:pPr>
            <w:r>
              <w:rPr>
                <w:rFonts w:hint="eastAsia" w:ascii="宋体" w:hAnsi="宋体" w:eastAsia="宋体" w:cs="宋体"/>
                <w:color w:val="auto"/>
                <w:spacing w:val="10"/>
                <w:sz w:val="24"/>
                <w:szCs w:val="24"/>
                <w:lang w:eastAsia="zh-CN"/>
              </w:rPr>
              <w:t>国家有关部门对供应商的投标产品有强制性规定或要求的（如有）</w:t>
            </w:r>
          </w:p>
        </w:tc>
        <w:tc>
          <w:tcPr>
            <w:tcW w:w="4894" w:type="dxa"/>
            <w:shd w:val="clear" w:color="000000" w:fill="FFFFFF"/>
            <w:vAlign w:val="center"/>
          </w:tcPr>
          <w:p w14:paraId="0A3B2EC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国家有关部门对供应商的投标产品有强制性规定或要求的（如相应技术、安全、节能和环保等），供应商的投标产品应符合相应规定或要求，并提供证明文件电子件：</w:t>
            </w:r>
          </w:p>
          <w:p w14:paraId="1B2FDB1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1）采购的产品若属于《节能产品政府采购品目清单》范围中政府强制采购产品，则供应商所报产品必须获得国家确定的认证机构出具的、处于有效期之内的节能产品认证证书；</w:t>
            </w:r>
          </w:p>
          <w:p w14:paraId="1A06B43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2）投标产品如涉及计算机信息系统安全专用产品的，须提供公安部颁发的计算机信息系统安全专用产品销售许可证；</w:t>
            </w:r>
          </w:p>
          <w:p w14:paraId="43CDCFE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3）投标产品如有属于开展国家信息安全产品认证产品范围的，须提供由中国网络安全审查技术与认证中心（原中国信息安全认证中心）按国家标准认证颁发的有效认证证书等）；</w:t>
            </w:r>
          </w:p>
          <w:p w14:paraId="05E0EA6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14A544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color w:val="auto"/>
                <w:spacing w:val="-1"/>
                <w:sz w:val="24"/>
                <w:szCs w:val="24"/>
                <w:lang w:eastAsia="zh-CN"/>
              </w:rPr>
              <w:t>5）项目中涉及涂料、胶黏剂、油墨、清洗剂等挥发性有机物产品，且属于强制性标准的，供应商应执行符合本市和国家的VOCs 含量限制标准。</w:t>
            </w:r>
          </w:p>
        </w:tc>
        <w:tc>
          <w:tcPr>
            <w:tcW w:w="1672" w:type="dxa"/>
            <w:shd w:val="clear" w:color="000000" w:fill="FFFFFF"/>
            <w:vAlign w:val="center"/>
          </w:tcPr>
          <w:p w14:paraId="57B64B9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760D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3549885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13</w:t>
            </w:r>
          </w:p>
        </w:tc>
        <w:tc>
          <w:tcPr>
            <w:tcW w:w="1846" w:type="dxa"/>
            <w:shd w:val="clear" w:color="000000" w:fill="FFFFFF"/>
            <w:vAlign w:val="center"/>
          </w:tcPr>
          <w:p w14:paraId="335C8FC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hint="eastAsia" w:ascii="宋体" w:hAnsi="宋体" w:eastAsia="宋体" w:cs="宋体"/>
                <w:snapToGrid w:val="0"/>
                <w:color w:val="auto"/>
                <w:spacing w:val="10"/>
                <w:sz w:val="24"/>
                <w:szCs w:val="24"/>
                <w:lang w:val="en-US" w:eastAsia="zh-CN" w:bidi="ar-SA"/>
              </w:rPr>
            </w:pPr>
            <w:r>
              <w:rPr>
                <w:rFonts w:hint="eastAsia" w:ascii="宋体" w:hAnsi="宋体" w:eastAsia="宋体" w:cs="宋体"/>
                <w:color w:val="auto"/>
                <w:spacing w:val="10"/>
                <w:sz w:val="24"/>
                <w:szCs w:val="24"/>
                <w:lang w:eastAsia="zh-CN"/>
              </w:rPr>
              <w:t>公平竞争</w:t>
            </w:r>
          </w:p>
        </w:tc>
        <w:tc>
          <w:tcPr>
            <w:tcW w:w="4894" w:type="dxa"/>
            <w:shd w:val="clear" w:color="000000" w:fill="FFFFFF"/>
            <w:vAlign w:val="center"/>
          </w:tcPr>
          <w:p w14:paraId="51F6946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color w:val="auto"/>
                <w:spacing w:val="-1"/>
                <w:sz w:val="24"/>
                <w:szCs w:val="24"/>
                <w:lang w:eastAsia="zh-CN"/>
              </w:rPr>
              <w:t>供应商遵循公平竞争的原则，不存在恶意串通，妨碍其他供应商的竞争行为，不存在损害采购人或者其他供应商的合法权益情形的；</w:t>
            </w:r>
          </w:p>
        </w:tc>
        <w:tc>
          <w:tcPr>
            <w:tcW w:w="1672" w:type="dxa"/>
            <w:shd w:val="clear" w:color="000000" w:fill="FFFFFF"/>
            <w:vAlign w:val="center"/>
          </w:tcPr>
          <w:p w14:paraId="1EE1752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0067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222515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14</w:t>
            </w:r>
          </w:p>
        </w:tc>
        <w:tc>
          <w:tcPr>
            <w:tcW w:w="1846" w:type="dxa"/>
            <w:shd w:val="clear" w:color="000000" w:fill="FFFFFF"/>
            <w:vAlign w:val="center"/>
          </w:tcPr>
          <w:p w14:paraId="3190BB8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hint="eastAsia" w:ascii="宋体" w:hAnsi="宋体" w:eastAsia="宋体" w:cs="宋体"/>
                <w:snapToGrid w:val="0"/>
                <w:color w:val="auto"/>
                <w:spacing w:val="10"/>
                <w:sz w:val="24"/>
                <w:szCs w:val="24"/>
                <w:lang w:val="en-US" w:eastAsia="zh-CN" w:bidi="ar-SA"/>
              </w:rPr>
            </w:pPr>
            <w:r>
              <w:rPr>
                <w:rFonts w:hint="eastAsia" w:ascii="宋体" w:hAnsi="宋体" w:eastAsia="宋体" w:cs="宋体"/>
                <w:color w:val="auto"/>
                <w:spacing w:val="10"/>
                <w:sz w:val="24"/>
                <w:szCs w:val="24"/>
                <w:lang w:eastAsia="zh-CN"/>
              </w:rPr>
              <w:t>串通投标</w:t>
            </w:r>
          </w:p>
        </w:tc>
        <w:tc>
          <w:tcPr>
            <w:tcW w:w="4894" w:type="dxa"/>
            <w:shd w:val="clear" w:color="000000" w:fill="FFFFFF"/>
            <w:vAlign w:val="center"/>
          </w:tcPr>
          <w:p w14:paraId="0875E8E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color w:val="auto"/>
                <w:spacing w:val="-1"/>
                <w:sz w:val="24"/>
                <w:szCs w:val="24"/>
                <w:lang w:eastAsia="zh-CN"/>
              </w:rPr>
              <w:t>不存在《政府采购货物和服务招标投标管理办法》视为供应商串通投标的情形：（一）不同供应商的</w:t>
            </w: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由同一单位或者个人编制；（二）不同供应商委托同一单位或者个人办理投标事宜；（三）不同供应商的</w:t>
            </w: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载明的项目管理成员或者联系人员为同一人；（四）不同供应商的</w:t>
            </w: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异常一致或者投标报价呈规律 性差异；（五）不同供应商的</w:t>
            </w: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相互混装；（六）不同供应商的投标保证金从同一单位或者个人的账户转出；</w:t>
            </w:r>
          </w:p>
        </w:tc>
        <w:tc>
          <w:tcPr>
            <w:tcW w:w="1672" w:type="dxa"/>
            <w:shd w:val="clear" w:color="000000" w:fill="FFFFFF"/>
            <w:vAlign w:val="center"/>
          </w:tcPr>
          <w:p w14:paraId="4589950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337A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2DDDB51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15</w:t>
            </w:r>
          </w:p>
        </w:tc>
        <w:tc>
          <w:tcPr>
            <w:tcW w:w="1846" w:type="dxa"/>
            <w:shd w:val="clear" w:color="000000" w:fill="FFFFFF"/>
            <w:vAlign w:val="center"/>
          </w:tcPr>
          <w:p w14:paraId="70383D9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hint="eastAsia" w:ascii="宋体" w:hAnsi="宋体" w:eastAsia="宋体" w:cs="宋体"/>
                <w:snapToGrid w:val="0"/>
                <w:color w:val="auto"/>
                <w:spacing w:val="10"/>
                <w:sz w:val="24"/>
                <w:szCs w:val="24"/>
                <w:lang w:val="en-US" w:eastAsia="zh-CN" w:bidi="ar-SA"/>
              </w:rPr>
            </w:pPr>
            <w:r>
              <w:rPr>
                <w:rFonts w:hint="eastAsia" w:ascii="宋体" w:hAnsi="宋体" w:eastAsia="宋体" w:cs="宋体"/>
                <w:color w:val="auto"/>
                <w:spacing w:val="10"/>
                <w:sz w:val="24"/>
                <w:szCs w:val="24"/>
                <w:lang w:eastAsia="zh-CN"/>
              </w:rPr>
              <w:t>附加条件</w:t>
            </w:r>
          </w:p>
        </w:tc>
        <w:tc>
          <w:tcPr>
            <w:tcW w:w="4894" w:type="dxa"/>
            <w:shd w:val="clear" w:color="000000" w:fill="FFFFFF"/>
            <w:vAlign w:val="center"/>
          </w:tcPr>
          <w:p w14:paraId="7DDB549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hint="eastAsia" w:ascii="宋体" w:hAnsi="宋体" w:eastAsia="宋体" w:cs="宋体"/>
                <w:snapToGrid w:val="0"/>
                <w:color w:val="auto"/>
                <w:spacing w:val="-1"/>
                <w:sz w:val="24"/>
                <w:szCs w:val="24"/>
                <w:lang w:val="en-US" w:eastAsia="zh-CN" w:bidi="ar-SA"/>
              </w:rPr>
            </w:pP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未含有采购人不能接受的附加条件的；</w:t>
            </w:r>
          </w:p>
        </w:tc>
        <w:tc>
          <w:tcPr>
            <w:tcW w:w="1672" w:type="dxa"/>
            <w:shd w:val="clear" w:color="000000" w:fill="FFFFFF"/>
            <w:vAlign w:val="center"/>
          </w:tcPr>
          <w:p w14:paraId="21E30A4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val="en-US" w:eastAsia="zh-CN"/>
              </w:rPr>
              <w:t>否</w:t>
            </w:r>
          </w:p>
        </w:tc>
      </w:tr>
      <w:tr w14:paraId="0DFA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6" w:type="dxa"/>
            <w:shd w:val="clear" w:color="000000" w:fill="FFFFFF"/>
            <w:vAlign w:val="center"/>
          </w:tcPr>
          <w:p w14:paraId="54EE78C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eastAsia" w:ascii="宋体" w:hAnsi="宋体" w:eastAsia="宋体" w:cs="宋体"/>
                <w:color w:val="auto"/>
                <w:w w:val="110"/>
                <w:sz w:val="24"/>
                <w:szCs w:val="24"/>
                <w:lang w:eastAsia="zh-CN"/>
              </w:rPr>
            </w:pPr>
            <w:r>
              <w:rPr>
                <w:rFonts w:hint="eastAsia" w:ascii="宋体" w:hAnsi="宋体" w:eastAsia="宋体" w:cs="宋体"/>
                <w:color w:val="auto"/>
                <w:w w:val="110"/>
                <w:sz w:val="24"/>
                <w:szCs w:val="24"/>
                <w:lang w:eastAsia="zh-CN"/>
              </w:rPr>
              <w:t>16</w:t>
            </w:r>
          </w:p>
        </w:tc>
        <w:tc>
          <w:tcPr>
            <w:tcW w:w="1846" w:type="dxa"/>
            <w:shd w:val="clear" w:color="000000" w:fill="FFFFFF"/>
            <w:vAlign w:val="center"/>
          </w:tcPr>
          <w:p w14:paraId="1748E8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hint="eastAsia" w:ascii="宋体" w:hAnsi="宋体" w:eastAsia="宋体" w:cs="宋体"/>
                <w:snapToGrid w:val="0"/>
                <w:color w:val="auto"/>
                <w:spacing w:val="10"/>
                <w:sz w:val="24"/>
                <w:szCs w:val="24"/>
                <w:lang w:val="en-US" w:eastAsia="zh-CN" w:bidi="ar-SA"/>
              </w:rPr>
            </w:pPr>
            <w:r>
              <w:rPr>
                <w:rFonts w:hint="eastAsia" w:ascii="宋体" w:hAnsi="宋体" w:eastAsia="宋体" w:cs="宋体"/>
                <w:color w:val="auto"/>
                <w:spacing w:val="10"/>
                <w:sz w:val="24"/>
                <w:szCs w:val="24"/>
                <w:lang w:eastAsia="zh-CN"/>
              </w:rPr>
              <w:t>其他无效情形</w:t>
            </w:r>
          </w:p>
        </w:tc>
        <w:tc>
          <w:tcPr>
            <w:tcW w:w="4894" w:type="dxa"/>
            <w:shd w:val="clear" w:color="000000" w:fill="FFFFFF"/>
            <w:vAlign w:val="center"/>
          </w:tcPr>
          <w:p w14:paraId="3E47515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color w:val="auto"/>
                <w:spacing w:val="-1"/>
                <w:sz w:val="24"/>
                <w:szCs w:val="24"/>
                <w:lang w:eastAsia="zh-CN"/>
              </w:rPr>
              <w:t>供应商、</w:t>
            </w:r>
            <w:r>
              <w:rPr>
                <w:rFonts w:hint="eastAsia" w:ascii="宋体" w:hAnsi="宋体" w:cs="宋体"/>
                <w:color w:val="auto"/>
                <w:spacing w:val="-1"/>
                <w:sz w:val="24"/>
                <w:szCs w:val="24"/>
                <w:lang w:eastAsia="zh-CN"/>
              </w:rPr>
              <w:t>投标文件</w:t>
            </w:r>
            <w:r>
              <w:rPr>
                <w:rFonts w:hint="eastAsia" w:ascii="宋体" w:hAnsi="宋体" w:eastAsia="宋体" w:cs="宋体"/>
                <w:color w:val="auto"/>
                <w:spacing w:val="-1"/>
                <w:sz w:val="24"/>
                <w:szCs w:val="24"/>
                <w:lang w:eastAsia="zh-CN"/>
              </w:rPr>
              <w:t>不存在不符合法律、法规和</w:t>
            </w:r>
            <w:r>
              <w:rPr>
                <w:rFonts w:hint="eastAsia" w:ascii="宋体" w:hAnsi="宋体" w:cs="宋体"/>
                <w:color w:val="auto"/>
                <w:spacing w:val="-1"/>
                <w:sz w:val="24"/>
                <w:szCs w:val="24"/>
                <w:lang w:eastAsia="zh-CN"/>
              </w:rPr>
              <w:t>投标</w:t>
            </w:r>
            <w:r>
              <w:rPr>
                <w:rFonts w:hint="eastAsia" w:ascii="宋体" w:hAnsi="宋体" w:eastAsia="宋体" w:cs="宋体"/>
                <w:color w:val="auto"/>
                <w:spacing w:val="-1"/>
                <w:sz w:val="24"/>
                <w:szCs w:val="24"/>
                <w:lang w:eastAsia="zh-CN"/>
              </w:rPr>
              <w:t>文件规定的其他无效情形。</w:t>
            </w:r>
          </w:p>
        </w:tc>
        <w:tc>
          <w:tcPr>
            <w:tcW w:w="1672" w:type="dxa"/>
            <w:shd w:val="clear" w:color="000000" w:fill="FFFFFF"/>
            <w:vAlign w:val="center"/>
          </w:tcPr>
          <w:p w14:paraId="4B03FEA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right="157" w:firstLine="0" w:firstLineChars="0"/>
              <w:jc w:val="center"/>
              <w:textAlignment w:val="auto"/>
              <w:rPr>
                <w:rFonts w:hint="default" w:ascii="宋体" w:hAnsi="宋体" w:eastAsia="宋体" w:cs="宋体"/>
                <w:color w:val="auto"/>
                <w:w w:val="110"/>
                <w:sz w:val="24"/>
                <w:szCs w:val="24"/>
                <w:lang w:val="en-US" w:eastAsia="zh-CN"/>
              </w:rPr>
            </w:pPr>
            <w:r>
              <w:rPr>
                <w:rFonts w:hint="eastAsia" w:ascii="宋体" w:hAnsi="宋体" w:eastAsia="宋体" w:cs="宋体"/>
                <w:color w:val="auto"/>
                <w:w w:val="110"/>
                <w:sz w:val="24"/>
                <w:szCs w:val="24"/>
                <w:lang w:val="en-US" w:eastAsia="zh-CN"/>
              </w:rPr>
              <w:t>/</w:t>
            </w:r>
          </w:p>
        </w:tc>
      </w:tr>
    </w:tbl>
    <w:p w14:paraId="2F172684">
      <w:pPr>
        <w:pStyle w:val="26"/>
      </w:pPr>
    </w:p>
    <w:p w14:paraId="13FA1487">
      <w:pPr>
        <w:pStyle w:val="16"/>
      </w:pPr>
    </w:p>
    <w:p w14:paraId="6C86BDA8">
      <w:pPr>
        <w:numPr>
          <w:ilvl w:val="0"/>
          <w:numId w:val="11"/>
        </w:numPr>
        <w:tabs>
          <w:tab w:val="left" w:pos="360"/>
        </w:tabs>
        <w:snapToGrid w:val="0"/>
        <w:spacing w:line="360" w:lineRule="auto"/>
        <w:outlineLvl w:val="1"/>
        <w:rPr>
          <w:color w:val="auto"/>
          <w:sz w:val="24"/>
        </w:rPr>
      </w:pPr>
      <w:r>
        <w:rPr>
          <w:color w:val="auto"/>
          <w:sz w:val="24"/>
        </w:rPr>
        <w:t>投标文件有关事项的澄清或者说明</w:t>
      </w:r>
    </w:p>
    <w:p w14:paraId="410ECC1F">
      <w:pPr>
        <w:numPr>
          <w:ilvl w:val="1"/>
          <w:numId w:val="11"/>
        </w:numPr>
        <w:tabs>
          <w:tab w:val="left" w:pos="1080"/>
        </w:tabs>
        <w:snapToGrid w:val="0"/>
        <w:spacing w:line="360" w:lineRule="auto"/>
        <w:ind w:left="1077" w:hanging="720"/>
        <w:rPr>
          <w:color w:val="auto"/>
          <w:sz w:val="24"/>
        </w:rPr>
      </w:pPr>
      <w:r>
        <w:rPr>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2AF063A">
      <w:pPr>
        <w:numPr>
          <w:ilvl w:val="1"/>
          <w:numId w:val="11"/>
        </w:numPr>
        <w:tabs>
          <w:tab w:val="left" w:pos="1080"/>
        </w:tabs>
        <w:snapToGrid w:val="0"/>
        <w:spacing w:line="360" w:lineRule="auto"/>
        <w:ind w:left="1077" w:hanging="720"/>
        <w:rPr>
          <w:color w:val="auto"/>
          <w:sz w:val="24"/>
        </w:rPr>
      </w:pPr>
      <w:r>
        <w:rPr>
          <w:color w:val="auto"/>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rPr>
        <w:t>无效投标处理</w:t>
      </w:r>
      <w:r>
        <w:rPr>
          <w:color w:val="auto"/>
          <w:sz w:val="24"/>
        </w:rPr>
        <w:t>。</w:t>
      </w:r>
    </w:p>
    <w:p w14:paraId="66C4CE0E">
      <w:pPr>
        <w:numPr>
          <w:ilvl w:val="1"/>
          <w:numId w:val="11"/>
        </w:numPr>
        <w:tabs>
          <w:tab w:val="left" w:pos="1080"/>
        </w:tabs>
        <w:snapToGrid w:val="0"/>
        <w:spacing w:line="360" w:lineRule="auto"/>
        <w:ind w:left="1077" w:hanging="720"/>
        <w:rPr>
          <w:color w:val="auto"/>
          <w:sz w:val="24"/>
        </w:rPr>
      </w:pPr>
      <w:r>
        <w:rPr>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color w:val="auto"/>
          <w:sz w:val="24"/>
        </w:rPr>
        <w:t>投标无效</w:t>
      </w:r>
      <w:r>
        <w:rPr>
          <w:color w:val="auto"/>
          <w:sz w:val="24"/>
        </w:rPr>
        <w:t>。</w:t>
      </w:r>
    </w:p>
    <w:p w14:paraId="0F42FA5B">
      <w:pPr>
        <w:numPr>
          <w:ilvl w:val="1"/>
          <w:numId w:val="11"/>
        </w:numPr>
        <w:tabs>
          <w:tab w:val="left" w:pos="1080"/>
        </w:tabs>
        <w:snapToGrid w:val="0"/>
        <w:spacing w:line="360" w:lineRule="auto"/>
        <w:ind w:left="1077" w:hanging="720"/>
        <w:rPr>
          <w:color w:val="auto"/>
          <w:sz w:val="24"/>
        </w:rPr>
      </w:pPr>
      <w:r>
        <w:rPr>
          <w:color w:val="auto"/>
          <w:sz w:val="24"/>
        </w:rPr>
        <w:t>投标文件报价出现前后不一致的，按照下列规定修正：</w:t>
      </w:r>
    </w:p>
    <w:p w14:paraId="76369A45">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招标文件对于报价修正是否另有规定：</w:t>
      </w:r>
    </w:p>
    <w:p w14:paraId="21BDE6F7">
      <w:pPr>
        <w:tabs>
          <w:tab w:val="left" w:pos="1080"/>
          <w:tab w:val="left" w:pos="1589"/>
          <w:tab w:val="left" w:pos="2035"/>
          <w:tab w:val="left" w:pos="2114"/>
        </w:tabs>
        <w:snapToGrid w:val="0"/>
        <w:spacing w:line="360" w:lineRule="auto"/>
        <w:ind w:left="2035"/>
        <w:rPr>
          <w:color w:val="auto"/>
          <w:sz w:val="24"/>
          <w:u w:val="single"/>
        </w:rPr>
      </w:pPr>
      <w:r>
        <w:rPr>
          <w:color w:val="auto"/>
          <w:sz w:val="24"/>
        </w:rPr>
        <w:t>□有，具体规定为：______________</w:t>
      </w:r>
    </w:p>
    <w:p w14:paraId="0D0BD9B9">
      <w:pPr>
        <w:tabs>
          <w:tab w:val="left" w:pos="1080"/>
          <w:tab w:val="left" w:pos="1589"/>
          <w:tab w:val="left" w:pos="2035"/>
          <w:tab w:val="left" w:pos="2114"/>
        </w:tabs>
        <w:snapToGrid w:val="0"/>
        <w:spacing w:line="360" w:lineRule="auto"/>
        <w:ind w:left="2035"/>
        <w:rPr>
          <w:color w:val="auto"/>
          <w:sz w:val="24"/>
        </w:rPr>
      </w:pPr>
      <w:r>
        <w:rPr>
          <w:rFonts w:hint="eastAsia" w:ascii="宋体" w:hAnsi="宋体"/>
          <w:color w:val="auto"/>
          <w:sz w:val="24"/>
        </w:rPr>
        <w:t>■</w:t>
      </w:r>
      <w:r>
        <w:rPr>
          <w:color w:val="auto"/>
          <w:sz w:val="24"/>
        </w:rPr>
        <w:t>无，按下述2.4.2-2.4.7项规定修正。</w:t>
      </w:r>
    </w:p>
    <w:p w14:paraId="0A636D23">
      <w:pPr>
        <w:numPr>
          <w:ilvl w:val="2"/>
          <w:numId w:val="11"/>
        </w:numPr>
        <w:tabs>
          <w:tab w:val="left" w:pos="2035"/>
          <w:tab w:val="left" w:pos="2114"/>
          <w:tab w:val="left" w:pos="2977"/>
        </w:tabs>
        <w:snapToGrid w:val="0"/>
        <w:spacing w:line="360" w:lineRule="auto"/>
        <w:ind w:left="2035"/>
        <w:rPr>
          <w:color w:val="auto"/>
          <w:sz w:val="24"/>
        </w:rPr>
      </w:pPr>
      <w:r>
        <w:rPr>
          <w:color w:val="auto"/>
          <w:sz w:val="24"/>
        </w:rPr>
        <w:t>单独递交的开标一览表（报价表）与投标文件中开标一览表（报价表）内容不一致的，以单独递交的开标一览表（报价表）为准；</w:t>
      </w:r>
    </w:p>
    <w:p w14:paraId="78054A28">
      <w:pPr>
        <w:numPr>
          <w:ilvl w:val="2"/>
          <w:numId w:val="11"/>
        </w:numPr>
        <w:tabs>
          <w:tab w:val="left" w:pos="2035"/>
          <w:tab w:val="left" w:pos="2114"/>
          <w:tab w:val="left" w:pos="2977"/>
        </w:tabs>
        <w:snapToGrid w:val="0"/>
        <w:spacing w:line="360" w:lineRule="auto"/>
        <w:ind w:left="2035"/>
        <w:rPr>
          <w:color w:val="auto"/>
          <w:sz w:val="24"/>
        </w:rPr>
      </w:pPr>
      <w:r>
        <w:rPr>
          <w:color w:val="auto"/>
          <w:sz w:val="24"/>
        </w:rPr>
        <w:t>投标文件中开标一览表（报价表）内容与投标文件中相应内容不一致的，以开标一览表（报价表）为准；</w:t>
      </w:r>
    </w:p>
    <w:p w14:paraId="0159B0D6">
      <w:pPr>
        <w:numPr>
          <w:ilvl w:val="2"/>
          <w:numId w:val="11"/>
        </w:numPr>
        <w:tabs>
          <w:tab w:val="left" w:pos="2035"/>
          <w:tab w:val="left" w:pos="2114"/>
          <w:tab w:val="left" w:pos="2977"/>
        </w:tabs>
        <w:snapToGrid w:val="0"/>
        <w:spacing w:line="360" w:lineRule="auto"/>
        <w:ind w:left="2035"/>
        <w:rPr>
          <w:color w:val="auto"/>
          <w:sz w:val="24"/>
        </w:rPr>
      </w:pPr>
      <w:r>
        <w:rPr>
          <w:color w:val="auto"/>
          <w:sz w:val="24"/>
        </w:rPr>
        <w:t>大写金额和小写金额不一致的，以大写金额为准；</w:t>
      </w:r>
    </w:p>
    <w:p w14:paraId="522A7571">
      <w:pPr>
        <w:numPr>
          <w:ilvl w:val="2"/>
          <w:numId w:val="11"/>
        </w:numPr>
        <w:tabs>
          <w:tab w:val="left" w:pos="2035"/>
          <w:tab w:val="left" w:pos="2114"/>
          <w:tab w:val="left" w:pos="2977"/>
        </w:tabs>
        <w:snapToGrid w:val="0"/>
        <w:spacing w:line="360" w:lineRule="auto"/>
        <w:ind w:left="2035"/>
        <w:rPr>
          <w:color w:val="auto"/>
          <w:sz w:val="24"/>
        </w:rPr>
      </w:pPr>
      <w:r>
        <w:rPr>
          <w:color w:val="auto"/>
          <w:sz w:val="24"/>
        </w:rPr>
        <w:t>单价金额小数点或者百分比有明显错位的，以开标一览表的总价为准，并修改单价；</w:t>
      </w:r>
    </w:p>
    <w:p w14:paraId="6C682274">
      <w:pPr>
        <w:numPr>
          <w:ilvl w:val="2"/>
          <w:numId w:val="11"/>
        </w:numPr>
        <w:tabs>
          <w:tab w:val="left" w:pos="2035"/>
          <w:tab w:val="left" w:pos="2114"/>
          <w:tab w:val="left" w:pos="2977"/>
        </w:tabs>
        <w:snapToGrid w:val="0"/>
        <w:spacing w:line="360" w:lineRule="auto"/>
        <w:ind w:left="2035"/>
        <w:rPr>
          <w:color w:val="auto"/>
          <w:sz w:val="24"/>
        </w:rPr>
      </w:pPr>
      <w:r>
        <w:rPr>
          <w:color w:val="auto"/>
          <w:sz w:val="24"/>
        </w:rPr>
        <w:t>总价金额与按单价汇总金额不一致的，以单价金额计算结果为准。</w:t>
      </w:r>
    </w:p>
    <w:p w14:paraId="7EE17F35">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同时出现两种以上不一致的，按照前款规定的顺序修正。修正后的报价经投标人书面确认后产生约束力，投标人不确认的，其</w:t>
      </w:r>
      <w:r>
        <w:rPr>
          <w:b/>
          <w:color w:val="auto"/>
          <w:sz w:val="24"/>
        </w:rPr>
        <w:t>投标无效</w:t>
      </w:r>
      <w:r>
        <w:rPr>
          <w:color w:val="auto"/>
          <w:sz w:val="24"/>
        </w:rPr>
        <w:t>。</w:t>
      </w:r>
    </w:p>
    <w:p w14:paraId="63CAC2DC">
      <w:pPr>
        <w:numPr>
          <w:ilvl w:val="1"/>
          <w:numId w:val="11"/>
        </w:numPr>
        <w:tabs>
          <w:tab w:val="left" w:pos="1080"/>
        </w:tabs>
        <w:snapToGrid w:val="0"/>
        <w:spacing w:line="360" w:lineRule="auto"/>
        <w:ind w:left="1077" w:hanging="720"/>
        <w:rPr>
          <w:color w:val="auto"/>
          <w:sz w:val="24"/>
        </w:rPr>
      </w:pPr>
      <w:r>
        <w:rPr>
          <w:color w:val="auto"/>
          <w:sz w:val="24"/>
        </w:rPr>
        <w:t>落实政府采购政策的价格调整：只有符合第二章《投标人须知》5.2条规定情形的，可以享受中小企业扶持政策，用扣除后的价格参加评审；否则，评标时价格不予扣除。</w:t>
      </w:r>
    </w:p>
    <w:p w14:paraId="5E7B042E">
      <w:pPr>
        <w:numPr>
          <w:ilvl w:val="2"/>
          <w:numId w:val="11"/>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w:t>
      </w:r>
      <w:r>
        <w:rPr>
          <w:rFonts w:hint="eastAsia"/>
          <w:color w:val="auto"/>
          <w:sz w:val="24"/>
          <w:u w:val="single"/>
          <w:lang w:val="en-US" w:eastAsia="zh-CN"/>
        </w:rPr>
        <w:t>1</w:t>
      </w:r>
      <w:r>
        <w:rPr>
          <w:rFonts w:hint="eastAsia"/>
          <w:color w:val="auto"/>
          <w:sz w:val="24"/>
          <w:u w:val="single"/>
        </w:rPr>
        <w:t>0</w:t>
      </w:r>
      <w:r>
        <w:rPr>
          <w:color w:val="auto"/>
          <w:sz w:val="24"/>
          <w:u w:val="single"/>
        </w:rPr>
        <w:t>%</w:t>
      </w:r>
      <w:r>
        <w:rPr>
          <w:color w:val="auto"/>
          <w:sz w:val="24"/>
        </w:rPr>
        <w:t>的扣除，用扣除后的价格参加评审。</w:t>
      </w:r>
    </w:p>
    <w:p w14:paraId="7DAE6C52">
      <w:pPr>
        <w:numPr>
          <w:ilvl w:val="2"/>
          <w:numId w:val="11"/>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u w:val="single"/>
          <w:lang w:val="en-US" w:eastAsia="zh-CN"/>
        </w:rPr>
        <w:t>0</w:t>
      </w:r>
      <w:r>
        <w:rPr>
          <w:color w:val="auto"/>
          <w:sz w:val="24"/>
          <w:u w:val="single"/>
        </w:rPr>
        <w:t>%</w:t>
      </w:r>
      <w:r>
        <w:rPr>
          <w:color w:val="auto"/>
          <w:sz w:val="24"/>
        </w:rPr>
        <w:t>的扣除，用扣除后的价格参加评审。</w:t>
      </w:r>
    </w:p>
    <w:p w14:paraId="218F6FE6">
      <w:pPr>
        <w:numPr>
          <w:ilvl w:val="2"/>
          <w:numId w:val="11"/>
        </w:numPr>
        <w:tabs>
          <w:tab w:val="left" w:pos="1080"/>
          <w:tab w:val="left" w:pos="1589"/>
          <w:tab w:val="left" w:pos="2035"/>
        </w:tabs>
        <w:snapToGrid w:val="0"/>
        <w:spacing w:line="360" w:lineRule="auto"/>
        <w:ind w:left="2035"/>
        <w:rPr>
          <w:color w:val="auto"/>
          <w:sz w:val="24"/>
        </w:rPr>
      </w:pPr>
      <w:r>
        <w:rPr>
          <w:color w:val="auto"/>
          <w:sz w:val="24"/>
        </w:rPr>
        <w:t>组成联合体或者接受分包的小微企业与联合体内其他企业、分包企业之间存在直接控股、管理关系的，不享受价格扣除优惠政策。</w:t>
      </w:r>
    </w:p>
    <w:p w14:paraId="68D38562">
      <w:pPr>
        <w:numPr>
          <w:ilvl w:val="2"/>
          <w:numId w:val="11"/>
        </w:numPr>
        <w:tabs>
          <w:tab w:val="left" w:pos="1080"/>
          <w:tab w:val="left" w:pos="1589"/>
          <w:tab w:val="left" w:pos="2035"/>
        </w:tabs>
        <w:snapToGrid w:val="0"/>
        <w:spacing w:line="360" w:lineRule="auto"/>
        <w:ind w:left="2035"/>
        <w:rPr>
          <w:color w:val="auto"/>
          <w:sz w:val="24"/>
        </w:rPr>
      </w:pPr>
      <w:r>
        <w:rPr>
          <w:color w:val="auto"/>
          <w:sz w:val="24"/>
        </w:rPr>
        <w:t>价格扣除比例对小型企业和微型企业同等对待，不作区分。</w:t>
      </w:r>
    </w:p>
    <w:p w14:paraId="112519BD">
      <w:pPr>
        <w:numPr>
          <w:ilvl w:val="2"/>
          <w:numId w:val="11"/>
        </w:numPr>
        <w:tabs>
          <w:tab w:val="left" w:pos="1080"/>
          <w:tab w:val="left" w:pos="1589"/>
          <w:tab w:val="left" w:pos="2035"/>
        </w:tabs>
        <w:snapToGrid w:val="0"/>
        <w:spacing w:line="360" w:lineRule="auto"/>
        <w:ind w:left="2035"/>
        <w:rPr>
          <w:color w:val="auto"/>
          <w:sz w:val="24"/>
        </w:rPr>
      </w:pPr>
      <w:r>
        <w:rPr>
          <w:color w:val="auto"/>
          <w:sz w:val="24"/>
        </w:rPr>
        <w:t>中小企业参加政府采购活动，应当按照招标文件给定的格式出具《中小企业声明函》，否则不得享受相关中小企业扶持政策。</w:t>
      </w:r>
    </w:p>
    <w:p w14:paraId="2524817C">
      <w:pPr>
        <w:numPr>
          <w:ilvl w:val="2"/>
          <w:numId w:val="11"/>
        </w:numPr>
        <w:tabs>
          <w:tab w:val="left" w:pos="1080"/>
          <w:tab w:val="left" w:pos="1589"/>
          <w:tab w:val="left" w:pos="2035"/>
        </w:tabs>
        <w:snapToGrid w:val="0"/>
        <w:spacing w:line="360" w:lineRule="auto"/>
        <w:ind w:left="2035"/>
        <w:rPr>
          <w:color w:val="auto"/>
          <w:sz w:val="24"/>
        </w:rPr>
      </w:pPr>
      <w:r>
        <w:rPr>
          <w:color w:val="auto"/>
          <w:sz w:val="24"/>
        </w:rPr>
        <w:t>监狱企业提供了由省级以上监狱管理局（北京市含教育矫治局）、戒毒管理局（含新疆生产建设兵团）出具的属于监狱企业的证明文件的，视同小微企业。</w:t>
      </w:r>
    </w:p>
    <w:p w14:paraId="1CA7CAD2">
      <w:pPr>
        <w:numPr>
          <w:ilvl w:val="2"/>
          <w:numId w:val="11"/>
        </w:numPr>
        <w:tabs>
          <w:tab w:val="left" w:pos="1080"/>
          <w:tab w:val="left" w:pos="1589"/>
          <w:tab w:val="left" w:pos="2035"/>
        </w:tabs>
        <w:snapToGrid w:val="0"/>
        <w:spacing w:line="360" w:lineRule="auto"/>
        <w:ind w:left="2035"/>
        <w:rPr>
          <w:color w:val="auto"/>
          <w:sz w:val="24"/>
        </w:rPr>
      </w:pPr>
      <w:r>
        <w:rPr>
          <w:color w:val="auto"/>
          <w:sz w:val="24"/>
        </w:rPr>
        <w:t>残疾人福利性单位按招标文件要求提供了《残疾人福利性单位声明函》（见附件）的，视同小微企业。</w:t>
      </w:r>
    </w:p>
    <w:p w14:paraId="1AC6D5E1">
      <w:pPr>
        <w:numPr>
          <w:ilvl w:val="2"/>
          <w:numId w:val="11"/>
        </w:numPr>
        <w:tabs>
          <w:tab w:val="left" w:pos="1080"/>
          <w:tab w:val="left" w:pos="1589"/>
          <w:tab w:val="left" w:pos="2014"/>
          <w:tab w:val="clear" w:pos="1980"/>
        </w:tabs>
        <w:snapToGrid w:val="0"/>
        <w:spacing w:line="360" w:lineRule="auto"/>
        <w:ind w:left="2035"/>
        <w:rPr>
          <w:color w:val="auto"/>
          <w:sz w:val="24"/>
        </w:rPr>
      </w:pPr>
      <w:r>
        <w:rPr>
          <w:color w:val="auto"/>
          <w:sz w:val="24"/>
        </w:rPr>
        <w:t>若投标人同时属于小型或微型企业、监狱企业、残疾人福利性单位中的两种及以上，将不重复享受小微企业价格扣减的优惠政策。</w:t>
      </w:r>
    </w:p>
    <w:p w14:paraId="2F297372">
      <w:pPr>
        <w:numPr>
          <w:ilvl w:val="0"/>
          <w:numId w:val="11"/>
        </w:numPr>
        <w:tabs>
          <w:tab w:val="left" w:pos="360"/>
        </w:tabs>
        <w:snapToGrid w:val="0"/>
        <w:spacing w:line="360" w:lineRule="auto"/>
        <w:outlineLvl w:val="1"/>
        <w:rPr>
          <w:color w:val="auto"/>
          <w:sz w:val="24"/>
        </w:rPr>
      </w:pPr>
      <w:r>
        <w:rPr>
          <w:color w:val="auto"/>
          <w:sz w:val="24"/>
        </w:rPr>
        <w:t>投标文件的比较和评价</w:t>
      </w:r>
      <w:bookmarkEnd w:id="758"/>
      <w:bookmarkEnd w:id="759"/>
    </w:p>
    <w:p w14:paraId="0568D1E8">
      <w:pPr>
        <w:numPr>
          <w:ilvl w:val="1"/>
          <w:numId w:val="11"/>
        </w:numPr>
        <w:tabs>
          <w:tab w:val="left" w:pos="1080"/>
        </w:tabs>
        <w:snapToGrid w:val="0"/>
        <w:spacing w:line="360" w:lineRule="auto"/>
        <w:ind w:left="1077" w:hanging="720"/>
        <w:rPr>
          <w:color w:val="auto"/>
          <w:sz w:val="24"/>
        </w:rPr>
      </w:pPr>
      <w:r>
        <w:rPr>
          <w:color w:val="auto"/>
          <w:sz w:val="24"/>
        </w:rPr>
        <w:t>评标委员会将按照招标文件中规定的评标方法和标准，对符合性审查合格的投标文件进行商务和技术评估，综合比较与评价；未通过符合性审查的投标文件不得进入比较与评价。</w:t>
      </w:r>
    </w:p>
    <w:p w14:paraId="14BC6919">
      <w:pPr>
        <w:numPr>
          <w:ilvl w:val="1"/>
          <w:numId w:val="11"/>
        </w:numPr>
        <w:tabs>
          <w:tab w:val="left" w:pos="1080"/>
        </w:tabs>
        <w:snapToGrid w:val="0"/>
        <w:spacing w:line="360" w:lineRule="auto"/>
        <w:ind w:left="1077" w:hanging="720"/>
        <w:rPr>
          <w:color w:val="auto"/>
          <w:sz w:val="24"/>
        </w:rPr>
      </w:pPr>
      <w:r>
        <w:rPr>
          <w:color w:val="auto"/>
          <w:sz w:val="24"/>
        </w:rPr>
        <w:t>评标方法和评标标准</w:t>
      </w:r>
    </w:p>
    <w:p w14:paraId="259E76EF">
      <w:pPr>
        <w:numPr>
          <w:ilvl w:val="2"/>
          <w:numId w:val="11"/>
        </w:numPr>
        <w:tabs>
          <w:tab w:val="left" w:pos="1080"/>
          <w:tab w:val="left" w:pos="1589"/>
          <w:tab w:val="left" w:pos="2035"/>
        </w:tabs>
        <w:snapToGrid w:val="0"/>
        <w:spacing w:line="360" w:lineRule="auto"/>
        <w:ind w:left="2035"/>
        <w:rPr>
          <w:color w:val="auto"/>
          <w:sz w:val="24"/>
        </w:rPr>
      </w:pPr>
      <w:r>
        <w:rPr>
          <w:color w:val="auto"/>
          <w:sz w:val="24"/>
        </w:rPr>
        <w:t>本项目采用的评标方法为：</w:t>
      </w:r>
    </w:p>
    <w:p w14:paraId="7B5B18A2">
      <w:pPr>
        <w:tabs>
          <w:tab w:val="left" w:pos="900"/>
          <w:tab w:val="left" w:pos="1589"/>
          <w:tab w:val="left" w:pos="1701"/>
        </w:tabs>
        <w:snapToGrid w:val="0"/>
        <w:spacing w:line="360" w:lineRule="auto"/>
        <w:ind w:left="1985"/>
        <w:rPr>
          <w:color w:val="auto"/>
          <w:sz w:val="24"/>
        </w:rPr>
      </w:pPr>
      <w:r>
        <w:rPr>
          <w:b/>
          <w:color w:val="auto"/>
          <w:sz w:val="24"/>
        </w:rPr>
        <w:t>■</w:t>
      </w:r>
      <w:r>
        <w:rPr>
          <w:color w:val="auto"/>
          <w:sz w:val="24"/>
        </w:rPr>
        <w:t>综合评分法，指投标文件满足招标文件全部实质性要求，且按照评审因素的量化指标评审得分最高的投标人为中标候选人的评标方法，见《评标标准》</w:t>
      </w:r>
      <w:r>
        <w:rPr>
          <w:rFonts w:hint="eastAsia"/>
          <w:color w:val="auto"/>
          <w:sz w:val="24"/>
        </w:rPr>
        <w:t>，招标文件中没有规定的评标标准不得作为评审的依据。</w:t>
      </w:r>
    </w:p>
    <w:p w14:paraId="4DB68D10">
      <w:pPr>
        <w:tabs>
          <w:tab w:val="left" w:pos="900"/>
          <w:tab w:val="left" w:pos="1589"/>
          <w:tab w:val="left" w:pos="1701"/>
        </w:tabs>
        <w:snapToGrid w:val="0"/>
        <w:spacing w:line="360" w:lineRule="auto"/>
        <w:ind w:left="1985"/>
        <w:rPr>
          <w:color w:val="auto"/>
          <w:sz w:val="24"/>
        </w:rPr>
      </w:pPr>
      <w:r>
        <w:rPr>
          <w:color w:val="auto"/>
          <w:sz w:val="24"/>
        </w:rPr>
        <w:t>□最低评标价法，指投标文件满足招标文件全部实质性要求，且投标报价最低的投标人为中标候选人的评标方法。</w:t>
      </w:r>
    </w:p>
    <w:p w14:paraId="40F01B62">
      <w:pPr>
        <w:numPr>
          <w:ilvl w:val="2"/>
          <w:numId w:val="11"/>
        </w:numPr>
        <w:tabs>
          <w:tab w:val="left" w:pos="1080"/>
          <w:tab w:val="left" w:pos="1589"/>
          <w:tab w:val="left" w:pos="2035"/>
        </w:tabs>
        <w:snapToGrid w:val="0"/>
        <w:spacing w:line="360" w:lineRule="auto"/>
        <w:ind w:left="2035"/>
        <w:rPr>
          <w:color w:val="auto"/>
          <w:sz w:val="24"/>
        </w:rPr>
      </w:pPr>
      <w:r>
        <w:rPr>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rPr>
        <w:t>投标无效</w:t>
      </w:r>
      <w:r>
        <w:rPr>
          <w:color w:val="auto"/>
          <w:sz w:val="24"/>
        </w:rPr>
        <w:t>。</w:t>
      </w:r>
    </w:p>
    <w:p w14:paraId="3380CBCD">
      <w:pPr>
        <w:tabs>
          <w:tab w:val="left" w:pos="1080"/>
          <w:tab w:val="left" w:pos="1589"/>
          <w:tab w:val="left" w:pos="2035"/>
        </w:tabs>
        <w:snapToGrid w:val="0"/>
        <w:spacing w:line="360" w:lineRule="auto"/>
        <w:ind w:left="2035"/>
        <w:rPr>
          <w:color w:val="auto"/>
          <w:sz w:val="24"/>
        </w:rPr>
      </w:pPr>
      <w:r>
        <w:rPr>
          <w:color w:val="auto"/>
          <w:sz w:val="24"/>
        </w:rPr>
        <w:t>□随机抽取</w:t>
      </w:r>
    </w:p>
    <w:p w14:paraId="4C033150">
      <w:pPr>
        <w:tabs>
          <w:tab w:val="left" w:pos="1080"/>
          <w:tab w:val="left" w:pos="1589"/>
          <w:tab w:val="left" w:pos="2035"/>
        </w:tabs>
        <w:snapToGrid w:val="0"/>
        <w:spacing w:line="360" w:lineRule="auto"/>
        <w:ind w:left="2035"/>
        <w:rPr>
          <w:color w:val="auto"/>
          <w:sz w:val="24"/>
          <w:u w:val="single"/>
        </w:rPr>
      </w:pPr>
      <w:r>
        <w:rPr>
          <w:color w:val="auto"/>
          <w:sz w:val="24"/>
        </w:rPr>
        <w:t>□其他方式，具体要求：_____</w:t>
      </w:r>
    </w:p>
    <w:p w14:paraId="482660AE">
      <w:pPr>
        <w:numPr>
          <w:ilvl w:val="2"/>
          <w:numId w:val="11"/>
        </w:numPr>
        <w:tabs>
          <w:tab w:val="left" w:pos="1080"/>
          <w:tab w:val="left" w:pos="1589"/>
          <w:tab w:val="left" w:pos="2035"/>
        </w:tabs>
        <w:snapToGrid w:val="0"/>
        <w:spacing w:line="360" w:lineRule="auto"/>
        <w:ind w:left="2035"/>
        <w:rPr>
          <w:color w:val="auto"/>
          <w:sz w:val="24"/>
        </w:rPr>
      </w:pPr>
      <w:r>
        <w:rPr>
          <w:color w:val="auto"/>
          <w:sz w:val="24"/>
        </w:rPr>
        <w:t>非政府强制采购的节能产品或环境标志产品，依据品目清单和认证证书实施政府优先采购。优先采购的具体规定（如涉及）。</w:t>
      </w:r>
    </w:p>
    <w:p w14:paraId="67CC1541">
      <w:pPr>
        <w:numPr>
          <w:ilvl w:val="2"/>
          <w:numId w:val="11"/>
        </w:numPr>
        <w:tabs>
          <w:tab w:val="left" w:pos="1080"/>
          <w:tab w:val="left" w:pos="1589"/>
          <w:tab w:val="left" w:pos="2035"/>
        </w:tabs>
        <w:snapToGrid w:val="0"/>
        <w:spacing w:line="360" w:lineRule="auto"/>
        <w:ind w:left="2035"/>
        <w:rPr>
          <w:color w:val="auto"/>
          <w:sz w:val="24"/>
        </w:rPr>
      </w:pPr>
      <w:r>
        <w:rPr>
          <w:color w:val="auto"/>
          <w:sz w:val="24"/>
        </w:rPr>
        <w:t>关于无线局域网认证产品政府采购清单中的产品，优先采购的具体规定（如涉及）。</w:t>
      </w:r>
    </w:p>
    <w:p w14:paraId="6001D710">
      <w:pPr>
        <w:numPr>
          <w:ilvl w:val="0"/>
          <w:numId w:val="11"/>
        </w:numPr>
        <w:tabs>
          <w:tab w:val="left" w:pos="360"/>
        </w:tabs>
        <w:snapToGrid w:val="0"/>
        <w:spacing w:line="360" w:lineRule="auto"/>
        <w:outlineLvl w:val="1"/>
        <w:rPr>
          <w:color w:val="auto"/>
          <w:sz w:val="24"/>
        </w:rPr>
      </w:pPr>
      <w:r>
        <w:rPr>
          <w:color w:val="auto"/>
          <w:sz w:val="24"/>
        </w:rPr>
        <w:t>确定</w:t>
      </w:r>
      <w:bookmarkStart w:id="775" w:name="_Toc305158814"/>
      <w:bookmarkStart w:id="776" w:name="_Toc151193788"/>
      <w:bookmarkStart w:id="777" w:name="_Toc226309790"/>
      <w:bookmarkStart w:id="778" w:name="_Toc164229241"/>
      <w:bookmarkStart w:id="779" w:name="_Ref467307010"/>
      <w:bookmarkStart w:id="780" w:name="_Toc127151747"/>
      <w:bookmarkStart w:id="781" w:name="_Toc151193716"/>
      <w:bookmarkStart w:id="782" w:name="_Toc150480784"/>
      <w:bookmarkStart w:id="783" w:name="_Toc127161460"/>
      <w:bookmarkStart w:id="784" w:name="_Toc150509297"/>
      <w:bookmarkStart w:id="785" w:name="_Toc151193644"/>
      <w:bookmarkStart w:id="786" w:name="_Toc164229387"/>
      <w:bookmarkStart w:id="787" w:name="_Toc164608815"/>
      <w:bookmarkStart w:id="788" w:name="_Toc149720839"/>
      <w:bookmarkStart w:id="789" w:name="_Toc127151546"/>
      <w:bookmarkStart w:id="790" w:name="_Toc264969236"/>
      <w:bookmarkStart w:id="791" w:name="_Toc151193860"/>
      <w:bookmarkStart w:id="792" w:name="_Toc150774751"/>
      <w:bookmarkStart w:id="793" w:name="_Toc142311048"/>
      <w:bookmarkStart w:id="794" w:name="_Toc265228384"/>
      <w:bookmarkStart w:id="795" w:name="_Toc164351640"/>
      <w:bookmarkStart w:id="796" w:name="_Toc520356170"/>
      <w:bookmarkStart w:id="797" w:name="_Toc150774646"/>
      <w:bookmarkStart w:id="798" w:name="_Toc195842911"/>
      <w:bookmarkStart w:id="799" w:name="_Toc226337242"/>
      <w:bookmarkStart w:id="800" w:name="_Toc226965736"/>
      <w:bookmarkStart w:id="801" w:name="_Toc151190173"/>
      <w:bookmarkStart w:id="802" w:name="_Toc305158888"/>
      <w:bookmarkStart w:id="803" w:name="_Toc164608660"/>
      <w:bookmarkStart w:id="804" w:name="_Toc226965819"/>
      <w:bookmarkStart w:id="805" w:name="_Toc151193934"/>
      <w:r>
        <w:rPr>
          <w:color w:val="auto"/>
          <w:sz w:val="24"/>
        </w:rPr>
        <w:t>中标候选人名单</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76B7A784">
      <w:pPr>
        <w:numPr>
          <w:ilvl w:val="1"/>
          <w:numId w:val="11"/>
        </w:numPr>
        <w:tabs>
          <w:tab w:val="left" w:pos="1080"/>
        </w:tabs>
        <w:snapToGrid w:val="0"/>
        <w:spacing w:line="360" w:lineRule="auto"/>
        <w:ind w:left="1077" w:hanging="720"/>
        <w:rPr>
          <w:color w:val="auto"/>
          <w:sz w:val="24"/>
        </w:rPr>
      </w:pPr>
      <w:r>
        <w:rPr>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D61F2F1">
      <w:pPr>
        <w:pStyle w:val="21"/>
        <w:tabs>
          <w:tab w:val="left" w:pos="900"/>
          <w:tab w:val="left" w:pos="2127"/>
        </w:tabs>
        <w:adjustRightInd w:val="0"/>
        <w:snapToGrid w:val="0"/>
        <w:spacing w:line="360" w:lineRule="auto"/>
        <w:ind w:left="993" w:firstLine="136" w:firstLineChars="57"/>
        <w:rPr>
          <w:rFonts w:ascii="Times New Roman" w:hAnsi="Times New Roman"/>
          <w:color w:val="auto"/>
          <w:sz w:val="24"/>
          <w:szCs w:val="24"/>
        </w:rPr>
      </w:pPr>
      <w:r>
        <w:rPr>
          <w:rFonts w:ascii="Times New Roman" w:hAnsi="Times New Roman"/>
          <w:color w:val="auto"/>
          <w:sz w:val="24"/>
          <w:szCs w:val="24"/>
        </w:rPr>
        <w:t>□随机抽取</w:t>
      </w:r>
    </w:p>
    <w:p w14:paraId="0A1EAE5E">
      <w:pPr>
        <w:pStyle w:val="21"/>
        <w:tabs>
          <w:tab w:val="left" w:pos="900"/>
          <w:tab w:val="left" w:pos="2127"/>
        </w:tabs>
        <w:adjustRightInd w:val="0"/>
        <w:snapToGrid w:val="0"/>
        <w:spacing w:line="360" w:lineRule="auto"/>
        <w:ind w:left="993" w:firstLine="136" w:firstLineChars="57"/>
        <w:rPr>
          <w:rFonts w:ascii="Times New Roman" w:hAnsi="Times New Roman"/>
          <w:color w:val="auto"/>
          <w:sz w:val="24"/>
          <w:szCs w:val="24"/>
          <w:u w:val="single"/>
        </w:rPr>
      </w:pPr>
      <w:r>
        <w:rPr>
          <w:rFonts w:ascii="Times New Roman" w:hAnsi="Times New Roman"/>
          <w:color w:val="auto"/>
          <w:sz w:val="24"/>
          <w:szCs w:val="24"/>
        </w:rPr>
        <w:t>□其他方式，具体要求：</w:t>
      </w:r>
    </w:p>
    <w:p w14:paraId="419CE0CA">
      <w:pPr>
        <w:pStyle w:val="21"/>
        <w:tabs>
          <w:tab w:val="left" w:pos="900"/>
          <w:tab w:val="left" w:pos="2127"/>
        </w:tabs>
        <w:adjustRightInd w:val="0"/>
        <w:snapToGrid w:val="0"/>
        <w:spacing w:line="360" w:lineRule="auto"/>
        <w:ind w:left="993" w:firstLine="136" w:firstLineChars="57"/>
        <w:rPr>
          <w:color w:val="auto"/>
          <w:sz w:val="24"/>
        </w:rPr>
      </w:pPr>
      <w:r>
        <w:rPr>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2B4F3F9">
      <w:pPr>
        <w:numPr>
          <w:ilvl w:val="1"/>
          <w:numId w:val="11"/>
        </w:numPr>
        <w:tabs>
          <w:tab w:val="left" w:pos="1080"/>
        </w:tabs>
        <w:snapToGrid w:val="0"/>
        <w:spacing w:line="360" w:lineRule="auto"/>
        <w:ind w:left="1077" w:hanging="720"/>
        <w:rPr>
          <w:color w:val="auto"/>
          <w:sz w:val="24"/>
        </w:rPr>
      </w:pPr>
      <w:r>
        <w:rPr>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2DB8ABE">
      <w:pPr>
        <w:numPr>
          <w:ilvl w:val="1"/>
          <w:numId w:val="11"/>
        </w:numPr>
        <w:tabs>
          <w:tab w:val="left" w:pos="1080"/>
        </w:tabs>
        <w:snapToGrid w:val="0"/>
        <w:spacing w:line="360" w:lineRule="auto"/>
        <w:ind w:left="1077" w:hanging="720"/>
        <w:rPr>
          <w:color w:val="auto"/>
          <w:sz w:val="24"/>
        </w:rPr>
      </w:pPr>
      <w:r>
        <w:rPr>
          <w:color w:val="auto"/>
          <w:sz w:val="24"/>
        </w:rPr>
        <w:t>评标委员会要对评分汇总情况进行复核，特别是对排名第一的、报价最低的、投标或</w:t>
      </w:r>
      <w:r>
        <w:rPr>
          <w:rFonts w:hint="eastAsia"/>
          <w:color w:val="auto"/>
          <w:sz w:val="24"/>
          <w:lang w:eastAsia="zh-CN"/>
        </w:rPr>
        <w:t>投标文件</w:t>
      </w:r>
      <w:r>
        <w:rPr>
          <w:color w:val="auto"/>
          <w:sz w:val="24"/>
        </w:rPr>
        <w:t>被认定为无效的情形进行重点复核。</w:t>
      </w:r>
    </w:p>
    <w:p w14:paraId="708D1C84">
      <w:pPr>
        <w:numPr>
          <w:ilvl w:val="1"/>
          <w:numId w:val="11"/>
        </w:numPr>
        <w:tabs>
          <w:tab w:val="left" w:pos="1080"/>
        </w:tabs>
        <w:snapToGrid w:val="0"/>
        <w:spacing w:line="360" w:lineRule="auto"/>
        <w:ind w:left="1077" w:hanging="720"/>
        <w:rPr>
          <w:color w:val="auto"/>
          <w:sz w:val="24"/>
        </w:rPr>
      </w:pPr>
      <w:r>
        <w:rPr>
          <w:color w:val="auto"/>
          <w:sz w:val="24"/>
        </w:rPr>
        <w:t>评标委员会将根据各投标人的评标排序，依次推荐本项目（</w:t>
      </w:r>
      <w:r>
        <w:rPr>
          <w:rFonts w:hint="eastAsia"/>
          <w:color w:val="auto"/>
          <w:sz w:val="24"/>
        </w:rPr>
        <w:t>各</w:t>
      </w:r>
      <w:r>
        <w:rPr>
          <w:color w:val="auto"/>
          <w:sz w:val="24"/>
        </w:rPr>
        <w:t>采购包）的中标候选人，起草并签署评标报告。本项目（</w:t>
      </w:r>
      <w:r>
        <w:rPr>
          <w:rFonts w:hint="eastAsia"/>
          <w:color w:val="auto"/>
          <w:sz w:val="24"/>
        </w:rPr>
        <w:t>各</w:t>
      </w:r>
      <w:r>
        <w:rPr>
          <w:color w:val="auto"/>
          <w:sz w:val="24"/>
        </w:rPr>
        <w:t>采购包）评标委员会共（各）推荐</w:t>
      </w:r>
      <w:r>
        <w:rPr>
          <w:rFonts w:hint="eastAsia"/>
          <w:color w:val="auto"/>
          <w:sz w:val="24"/>
        </w:rPr>
        <w:t>3</w:t>
      </w:r>
      <w:r>
        <w:rPr>
          <w:color w:val="auto"/>
          <w:sz w:val="24"/>
        </w:rPr>
        <w:t>名中标候选人。</w:t>
      </w:r>
    </w:p>
    <w:p w14:paraId="11069EE3">
      <w:pPr>
        <w:numPr>
          <w:ilvl w:val="0"/>
          <w:numId w:val="11"/>
        </w:numPr>
        <w:tabs>
          <w:tab w:val="left" w:pos="360"/>
        </w:tabs>
        <w:snapToGrid w:val="0"/>
        <w:spacing w:line="360" w:lineRule="auto"/>
        <w:outlineLvl w:val="1"/>
        <w:rPr>
          <w:color w:val="auto"/>
          <w:sz w:val="24"/>
        </w:rPr>
      </w:pPr>
      <w:r>
        <w:rPr>
          <w:color w:val="auto"/>
          <w:sz w:val="24"/>
        </w:rPr>
        <w:t>报告违法行为</w:t>
      </w:r>
    </w:p>
    <w:p w14:paraId="10BBD16B">
      <w:pPr>
        <w:numPr>
          <w:ilvl w:val="1"/>
          <w:numId w:val="11"/>
        </w:numPr>
        <w:tabs>
          <w:tab w:val="left" w:pos="1080"/>
        </w:tabs>
        <w:snapToGrid w:val="0"/>
        <w:spacing w:line="360" w:lineRule="auto"/>
        <w:ind w:left="1077" w:hanging="720"/>
        <w:rPr>
          <w:color w:val="auto"/>
          <w:sz w:val="24"/>
        </w:rPr>
      </w:pPr>
      <w:r>
        <w:rPr>
          <w:color w:val="auto"/>
          <w:sz w:val="24"/>
        </w:rPr>
        <w:t>评标委员会在评标过程中发现投标人有行贿、提供虚假材料或者串通等违法行为时，有向采购人、采购代理机构或者有关部门报告的职责。</w:t>
      </w:r>
    </w:p>
    <w:p w14:paraId="0FA1BA81">
      <w:pPr>
        <w:widowControl/>
        <w:jc w:val="left"/>
        <w:rPr>
          <w:b/>
          <w:color w:val="auto"/>
          <w:sz w:val="24"/>
        </w:rPr>
      </w:pPr>
      <w:r>
        <w:rPr>
          <w:b/>
          <w:color w:val="auto"/>
          <w:sz w:val="24"/>
        </w:rPr>
        <w:br w:type="page"/>
      </w:r>
    </w:p>
    <w:p w14:paraId="1793DB41">
      <w:pPr>
        <w:tabs>
          <w:tab w:val="left" w:pos="360"/>
          <w:tab w:val="left" w:pos="900"/>
        </w:tabs>
        <w:snapToGrid w:val="0"/>
        <w:spacing w:line="360" w:lineRule="auto"/>
        <w:jc w:val="center"/>
        <w:outlineLvl w:val="1"/>
        <w:rPr>
          <w:b/>
          <w:color w:val="auto"/>
        </w:rPr>
      </w:pPr>
      <w:r>
        <w:rPr>
          <w:b/>
          <w:color w:val="auto"/>
          <w:sz w:val="24"/>
        </w:rPr>
        <w:t>二、评标标准</w:t>
      </w:r>
    </w:p>
    <w:tbl>
      <w:tblPr>
        <w:tblStyle w:val="36"/>
        <w:tblW w:w="9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084"/>
        <w:gridCol w:w="660"/>
        <w:gridCol w:w="4481"/>
        <w:gridCol w:w="2173"/>
        <w:gridCol w:w="532"/>
      </w:tblGrid>
      <w:tr w14:paraId="5FAA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dxa"/>
          </w:tcPr>
          <w:p w14:paraId="7DE97788">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序号</w:t>
            </w:r>
          </w:p>
        </w:tc>
        <w:tc>
          <w:tcPr>
            <w:tcW w:w="1084" w:type="dxa"/>
          </w:tcPr>
          <w:p w14:paraId="009B9160">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评分因素</w:t>
            </w:r>
          </w:p>
        </w:tc>
        <w:tc>
          <w:tcPr>
            <w:tcW w:w="660" w:type="dxa"/>
          </w:tcPr>
          <w:p w14:paraId="6B24B1D1">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分值</w:t>
            </w:r>
          </w:p>
        </w:tc>
        <w:tc>
          <w:tcPr>
            <w:tcW w:w="6654" w:type="dxa"/>
            <w:gridSpan w:val="2"/>
          </w:tcPr>
          <w:p w14:paraId="79C683A1">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评分标准</w:t>
            </w:r>
          </w:p>
        </w:tc>
        <w:tc>
          <w:tcPr>
            <w:tcW w:w="532" w:type="dxa"/>
          </w:tcPr>
          <w:p w14:paraId="4FB4A1A9">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说明</w:t>
            </w:r>
          </w:p>
        </w:tc>
      </w:tr>
      <w:tr w14:paraId="6BBC6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585" w:type="dxa"/>
            <w:gridSpan w:val="6"/>
            <w:vAlign w:val="center"/>
          </w:tcPr>
          <w:p w14:paraId="338AB7DD">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商务得分（</w:t>
            </w:r>
            <w:r>
              <w:rPr>
                <w:rFonts w:hint="eastAsia" w:ascii="宋体" w:hAnsi="宋体" w:cs="宋体"/>
                <w:color w:val="auto"/>
                <w:szCs w:val="22"/>
                <w:lang w:val="en-US" w:eastAsia="zh-CN"/>
              </w:rPr>
              <w:t>5</w:t>
            </w:r>
            <w:r>
              <w:rPr>
                <w:rFonts w:hint="eastAsia" w:ascii="宋体" w:hAnsi="宋体" w:cs="宋体"/>
                <w:color w:val="auto"/>
                <w:szCs w:val="22"/>
                <w:lang w:eastAsia="zh-CN"/>
              </w:rPr>
              <w:t>分）</w:t>
            </w:r>
          </w:p>
        </w:tc>
      </w:tr>
      <w:tr w14:paraId="5FE7B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dxa"/>
            <w:vAlign w:val="center"/>
          </w:tcPr>
          <w:p w14:paraId="35FB76EC">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1</w:t>
            </w:r>
          </w:p>
        </w:tc>
        <w:tc>
          <w:tcPr>
            <w:tcW w:w="1084" w:type="dxa"/>
            <w:shd w:val="clear" w:color="auto" w:fill="auto"/>
            <w:vAlign w:val="center"/>
          </w:tcPr>
          <w:p w14:paraId="0B0E00E6">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同类业绩</w:t>
            </w:r>
          </w:p>
        </w:tc>
        <w:tc>
          <w:tcPr>
            <w:tcW w:w="660" w:type="dxa"/>
            <w:shd w:val="clear" w:color="auto" w:fill="auto"/>
            <w:vAlign w:val="center"/>
          </w:tcPr>
          <w:p w14:paraId="33451DC5">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val="en-US" w:eastAsia="zh-CN"/>
              </w:rPr>
              <w:t>4</w:t>
            </w:r>
          </w:p>
        </w:tc>
        <w:tc>
          <w:tcPr>
            <w:tcW w:w="6654" w:type="dxa"/>
            <w:gridSpan w:val="2"/>
            <w:shd w:val="clear" w:color="auto" w:fill="auto"/>
          </w:tcPr>
          <w:p w14:paraId="7D93DA77">
            <w:pPr>
              <w:widowControl w:val="0"/>
              <w:kinsoku/>
              <w:spacing w:before="40" w:after="40" w:line="240" w:lineRule="auto"/>
              <w:ind w:firstLine="0" w:firstLineChars="0"/>
              <w:textAlignment w:val="auto"/>
              <w:rPr>
                <w:rFonts w:ascii="宋体" w:hAnsi="宋体" w:cs="宋体"/>
                <w:color w:val="auto"/>
                <w:szCs w:val="22"/>
                <w:lang w:eastAsia="zh-CN"/>
              </w:rPr>
            </w:pPr>
            <w:r>
              <w:rPr>
                <w:rFonts w:hint="eastAsia" w:ascii="宋体" w:hAnsi="宋体" w:cs="宋体"/>
                <w:color w:val="auto"/>
                <w:szCs w:val="22"/>
                <w:lang w:eastAsia="zh-CN"/>
              </w:rPr>
              <w:t>根据供应商</w:t>
            </w:r>
            <w:r>
              <w:rPr>
                <w:rFonts w:hint="eastAsia" w:ascii="宋体" w:hAnsi="宋体" w:cs="宋体"/>
                <w:color w:val="auto"/>
                <w:szCs w:val="22"/>
                <w:lang w:val="en-US" w:eastAsia="zh-CN"/>
              </w:rPr>
              <w:t>递交投标文件截止之日前三年</w:t>
            </w:r>
            <w:r>
              <w:rPr>
                <w:rFonts w:hint="eastAsia" w:ascii="宋体" w:hAnsi="宋体" w:cs="宋体"/>
                <w:color w:val="auto"/>
                <w:szCs w:val="22"/>
                <w:lang w:eastAsia="zh-CN"/>
              </w:rPr>
              <w:t>的与本项目相同或类似的产品销售业绩,每提供一个有效</w:t>
            </w:r>
            <w:r>
              <w:rPr>
                <w:rFonts w:hint="eastAsia" w:ascii="宋体" w:hAnsi="宋体" w:cs="宋体"/>
                <w:color w:val="auto"/>
                <w:szCs w:val="22"/>
                <w:lang w:val="en-US" w:eastAsia="zh-CN"/>
              </w:rPr>
              <w:t>业绩</w:t>
            </w:r>
            <w:r>
              <w:rPr>
                <w:rFonts w:hint="eastAsia" w:ascii="宋体" w:hAnsi="宋体" w:cs="宋体"/>
                <w:color w:val="auto"/>
                <w:szCs w:val="22"/>
                <w:lang w:eastAsia="zh-CN"/>
              </w:rPr>
              <w:t>得</w:t>
            </w:r>
            <w:r>
              <w:rPr>
                <w:rFonts w:hint="eastAsia" w:ascii="宋体" w:hAnsi="宋体" w:cs="宋体"/>
                <w:color w:val="auto"/>
                <w:szCs w:val="22"/>
                <w:lang w:val="en-US" w:eastAsia="zh-CN"/>
              </w:rPr>
              <w:t>2</w:t>
            </w:r>
            <w:r>
              <w:rPr>
                <w:rFonts w:hint="eastAsia" w:ascii="宋体" w:hAnsi="宋体" w:cs="宋体"/>
                <w:color w:val="auto"/>
                <w:szCs w:val="22"/>
                <w:lang w:eastAsia="zh-CN"/>
              </w:rPr>
              <w:t>分，本项最高得分</w:t>
            </w:r>
            <w:r>
              <w:rPr>
                <w:rFonts w:hint="eastAsia" w:ascii="宋体" w:hAnsi="宋体" w:cs="宋体"/>
                <w:color w:val="auto"/>
                <w:szCs w:val="22"/>
                <w:lang w:val="en-US" w:eastAsia="zh-CN"/>
              </w:rPr>
              <w:t>4</w:t>
            </w:r>
            <w:r>
              <w:rPr>
                <w:rFonts w:hint="eastAsia" w:ascii="宋体" w:hAnsi="宋体" w:cs="宋体"/>
                <w:color w:val="auto"/>
                <w:szCs w:val="22"/>
                <w:lang w:eastAsia="zh-CN"/>
              </w:rPr>
              <w:t>分。</w:t>
            </w:r>
          </w:p>
          <w:p w14:paraId="2C310782">
            <w:pPr>
              <w:widowControl w:val="0"/>
              <w:kinsoku/>
              <w:spacing w:before="40" w:after="40" w:line="240" w:lineRule="auto"/>
              <w:ind w:firstLine="0" w:firstLineChars="0"/>
              <w:textAlignment w:val="auto"/>
              <w:rPr>
                <w:rFonts w:ascii="宋体" w:hAnsi="宋体" w:cs="宋体"/>
                <w:color w:val="auto"/>
                <w:szCs w:val="22"/>
                <w:lang w:eastAsia="zh-CN"/>
              </w:rPr>
            </w:pPr>
            <w:r>
              <w:rPr>
                <w:rFonts w:hint="eastAsia" w:ascii="宋体" w:hAnsi="宋体" w:cs="宋体"/>
                <w:color w:val="auto"/>
                <w:szCs w:val="22"/>
                <w:lang w:eastAsia="zh-CN"/>
              </w:rPr>
              <w:t>注：提供符合上述要求的合同关键页作为有效的业绩证明材料。合同关键页包含但不限于合同首页、合同标的页、签署日期页及盖章页等。证明材料复印件加盖公章。</w:t>
            </w:r>
          </w:p>
        </w:tc>
        <w:tc>
          <w:tcPr>
            <w:tcW w:w="532" w:type="dxa"/>
            <w:vAlign w:val="center"/>
          </w:tcPr>
          <w:p w14:paraId="6FF9DEDD">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无</w:t>
            </w:r>
          </w:p>
        </w:tc>
      </w:tr>
      <w:tr w14:paraId="4E52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dxa"/>
            <w:vAlign w:val="center"/>
          </w:tcPr>
          <w:p w14:paraId="58BA691F">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2</w:t>
            </w:r>
          </w:p>
        </w:tc>
        <w:tc>
          <w:tcPr>
            <w:tcW w:w="1084" w:type="dxa"/>
            <w:shd w:val="clear" w:color="auto" w:fill="auto"/>
            <w:vAlign w:val="center"/>
          </w:tcPr>
          <w:p w14:paraId="025FA06F">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政策性得分</w:t>
            </w:r>
          </w:p>
        </w:tc>
        <w:tc>
          <w:tcPr>
            <w:tcW w:w="660" w:type="dxa"/>
            <w:shd w:val="clear" w:color="auto" w:fill="auto"/>
            <w:vAlign w:val="center"/>
          </w:tcPr>
          <w:p w14:paraId="299A7175">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val="en-US" w:eastAsia="zh-CN"/>
              </w:rPr>
              <w:t>1</w:t>
            </w:r>
          </w:p>
        </w:tc>
        <w:tc>
          <w:tcPr>
            <w:tcW w:w="6654" w:type="dxa"/>
            <w:gridSpan w:val="2"/>
            <w:shd w:val="clear" w:color="auto" w:fill="auto"/>
          </w:tcPr>
          <w:p w14:paraId="1B8BF8FA">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投标产品被认定为节能产品（非政府强制采购节能产品）的0.5分，环保产品的得0.5分。</w:t>
            </w:r>
          </w:p>
          <w:p w14:paraId="4995407B">
            <w:pPr>
              <w:widowControl w:val="0"/>
              <w:kinsoku/>
              <w:spacing w:before="40" w:after="40" w:line="240" w:lineRule="auto"/>
              <w:ind w:firstLine="0" w:firstLineChars="0"/>
              <w:textAlignment w:val="auto"/>
              <w:rPr>
                <w:rFonts w:ascii="宋体" w:hAnsi="宋体" w:cs="宋体"/>
                <w:color w:val="auto"/>
                <w:szCs w:val="22"/>
                <w:lang w:eastAsia="zh-CN"/>
              </w:rPr>
            </w:pPr>
            <w:r>
              <w:rPr>
                <w:rFonts w:hint="eastAsia" w:ascii="宋体" w:hAnsi="宋体" w:cs="宋体"/>
                <w:color w:val="auto"/>
                <w:szCs w:val="22"/>
                <w:lang w:eastAsia="zh-CN"/>
              </w:rPr>
              <w:t>注:①产品属于节能产品或环境标志产品的，供应商需在投标文件中提供产品经国家确定的参与实施政府采购节能产品认证机构或参与实施政府采购环境标志产品认证机构出具的、处于有效期之内的节能产品、环境标志产品认证证书（复印件加盖供应商公章），采购人及采购代理机构将对获得证书的产品实施政府优先采购或强制采购。②若供应商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供应商自行承担。</w:t>
            </w:r>
          </w:p>
        </w:tc>
        <w:tc>
          <w:tcPr>
            <w:tcW w:w="532" w:type="dxa"/>
            <w:vAlign w:val="center"/>
          </w:tcPr>
          <w:p w14:paraId="7DD7793C">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无</w:t>
            </w:r>
          </w:p>
        </w:tc>
      </w:tr>
      <w:tr w14:paraId="7DF3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585" w:type="dxa"/>
            <w:gridSpan w:val="6"/>
            <w:vAlign w:val="center"/>
          </w:tcPr>
          <w:p w14:paraId="536C5485">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技术得分（</w:t>
            </w:r>
            <w:r>
              <w:rPr>
                <w:rFonts w:hint="eastAsia" w:ascii="宋体" w:hAnsi="宋体" w:cs="宋体"/>
                <w:color w:val="auto"/>
                <w:szCs w:val="22"/>
                <w:lang w:val="en-US" w:eastAsia="zh-CN"/>
              </w:rPr>
              <w:t>65</w:t>
            </w:r>
            <w:r>
              <w:rPr>
                <w:rFonts w:hint="eastAsia" w:ascii="宋体" w:hAnsi="宋体" w:cs="宋体"/>
                <w:color w:val="auto"/>
                <w:szCs w:val="22"/>
                <w:lang w:eastAsia="zh-CN"/>
              </w:rPr>
              <w:t>分）</w:t>
            </w:r>
          </w:p>
        </w:tc>
      </w:tr>
      <w:tr w14:paraId="35A5C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dxa"/>
            <w:vAlign w:val="center"/>
          </w:tcPr>
          <w:p w14:paraId="7D8340BF">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1</w:t>
            </w:r>
          </w:p>
        </w:tc>
        <w:tc>
          <w:tcPr>
            <w:tcW w:w="1084" w:type="dxa"/>
            <w:vAlign w:val="center"/>
          </w:tcPr>
          <w:p w14:paraId="2F57DBB2">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val="en-US" w:eastAsia="zh-CN"/>
              </w:rPr>
              <w:t>供货</w:t>
            </w:r>
            <w:r>
              <w:rPr>
                <w:rFonts w:hint="eastAsia" w:ascii="宋体" w:hAnsi="宋体" w:cs="宋体"/>
                <w:color w:val="auto"/>
                <w:szCs w:val="22"/>
                <w:lang w:eastAsia="zh-CN"/>
              </w:rPr>
              <w:t>服务方案</w:t>
            </w:r>
          </w:p>
        </w:tc>
        <w:tc>
          <w:tcPr>
            <w:tcW w:w="660" w:type="dxa"/>
            <w:vAlign w:val="center"/>
          </w:tcPr>
          <w:p w14:paraId="5893FC53">
            <w:pPr>
              <w:widowControl w:val="0"/>
              <w:kinsoku/>
              <w:spacing w:before="40" w:after="40" w:line="240" w:lineRule="auto"/>
              <w:ind w:firstLine="0" w:firstLineChars="0"/>
              <w:jc w:val="center"/>
              <w:textAlignment w:val="auto"/>
              <w:rPr>
                <w:rFonts w:hint="default" w:ascii="宋体" w:hAnsi="宋体" w:cs="宋体"/>
                <w:color w:val="auto"/>
                <w:szCs w:val="22"/>
                <w:lang w:val="en-US" w:eastAsia="zh-CN"/>
              </w:rPr>
            </w:pPr>
            <w:r>
              <w:rPr>
                <w:rFonts w:hint="eastAsia" w:ascii="宋体" w:hAnsi="宋体" w:cs="宋体"/>
                <w:color w:val="auto"/>
                <w:szCs w:val="22"/>
                <w:lang w:val="en-US" w:eastAsia="zh-CN"/>
              </w:rPr>
              <w:t>15</w:t>
            </w:r>
          </w:p>
        </w:tc>
        <w:tc>
          <w:tcPr>
            <w:tcW w:w="6654" w:type="dxa"/>
            <w:gridSpan w:val="2"/>
            <w:vAlign w:val="center"/>
          </w:tcPr>
          <w:p w14:paraId="75E7E4C3">
            <w:pPr>
              <w:widowControl w:val="0"/>
              <w:kinsoku/>
              <w:wordWrap w:val="0"/>
              <w:spacing w:before="40" w:after="40" w:line="240" w:lineRule="auto"/>
              <w:ind w:right="-59" w:rightChars="-28"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供货服务方案：</w:t>
            </w:r>
          </w:p>
          <w:p w14:paraId="41AAF1F2">
            <w:pPr>
              <w:widowControl w:val="0"/>
              <w:kinsoku/>
              <w:wordWrap w:val="0"/>
              <w:spacing w:before="40" w:after="40" w:line="240" w:lineRule="auto"/>
              <w:ind w:right="-59" w:rightChars="-28"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1、对本项目的供货方案全面细致，合理可行、具有本项目针对性，得15分；</w:t>
            </w:r>
          </w:p>
          <w:p w14:paraId="0EDFAB71">
            <w:pPr>
              <w:widowControl w:val="0"/>
              <w:kinsoku/>
              <w:wordWrap w:val="0"/>
              <w:spacing w:before="40" w:after="40" w:line="240" w:lineRule="auto"/>
              <w:ind w:right="-59" w:rightChars="-28"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2、对本项目的供货方案基本全面，较为细致，具有一定的合理可行性和针对性，得分10分；</w:t>
            </w:r>
          </w:p>
          <w:p w14:paraId="2FCD3128">
            <w:pPr>
              <w:widowControl w:val="0"/>
              <w:kinsoku/>
              <w:wordWrap w:val="0"/>
              <w:spacing w:before="40" w:after="40" w:line="240" w:lineRule="auto"/>
              <w:ind w:right="-59" w:rightChars="-28"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3、对本项目的供货方案不够全面，合理性、可行性、针对性存在较大欠缺，得5分；</w:t>
            </w:r>
          </w:p>
          <w:p w14:paraId="67E9F9E8">
            <w:pPr>
              <w:widowControl w:val="0"/>
              <w:kinsoku/>
              <w:wordWrap w:val="0"/>
              <w:spacing w:before="40" w:after="40" w:line="240" w:lineRule="auto"/>
              <w:ind w:right="-59" w:rightChars="-28" w:firstLine="0" w:firstLineChars="0"/>
              <w:textAlignment w:val="auto"/>
              <w:rPr>
                <w:rFonts w:ascii="宋体" w:hAnsi="宋体" w:cs="宋体"/>
                <w:color w:val="auto"/>
                <w:szCs w:val="22"/>
                <w:lang w:eastAsia="zh-CN"/>
              </w:rPr>
            </w:pPr>
            <w:r>
              <w:rPr>
                <w:rFonts w:hint="eastAsia" w:ascii="宋体" w:hAnsi="宋体" w:cs="宋体"/>
                <w:color w:val="auto"/>
                <w:szCs w:val="22"/>
                <w:lang w:eastAsia="zh-CN"/>
              </w:rPr>
              <w:t>4、不提供得0分</w:t>
            </w:r>
          </w:p>
        </w:tc>
        <w:tc>
          <w:tcPr>
            <w:tcW w:w="532" w:type="dxa"/>
            <w:vAlign w:val="center"/>
          </w:tcPr>
          <w:p w14:paraId="108ABDF3">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无</w:t>
            </w:r>
          </w:p>
        </w:tc>
      </w:tr>
      <w:tr w14:paraId="54FA0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dxa"/>
            <w:vAlign w:val="center"/>
          </w:tcPr>
          <w:p w14:paraId="343F665B">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2</w:t>
            </w:r>
          </w:p>
        </w:tc>
        <w:tc>
          <w:tcPr>
            <w:tcW w:w="1084" w:type="dxa"/>
            <w:vAlign w:val="center"/>
          </w:tcPr>
          <w:p w14:paraId="7F4676D0">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性能指标</w:t>
            </w:r>
          </w:p>
        </w:tc>
        <w:tc>
          <w:tcPr>
            <w:tcW w:w="660" w:type="dxa"/>
            <w:vAlign w:val="center"/>
          </w:tcPr>
          <w:p w14:paraId="4D490DE3">
            <w:pPr>
              <w:widowControl w:val="0"/>
              <w:kinsoku/>
              <w:spacing w:before="40" w:after="40" w:line="240" w:lineRule="auto"/>
              <w:ind w:firstLine="0" w:firstLineChars="0"/>
              <w:jc w:val="center"/>
              <w:textAlignment w:val="auto"/>
              <w:rPr>
                <w:rFonts w:hint="default" w:ascii="宋体" w:hAnsi="宋体" w:cs="宋体"/>
                <w:color w:val="auto"/>
                <w:szCs w:val="22"/>
                <w:lang w:val="en-US" w:eastAsia="zh-CN"/>
              </w:rPr>
            </w:pPr>
            <w:r>
              <w:rPr>
                <w:rFonts w:hint="eastAsia" w:ascii="宋体" w:hAnsi="宋体" w:cs="宋体"/>
                <w:color w:val="auto"/>
                <w:szCs w:val="22"/>
                <w:lang w:val="en-US" w:eastAsia="zh-CN"/>
              </w:rPr>
              <w:t>30</w:t>
            </w:r>
          </w:p>
        </w:tc>
        <w:tc>
          <w:tcPr>
            <w:tcW w:w="6654" w:type="dxa"/>
            <w:gridSpan w:val="2"/>
            <w:vAlign w:val="center"/>
          </w:tcPr>
          <w:p w14:paraId="2CDF21BA">
            <w:pPr>
              <w:widowControl w:val="0"/>
              <w:kinsoku/>
              <w:wordWrap w:val="0"/>
              <w:spacing w:before="40" w:after="40" w:line="240" w:lineRule="auto"/>
              <w:ind w:right="-59" w:rightChars="-28"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满足采购需求中相关技术参数要求，得基本分30分；“</w:t>
            </w:r>
            <w:r>
              <w:rPr>
                <w:rFonts w:hint="eastAsia" w:ascii="宋体" w:hAnsi="宋体" w:cs="宋体"/>
                <w:b/>
                <w:color w:val="auto"/>
                <w:szCs w:val="22"/>
                <w:lang w:eastAsia="zh-CN"/>
              </w:rPr>
              <w:t>#</w:t>
            </w:r>
            <w:r>
              <w:rPr>
                <w:rFonts w:hint="eastAsia" w:ascii="宋体" w:hAnsi="宋体" w:cs="宋体"/>
                <w:color w:val="auto"/>
                <w:szCs w:val="22"/>
                <w:lang w:eastAsia="zh-CN"/>
              </w:rPr>
              <w:t>”号技术条款一项不满足扣1分，扣完为止。</w:t>
            </w:r>
          </w:p>
          <w:p w14:paraId="26D715F7">
            <w:pPr>
              <w:widowControl w:val="0"/>
              <w:kinsoku/>
              <w:wordWrap w:val="0"/>
              <w:spacing w:before="40" w:after="40" w:line="240" w:lineRule="auto"/>
              <w:ind w:right="-59" w:rightChars="-28" w:firstLine="0" w:firstLineChars="0"/>
              <w:textAlignment w:val="auto"/>
              <w:rPr>
                <w:rFonts w:ascii="宋体" w:hAnsi="宋体" w:cs="宋体"/>
                <w:color w:val="auto"/>
                <w:szCs w:val="22"/>
                <w:lang w:eastAsia="zh-CN"/>
              </w:rPr>
            </w:pPr>
            <w:r>
              <w:rPr>
                <w:rFonts w:hint="eastAsia" w:ascii="宋体" w:hAnsi="宋体" w:cs="宋体"/>
                <w:color w:val="auto"/>
                <w:szCs w:val="22"/>
                <w:lang w:eastAsia="zh-CN"/>
              </w:rPr>
              <w:t>投标人需提供证明材料，提供第三方机构检验报告或其他相关证明材料，未提供有效证明材料或证明材料中内容与所填报指标不一致的，该指标按不满足处理。</w:t>
            </w:r>
          </w:p>
        </w:tc>
        <w:tc>
          <w:tcPr>
            <w:tcW w:w="532" w:type="dxa"/>
            <w:vAlign w:val="center"/>
          </w:tcPr>
          <w:p w14:paraId="0F97FE0E">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无</w:t>
            </w:r>
          </w:p>
        </w:tc>
      </w:tr>
      <w:tr w14:paraId="7EE4E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dxa"/>
            <w:vAlign w:val="center"/>
          </w:tcPr>
          <w:p w14:paraId="17791D91">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3</w:t>
            </w:r>
          </w:p>
        </w:tc>
        <w:tc>
          <w:tcPr>
            <w:tcW w:w="1084" w:type="dxa"/>
            <w:vAlign w:val="center"/>
          </w:tcPr>
          <w:p w14:paraId="46E30385">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售后服务方案</w:t>
            </w:r>
          </w:p>
        </w:tc>
        <w:tc>
          <w:tcPr>
            <w:tcW w:w="660" w:type="dxa"/>
            <w:vAlign w:val="center"/>
          </w:tcPr>
          <w:p w14:paraId="0FF33320">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val="en-US" w:eastAsia="zh-CN"/>
              </w:rPr>
              <w:t>7</w:t>
            </w:r>
          </w:p>
        </w:tc>
        <w:tc>
          <w:tcPr>
            <w:tcW w:w="6654" w:type="dxa"/>
            <w:gridSpan w:val="2"/>
            <w:vAlign w:val="center"/>
          </w:tcPr>
          <w:p w14:paraId="00CBEDD8">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val="en-US" w:eastAsia="zh-CN"/>
              </w:rPr>
              <w:t>投标人</w:t>
            </w:r>
            <w:r>
              <w:rPr>
                <w:rFonts w:hint="eastAsia" w:ascii="宋体" w:hAnsi="宋体" w:cs="宋体"/>
                <w:color w:val="auto"/>
                <w:szCs w:val="22"/>
                <w:lang w:eastAsia="zh-CN"/>
              </w:rPr>
              <w:t>提供售后服务方案、质量保证措施等</w:t>
            </w:r>
            <w:r>
              <w:rPr>
                <w:rFonts w:hint="eastAsia" w:ascii="宋体" w:hAnsi="宋体" w:cs="宋体"/>
                <w:color w:val="auto"/>
                <w:szCs w:val="22"/>
                <w:lang w:val="en-US" w:eastAsia="zh-CN"/>
              </w:rPr>
              <w:t>内容，且承诺</w:t>
            </w:r>
            <w:r>
              <w:rPr>
                <w:rFonts w:hint="eastAsia"/>
                <w:lang w:val="en-US" w:eastAsia="zh-CN"/>
              </w:rPr>
              <w:t>提供免费的培训、仪器操作手册、使用说明</w:t>
            </w:r>
            <w:r>
              <w:rPr>
                <w:rFonts w:hint="eastAsia" w:ascii="宋体" w:hAnsi="宋体" w:cs="宋体"/>
                <w:color w:val="auto"/>
                <w:szCs w:val="22"/>
                <w:lang w:eastAsia="zh-CN"/>
              </w:rPr>
              <w:t>。</w:t>
            </w:r>
          </w:p>
          <w:p w14:paraId="1429B3E8">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1、售后服务方案内容完整详细、合理、可行，质量保证措施完善，</w:t>
            </w:r>
            <w:r>
              <w:rPr>
                <w:rFonts w:hint="eastAsia" w:ascii="宋体" w:hAnsi="宋体" w:cs="宋体"/>
                <w:color w:val="auto"/>
                <w:szCs w:val="22"/>
                <w:lang w:val="en-US" w:eastAsia="zh-CN"/>
              </w:rPr>
              <w:t>承诺内容完善</w:t>
            </w:r>
            <w:r>
              <w:rPr>
                <w:rFonts w:hint="eastAsia" w:ascii="宋体" w:hAnsi="宋体" w:cs="宋体"/>
                <w:color w:val="auto"/>
                <w:szCs w:val="22"/>
                <w:lang w:eastAsia="zh-CN"/>
              </w:rPr>
              <w:t>，得</w:t>
            </w:r>
            <w:r>
              <w:rPr>
                <w:rFonts w:hint="eastAsia" w:ascii="宋体" w:hAnsi="宋体" w:cs="宋体"/>
                <w:color w:val="auto"/>
                <w:szCs w:val="22"/>
                <w:lang w:val="en-US" w:eastAsia="zh-CN"/>
              </w:rPr>
              <w:t>7</w:t>
            </w:r>
            <w:r>
              <w:rPr>
                <w:rFonts w:hint="eastAsia" w:ascii="宋体" w:hAnsi="宋体" w:cs="宋体"/>
                <w:color w:val="auto"/>
                <w:szCs w:val="22"/>
                <w:lang w:eastAsia="zh-CN"/>
              </w:rPr>
              <w:t>分；</w:t>
            </w:r>
          </w:p>
          <w:p w14:paraId="7C8B54D9">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2、售后服务方案的完整性、合理性、可行性较强，质量保证措施较完善，</w:t>
            </w:r>
            <w:r>
              <w:rPr>
                <w:rFonts w:hint="eastAsia" w:ascii="宋体" w:hAnsi="宋体" w:cs="宋体"/>
                <w:color w:val="auto"/>
                <w:szCs w:val="22"/>
                <w:lang w:val="en-US" w:eastAsia="zh-CN"/>
              </w:rPr>
              <w:t>承诺内容完善</w:t>
            </w:r>
            <w:r>
              <w:rPr>
                <w:rFonts w:hint="eastAsia" w:ascii="宋体" w:hAnsi="宋体" w:cs="宋体"/>
                <w:color w:val="auto"/>
                <w:szCs w:val="22"/>
                <w:lang w:eastAsia="zh-CN"/>
              </w:rPr>
              <w:t>，得</w:t>
            </w:r>
            <w:r>
              <w:rPr>
                <w:rFonts w:hint="eastAsia" w:ascii="宋体" w:hAnsi="宋体" w:cs="宋体"/>
                <w:color w:val="auto"/>
                <w:szCs w:val="22"/>
                <w:lang w:val="en-US" w:eastAsia="zh-CN"/>
              </w:rPr>
              <w:t>5</w:t>
            </w:r>
            <w:r>
              <w:rPr>
                <w:rFonts w:hint="eastAsia" w:ascii="宋体" w:hAnsi="宋体" w:cs="宋体"/>
                <w:color w:val="auto"/>
                <w:szCs w:val="22"/>
                <w:lang w:eastAsia="zh-CN"/>
              </w:rPr>
              <w:t>分；</w:t>
            </w:r>
          </w:p>
          <w:p w14:paraId="338E98C7">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3、售后服务方案的完整性、合理性、可行性一般，质量保证措施不够完善，</w:t>
            </w:r>
            <w:r>
              <w:rPr>
                <w:rFonts w:hint="eastAsia" w:ascii="宋体" w:hAnsi="宋体" w:cs="宋体"/>
                <w:color w:val="auto"/>
                <w:szCs w:val="22"/>
                <w:lang w:val="en-US" w:eastAsia="zh-CN"/>
              </w:rPr>
              <w:t>承诺内容完善</w:t>
            </w:r>
            <w:r>
              <w:rPr>
                <w:rFonts w:hint="eastAsia" w:ascii="宋体" w:hAnsi="宋体" w:cs="宋体"/>
                <w:color w:val="auto"/>
                <w:szCs w:val="22"/>
                <w:lang w:eastAsia="zh-CN"/>
              </w:rPr>
              <w:t>，得</w:t>
            </w:r>
            <w:r>
              <w:rPr>
                <w:rFonts w:hint="eastAsia" w:ascii="宋体" w:hAnsi="宋体" w:cs="宋体"/>
                <w:color w:val="auto"/>
                <w:szCs w:val="22"/>
                <w:lang w:val="en-US" w:eastAsia="zh-CN"/>
              </w:rPr>
              <w:t>3</w:t>
            </w:r>
            <w:r>
              <w:rPr>
                <w:rFonts w:hint="eastAsia" w:ascii="宋体" w:hAnsi="宋体" w:cs="宋体"/>
                <w:color w:val="auto"/>
                <w:szCs w:val="22"/>
                <w:lang w:eastAsia="zh-CN"/>
              </w:rPr>
              <w:t>分；</w:t>
            </w:r>
          </w:p>
          <w:p w14:paraId="18FC77E7">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4、售后服务方案内容有欠缺、合理性、可行性不足，质量保证措施有欠缺，</w:t>
            </w:r>
            <w:r>
              <w:rPr>
                <w:rFonts w:hint="eastAsia" w:ascii="宋体" w:hAnsi="宋体" w:cs="宋体"/>
                <w:color w:val="auto"/>
                <w:szCs w:val="22"/>
                <w:lang w:val="en-US" w:eastAsia="zh-CN"/>
              </w:rPr>
              <w:t>承诺内容完善</w:t>
            </w:r>
            <w:r>
              <w:rPr>
                <w:rFonts w:hint="eastAsia" w:ascii="宋体" w:hAnsi="宋体" w:cs="宋体"/>
                <w:color w:val="auto"/>
                <w:szCs w:val="22"/>
                <w:lang w:eastAsia="zh-CN"/>
              </w:rPr>
              <w:t>，得</w:t>
            </w:r>
            <w:r>
              <w:rPr>
                <w:rFonts w:hint="eastAsia" w:ascii="宋体" w:hAnsi="宋体" w:cs="宋体"/>
                <w:color w:val="auto"/>
                <w:szCs w:val="22"/>
                <w:lang w:val="en-US" w:eastAsia="zh-CN"/>
              </w:rPr>
              <w:t>1</w:t>
            </w:r>
            <w:r>
              <w:rPr>
                <w:rFonts w:hint="eastAsia" w:ascii="宋体" w:hAnsi="宋体" w:cs="宋体"/>
                <w:color w:val="auto"/>
                <w:szCs w:val="22"/>
                <w:lang w:eastAsia="zh-CN"/>
              </w:rPr>
              <w:t>分；</w:t>
            </w:r>
          </w:p>
          <w:p w14:paraId="126F2819">
            <w:pPr>
              <w:widowControl w:val="0"/>
              <w:kinsoku/>
              <w:spacing w:before="40" w:after="40" w:line="240" w:lineRule="auto"/>
              <w:ind w:firstLine="0" w:firstLineChars="0"/>
              <w:textAlignment w:val="auto"/>
              <w:rPr>
                <w:rFonts w:ascii="宋体" w:hAnsi="宋体" w:cs="宋体"/>
                <w:color w:val="auto"/>
                <w:szCs w:val="22"/>
                <w:lang w:eastAsia="zh-CN"/>
              </w:rPr>
            </w:pPr>
            <w:r>
              <w:rPr>
                <w:rFonts w:hint="eastAsia" w:ascii="宋体" w:hAnsi="宋体" w:cs="宋体"/>
                <w:color w:val="auto"/>
                <w:szCs w:val="22"/>
                <w:lang w:eastAsia="zh-CN"/>
              </w:rPr>
              <w:t>5、未提供售后服务方案</w:t>
            </w:r>
            <w:r>
              <w:rPr>
                <w:rFonts w:hint="eastAsia" w:ascii="宋体" w:hAnsi="宋体" w:cs="宋体"/>
                <w:color w:val="auto"/>
                <w:szCs w:val="22"/>
                <w:lang w:val="en-US" w:eastAsia="zh-CN"/>
              </w:rPr>
              <w:t>或未提供承诺</w:t>
            </w:r>
            <w:r>
              <w:rPr>
                <w:rFonts w:hint="eastAsia" w:ascii="宋体" w:hAnsi="宋体" w:cs="宋体"/>
                <w:color w:val="auto"/>
                <w:szCs w:val="22"/>
                <w:lang w:eastAsia="zh-CN"/>
              </w:rPr>
              <w:t>的，得0分。</w:t>
            </w:r>
          </w:p>
        </w:tc>
        <w:tc>
          <w:tcPr>
            <w:tcW w:w="532" w:type="dxa"/>
            <w:vAlign w:val="center"/>
          </w:tcPr>
          <w:p w14:paraId="3D945746">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无</w:t>
            </w:r>
          </w:p>
        </w:tc>
      </w:tr>
      <w:tr w14:paraId="5E3D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dxa"/>
            <w:vAlign w:val="center"/>
          </w:tcPr>
          <w:p w14:paraId="2F7CDAC2">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4</w:t>
            </w:r>
          </w:p>
        </w:tc>
        <w:tc>
          <w:tcPr>
            <w:tcW w:w="1084" w:type="dxa"/>
            <w:vAlign w:val="center"/>
          </w:tcPr>
          <w:p w14:paraId="63E110D4">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服务承诺</w:t>
            </w:r>
          </w:p>
        </w:tc>
        <w:tc>
          <w:tcPr>
            <w:tcW w:w="660" w:type="dxa"/>
            <w:vAlign w:val="center"/>
          </w:tcPr>
          <w:p w14:paraId="4C4F7260">
            <w:pPr>
              <w:widowControl w:val="0"/>
              <w:kinsoku/>
              <w:spacing w:before="40" w:after="40" w:line="240" w:lineRule="auto"/>
              <w:ind w:firstLine="0" w:firstLineChars="0"/>
              <w:jc w:val="center"/>
              <w:textAlignment w:val="auto"/>
              <w:rPr>
                <w:rFonts w:hint="default" w:ascii="宋体" w:hAnsi="宋体" w:cs="宋体"/>
                <w:color w:val="auto"/>
                <w:szCs w:val="22"/>
                <w:lang w:val="en-US" w:eastAsia="zh-CN"/>
              </w:rPr>
            </w:pPr>
            <w:r>
              <w:rPr>
                <w:rFonts w:hint="eastAsia" w:ascii="宋体" w:hAnsi="宋体" w:cs="宋体"/>
                <w:color w:val="auto"/>
                <w:szCs w:val="22"/>
                <w:lang w:val="en-US" w:eastAsia="zh-CN"/>
              </w:rPr>
              <w:t>10</w:t>
            </w:r>
          </w:p>
        </w:tc>
        <w:tc>
          <w:tcPr>
            <w:tcW w:w="6654" w:type="dxa"/>
            <w:gridSpan w:val="2"/>
            <w:vAlign w:val="center"/>
          </w:tcPr>
          <w:p w14:paraId="29E3A2EA">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投标人针对本项目提供的服务承诺（</w:t>
            </w:r>
            <w:r>
              <w:rPr>
                <w:rFonts w:hint="eastAsia" w:ascii="宋体" w:hAnsi="宋体" w:cs="宋体"/>
                <w:color w:val="auto"/>
                <w:szCs w:val="22"/>
                <w:lang w:val="en-US" w:eastAsia="zh-CN"/>
              </w:rPr>
              <w:t>包括但不限于</w:t>
            </w:r>
            <w:r>
              <w:rPr>
                <w:rFonts w:hint="eastAsia"/>
                <w:lang w:val="en-US" w:eastAsia="zh-CN"/>
              </w:rPr>
              <w:t>质保期内软件免费升级、免费调试设备等增值服务；售后服务响应时间；是否具备专业维修能力等</w:t>
            </w:r>
            <w:r>
              <w:rPr>
                <w:rFonts w:hint="eastAsia" w:ascii="宋体" w:hAnsi="宋体" w:cs="宋体"/>
                <w:color w:val="auto"/>
                <w:szCs w:val="22"/>
                <w:lang w:eastAsia="zh-CN"/>
              </w:rPr>
              <w:t>）。</w:t>
            </w:r>
          </w:p>
          <w:p w14:paraId="0BC391C7">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1、服务承诺丰富全面、针对性强：10分；</w:t>
            </w:r>
          </w:p>
          <w:p w14:paraId="4EDAF9E4">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2、服务承诺较丰富全面、针对性较强：6分；</w:t>
            </w:r>
          </w:p>
          <w:p w14:paraId="4CC877A2">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3、服务承诺不全面、针对性较差：2分；</w:t>
            </w:r>
          </w:p>
          <w:p w14:paraId="040DCE0B">
            <w:pPr>
              <w:widowControl w:val="0"/>
              <w:kinsoku/>
              <w:spacing w:before="40" w:after="40" w:line="240" w:lineRule="auto"/>
              <w:ind w:firstLine="0" w:firstLineChars="0"/>
              <w:textAlignment w:val="auto"/>
              <w:rPr>
                <w:rFonts w:ascii="宋体" w:hAnsi="宋体" w:cs="宋体"/>
                <w:color w:val="auto"/>
                <w:szCs w:val="22"/>
                <w:lang w:eastAsia="zh-CN"/>
              </w:rPr>
            </w:pPr>
            <w:r>
              <w:rPr>
                <w:rFonts w:hint="eastAsia" w:ascii="宋体" w:hAnsi="宋体" w:cs="宋体"/>
                <w:color w:val="auto"/>
                <w:szCs w:val="22"/>
                <w:lang w:eastAsia="zh-CN"/>
              </w:rPr>
              <w:t>4、未提供的：0分。</w:t>
            </w:r>
          </w:p>
        </w:tc>
        <w:tc>
          <w:tcPr>
            <w:tcW w:w="532" w:type="dxa"/>
            <w:vAlign w:val="center"/>
          </w:tcPr>
          <w:p w14:paraId="16EEB25B">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无</w:t>
            </w:r>
          </w:p>
        </w:tc>
      </w:tr>
      <w:tr w14:paraId="5AC18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dxa"/>
            <w:vAlign w:val="center"/>
          </w:tcPr>
          <w:p w14:paraId="680D79A0">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5</w:t>
            </w:r>
          </w:p>
        </w:tc>
        <w:tc>
          <w:tcPr>
            <w:tcW w:w="1084" w:type="dxa"/>
            <w:vAlign w:val="center"/>
          </w:tcPr>
          <w:p w14:paraId="67FFDE8B">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应急预案</w:t>
            </w:r>
          </w:p>
        </w:tc>
        <w:tc>
          <w:tcPr>
            <w:tcW w:w="660" w:type="dxa"/>
            <w:vAlign w:val="center"/>
          </w:tcPr>
          <w:p w14:paraId="5E095828">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val="en-US" w:eastAsia="zh-CN"/>
              </w:rPr>
              <w:t>3</w:t>
            </w:r>
          </w:p>
        </w:tc>
        <w:tc>
          <w:tcPr>
            <w:tcW w:w="6654" w:type="dxa"/>
            <w:gridSpan w:val="2"/>
            <w:vAlign w:val="center"/>
          </w:tcPr>
          <w:p w14:paraId="01DA43E4">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投标人针对本项目提供的应急预案、对于突发性事件的预防性管理方法，</w:t>
            </w:r>
            <w:r>
              <w:rPr>
                <w:rFonts w:hint="eastAsia" w:ascii="宋体" w:hAnsi="宋体" w:cs="宋体"/>
                <w:color w:val="auto"/>
                <w:szCs w:val="22"/>
                <w:lang w:val="en-US" w:eastAsia="zh-CN"/>
              </w:rPr>
              <w:t>且承诺</w:t>
            </w:r>
            <w:r>
              <w:rPr>
                <w:rFonts w:hint="eastAsia" w:ascii="宋体" w:hAnsi="宋体" w:cs="宋体"/>
                <w:color w:val="auto"/>
                <w:szCs w:val="22"/>
                <w:lang w:eastAsia="zh-CN"/>
              </w:rPr>
              <w:t>应急响应速度</w:t>
            </w:r>
            <w:r>
              <w:rPr>
                <w:rFonts w:hint="eastAsia" w:ascii="宋体" w:hAnsi="宋体" w:cs="宋体"/>
                <w:color w:val="auto"/>
                <w:szCs w:val="22"/>
                <w:lang w:val="en-US" w:eastAsia="zh-CN"/>
              </w:rPr>
              <w:t>满足2小时内响应，必要时24小时到达现场</w:t>
            </w:r>
            <w:r>
              <w:rPr>
                <w:rFonts w:hint="eastAsia" w:ascii="宋体" w:hAnsi="宋体" w:cs="宋体"/>
                <w:color w:val="auto"/>
                <w:szCs w:val="22"/>
                <w:lang w:eastAsia="zh-CN"/>
              </w:rPr>
              <w:t>。</w:t>
            </w:r>
          </w:p>
          <w:p w14:paraId="29C85FB4">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1、应急预案及预防性管理方法可行、完善、有针对性，</w:t>
            </w:r>
            <w:r>
              <w:rPr>
                <w:rFonts w:hint="eastAsia" w:ascii="宋体" w:hAnsi="宋体" w:cs="宋体"/>
                <w:color w:val="auto"/>
                <w:szCs w:val="22"/>
                <w:lang w:val="en-US" w:eastAsia="zh-CN"/>
              </w:rPr>
              <w:t>承诺</w:t>
            </w:r>
            <w:r>
              <w:rPr>
                <w:rFonts w:hint="eastAsia" w:ascii="宋体" w:hAnsi="宋体" w:cs="宋体"/>
                <w:color w:val="auto"/>
                <w:szCs w:val="22"/>
                <w:lang w:eastAsia="zh-CN"/>
              </w:rPr>
              <w:t>应急响应速度及时得3分；</w:t>
            </w:r>
          </w:p>
          <w:p w14:paraId="5EBF5F55">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2、应急预案及预防性管理方法可行性、完善性、针对性一般，</w:t>
            </w:r>
            <w:r>
              <w:rPr>
                <w:rFonts w:hint="eastAsia" w:ascii="宋体" w:hAnsi="宋体" w:cs="宋体"/>
                <w:color w:val="auto"/>
                <w:szCs w:val="22"/>
                <w:lang w:val="en-US" w:eastAsia="zh-CN"/>
              </w:rPr>
              <w:t>承诺</w:t>
            </w:r>
            <w:r>
              <w:rPr>
                <w:rFonts w:hint="eastAsia" w:ascii="宋体" w:hAnsi="宋体" w:cs="宋体"/>
                <w:color w:val="auto"/>
                <w:szCs w:val="22"/>
                <w:lang w:eastAsia="zh-CN"/>
              </w:rPr>
              <w:t>应急响应速度及时得2分；</w:t>
            </w:r>
          </w:p>
          <w:p w14:paraId="211D069C">
            <w:pPr>
              <w:widowControl w:val="0"/>
              <w:kinsoku/>
              <w:spacing w:before="40" w:after="40" w:line="240" w:lineRule="auto"/>
              <w:ind w:firstLine="0" w:firstLineChars="0"/>
              <w:textAlignment w:val="auto"/>
              <w:rPr>
                <w:rFonts w:hint="eastAsia" w:ascii="宋体" w:hAnsi="宋体" w:cs="宋体"/>
                <w:color w:val="auto"/>
                <w:szCs w:val="22"/>
                <w:lang w:eastAsia="zh-CN"/>
              </w:rPr>
            </w:pPr>
            <w:r>
              <w:rPr>
                <w:rFonts w:hint="eastAsia" w:ascii="宋体" w:hAnsi="宋体" w:cs="宋体"/>
                <w:color w:val="auto"/>
                <w:szCs w:val="22"/>
                <w:lang w:eastAsia="zh-CN"/>
              </w:rPr>
              <w:t>3、应急预案及预防性管理方法可行性、完善性、针对性较差，</w:t>
            </w:r>
            <w:r>
              <w:rPr>
                <w:rFonts w:hint="eastAsia" w:ascii="宋体" w:hAnsi="宋体" w:cs="宋体"/>
                <w:color w:val="auto"/>
                <w:szCs w:val="22"/>
                <w:lang w:val="en-US" w:eastAsia="zh-CN"/>
              </w:rPr>
              <w:t>承诺</w:t>
            </w:r>
            <w:r>
              <w:rPr>
                <w:rFonts w:hint="eastAsia" w:ascii="宋体" w:hAnsi="宋体" w:cs="宋体"/>
                <w:color w:val="auto"/>
                <w:szCs w:val="22"/>
                <w:lang w:eastAsia="zh-CN"/>
              </w:rPr>
              <w:t>应急响应速度及时得1分；</w:t>
            </w:r>
          </w:p>
          <w:p w14:paraId="36945B59">
            <w:pPr>
              <w:widowControl w:val="0"/>
              <w:kinsoku/>
              <w:spacing w:before="40" w:after="40" w:line="240" w:lineRule="auto"/>
              <w:ind w:firstLine="0" w:firstLineChars="0"/>
              <w:textAlignment w:val="auto"/>
              <w:rPr>
                <w:rFonts w:ascii="宋体" w:hAnsi="宋体" w:cs="宋体"/>
                <w:color w:val="auto"/>
                <w:szCs w:val="22"/>
                <w:lang w:eastAsia="zh-CN"/>
              </w:rPr>
            </w:pPr>
            <w:r>
              <w:rPr>
                <w:rFonts w:hint="eastAsia" w:ascii="宋体" w:hAnsi="宋体" w:cs="宋体"/>
                <w:color w:val="auto"/>
                <w:szCs w:val="22"/>
                <w:lang w:val="en-US" w:eastAsia="zh-CN"/>
              </w:rPr>
              <w:t>4</w:t>
            </w:r>
            <w:r>
              <w:rPr>
                <w:rFonts w:hint="eastAsia" w:ascii="宋体" w:hAnsi="宋体" w:cs="宋体"/>
                <w:color w:val="auto"/>
                <w:szCs w:val="22"/>
                <w:lang w:eastAsia="zh-CN"/>
              </w:rPr>
              <w:t>、未提供</w:t>
            </w:r>
            <w:r>
              <w:rPr>
                <w:rFonts w:hint="eastAsia" w:ascii="宋体" w:hAnsi="宋体" w:cs="宋体"/>
                <w:color w:val="auto"/>
                <w:szCs w:val="22"/>
                <w:lang w:val="en-US" w:eastAsia="zh-CN"/>
              </w:rPr>
              <w:t>或未承诺</w:t>
            </w:r>
            <w:r>
              <w:rPr>
                <w:rFonts w:hint="eastAsia" w:ascii="宋体" w:hAnsi="宋体" w:cs="宋体"/>
                <w:color w:val="auto"/>
                <w:szCs w:val="22"/>
                <w:lang w:eastAsia="zh-CN"/>
              </w:rPr>
              <w:t>应急响应速度的不得分。</w:t>
            </w:r>
          </w:p>
        </w:tc>
        <w:tc>
          <w:tcPr>
            <w:tcW w:w="532" w:type="dxa"/>
            <w:vAlign w:val="center"/>
          </w:tcPr>
          <w:p w14:paraId="3EABAABA">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无</w:t>
            </w:r>
          </w:p>
        </w:tc>
      </w:tr>
      <w:tr w14:paraId="5E14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585" w:type="dxa"/>
            <w:gridSpan w:val="6"/>
            <w:vAlign w:val="center"/>
          </w:tcPr>
          <w:p w14:paraId="781BD054">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价格得分（</w:t>
            </w:r>
            <w:r>
              <w:rPr>
                <w:rFonts w:hint="eastAsia" w:ascii="宋体" w:hAnsi="宋体" w:cs="宋体"/>
                <w:color w:val="auto"/>
                <w:szCs w:val="22"/>
                <w:lang w:val="en-US" w:eastAsia="zh-CN"/>
              </w:rPr>
              <w:t>3</w:t>
            </w:r>
            <w:r>
              <w:rPr>
                <w:rFonts w:hint="eastAsia" w:ascii="宋体" w:hAnsi="宋体" w:cs="宋体"/>
                <w:color w:val="auto"/>
                <w:szCs w:val="22"/>
                <w:lang w:eastAsia="zh-CN"/>
              </w:rPr>
              <w:t>0分）</w:t>
            </w:r>
          </w:p>
        </w:tc>
      </w:tr>
      <w:tr w14:paraId="4B500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55" w:type="dxa"/>
            <w:vAlign w:val="center"/>
          </w:tcPr>
          <w:p w14:paraId="434F92EC">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1</w:t>
            </w:r>
          </w:p>
        </w:tc>
        <w:tc>
          <w:tcPr>
            <w:tcW w:w="1084" w:type="dxa"/>
            <w:vAlign w:val="center"/>
          </w:tcPr>
          <w:p w14:paraId="5EC4428C">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报价</w:t>
            </w:r>
          </w:p>
        </w:tc>
        <w:tc>
          <w:tcPr>
            <w:tcW w:w="660" w:type="dxa"/>
            <w:vAlign w:val="center"/>
          </w:tcPr>
          <w:p w14:paraId="2A39D465">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val="en-US" w:eastAsia="zh-CN"/>
              </w:rPr>
              <w:t>3</w:t>
            </w:r>
            <w:r>
              <w:rPr>
                <w:rFonts w:hint="eastAsia" w:ascii="宋体" w:hAnsi="宋体" w:cs="宋体"/>
                <w:color w:val="auto"/>
                <w:szCs w:val="22"/>
                <w:lang w:eastAsia="zh-CN"/>
              </w:rPr>
              <w:t>0</w:t>
            </w:r>
          </w:p>
        </w:tc>
        <w:tc>
          <w:tcPr>
            <w:tcW w:w="4481" w:type="dxa"/>
            <w:vAlign w:val="center"/>
          </w:tcPr>
          <w:p w14:paraId="0795F0E0">
            <w:pPr>
              <w:widowControl w:val="0"/>
              <w:kinsoku/>
              <w:spacing w:before="40" w:after="40" w:line="240" w:lineRule="auto"/>
              <w:ind w:firstLine="0" w:firstLineChars="0"/>
              <w:jc w:val="both"/>
              <w:textAlignment w:val="auto"/>
              <w:rPr>
                <w:rFonts w:ascii="宋体" w:hAnsi="宋体" w:cs="宋体"/>
                <w:color w:val="auto"/>
                <w:szCs w:val="22"/>
                <w:lang w:eastAsia="zh-CN"/>
              </w:rPr>
            </w:pPr>
            <w:r>
              <w:rPr>
                <w:rFonts w:hint="eastAsia" w:ascii="宋体" w:hAnsi="宋体" w:cs="宋体"/>
                <w:color w:val="auto"/>
                <w:szCs w:val="22"/>
                <w:lang w:eastAsia="zh-CN"/>
              </w:rPr>
              <w:t>满足投标文件要求的最后报价最低的供应商的价格为投标基准价，其价格分为满分。其他供应商的价格分统一按照下列公式计算：</w:t>
            </w:r>
          </w:p>
          <w:p w14:paraId="1E466E1C">
            <w:pPr>
              <w:widowControl w:val="0"/>
              <w:kinsoku/>
              <w:spacing w:before="40" w:after="40" w:line="240" w:lineRule="auto"/>
              <w:ind w:firstLine="0" w:firstLineChars="0"/>
              <w:jc w:val="both"/>
              <w:textAlignment w:val="auto"/>
              <w:rPr>
                <w:rFonts w:ascii="宋体" w:hAnsi="宋体" w:cs="宋体"/>
                <w:color w:val="auto"/>
                <w:szCs w:val="22"/>
                <w:lang w:eastAsia="zh-CN"/>
              </w:rPr>
            </w:pPr>
            <w:r>
              <w:rPr>
                <w:rFonts w:hint="eastAsia" w:ascii="宋体" w:hAnsi="宋体" w:cs="宋体"/>
                <w:color w:val="auto"/>
                <w:szCs w:val="22"/>
                <w:lang w:eastAsia="zh-CN"/>
              </w:rPr>
              <w:t>投标报价得分=（投标基准价/最后报价）×分值</w:t>
            </w:r>
          </w:p>
        </w:tc>
        <w:tc>
          <w:tcPr>
            <w:tcW w:w="2705" w:type="dxa"/>
            <w:gridSpan w:val="2"/>
          </w:tcPr>
          <w:p w14:paraId="0EFAEC83">
            <w:pPr>
              <w:widowControl w:val="0"/>
              <w:kinsoku/>
              <w:spacing w:before="40" w:after="40" w:line="240" w:lineRule="auto"/>
              <w:ind w:firstLine="0" w:firstLineChars="0"/>
              <w:textAlignment w:val="auto"/>
              <w:rPr>
                <w:rFonts w:ascii="宋体" w:hAnsi="宋体" w:cs="宋体"/>
                <w:color w:val="auto"/>
                <w:szCs w:val="22"/>
                <w:lang w:eastAsia="zh-CN"/>
              </w:rPr>
            </w:pPr>
            <w:r>
              <w:rPr>
                <w:rFonts w:hint="eastAsia" w:ascii="宋体" w:hAnsi="宋体" w:cs="宋体"/>
                <w:color w:val="auto"/>
                <w:spacing w:val="10"/>
                <w:szCs w:val="24"/>
                <w:lang w:eastAsia="zh-CN"/>
              </w:rPr>
              <w:t>此处最后报价指经过报价修正，及因落实政府采购政策进行价格调整后的报价，详见第三章《评审方法</w:t>
            </w:r>
            <w:r>
              <w:rPr>
                <w:rFonts w:hint="eastAsia" w:ascii="宋体" w:hAnsi="宋体" w:cs="宋体"/>
                <w:color w:val="auto"/>
                <w:spacing w:val="-8"/>
                <w:szCs w:val="24"/>
                <w:lang w:eastAsia="zh-CN"/>
              </w:rPr>
              <w:t>和评审标准》3.2、3.3</w:t>
            </w:r>
          </w:p>
        </w:tc>
      </w:tr>
      <w:tr w14:paraId="079C0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739" w:type="dxa"/>
            <w:gridSpan w:val="2"/>
          </w:tcPr>
          <w:p w14:paraId="57B1A19C">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合计</w:t>
            </w:r>
          </w:p>
        </w:tc>
        <w:tc>
          <w:tcPr>
            <w:tcW w:w="660" w:type="dxa"/>
          </w:tcPr>
          <w:p w14:paraId="5491B377">
            <w:pPr>
              <w:widowControl w:val="0"/>
              <w:kinsoku/>
              <w:spacing w:before="40" w:after="40" w:line="240" w:lineRule="auto"/>
              <w:ind w:firstLine="0" w:firstLineChars="0"/>
              <w:jc w:val="center"/>
              <w:textAlignment w:val="auto"/>
              <w:rPr>
                <w:rFonts w:ascii="宋体" w:hAnsi="宋体" w:cs="宋体"/>
                <w:color w:val="auto"/>
                <w:szCs w:val="22"/>
                <w:lang w:eastAsia="zh-CN"/>
              </w:rPr>
            </w:pPr>
            <w:r>
              <w:rPr>
                <w:rFonts w:hint="eastAsia" w:ascii="宋体" w:hAnsi="宋体" w:cs="宋体"/>
                <w:color w:val="auto"/>
                <w:szCs w:val="22"/>
                <w:lang w:eastAsia="zh-CN"/>
              </w:rPr>
              <w:t>100</w:t>
            </w:r>
          </w:p>
        </w:tc>
        <w:tc>
          <w:tcPr>
            <w:tcW w:w="7186" w:type="dxa"/>
            <w:gridSpan w:val="3"/>
          </w:tcPr>
          <w:p w14:paraId="749EB53E">
            <w:pPr>
              <w:widowControl w:val="0"/>
              <w:kinsoku/>
              <w:spacing w:before="40" w:after="40" w:line="240" w:lineRule="auto"/>
              <w:ind w:firstLine="0" w:firstLineChars="0"/>
              <w:textAlignment w:val="auto"/>
              <w:rPr>
                <w:rFonts w:ascii="宋体" w:hAnsi="宋体" w:cs="宋体"/>
                <w:color w:val="auto"/>
                <w:szCs w:val="22"/>
                <w:lang w:eastAsia="zh-CN"/>
              </w:rPr>
            </w:pPr>
          </w:p>
        </w:tc>
      </w:tr>
    </w:tbl>
    <w:p w14:paraId="5D8DBEFA">
      <w:pPr>
        <w:spacing w:line="360" w:lineRule="auto"/>
        <w:outlineLvl w:val="0"/>
        <w:rPr>
          <w:b/>
          <w:color w:val="auto"/>
          <w:kern w:val="0"/>
          <w:sz w:val="24"/>
        </w:rPr>
      </w:pPr>
    </w:p>
    <w:p w14:paraId="0C052940">
      <w:pPr>
        <w:spacing w:line="360" w:lineRule="auto"/>
        <w:outlineLvl w:val="0"/>
        <w:rPr>
          <w:b/>
          <w:color w:val="auto"/>
          <w:sz w:val="36"/>
          <w:szCs w:val="36"/>
        </w:rPr>
      </w:pPr>
      <w:bookmarkStart w:id="806" w:name="_Toc19991"/>
      <w:r>
        <w:rPr>
          <w:b/>
          <w:color w:val="auto"/>
          <w:kern w:val="0"/>
          <w:sz w:val="24"/>
        </w:rPr>
        <w:t>注：1.评分分值计算保留小数点后两位，小数点后第三位“四舍五入”。</w:t>
      </w:r>
      <w:bookmarkEnd w:id="806"/>
    </w:p>
    <w:p w14:paraId="6B8E234D">
      <w:pPr>
        <w:spacing w:line="360" w:lineRule="auto"/>
        <w:outlineLvl w:val="0"/>
        <w:rPr>
          <w:b/>
          <w:color w:val="auto"/>
          <w:sz w:val="36"/>
          <w:szCs w:val="36"/>
        </w:rPr>
      </w:pPr>
    </w:p>
    <w:p w14:paraId="3C554EF6">
      <w:pPr>
        <w:spacing w:line="360" w:lineRule="auto"/>
        <w:outlineLvl w:val="0"/>
        <w:rPr>
          <w:b/>
          <w:color w:val="auto"/>
          <w:sz w:val="36"/>
          <w:szCs w:val="36"/>
        </w:rPr>
      </w:pPr>
    </w:p>
    <w:p w14:paraId="3DEAC017">
      <w:pPr>
        <w:spacing w:line="360" w:lineRule="auto"/>
        <w:jc w:val="center"/>
        <w:outlineLvl w:val="0"/>
        <w:rPr>
          <w:b/>
          <w:color w:val="auto"/>
          <w:sz w:val="36"/>
          <w:szCs w:val="36"/>
        </w:rPr>
      </w:pPr>
      <w:r>
        <w:rPr>
          <w:b/>
          <w:color w:val="auto"/>
          <w:sz w:val="36"/>
          <w:szCs w:val="36"/>
        </w:rPr>
        <w:br w:type="page"/>
      </w:r>
      <w:bookmarkStart w:id="807" w:name="_Toc29370"/>
      <w:r>
        <w:rPr>
          <w:b/>
          <w:color w:val="auto"/>
          <w:sz w:val="36"/>
          <w:szCs w:val="36"/>
        </w:rPr>
        <w:t>第五章   采购需求</w:t>
      </w:r>
      <w:bookmarkEnd w:id="807"/>
    </w:p>
    <w:p w14:paraId="1B232BE7">
      <w:pPr>
        <w:ind w:firstLine="482"/>
        <w:rPr>
          <w:rFonts w:ascii="宋体" w:hAnsi="宋体" w:cs="宋体"/>
          <w:b/>
          <w:color w:val="auto"/>
          <w:sz w:val="28"/>
          <w:szCs w:val="36"/>
        </w:rPr>
      </w:pPr>
      <w:r>
        <w:rPr>
          <w:rFonts w:hint="eastAsia" w:ascii="宋体" w:hAnsi="宋体" w:cs="宋体"/>
          <w:b/>
          <w:color w:val="auto"/>
          <w:sz w:val="28"/>
          <w:szCs w:val="36"/>
        </w:rPr>
        <w:t>一、</w:t>
      </w:r>
      <w:r>
        <w:rPr>
          <w:rFonts w:hint="eastAsia" w:ascii="宋体" w:hAnsi="宋体" w:cs="宋体"/>
          <w:b/>
          <w:color w:val="auto"/>
          <w:sz w:val="28"/>
          <w:szCs w:val="36"/>
          <w:lang w:eastAsia="zh-CN"/>
        </w:rPr>
        <w:t>采购标的</w:t>
      </w:r>
    </w:p>
    <w:tbl>
      <w:tblPr>
        <w:tblStyle w:val="36"/>
        <w:tblW w:w="9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3327"/>
        <w:gridCol w:w="1200"/>
        <w:gridCol w:w="2020"/>
        <w:gridCol w:w="2339"/>
      </w:tblGrid>
      <w:tr w14:paraId="4F9F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730" w:type="dxa"/>
            <w:vAlign w:val="center"/>
          </w:tcPr>
          <w:p w14:paraId="0C68E6D1">
            <w:pPr>
              <w:pStyle w:val="266"/>
              <w:widowControl w:val="0"/>
              <w:kinsoku/>
              <w:adjustRightInd/>
              <w:spacing w:before="40" w:after="40" w:line="240" w:lineRule="auto"/>
              <w:ind w:right="0" w:rightChars="0" w:firstLine="0" w:firstLineChars="0"/>
              <w:jc w:val="center"/>
              <w:textAlignment w:val="auto"/>
              <w:rPr>
                <w:b/>
                <w:bCs/>
                <w:color w:val="auto"/>
                <w:szCs w:val="24"/>
              </w:rPr>
            </w:pPr>
            <w:r>
              <w:rPr>
                <w:rFonts w:hint="eastAsia"/>
                <w:b/>
                <w:bCs/>
                <w:color w:val="auto"/>
                <w:spacing w:val="-7"/>
                <w:szCs w:val="24"/>
                <w:lang w:val="en-US" w:eastAsia="zh-CN"/>
              </w:rPr>
              <w:t>序</w:t>
            </w:r>
            <w:r>
              <w:rPr>
                <w:rFonts w:hint="eastAsia"/>
                <w:b/>
                <w:bCs/>
                <w:color w:val="auto"/>
                <w:spacing w:val="-7"/>
                <w:szCs w:val="24"/>
              </w:rPr>
              <w:t>号</w:t>
            </w:r>
          </w:p>
        </w:tc>
        <w:tc>
          <w:tcPr>
            <w:tcW w:w="3327" w:type="dxa"/>
            <w:vAlign w:val="center"/>
          </w:tcPr>
          <w:p w14:paraId="3E53DC5E">
            <w:pPr>
              <w:pStyle w:val="266"/>
              <w:widowControl w:val="0"/>
              <w:kinsoku/>
              <w:adjustRightInd/>
              <w:spacing w:before="40" w:after="40" w:line="240" w:lineRule="auto"/>
              <w:ind w:firstLine="0" w:firstLineChars="0"/>
              <w:jc w:val="center"/>
              <w:textAlignment w:val="auto"/>
              <w:rPr>
                <w:b/>
                <w:bCs/>
                <w:color w:val="auto"/>
                <w:szCs w:val="24"/>
              </w:rPr>
            </w:pPr>
            <w:r>
              <w:rPr>
                <w:rFonts w:hint="eastAsia"/>
                <w:b/>
                <w:bCs/>
                <w:color w:val="auto"/>
                <w:spacing w:val="-4"/>
                <w:szCs w:val="24"/>
                <w:lang w:val="en-US" w:eastAsia="zh-CN"/>
              </w:rPr>
              <w:t>标的</w:t>
            </w:r>
            <w:r>
              <w:rPr>
                <w:rFonts w:hint="eastAsia"/>
                <w:b/>
                <w:bCs/>
                <w:color w:val="auto"/>
                <w:spacing w:val="-4"/>
                <w:szCs w:val="24"/>
              </w:rPr>
              <w:t>名称</w:t>
            </w:r>
          </w:p>
        </w:tc>
        <w:tc>
          <w:tcPr>
            <w:tcW w:w="1200" w:type="dxa"/>
            <w:shd w:val="clear" w:color="auto" w:fill="auto"/>
            <w:vAlign w:val="center"/>
          </w:tcPr>
          <w:p w14:paraId="401A5D58">
            <w:pPr>
              <w:pStyle w:val="266"/>
              <w:widowControl w:val="0"/>
              <w:kinsoku/>
              <w:adjustRightInd/>
              <w:spacing w:before="40" w:after="40" w:line="240" w:lineRule="auto"/>
              <w:ind w:firstLine="0" w:firstLineChars="0"/>
              <w:jc w:val="center"/>
              <w:textAlignment w:val="auto"/>
              <w:rPr>
                <w:rFonts w:ascii="宋体" w:hAnsi="宋体" w:eastAsia="宋体" w:cs="宋体"/>
                <w:b/>
                <w:bCs/>
                <w:snapToGrid w:val="0"/>
                <w:color w:val="auto"/>
                <w:sz w:val="24"/>
                <w:szCs w:val="24"/>
                <w:lang w:val="en-US" w:eastAsia="zh-CN" w:bidi="ar-SA"/>
              </w:rPr>
            </w:pPr>
            <w:r>
              <w:rPr>
                <w:rFonts w:hint="eastAsia"/>
                <w:b/>
                <w:bCs/>
                <w:color w:val="auto"/>
                <w:spacing w:val="-7"/>
                <w:szCs w:val="24"/>
              </w:rPr>
              <w:t>数量</w:t>
            </w:r>
          </w:p>
        </w:tc>
        <w:tc>
          <w:tcPr>
            <w:tcW w:w="2020" w:type="dxa"/>
            <w:vAlign w:val="center"/>
          </w:tcPr>
          <w:p w14:paraId="1F89C4FA">
            <w:pPr>
              <w:pStyle w:val="266"/>
              <w:widowControl w:val="0"/>
              <w:kinsoku/>
              <w:adjustRightInd/>
              <w:spacing w:before="40" w:after="40" w:line="240" w:lineRule="auto"/>
              <w:ind w:left="109" w:right="101" w:firstLine="0" w:firstLineChars="0"/>
              <w:jc w:val="center"/>
              <w:textAlignment w:val="auto"/>
              <w:rPr>
                <w:rFonts w:hint="eastAsia" w:eastAsia="宋体"/>
                <w:b/>
                <w:bCs/>
                <w:color w:val="auto"/>
                <w:szCs w:val="24"/>
                <w:lang w:eastAsia="zh-CN"/>
              </w:rPr>
            </w:pPr>
            <w:r>
              <w:rPr>
                <w:rFonts w:hint="eastAsia"/>
                <w:b/>
                <w:bCs/>
                <w:color w:val="auto"/>
                <w:szCs w:val="24"/>
              </w:rPr>
              <w:t>是否采购进口产品</w:t>
            </w:r>
            <w:r>
              <w:rPr>
                <w:rFonts w:hint="eastAsia"/>
                <w:b/>
                <w:bCs/>
                <w:color w:val="auto"/>
                <w:szCs w:val="24"/>
                <w:lang w:eastAsia="zh-CN"/>
              </w:rPr>
              <w:t>（</w:t>
            </w:r>
            <w:r>
              <w:rPr>
                <w:rFonts w:hint="eastAsia"/>
                <w:b/>
                <w:bCs/>
                <w:color w:val="auto"/>
                <w:szCs w:val="24"/>
                <w:lang w:val="en-US" w:eastAsia="zh-CN"/>
              </w:rPr>
              <w:t>*）</w:t>
            </w:r>
          </w:p>
        </w:tc>
        <w:tc>
          <w:tcPr>
            <w:tcW w:w="2339" w:type="dxa"/>
            <w:vAlign w:val="center"/>
          </w:tcPr>
          <w:p w14:paraId="52C2200C">
            <w:pPr>
              <w:pStyle w:val="266"/>
              <w:widowControl w:val="0"/>
              <w:kinsoku/>
              <w:adjustRightInd/>
              <w:spacing w:before="40" w:after="40" w:line="240" w:lineRule="auto"/>
              <w:ind w:firstLine="0" w:firstLineChars="0"/>
              <w:jc w:val="center"/>
              <w:textAlignment w:val="auto"/>
              <w:rPr>
                <w:b/>
                <w:bCs/>
                <w:color w:val="auto"/>
                <w:szCs w:val="24"/>
              </w:rPr>
            </w:pPr>
            <w:r>
              <w:rPr>
                <w:rFonts w:hint="eastAsia"/>
                <w:b/>
                <w:bCs/>
                <w:color w:val="auto"/>
                <w:szCs w:val="24"/>
              </w:rPr>
              <w:t>交货期</w:t>
            </w:r>
          </w:p>
        </w:tc>
      </w:tr>
      <w:tr w14:paraId="4C583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Align w:val="center"/>
          </w:tcPr>
          <w:p w14:paraId="594B4E97">
            <w:pPr>
              <w:pStyle w:val="266"/>
              <w:widowControl w:val="0"/>
              <w:kinsoku/>
              <w:adjustRightInd/>
              <w:spacing w:before="40" w:after="40" w:line="240" w:lineRule="auto"/>
              <w:ind w:firstLine="0" w:firstLineChars="0"/>
              <w:jc w:val="center"/>
              <w:textAlignment w:val="auto"/>
              <w:rPr>
                <w:color w:val="auto"/>
                <w:szCs w:val="24"/>
              </w:rPr>
            </w:pPr>
            <w:r>
              <w:rPr>
                <w:rFonts w:hint="eastAsia"/>
                <w:color w:val="auto"/>
                <w:szCs w:val="24"/>
              </w:rPr>
              <w:t>1</w:t>
            </w:r>
          </w:p>
        </w:tc>
        <w:tc>
          <w:tcPr>
            <w:tcW w:w="3327" w:type="dxa"/>
            <w:vAlign w:val="center"/>
          </w:tcPr>
          <w:p w14:paraId="0A11FB95">
            <w:pPr>
              <w:pStyle w:val="266"/>
              <w:widowControl w:val="0"/>
              <w:kinsoku/>
              <w:adjustRightInd/>
              <w:spacing w:before="40" w:after="40" w:line="240" w:lineRule="auto"/>
              <w:ind w:firstLine="0" w:firstLineChars="0"/>
              <w:jc w:val="center"/>
              <w:textAlignment w:val="auto"/>
              <w:rPr>
                <w:rFonts w:hint="eastAsia" w:eastAsia="宋体"/>
                <w:color w:val="auto"/>
                <w:szCs w:val="24"/>
                <w:lang w:eastAsia="zh-CN"/>
              </w:rPr>
            </w:pPr>
            <w:r>
              <w:rPr>
                <w:rFonts w:hint="eastAsia" w:eastAsia="宋体"/>
                <w:color w:val="auto"/>
                <w:szCs w:val="24"/>
                <w:lang w:val="en-US" w:eastAsia="zh-CN"/>
              </w:rPr>
              <w:t>超低温保存箱</w:t>
            </w:r>
          </w:p>
        </w:tc>
        <w:tc>
          <w:tcPr>
            <w:tcW w:w="1200" w:type="dxa"/>
            <w:shd w:val="clear" w:color="auto" w:fill="auto"/>
            <w:vAlign w:val="center"/>
          </w:tcPr>
          <w:p w14:paraId="059B4410">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z w:val="24"/>
                <w:szCs w:val="24"/>
                <w:lang w:val="en-US" w:eastAsia="zh-CN" w:bidi="ar-SA"/>
              </w:rPr>
            </w:pPr>
            <w:r>
              <w:rPr>
                <w:rFonts w:hint="eastAsia"/>
                <w:color w:val="auto"/>
                <w:spacing w:val="-2"/>
                <w:szCs w:val="24"/>
                <w:lang w:val="en-US" w:eastAsia="zh-CN"/>
              </w:rPr>
              <w:t>2</w:t>
            </w:r>
          </w:p>
        </w:tc>
        <w:tc>
          <w:tcPr>
            <w:tcW w:w="2020" w:type="dxa"/>
            <w:vMerge w:val="restart"/>
            <w:vAlign w:val="center"/>
          </w:tcPr>
          <w:p w14:paraId="5BC7B382">
            <w:pPr>
              <w:pStyle w:val="266"/>
              <w:widowControl w:val="0"/>
              <w:kinsoku/>
              <w:adjustRightInd/>
              <w:spacing w:before="40" w:after="40" w:line="240" w:lineRule="auto"/>
              <w:ind w:firstLine="0" w:firstLineChars="0"/>
              <w:jc w:val="center"/>
              <w:textAlignment w:val="auto"/>
              <w:rPr>
                <w:rFonts w:hint="default" w:eastAsia="宋体"/>
                <w:color w:val="auto"/>
                <w:szCs w:val="24"/>
                <w:lang w:val="en-US" w:eastAsia="zh-CN"/>
              </w:rPr>
            </w:pPr>
            <w:r>
              <w:rPr>
                <w:rFonts w:hint="eastAsia"/>
                <w:color w:val="auto"/>
                <w:szCs w:val="24"/>
                <w:lang w:val="en-US" w:eastAsia="zh-CN"/>
              </w:rPr>
              <w:t>否</w:t>
            </w:r>
          </w:p>
        </w:tc>
        <w:tc>
          <w:tcPr>
            <w:tcW w:w="2339" w:type="dxa"/>
            <w:vMerge w:val="restart"/>
            <w:vAlign w:val="center"/>
          </w:tcPr>
          <w:p w14:paraId="00C55F7A">
            <w:pPr>
              <w:widowControl w:val="0"/>
              <w:kinsoku/>
              <w:adjustRightInd/>
              <w:spacing w:before="40" w:after="40" w:line="240" w:lineRule="auto"/>
              <w:ind w:firstLine="0" w:firstLineChars="0"/>
              <w:jc w:val="center"/>
              <w:textAlignment w:val="auto"/>
              <w:rPr>
                <w:rFonts w:ascii="宋体" w:hAnsi="宋体" w:cs="宋体"/>
                <w:color w:val="auto"/>
                <w:szCs w:val="24"/>
                <w:lang w:eastAsia="zh-CN"/>
              </w:rPr>
            </w:pPr>
            <w:r>
              <w:rPr>
                <w:rFonts w:hint="eastAsia" w:ascii="宋体" w:hAnsi="宋体" w:cs="宋体"/>
                <w:color w:val="auto"/>
                <w:szCs w:val="24"/>
                <w:lang w:eastAsia="zh-CN"/>
              </w:rPr>
              <w:t>签订合同后60个工作日内。</w:t>
            </w:r>
          </w:p>
        </w:tc>
      </w:tr>
      <w:tr w14:paraId="73D1C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Align w:val="center"/>
          </w:tcPr>
          <w:p w14:paraId="300DD9C1">
            <w:pPr>
              <w:pStyle w:val="266"/>
              <w:widowControl w:val="0"/>
              <w:kinsoku/>
              <w:adjustRightInd/>
              <w:spacing w:before="40" w:after="40" w:line="240" w:lineRule="auto"/>
              <w:ind w:firstLine="0" w:firstLineChars="0"/>
              <w:jc w:val="center"/>
              <w:textAlignment w:val="auto"/>
              <w:rPr>
                <w:rFonts w:hint="eastAsia" w:eastAsia="宋体"/>
                <w:color w:val="auto"/>
                <w:szCs w:val="24"/>
                <w:lang w:val="en-US" w:eastAsia="zh-CN"/>
              </w:rPr>
            </w:pPr>
            <w:r>
              <w:rPr>
                <w:rFonts w:hint="eastAsia"/>
                <w:color w:val="auto"/>
                <w:szCs w:val="24"/>
                <w:lang w:val="en-US" w:eastAsia="zh-CN"/>
              </w:rPr>
              <w:t>2</w:t>
            </w:r>
          </w:p>
        </w:tc>
        <w:tc>
          <w:tcPr>
            <w:tcW w:w="3327" w:type="dxa"/>
            <w:vAlign w:val="center"/>
          </w:tcPr>
          <w:p w14:paraId="26D68D98">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程序降温仪</w:t>
            </w:r>
          </w:p>
        </w:tc>
        <w:tc>
          <w:tcPr>
            <w:tcW w:w="1200" w:type="dxa"/>
            <w:shd w:val="clear" w:color="auto" w:fill="auto"/>
            <w:vAlign w:val="center"/>
          </w:tcPr>
          <w:p w14:paraId="5C9AF3F1">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pacing w:val="-2"/>
                <w:sz w:val="24"/>
                <w:szCs w:val="24"/>
                <w:lang w:val="en-US" w:eastAsia="zh-CN" w:bidi="ar-SA"/>
              </w:rPr>
            </w:pPr>
            <w:r>
              <w:rPr>
                <w:rFonts w:hint="eastAsia"/>
                <w:color w:val="auto"/>
                <w:spacing w:val="-2"/>
                <w:szCs w:val="24"/>
                <w:lang w:val="en-US" w:eastAsia="zh-CN"/>
              </w:rPr>
              <w:t>1</w:t>
            </w:r>
          </w:p>
        </w:tc>
        <w:tc>
          <w:tcPr>
            <w:tcW w:w="2020" w:type="dxa"/>
            <w:vMerge w:val="continue"/>
            <w:vAlign w:val="center"/>
          </w:tcPr>
          <w:p w14:paraId="3C855820">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2339" w:type="dxa"/>
            <w:vMerge w:val="continue"/>
            <w:vAlign w:val="center"/>
          </w:tcPr>
          <w:p w14:paraId="26498815">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782E5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Align w:val="center"/>
          </w:tcPr>
          <w:p w14:paraId="088F9590">
            <w:pPr>
              <w:pStyle w:val="266"/>
              <w:widowControl w:val="0"/>
              <w:kinsoku/>
              <w:adjustRightInd/>
              <w:spacing w:before="40" w:after="40" w:line="240" w:lineRule="auto"/>
              <w:ind w:firstLine="0" w:firstLineChars="0"/>
              <w:jc w:val="center"/>
              <w:textAlignment w:val="auto"/>
              <w:rPr>
                <w:rFonts w:hint="eastAsia" w:eastAsia="宋体"/>
                <w:color w:val="auto"/>
                <w:szCs w:val="24"/>
                <w:lang w:val="en-US" w:eastAsia="zh-CN"/>
              </w:rPr>
            </w:pPr>
            <w:r>
              <w:rPr>
                <w:rFonts w:hint="eastAsia"/>
                <w:color w:val="auto"/>
                <w:szCs w:val="24"/>
                <w:lang w:val="en-US" w:eastAsia="zh-CN"/>
              </w:rPr>
              <w:t>3</w:t>
            </w:r>
          </w:p>
        </w:tc>
        <w:tc>
          <w:tcPr>
            <w:tcW w:w="3327" w:type="dxa"/>
            <w:vAlign w:val="center"/>
          </w:tcPr>
          <w:p w14:paraId="2E42AEDF">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生物安全柜</w:t>
            </w:r>
          </w:p>
        </w:tc>
        <w:tc>
          <w:tcPr>
            <w:tcW w:w="1200" w:type="dxa"/>
            <w:shd w:val="clear" w:color="auto" w:fill="auto"/>
            <w:vAlign w:val="center"/>
          </w:tcPr>
          <w:p w14:paraId="3961E6CA">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pacing w:val="-2"/>
                <w:sz w:val="24"/>
                <w:szCs w:val="24"/>
                <w:lang w:val="en-US" w:eastAsia="zh-CN" w:bidi="ar-SA"/>
              </w:rPr>
            </w:pPr>
            <w:r>
              <w:rPr>
                <w:rFonts w:hint="eastAsia"/>
                <w:color w:val="auto"/>
                <w:spacing w:val="-2"/>
                <w:szCs w:val="24"/>
                <w:lang w:val="en-US" w:eastAsia="zh-CN"/>
              </w:rPr>
              <w:t>2</w:t>
            </w:r>
          </w:p>
        </w:tc>
        <w:tc>
          <w:tcPr>
            <w:tcW w:w="2020" w:type="dxa"/>
            <w:vMerge w:val="continue"/>
            <w:vAlign w:val="center"/>
          </w:tcPr>
          <w:p w14:paraId="5A35DC22">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2339" w:type="dxa"/>
            <w:vMerge w:val="continue"/>
            <w:vAlign w:val="center"/>
          </w:tcPr>
          <w:p w14:paraId="329487C8">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04BD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Align w:val="center"/>
          </w:tcPr>
          <w:p w14:paraId="272A950D">
            <w:pPr>
              <w:pStyle w:val="266"/>
              <w:widowControl w:val="0"/>
              <w:kinsoku/>
              <w:adjustRightInd/>
              <w:spacing w:before="40" w:after="40" w:line="240" w:lineRule="auto"/>
              <w:ind w:firstLine="0" w:firstLineChars="0"/>
              <w:jc w:val="center"/>
              <w:textAlignment w:val="auto"/>
              <w:rPr>
                <w:rFonts w:hint="eastAsia" w:eastAsia="宋体"/>
                <w:color w:val="auto"/>
                <w:szCs w:val="24"/>
                <w:lang w:val="en-US" w:eastAsia="zh-CN"/>
              </w:rPr>
            </w:pPr>
            <w:r>
              <w:rPr>
                <w:rFonts w:hint="eastAsia"/>
                <w:color w:val="auto"/>
                <w:szCs w:val="24"/>
                <w:lang w:val="en-US" w:eastAsia="zh-CN"/>
              </w:rPr>
              <w:t>4</w:t>
            </w:r>
          </w:p>
        </w:tc>
        <w:tc>
          <w:tcPr>
            <w:tcW w:w="3327" w:type="dxa"/>
            <w:vAlign w:val="center"/>
          </w:tcPr>
          <w:p w14:paraId="0B3A1E71">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三气培养箱</w:t>
            </w:r>
          </w:p>
        </w:tc>
        <w:tc>
          <w:tcPr>
            <w:tcW w:w="1200" w:type="dxa"/>
            <w:shd w:val="clear" w:color="auto" w:fill="auto"/>
            <w:vAlign w:val="center"/>
          </w:tcPr>
          <w:p w14:paraId="76C3D584">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pacing w:val="-2"/>
                <w:sz w:val="24"/>
                <w:szCs w:val="24"/>
                <w:lang w:val="en-US" w:eastAsia="zh-CN" w:bidi="ar-SA"/>
              </w:rPr>
            </w:pPr>
            <w:r>
              <w:rPr>
                <w:rFonts w:hint="eastAsia"/>
                <w:color w:val="auto"/>
                <w:spacing w:val="-2"/>
                <w:szCs w:val="24"/>
                <w:lang w:val="en-US" w:eastAsia="zh-CN"/>
              </w:rPr>
              <w:t>1</w:t>
            </w:r>
          </w:p>
        </w:tc>
        <w:tc>
          <w:tcPr>
            <w:tcW w:w="2020" w:type="dxa"/>
            <w:vMerge w:val="continue"/>
            <w:vAlign w:val="center"/>
          </w:tcPr>
          <w:p w14:paraId="12B81A6D">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2339" w:type="dxa"/>
            <w:vMerge w:val="continue"/>
            <w:vAlign w:val="center"/>
          </w:tcPr>
          <w:p w14:paraId="4E4FE477">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63FD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Align w:val="center"/>
          </w:tcPr>
          <w:p w14:paraId="4D923507">
            <w:pPr>
              <w:pStyle w:val="266"/>
              <w:widowControl w:val="0"/>
              <w:kinsoku/>
              <w:adjustRightInd/>
              <w:spacing w:before="40" w:after="40" w:line="240" w:lineRule="auto"/>
              <w:ind w:firstLine="0" w:firstLineChars="0"/>
              <w:jc w:val="center"/>
              <w:textAlignment w:val="auto"/>
              <w:rPr>
                <w:rFonts w:hint="eastAsia" w:eastAsia="宋体"/>
                <w:color w:val="auto"/>
                <w:szCs w:val="24"/>
                <w:lang w:val="en-US" w:eastAsia="zh-CN"/>
              </w:rPr>
            </w:pPr>
            <w:r>
              <w:rPr>
                <w:rFonts w:hint="eastAsia"/>
                <w:color w:val="auto"/>
                <w:szCs w:val="24"/>
                <w:lang w:val="en-US" w:eastAsia="zh-CN"/>
              </w:rPr>
              <w:t>5</w:t>
            </w:r>
          </w:p>
        </w:tc>
        <w:tc>
          <w:tcPr>
            <w:tcW w:w="3327" w:type="dxa"/>
            <w:vAlign w:val="center"/>
          </w:tcPr>
          <w:p w14:paraId="2388204B">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细胞计数仪</w:t>
            </w:r>
          </w:p>
        </w:tc>
        <w:tc>
          <w:tcPr>
            <w:tcW w:w="1200" w:type="dxa"/>
            <w:shd w:val="clear" w:color="auto" w:fill="auto"/>
            <w:vAlign w:val="center"/>
          </w:tcPr>
          <w:p w14:paraId="330D8A28">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pacing w:val="-2"/>
                <w:sz w:val="24"/>
                <w:szCs w:val="24"/>
                <w:lang w:val="en-US" w:eastAsia="zh-CN" w:bidi="ar-SA"/>
              </w:rPr>
            </w:pPr>
            <w:r>
              <w:rPr>
                <w:rFonts w:hint="eastAsia"/>
                <w:color w:val="auto"/>
                <w:spacing w:val="-2"/>
                <w:szCs w:val="24"/>
                <w:lang w:val="en-US" w:eastAsia="zh-CN"/>
              </w:rPr>
              <w:t>1</w:t>
            </w:r>
          </w:p>
        </w:tc>
        <w:tc>
          <w:tcPr>
            <w:tcW w:w="2020" w:type="dxa"/>
            <w:vMerge w:val="continue"/>
            <w:vAlign w:val="center"/>
          </w:tcPr>
          <w:p w14:paraId="24718352">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2339" w:type="dxa"/>
            <w:vMerge w:val="continue"/>
            <w:vAlign w:val="center"/>
          </w:tcPr>
          <w:p w14:paraId="1342416A">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64972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Align w:val="center"/>
          </w:tcPr>
          <w:p w14:paraId="37DBBD8B">
            <w:pPr>
              <w:pStyle w:val="266"/>
              <w:widowControl w:val="0"/>
              <w:kinsoku/>
              <w:adjustRightInd/>
              <w:spacing w:before="40" w:after="40" w:line="240" w:lineRule="auto"/>
              <w:ind w:firstLine="0" w:firstLineChars="0"/>
              <w:jc w:val="center"/>
              <w:textAlignment w:val="auto"/>
              <w:rPr>
                <w:rFonts w:hint="eastAsia" w:eastAsia="宋体"/>
                <w:color w:val="auto"/>
                <w:szCs w:val="24"/>
                <w:lang w:val="en-US" w:eastAsia="zh-CN"/>
              </w:rPr>
            </w:pPr>
            <w:r>
              <w:rPr>
                <w:rFonts w:hint="eastAsia"/>
                <w:color w:val="auto"/>
                <w:szCs w:val="24"/>
                <w:lang w:val="en-US" w:eastAsia="zh-CN"/>
              </w:rPr>
              <w:t>6</w:t>
            </w:r>
          </w:p>
        </w:tc>
        <w:tc>
          <w:tcPr>
            <w:tcW w:w="3327" w:type="dxa"/>
            <w:vAlign w:val="center"/>
          </w:tcPr>
          <w:p w14:paraId="45FEA2D2">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多功能酶标仪</w:t>
            </w:r>
          </w:p>
        </w:tc>
        <w:tc>
          <w:tcPr>
            <w:tcW w:w="1200" w:type="dxa"/>
            <w:shd w:val="clear" w:color="auto" w:fill="auto"/>
            <w:vAlign w:val="center"/>
          </w:tcPr>
          <w:p w14:paraId="722FE786">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pacing w:val="-2"/>
                <w:sz w:val="24"/>
                <w:szCs w:val="24"/>
                <w:lang w:val="en-US" w:eastAsia="zh-CN" w:bidi="ar-SA"/>
              </w:rPr>
            </w:pPr>
            <w:r>
              <w:rPr>
                <w:rFonts w:hint="eastAsia"/>
                <w:color w:val="auto"/>
                <w:spacing w:val="-2"/>
                <w:szCs w:val="24"/>
                <w:lang w:val="en-US" w:eastAsia="zh-CN"/>
              </w:rPr>
              <w:t>1</w:t>
            </w:r>
          </w:p>
        </w:tc>
        <w:tc>
          <w:tcPr>
            <w:tcW w:w="2020" w:type="dxa"/>
            <w:vMerge w:val="continue"/>
            <w:vAlign w:val="center"/>
          </w:tcPr>
          <w:p w14:paraId="51A40AD7">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2339" w:type="dxa"/>
            <w:vMerge w:val="continue"/>
            <w:vAlign w:val="center"/>
          </w:tcPr>
          <w:p w14:paraId="11C0A574">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6ADB2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Align w:val="center"/>
          </w:tcPr>
          <w:p w14:paraId="50A42CEE">
            <w:pPr>
              <w:pStyle w:val="266"/>
              <w:widowControl w:val="0"/>
              <w:kinsoku/>
              <w:adjustRightInd/>
              <w:spacing w:before="40" w:after="40" w:line="240" w:lineRule="auto"/>
              <w:ind w:firstLine="0" w:firstLineChars="0"/>
              <w:jc w:val="center"/>
              <w:textAlignment w:val="auto"/>
              <w:rPr>
                <w:rFonts w:hint="eastAsia" w:eastAsia="宋体"/>
                <w:color w:val="auto"/>
                <w:szCs w:val="24"/>
                <w:lang w:val="en-US" w:eastAsia="zh-CN"/>
              </w:rPr>
            </w:pPr>
            <w:r>
              <w:rPr>
                <w:rFonts w:hint="eastAsia"/>
                <w:color w:val="auto"/>
                <w:szCs w:val="24"/>
                <w:lang w:val="en-US" w:eastAsia="zh-CN"/>
              </w:rPr>
              <w:t>7</w:t>
            </w:r>
          </w:p>
        </w:tc>
        <w:tc>
          <w:tcPr>
            <w:tcW w:w="3327" w:type="dxa"/>
            <w:vAlign w:val="center"/>
          </w:tcPr>
          <w:p w14:paraId="0DB0EAA4">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荧光定量PCR仪</w:t>
            </w:r>
          </w:p>
        </w:tc>
        <w:tc>
          <w:tcPr>
            <w:tcW w:w="1200" w:type="dxa"/>
            <w:shd w:val="clear" w:color="auto" w:fill="auto"/>
            <w:vAlign w:val="center"/>
          </w:tcPr>
          <w:p w14:paraId="44D05F03">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pacing w:val="-2"/>
                <w:sz w:val="24"/>
                <w:szCs w:val="24"/>
                <w:lang w:val="en-US" w:eastAsia="zh-CN" w:bidi="ar-SA"/>
              </w:rPr>
            </w:pPr>
            <w:r>
              <w:rPr>
                <w:rFonts w:hint="eastAsia"/>
                <w:color w:val="auto"/>
                <w:spacing w:val="-2"/>
                <w:szCs w:val="24"/>
                <w:lang w:val="en-US" w:eastAsia="zh-CN"/>
              </w:rPr>
              <w:t>1</w:t>
            </w:r>
          </w:p>
        </w:tc>
        <w:tc>
          <w:tcPr>
            <w:tcW w:w="2020" w:type="dxa"/>
            <w:vMerge w:val="continue"/>
            <w:vAlign w:val="center"/>
          </w:tcPr>
          <w:p w14:paraId="6D21DFE0">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2339" w:type="dxa"/>
            <w:vMerge w:val="continue"/>
            <w:vAlign w:val="center"/>
          </w:tcPr>
          <w:p w14:paraId="0E8CBAA3">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6BAB3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Align w:val="center"/>
          </w:tcPr>
          <w:p w14:paraId="31A5FB63">
            <w:pPr>
              <w:pStyle w:val="266"/>
              <w:widowControl w:val="0"/>
              <w:kinsoku/>
              <w:adjustRightInd/>
              <w:spacing w:before="40" w:after="40" w:line="240" w:lineRule="auto"/>
              <w:ind w:firstLine="0" w:firstLineChars="0"/>
              <w:jc w:val="center"/>
              <w:textAlignment w:val="auto"/>
              <w:rPr>
                <w:rFonts w:hint="eastAsia" w:eastAsia="宋体"/>
                <w:color w:val="auto"/>
                <w:szCs w:val="24"/>
                <w:lang w:val="en-US" w:eastAsia="zh-CN"/>
              </w:rPr>
            </w:pPr>
            <w:r>
              <w:rPr>
                <w:rFonts w:hint="eastAsia"/>
                <w:color w:val="auto"/>
                <w:szCs w:val="24"/>
                <w:lang w:val="en-US" w:eastAsia="zh-CN"/>
              </w:rPr>
              <w:t>8</w:t>
            </w:r>
          </w:p>
        </w:tc>
        <w:tc>
          <w:tcPr>
            <w:tcW w:w="3327" w:type="dxa"/>
            <w:vAlign w:val="center"/>
          </w:tcPr>
          <w:p w14:paraId="29674347">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动物全自动生化分析仪</w:t>
            </w:r>
          </w:p>
        </w:tc>
        <w:tc>
          <w:tcPr>
            <w:tcW w:w="1200" w:type="dxa"/>
            <w:shd w:val="clear" w:color="auto" w:fill="auto"/>
            <w:vAlign w:val="center"/>
          </w:tcPr>
          <w:p w14:paraId="1EE2A50C">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pacing w:val="-2"/>
                <w:sz w:val="24"/>
                <w:szCs w:val="24"/>
                <w:lang w:val="en-US" w:eastAsia="zh-CN" w:bidi="ar-SA"/>
              </w:rPr>
            </w:pPr>
            <w:r>
              <w:rPr>
                <w:rFonts w:hint="eastAsia"/>
                <w:color w:val="auto"/>
                <w:spacing w:val="-2"/>
                <w:szCs w:val="24"/>
                <w:lang w:val="en-US" w:eastAsia="zh-CN"/>
              </w:rPr>
              <w:t>1</w:t>
            </w:r>
          </w:p>
        </w:tc>
        <w:tc>
          <w:tcPr>
            <w:tcW w:w="2020" w:type="dxa"/>
            <w:vMerge w:val="continue"/>
            <w:vAlign w:val="center"/>
          </w:tcPr>
          <w:p w14:paraId="659DC0F8">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2339" w:type="dxa"/>
            <w:vMerge w:val="continue"/>
            <w:vAlign w:val="center"/>
          </w:tcPr>
          <w:p w14:paraId="759E985B">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72BCF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30" w:type="dxa"/>
            <w:vAlign w:val="center"/>
          </w:tcPr>
          <w:p w14:paraId="16EAE5A2">
            <w:pPr>
              <w:pStyle w:val="266"/>
              <w:widowControl w:val="0"/>
              <w:kinsoku/>
              <w:adjustRightInd/>
              <w:spacing w:before="40" w:after="40" w:line="240" w:lineRule="auto"/>
              <w:ind w:firstLine="0" w:firstLineChars="0"/>
              <w:jc w:val="center"/>
              <w:textAlignment w:val="auto"/>
              <w:rPr>
                <w:rFonts w:hint="eastAsia" w:eastAsia="宋体"/>
                <w:color w:val="auto"/>
                <w:szCs w:val="24"/>
                <w:lang w:val="en-US" w:eastAsia="zh-CN"/>
              </w:rPr>
            </w:pPr>
            <w:r>
              <w:rPr>
                <w:rFonts w:hint="eastAsia"/>
                <w:color w:val="auto"/>
                <w:szCs w:val="24"/>
                <w:lang w:val="en-US" w:eastAsia="zh-CN"/>
              </w:rPr>
              <w:t>9</w:t>
            </w:r>
          </w:p>
        </w:tc>
        <w:tc>
          <w:tcPr>
            <w:tcW w:w="3327" w:type="dxa"/>
            <w:vAlign w:val="center"/>
          </w:tcPr>
          <w:p w14:paraId="4992C853">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全自动五分类血细胞分析仪</w:t>
            </w:r>
          </w:p>
        </w:tc>
        <w:tc>
          <w:tcPr>
            <w:tcW w:w="1200" w:type="dxa"/>
            <w:shd w:val="clear" w:color="auto" w:fill="auto"/>
            <w:vAlign w:val="center"/>
          </w:tcPr>
          <w:p w14:paraId="38A618A2">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pacing w:val="-2"/>
                <w:sz w:val="24"/>
                <w:szCs w:val="24"/>
                <w:lang w:val="en-US" w:eastAsia="zh-CN" w:bidi="ar-SA"/>
              </w:rPr>
            </w:pPr>
            <w:r>
              <w:rPr>
                <w:rFonts w:hint="eastAsia"/>
                <w:color w:val="auto"/>
                <w:spacing w:val="-2"/>
                <w:szCs w:val="24"/>
                <w:lang w:val="en-US" w:eastAsia="zh-CN"/>
              </w:rPr>
              <w:t>1</w:t>
            </w:r>
          </w:p>
        </w:tc>
        <w:tc>
          <w:tcPr>
            <w:tcW w:w="2020" w:type="dxa"/>
            <w:vMerge w:val="continue"/>
            <w:vAlign w:val="center"/>
          </w:tcPr>
          <w:p w14:paraId="6ACE1D58">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2339" w:type="dxa"/>
            <w:vMerge w:val="continue"/>
            <w:vAlign w:val="center"/>
          </w:tcPr>
          <w:p w14:paraId="3D0B0147">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r w14:paraId="6CBD3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730" w:type="dxa"/>
            <w:vAlign w:val="center"/>
          </w:tcPr>
          <w:p w14:paraId="544CE7A9">
            <w:pPr>
              <w:pStyle w:val="266"/>
              <w:widowControl w:val="0"/>
              <w:kinsoku/>
              <w:adjustRightInd/>
              <w:spacing w:before="40" w:after="40" w:line="240" w:lineRule="auto"/>
              <w:ind w:firstLine="0" w:firstLineChars="0"/>
              <w:jc w:val="center"/>
              <w:textAlignment w:val="auto"/>
              <w:rPr>
                <w:rFonts w:hint="default" w:eastAsia="宋体"/>
                <w:color w:val="auto"/>
                <w:szCs w:val="24"/>
                <w:lang w:val="en-US" w:eastAsia="zh-CN"/>
              </w:rPr>
            </w:pPr>
            <w:r>
              <w:rPr>
                <w:rFonts w:hint="eastAsia"/>
                <w:color w:val="auto"/>
                <w:szCs w:val="24"/>
                <w:lang w:val="en-US" w:eastAsia="zh-CN"/>
              </w:rPr>
              <w:t>10</w:t>
            </w:r>
          </w:p>
        </w:tc>
        <w:tc>
          <w:tcPr>
            <w:tcW w:w="3327" w:type="dxa"/>
            <w:vAlign w:val="center"/>
          </w:tcPr>
          <w:p w14:paraId="61BF34D6">
            <w:pPr>
              <w:pStyle w:val="266"/>
              <w:widowControl w:val="0"/>
              <w:kinsoku/>
              <w:adjustRightInd/>
              <w:spacing w:before="40" w:after="40" w:line="240" w:lineRule="auto"/>
              <w:ind w:firstLine="0" w:firstLineChars="0"/>
              <w:jc w:val="center"/>
              <w:textAlignment w:val="auto"/>
              <w:rPr>
                <w:rFonts w:hint="eastAsia"/>
                <w:color w:val="auto"/>
                <w:szCs w:val="24"/>
                <w:lang w:eastAsia="zh-CN"/>
              </w:rPr>
            </w:pPr>
            <w:r>
              <w:rPr>
                <w:rFonts w:hint="eastAsia"/>
                <w:color w:val="auto"/>
                <w:szCs w:val="24"/>
                <w:lang w:val="en-US" w:eastAsia="zh-CN"/>
              </w:rPr>
              <w:t>全光谱水质分析仪</w:t>
            </w:r>
          </w:p>
        </w:tc>
        <w:tc>
          <w:tcPr>
            <w:tcW w:w="1200" w:type="dxa"/>
            <w:shd w:val="clear" w:color="auto" w:fill="auto"/>
            <w:vAlign w:val="center"/>
          </w:tcPr>
          <w:p w14:paraId="7A627301">
            <w:pPr>
              <w:pStyle w:val="266"/>
              <w:widowControl w:val="0"/>
              <w:kinsoku/>
              <w:adjustRightInd/>
              <w:spacing w:before="40" w:after="40" w:line="240" w:lineRule="auto"/>
              <w:ind w:firstLine="0" w:firstLineChars="0"/>
              <w:jc w:val="center"/>
              <w:textAlignment w:val="auto"/>
              <w:rPr>
                <w:rFonts w:hint="eastAsia" w:ascii="宋体" w:hAnsi="宋体" w:eastAsia="宋体" w:cs="宋体"/>
                <w:snapToGrid w:val="0"/>
                <w:color w:val="auto"/>
                <w:spacing w:val="-2"/>
                <w:sz w:val="24"/>
                <w:szCs w:val="24"/>
                <w:lang w:val="en-US" w:eastAsia="zh-CN" w:bidi="ar-SA"/>
              </w:rPr>
            </w:pPr>
            <w:r>
              <w:rPr>
                <w:rFonts w:hint="eastAsia"/>
                <w:color w:val="auto"/>
                <w:spacing w:val="-2"/>
                <w:szCs w:val="24"/>
                <w:lang w:val="en-US" w:eastAsia="zh-CN"/>
              </w:rPr>
              <w:t>1</w:t>
            </w:r>
          </w:p>
        </w:tc>
        <w:tc>
          <w:tcPr>
            <w:tcW w:w="2020" w:type="dxa"/>
            <w:vMerge w:val="continue"/>
            <w:vAlign w:val="center"/>
          </w:tcPr>
          <w:p w14:paraId="5F178CE2">
            <w:pPr>
              <w:pStyle w:val="266"/>
              <w:widowControl w:val="0"/>
              <w:kinsoku/>
              <w:adjustRightInd/>
              <w:spacing w:before="40" w:after="40" w:line="240" w:lineRule="auto"/>
              <w:ind w:firstLine="0" w:firstLineChars="0"/>
              <w:jc w:val="center"/>
              <w:textAlignment w:val="auto"/>
              <w:rPr>
                <w:rFonts w:hint="eastAsia"/>
                <w:color w:val="auto"/>
                <w:szCs w:val="24"/>
                <w:lang w:eastAsia="zh-CN"/>
              </w:rPr>
            </w:pPr>
          </w:p>
        </w:tc>
        <w:tc>
          <w:tcPr>
            <w:tcW w:w="2339" w:type="dxa"/>
            <w:vMerge w:val="continue"/>
            <w:vAlign w:val="center"/>
          </w:tcPr>
          <w:p w14:paraId="4D41153E">
            <w:pPr>
              <w:widowControl w:val="0"/>
              <w:kinsoku/>
              <w:adjustRightInd/>
              <w:spacing w:before="40" w:after="40" w:line="240" w:lineRule="auto"/>
              <w:ind w:firstLine="0" w:firstLineChars="0"/>
              <w:jc w:val="center"/>
              <w:textAlignment w:val="auto"/>
              <w:rPr>
                <w:rFonts w:hint="eastAsia" w:ascii="宋体" w:hAnsi="宋体" w:cs="宋体"/>
                <w:color w:val="auto"/>
                <w:szCs w:val="24"/>
                <w:lang w:eastAsia="zh-CN"/>
              </w:rPr>
            </w:pPr>
          </w:p>
        </w:tc>
      </w:tr>
    </w:tbl>
    <w:p w14:paraId="5EDE7FA2">
      <w:pPr>
        <w:ind w:firstLine="482"/>
        <w:rPr>
          <w:rFonts w:ascii="宋体" w:hAnsi="宋体" w:cs="宋体"/>
          <w:b/>
          <w:color w:val="auto"/>
          <w:sz w:val="28"/>
          <w:szCs w:val="36"/>
          <w:lang w:eastAsia="zh-CN"/>
        </w:rPr>
      </w:pPr>
      <w:r>
        <w:rPr>
          <w:rFonts w:hint="eastAsia" w:ascii="宋体" w:hAnsi="宋体" w:cs="宋体"/>
          <w:b/>
          <w:color w:val="auto"/>
          <w:sz w:val="28"/>
          <w:szCs w:val="36"/>
          <w:lang w:eastAsia="zh-CN"/>
        </w:rPr>
        <w:t>二、</w:t>
      </w:r>
      <w:r>
        <w:rPr>
          <w:rFonts w:hint="eastAsia" w:ascii="宋体" w:hAnsi="宋体" w:cs="宋体"/>
          <w:b/>
          <w:color w:val="auto"/>
          <w:sz w:val="28"/>
          <w:szCs w:val="36"/>
          <w:lang w:val="en-US" w:eastAsia="zh-CN"/>
        </w:rPr>
        <w:t>技术</w:t>
      </w:r>
      <w:r>
        <w:rPr>
          <w:rFonts w:hint="eastAsia" w:ascii="宋体" w:hAnsi="宋体" w:cs="宋体"/>
          <w:b/>
          <w:color w:val="auto"/>
          <w:sz w:val="28"/>
          <w:szCs w:val="36"/>
          <w:lang w:eastAsia="zh-CN"/>
        </w:rPr>
        <w:t>要求</w:t>
      </w:r>
    </w:p>
    <w:p w14:paraId="313634BD">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（一）超低温保存箱</w:t>
      </w:r>
    </w:p>
    <w:p w14:paraId="3F91C75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1.采购数量：</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台</w:t>
      </w:r>
    </w:p>
    <w:p w14:paraId="459AE33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2.主要用途：主要</w:t>
      </w:r>
      <w:r>
        <w:rPr>
          <w:rFonts w:hint="eastAsia" w:ascii="宋体" w:hAnsi="宋体" w:eastAsia="宋体" w:cs="宋体"/>
          <w:bCs/>
          <w:color w:val="auto"/>
          <w:sz w:val="24"/>
          <w:szCs w:val="24"/>
          <w:highlight w:val="none"/>
          <w:lang w:val="en-US" w:eastAsia="zh-CN"/>
        </w:rPr>
        <w:t>用于</w:t>
      </w:r>
      <w:r>
        <w:rPr>
          <w:rFonts w:hint="eastAsia" w:ascii="宋体" w:hAnsi="宋体" w:eastAsia="宋体" w:cs="宋体"/>
          <w:bCs/>
          <w:color w:val="auto"/>
          <w:sz w:val="24"/>
          <w:szCs w:val="24"/>
          <w:highlight w:val="none"/>
          <w:lang w:val="zh-CN" w:eastAsia="zh-CN"/>
        </w:rPr>
        <w:t>生物材料，疫苗，试剂，生物制品，化学试剂，菌种，</w:t>
      </w:r>
      <w:r>
        <w:rPr>
          <w:rFonts w:hint="eastAsia" w:ascii="宋体" w:hAnsi="宋体" w:eastAsia="宋体" w:cs="宋体"/>
          <w:bCs/>
          <w:color w:val="auto"/>
          <w:sz w:val="24"/>
          <w:szCs w:val="24"/>
          <w:highlight w:val="none"/>
          <w:lang w:val="en-US" w:eastAsia="zh-CN"/>
        </w:rPr>
        <w:t>细胞，</w:t>
      </w:r>
      <w:r>
        <w:rPr>
          <w:rFonts w:hint="eastAsia" w:ascii="宋体" w:hAnsi="宋体" w:eastAsia="宋体" w:cs="宋体"/>
          <w:bCs/>
          <w:color w:val="auto"/>
          <w:sz w:val="24"/>
          <w:szCs w:val="24"/>
          <w:highlight w:val="none"/>
          <w:lang w:val="zh-CN" w:eastAsia="zh-CN"/>
        </w:rPr>
        <w:t>生物样本等低温保存</w:t>
      </w:r>
    </w:p>
    <w:p w14:paraId="36CAB67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3.工作环境：</w:t>
      </w:r>
    </w:p>
    <w:p w14:paraId="15FC51A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环境温度：0~3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w:t>
      </w:r>
    </w:p>
    <w:p w14:paraId="4681AAF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相对湿度：0~85%</w:t>
      </w:r>
    </w:p>
    <w:p w14:paraId="4AEE137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适用电源：220VAC，50~60Hz</w:t>
      </w:r>
    </w:p>
    <w:p w14:paraId="2911930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4.技术参数：</w:t>
      </w:r>
    </w:p>
    <w:p w14:paraId="740DF72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4.1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箱内温度-40℃~-86℃可调</w:t>
      </w:r>
    </w:p>
    <w:p w14:paraId="625B88B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4.2</w:t>
      </w:r>
      <w:r>
        <w:rPr>
          <w:rFonts w:hint="eastAsia" w:ascii="宋体" w:hAnsi="宋体" w:eastAsia="宋体" w:cs="宋体"/>
          <w:bCs/>
          <w:color w:val="auto"/>
          <w:sz w:val="24"/>
          <w:szCs w:val="24"/>
          <w:highlight w:val="none"/>
          <w:lang w:val="en-US" w:eastAsia="zh-CN"/>
        </w:rPr>
        <w:t xml:space="preserve"> 有效容积不小于412升，</w:t>
      </w:r>
      <w:r>
        <w:rPr>
          <w:rFonts w:hint="eastAsia" w:ascii="宋体" w:hAnsi="宋体" w:eastAsia="宋体" w:cs="宋体"/>
          <w:bCs/>
          <w:color w:val="auto"/>
          <w:sz w:val="24"/>
          <w:szCs w:val="24"/>
          <w:highlight w:val="none"/>
          <w:lang w:val="zh-CN" w:eastAsia="zh-CN"/>
        </w:rPr>
        <w:t>整机装箱量（2ml冻存管容量）</w:t>
      </w:r>
      <w:r>
        <w:rPr>
          <w:rFonts w:hint="eastAsia" w:ascii="宋体" w:hAnsi="宋体" w:eastAsia="宋体" w:cs="宋体"/>
          <w:bCs/>
          <w:color w:val="auto"/>
          <w:sz w:val="24"/>
          <w:szCs w:val="24"/>
          <w:highlight w:val="none"/>
          <w:lang w:val="en-US" w:eastAsia="zh-CN"/>
        </w:rPr>
        <w:t>不小于</w:t>
      </w:r>
      <w:r>
        <w:rPr>
          <w:rFonts w:hint="eastAsia" w:ascii="宋体" w:hAnsi="宋体" w:eastAsia="宋体" w:cs="宋体"/>
          <w:bCs/>
          <w:color w:val="auto"/>
          <w:sz w:val="24"/>
          <w:szCs w:val="24"/>
          <w:highlight w:val="none"/>
          <w:lang w:val="zh-CN" w:eastAsia="zh-CN"/>
        </w:rPr>
        <w:t>30000份样本</w:t>
      </w:r>
    </w:p>
    <w:p w14:paraId="1E57FA5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 </w:t>
      </w:r>
      <w:r>
        <w:rPr>
          <w:rFonts w:hint="eastAsia" w:ascii="宋体" w:hAnsi="宋体" w:eastAsia="宋体" w:cs="宋体"/>
          <w:bCs/>
          <w:color w:val="auto"/>
          <w:sz w:val="24"/>
          <w:szCs w:val="24"/>
          <w:highlight w:val="none"/>
          <w:lang w:val="zh-CN" w:eastAsia="zh-CN"/>
        </w:rPr>
        <w:t>微电脑控制，</w:t>
      </w:r>
      <w:r>
        <w:rPr>
          <w:rFonts w:hint="eastAsia" w:ascii="宋体" w:hAnsi="宋体" w:eastAsia="宋体" w:cs="宋体"/>
          <w:bCs/>
          <w:color w:val="auto"/>
          <w:sz w:val="24"/>
          <w:szCs w:val="24"/>
          <w:highlight w:val="none"/>
          <w:lang w:val="en-US" w:eastAsia="zh-CN"/>
        </w:rPr>
        <w:t>不小于</w:t>
      </w:r>
      <w:r>
        <w:rPr>
          <w:rFonts w:hint="eastAsia" w:ascii="宋体" w:hAnsi="宋体" w:eastAsia="宋体" w:cs="宋体"/>
          <w:bCs/>
          <w:color w:val="auto"/>
          <w:sz w:val="24"/>
          <w:szCs w:val="24"/>
          <w:highlight w:val="none"/>
          <w:lang w:val="zh-CN" w:eastAsia="zh-CN"/>
        </w:rPr>
        <w:t>10寸高性能LCD电容屏，直观显示箱内温度，环境温度，输入电压和温度曲线等数据，显示精度0.1℃，可连接wifi实现网络功能</w:t>
      </w:r>
    </w:p>
    <w:p w14:paraId="5520E6A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4.4 </w:t>
      </w:r>
      <w:r>
        <w:rPr>
          <w:rFonts w:hint="eastAsia" w:ascii="宋体" w:hAnsi="宋体" w:eastAsia="宋体" w:cs="宋体"/>
          <w:bCs/>
          <w:color w:val="auto"/>
          <w:sz w:val="24"/>
          <w:szCs w:val="24"/>
          <w:highlight w:val="none"/>
          <w:lang w:val="zh-CN" w:eastAsia="zh-CN"/>
        </w:rPr>
        <w:t>具有运行指示灯，正常运行显示绿色，出现报警或故障显示红色或黄色</w:t>
      </w:r>
    </w:p>
    <w:p w14:paraId="6D3E7A2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4.5 </w:t>
      </w:r>
      <w:r>
        <w:rPr>
          <w:rFonts w:hint="eastAsia" w:ascii="宋体" w:hAnsi="宋体" w:eastAsia="宋体" w:cs="宋体"/>
          <w:bCs/>
          <w:color w:val="auto"/>
          <w:sz w:val="24"/>
          <w:szCs w:val="24"/>
          <w:highlight w:val="none"/>
          <w:lang w:val="zh-CN" w:eastAsia="zh-CN"/>
        </w:rPr>
        <w:t>具有多种故障报警，高低温报警，传感器故障报警，冷凝器脏报警，环温超标报警，断电报警，开门报警，电池未连接报警，报警方式，声音蜂鸣报警，灯光闪烁报警</w:t>
      </w:r>
    </w:p>
    <w:p w14:paraId="4E0C963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4.6 </w:t>
      </w:r>
      <w:r>
        <w:rPr>
          <w:rFonts w:hint="eastAsia" w:ascii="宋体" w:hAnsi="宋体" w:eastAsia="宋体" w:cs="宋体"/>
          <w:bCs/>
          <w:color w:val="auto"/>
          <w:sz w:val="24"/>
          <w:szCs w:val="24"/>
          <w:highlight w:val="none"/>
          <w:lang w:val="zh-CN" w:eastAsia="zh-CN"/>
        </w:rPr>
        <w:t>多重保护功能，开机延时保护，过电流保护，过压保护，显示屏密码保护，断电记忆数据保护</w:t>
      </w:r>
    </w:p>
    <w:p w14:paraId="1E13D47E">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4.7 </w:t>
      </w:r>
      <w:r>
        <w:rPr>
          <w:rFonts w:hint="eastAsia" w:ascii="宋体" w:hAnsi="宋体" w:eastAsia="宋体" w:cs="宋体"/>
          <w:bCs/>
          <w:color w:val="auto"/>
          <w:sz w:val="24"/>
          <w:szCs w:val="24"/>
          <w:highlight w:val="none"/>
          <w:lang w:val="zh-CN" w:eastAsia="zh-CN"/>
        </w:rPr>
        <w:t>采用HC环保制冷剂，制冷效率高，节能环保</w:t>
      </w:r>
    </w:p>
    <w:p w14:paraId="2B5981E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4.8 </w:t>
      </w:r>
      <w:r>
        <w:rPr>
          <w:rFonts w:hint="eastAsia" w:ascii="宋体" w:hAnsi="宋体" w:eastAsia="宋体" w:cs="宋体"/>
          <w:bCs/>
          <w:color w:val="auto"/>
          <w:sz w:val="24"/>
          <w:szCs w:val="24"/>
          <w:highlight w:val="none"/>
          <w:lang w:val="zh-CN" w:eastAsia="zh-CN"/>
        </w:rPr>
        <w:t>采用双级复叠制冷系统，高温级压机和低温级压机配合制冷，制冷效率高</w:t>
      </w:r>
    </w:p>
    <w:p w14:paraId="34B6C9B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4.9 </w:t>
      </w:r>
      <w:r>
        <w:rPr>
          <w:rFonts w:hint="eastAsia" w:ascii="宋体" w:hAnsi="宋体" w:eastAsia="宋体" w:cs="宋体"/>
          <w:bCs/>
          <w:color w:val="auto"/>
          <w:sz w:val="24"/>
          <w:szCs w:val="24"/>
          <w:highlight w:val="none"/>
          <w:lang w:val="zh-CN" w:eastAsia="zh-CN"/>
        </w:rPr>
        <w:t>根据低温保存箱国家标准GB/T20154要求，低温保存箱铭牌或标签上要标注制冷剂的详细名称及装入量</w:t>
      </w:r>
    </w:p>
    <w:p w14:paraId="3F8F5B4F">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4.10 </w:t>
      </w:r>
      <w:r>
        <w:rPr>
          <w:rFonts w:hint="eastAsia" w:ascii="宋体" w:hAnsi="宋体" w:eastAsia="宋体" w:cs="宋体"/>
          <w:bCs/>
          <w:color w:val="auto"/>
          <w:sz w:val="24"/>
          <w:szCs w:val="24"/>
          <w:highlight w:val="none"/>
          <w:lang w:val="zh-CN" w:eastAsia="zh-CN"/>
        </w:rPr>
        <w:t>符合《低温保存箱节能环保认证技术规范》要求，并获取节能，环保报告及证书，提供中国质量中心节能证书和环保证书（原件备查，并提供CQC网站截图及网址备查）</w:t>
      </w:r>
    </w:p>
    <w:p w14:paraId="169A7135">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4.11 </w:t>
      </w:r>
      <w:r>
        <w:rPr>
          <w:rFonts w:hint="eastAsia" w:ascii="宋体" w:hAnsi="宋体" w:eastAsia="宋体" w:cs="宋体"/>
          <w:bCs/>
          <w:color w:val="auto"/>
          <w:sz w:val="24"/>
          <w:szCs w:val="24"/>
          <w:highlight w:val="none"/>
          <w:lang w:val="zh-CN" w:eastAsia="zh-CN"/>
        </w:rPr>
        <w:t>2个压缩机</w:t>
      </w:r>
      <w:r>
        <w:rPr>
          <w:rFonts w:hint="eastAsia" w:ascii="宋体" w:hAnsi="宋体" w:cs="宋体"/>
          <w:bCs/>
          <w:color w:val="auto"/>
          <w:sz w:val="24"/>
          <w:szCs w:val="24"/>
          <w:highlight w:val="none"/>
          <w:lang w:val="zh-CN" w:eastAsia="zh-CN"/>
        </w:rPr>
        <w:t>（</w:t>
      </w:r>
      <w:r>
        <w:rPr>
          <w:rFonts w:hint="eastAsia" w:ascii="宋体" w:hAnsi="宋体" w:cs="宋体"/>
          <w:bCs/>
          <w:color w:val="auto"/>
          <w:sz w:val="24"/>
          <w:szCs w:val="24"/>
          <w:highlight w:val="none"/>
          <w:lang w:val="en-US" w:eastAsia="zh-CN"/>
        </w:rPr>
        <w:t>超低温保存箱）</w:t>
      </w:r>
      <w:r>
        <w:rPr>
          <w:rFonts w:hint="eastAsia" w:ascii="宋体" w:hAnsi="宋体" w:eastAsia="宋体" w:cs="宋体"/>
          <w:bCs/>
          <w:color w:val="auto"/>
          <w:sz w:val="24"/>
          <w:szCs w:val="24"/>
          <w:highlight w:val="none"/>
          <w:lang w:val="zh-CN" w:eastAsia="zh-CN"/>
        </w:rPr>
        <w:t>，整机稳定运行功率≤900W</w:t>
      </w:r>
    </w:p>
    <w:p w14:paraId="4A07FB81">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4.12 </w:t>
      </w:r>
      <w:r>
        <w:rPr>
          <w:rFonts w:hint="eastAsia" w:ascii="宋体" w:hAnsi="宋体" w:eastAsia="宋体" w:cs="宋体"/>
          <w:bCs/>
          <w:color w:val="auto"/>
          <w:sz w:val="24"/>
          <w:szCs w:val="24"/>
          <w:highlight w:val="none"/>
          <w:lang w:val="zh-CN" w:eastAsia="zh-CN"/>
        </w:rPr>
        <w:t>25℃环温时，耗电量应≤8.5Kw.h/24h，提供实验室符合CNAS，ILAC资格的第三方机构报告</w:t>
      </w:r>
    </w:p>
    <w:p w14:paraId="3E61C25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4.13 </w:t>
      </w:r>
      <w:r>
        <w:rPr>
          <w:rFonts w:hint="eastAsia" w:ascii="宋体" w:hAnsi="宋体" w:eastAsia="宋体" w:cs="宋体"/>
          <w:bCs/>
          <w:color w:val="auto"/>
          <w:sz w:val="24"/>
          <w:szCs w:val="24"/>
          <w:highlight w:val="none"/>
          <w:lang w:val="zh-CN" w:eastAsia="zh-CN"/>
        </w:rPr>
        <w:t>一体式手把门锁设计，单手实现开关门，可同时使用暗锁（四把钥匙）及双挂锁</w:t>
      </w:r>
    </w:p>
    <w:p w14:paraId="35F67A3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bookmarkStart w:id="808" w:name="OLE_LINK58"/>
      <w:bookmarkStart w:id="809" w:name="OLE_LINK55"/>
      <w:bookmarkStart w:id="810" w:name="OLE_LINK57"/>
      <w:bookmarkStart w:id="811" w:name="OLE_LINK56"/>
      <w:r>
        <w:rPr>
          <w:rFonts w:hint="eastAsia" w:ascii="宋体" w:hAnsi="宋体" w:eastAsia="宋体" w:cs="宋体"/>
          <w:bCs/>
          <w:color w:val="auto"/>
          <w:sz w:val="24"/>
          <w:szCs w:val="24"/>
          <w:highlight w:val="none"/>
          <w:lang w:val="en-US" w:eastAsia="zh-CN"/>
        </w:rPr>
        <w:t xml:space="preserve">4.14 </w:t>
      </w:r>
      <w:r>
        <w:rPr>
          <w:rFonts w:hint="eastAsia" w:ascii="宋体" w:hAnsi="宋体" w:eastAsia="宋体" w:cs="宋体"/>
          <w:bCs/>
          <w:color w:val="auto"/>
          <w:sz w:val="24"/>
          <w:szCs w:val="24"/>
          <w:highlight w:val="none"/>
          <w:lang w:val="zh-CN" w:eastAsia="zh-CN"/>
        </w:rPr>
        <w:t>2个发泡内门并带密封条设计，外门4层密封，</w:t>
      </w:r>
      <w:bookmarkStart w:id="812" w:name="OLE_LINK26"/>
      <w:bookmarkStart w:id="813" w:name="OLE_LINK25"/>
      <w:bookmarkStart w:id="814" w:name="OLE_LINK27"/>
      <w:bookmarkStart w:id="815" w:name="OLE_LINK24"/>
      <w:r>
        <w:rPr>
          <w:rFonts w:hint="eastAsia" w:ascii="宋体" w:hAnsi="宋体" w:eastAsia="宋体" w:cs="宋体"/>
          <w:bCs/>
          <w:color w:val="auto"/>
          <w:sz w:val="24"/>
          <w:szCs w:val="24"/>
          <w:highlight w:val="none"/>
          <w:lang w:val="zh-CN" w:eastAsia="zh-CN"/>
        </w:rPr>
        <w:t>整机</w:t>
      </w:r>
      <w:r>
        <w:rPr>
          <w:rFonts w:hint="eastAsia" w:ascii="宋体" w:hAnsi="宋体" w:eastAsia="宋体" w:cs="宋体"/>
          <w:bCs/>
          <w:color w:val="auto"/>
          <w:sz w:val="24"/>
          <w:szCs w:val="24"/>
          <w:highlight w:val="none"/>
          <w:lang w:val="en-US" w:eastAsia="zh-CN"/>
        </w:rPr>
        <w:t>不少于</w:t>
      </w:r>
      <w:r>
        <w:rPr>
          <w:rFonts w:hint="eastAsia" w:ascii="宋体" w:hAnsi="宋体" w:eastAsia="宋体" w:cs="宋体"/>
          <w:bCs/>
          <w:color w:val="auto"/>
          <w:sz w:val="24"/>
          <w:szCs w:val="24"/>
          <w:highlight w:val="none"/>
          <w:lang w:val="zh-CN" w:eastAsia="zh-CN"/>
        </w:rPr>
        <w:t>5层密封</w:t>
      </w:r>
      <w:bookmarkEnd w:id="808"/>
      <w:bookmarkEnd w:id="809"/>
      <w:bookmarkEnd w:id="810"/>
      <w:bookmarkEnd w:id="811"/>
      <w:bookmarkEnd w:id="812"/>
      <w:bookmarkEnd w:id="813"/>
      <w:bookmarkEnd w:id="814"/>
      <w:bookmarkEnd w:id="815"/>
    </w:p>
    <w:p w14:paraId="3A6E643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15</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使用航空真空隔热材料VIP+PU整体发泡（130mm），VIP厚度≥15mm</w:t>
      </w:r>
    </w:p>
    <w:p w14:paraId="17853D9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16</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内胆为电锌板喷粉，防腐蚀，导热快</w:t>
      </w:r>
    </w:p>
    <w:p w14:paraId="219FE5A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17</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具两个测试孔，方便实验使用和监控箱内温度</w:t>
      </w:r>
    </w:p>
    <w:p w14:paraId="3BD9DDE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18</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具有内置5V冷链供电系统，确保用电安全，减少外部布线，降低故障风险</w:t>
      </w:r>
    </w:p>
    <w:p w14:paraId="4866E7E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19</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配置大容量存储空间，实时保存箱内设定温度，实际温度，高低温报警温度，输入电压，环温等数据，且可通过USB数据接口端口导出全部数据，格式excel和PDF可选，实现数据的可追溯性</w:t>
      </w:r>
    </w:p>
    <w:p w14:paraId="34D134D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4.20 </w:t>
      </w:r>
      <w:r>
        <w:rPr>
          <w:rFonts w:hint="eastAsia" w:ascii="宋体" w:hAnsi="宋体" w:eastAsia="宋体" w:cs="宋体"/>
          <w:bCs/>
          <w:color w:val="auto"/>
          <w:sz w:val="24"/>
          <w:szCs w:val="24"/>
          <w:highlight w:val="none"/>
          <w:lang w:val="zh-CN" w:eastAsia="zh-CN"/>
        </w:rPr>
        <w:t>标配RS485数据接口，可同计算机网线连接，实现数据通讯</w:t>
      </w:r>
    </w:p>
    <w:p w14:paraId="13ED6974">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4.21 配置</w:t>
      </w:r>
      <w:r>
        <w:rPr>
          <w:rFonts w:hint="eastAsia" w:ascii="宋体" w:hAnsi="宋体" w:eastAsia="宋体" w:cs="宋体"/>
          <w:bCs/>
          <w:color w:val="auto"/>
          <w:sz w:val="24"/>
          <w:szCs w:val="24"/>
          <w:highlight w:val="none"/>
          <w:lang w:val="zh-CN" w:eastAsia="zh-CN"/>
        </w:rPr>
        <w:t>物联</w:t>
      </w:r>
      <w:r>
        <w:rPr>
          <w:rFonts w:hint="eastAsia" w:ascii="宋体" w:hAnsi="宋体" w:eastAsia="宋体" w:cs="宋体"/>
          <w:bCs/>
          <w:color w:val="auto"/>
          <w:sz w:val="24"/>
          <w:szCs w:val="24"/>
          <w:highlight w:val="none"/>
          <w:lang w:val="en-US" w:eastAsia="zh-CN"/>
        </w:rPr>
        <w:t>模块</w:t>
      </w:r>
      <w:r>
        <w:rPr>
          <w:rFonts w:hint="eastAsia" w:ascii="宋体" w:hAnsi="宋体" w:eastAsia="宋体" w:cs="宋体"/>
          <w:bCs/>
          <w:color w:val="auto"/>
          <w:sz w:val="24"/>
          <w:szCs w:val="24"/>
          <w:highlight w:val="none"/>
          <w:lang w:val="zh-CN" w:eastAsia="zh-CN"/>
        </w:rPr>
        <w:t>，能够在手机app上实时的查看箱内温度，设定温度，高低温报警温度，各种报警记录，以及开关门等事件记录</w:t>
      </w:r>
    </w:p>
    <w:p w14:paraId="7B6E20C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22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具有留言/记事本功能，方便多用户共用一台冰箱时，相互之间留言，以及自己创建记事本，备忘，可实现无纸办公</w:t>
      </w:r>
    </w:p>
    <w:p w14:paraId="44CA105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23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具有数据上传/下载功能，可以通过USB接口上传和下载箱内温度数据，报警记录以及事件记录等</w:t>
      </w:r>
    </w:p>
    <w:p w14:paraId="3C99B91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24</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通过USB复制，快速设定参数同一配置</w:t>
      </w:r>
    </w:p>
    <w:p w14:paraId="51AF4A0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25</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具有事件记录功能，产品能够记录开门事件，密码修改，设置修改，账户登录等信息，且所有记录信息能够下载到电脑上，实现数据分析存档</w:t>
      </w:r>
    </w:p>
    <w:p w14:paraId="0380856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26</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标配样本管理</w:t>
      </w:r>
      <w:r>
        <w:rPr>
          <w:rFonts w:hint="eastAsia" w:ascii="宋体" w:hAnsi="宋体" w:eastAsia="宋体" w:cs="宋体"/>
          <w:bCs/>
          <w:color w:val="auto"/>
          <w:sz w:val="24"/>
          <w:szCs w:val="24"/>
          <w:highlight w:val="none"/>
          <w:lang w:val="en-US" w:eastAsia="zh-CN"/>
        </w:rPr>
        <w:t>系统</w:t>
      </w:r>
      <w:r>
        <w:rPr>
          <w:rFonts w:hint="eastAsia" w:ascii="宋体" w:hAnsi="宋体" w:eastAsia="宋体" w:cs="宋体"/>
          <w:bCs/>
          <w:color w:val="auto"/>
          <w:sz w:val="24"/>
          <w:szCs w:val="24"/>
          <w:highlight w:val="none"/>
          <w:lang w:val="zh-CN" w:eastAsia="zh-CN"/>
        </w:rPr>
        <w:t>功能，可对大类样本存放位置和数量进行统计，管理</w:t>
      </w:r>
    </w:p>
    <w:p w14:paraId="0436E2C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27</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选配可升降托盘，在冰箱存放样本时可进行临时存放</w:t>
      </w:r>
    </w:p>
    <w:p w14:paraId="4933F09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28</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外部尺寸（宽深高）</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830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080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1980mm</w:t>
      </w:r>
      <w:r>
        <w:rPr>
          <w:rFonts w:hint="eastAsia" w:ascii="宋体" w:hAnsi="宋体" w:eastAsia="宋体" w:cs="宋体"/>
          <w:bCs/>
          <w:color w:val="auto"/>
          <w:sz w:val="24"/>
          <w:szCs w:val="24"/>
          <w:highlight w:val="none"/>
          <w:lang w:val="zh-CN" w:eastAsia="zh-CN"/>
        </w:rPr>
        <w:tab/>
      </w:r>
    </w:p>
    <w:p w14:paraId="6FAA740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29</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内部尺寸（宽深高）</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465</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716</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1310mm</w:t>
      </w:r>
    </w:p>
    <w:p w14:paraId="495245F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30</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eastAsia="zh-CN"/>
        </w:rPr>
        <w:t>净重</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255kg</w:t>
      </w:r>
    </w:p>
    <w:p w14:paraId="5C05606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5.配置清单</w:t>
      </w:r>
    </w:p>
    <w:p w14:paraId="24D2D21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5.1</w:t>
      </w:r>
      <w:r>
        <w:rPr>
          <w:rFonts w:hint="eastAsia" w:ascii="宋体" w:hAnsi="宋体" w:eastAsia="宋体" w:cs="宋体"/>
          <w:bCs/>
          <w:color w:val="auto"/>
          <w:sz w:val="24"/>
          <w:szCs w:val="24"/>
          <w:highlight w:val="none"/>
          <w:lang w:val="en-US" w:eastAsia="zh-CN"/>
        </w:rPr>
        <w:t xml:space="preserve"> 超低温保存箱  2</w:t>
      </w:r>
      <w:r>
        <w:rPr>
          <w:rFonts w:hint="eastAsia" w:ascii="宋体" w:hAnsi="宋体" w:eastAsia="宋体" w:cs="宋体"/>
          <w:bCs/>
          <w:color w:val="auto"/>
          <w:sz w:val="24"/>
          <w:szCs w:val="24"/>
          <w:highlight w:val="none"/>
          <w:lang w:val="zh-CN" w:eastAsia="zh-CN"/>
        </w:rPr>
        <w:t>台</w:t>
      </w:r>
    </w:p>
    <w:p w14:paraId="21F8A04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5.2</w:t>
      </w:r>
      <w:r>
        <w:rPr>
          <w:rFonts w:hint="eastAsia" w:ascii="宋体" w:hAnsi="宋体" w:eastAsia="宋体" w:cs="宋体"/>
          <w:bCs/>
          <w:color w:val="auto"/>
          <w:sz w:val="24"/>
          <w:szCs w:val="24"/>
          <w:highlight w:val="none"/>
          <w:lang w:val="en-US" w:eastAsia="zh-CN"/>
        </w:rPr>
        <w:t xml:space="preserve"> 冰铲  2</w:t>
      </w:r>
      <w:r>
        <w:rPr>
          <w:rFonts w:hint="eastAsia" w:ascii="宋体" w:hAnsi="宋体" w:eastAsia="宋体" w:cs="宋体"/>
          <w:bCs/>
          <w:color w:val="auto"/>
          <w:sz w:val="24"/>
          <w:szCs w:val="24"/>
          <w:highlight w:val="none"/>
          <w:lang w:val="zh-CN" w:eastAsia="zh-CN"/>
        </w:rPr>
        <w:t>个</w:t>
      </w:r>
    </w:p>
    <w:p w14:paraId="490337B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5.3</w:t>
      </w:r>
      <w:r>
        <w:rPr>
          <w:rFonts w:hint="eastAsia" w:ascii="宋体" w:hAnsi="宋体" w:eastAsia="宋体" w:cs="宋体"/>
          <w:bCs/>
          <w:color w:val="auto"/>
          <w:sz w:val="24"/>
          <w:szCs w:val="24"/>
          <w:highlight w:val="none"/>
          <w:lang w:val="en-US" w:eastAsia="zh-CN"/>
        </w:rPr>
        <w:t xml:space="preserve"> 门锁钥匙  8把</w:t>
      </w:r>
    </w:p>
    <w:p w14:paraId="2A3C692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6.技术资料</w:t>
      </w:r>
    </w:p>
    <w:p w14:paraId="44718B2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6.1 免费提供全套，完整的技术资料，包括详细的仪器中英文说明书，操作手册和仪器维护等有关资料及质量认证书</w:t>
      </w:r>
    </w:p>
    <w:p w14:paraId="53CCF57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6.2 提供相关应用技术资料</w:t>
      </w:r>
    </w:p>
    <w:p w14:paraId="1E7A443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7.技术服务和培训</w:t>
      </w:r>
    </w:p>
    <w:p w14:paraId="68A29E2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7.1 供应商必须提供仪器的免费现场安装调试，并同时在现场对用户进行操作及维护培训</w:t>
      </w:r>
    </w:p>
    <w:p w14:paraId="33FD4B8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7.2 供应商提供免费电话，为用户提供免费的电话咨询及技术服务</w:t>
      </w:r>
    </w:p>
    <w:p w14:paraId="4E6AE25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7.3 供应商在国内必须设有专业的维修站，有专职的维修工程师及应用程师有效保证售后维修的及时，快捷，并负责提供技术支持，</w:t>
      </w:r>
      <w:r>
        <w:rPr>
          <w:rFonts w:hint="eastAsia" w:ascii="宋体" w:hAnsi="宋体" w:cs="宋体"/>
          <w:bCs/>
          <w:color w:val="auto"/>
          <w:sz w:val="24"/>
          <w:szCs w:val="24"/>
          <w:highlight w:val="none"/>
          <w:lang w:val="zh-CN" w:eastAsia="zh-CN"/>
        </w:rPr>
        <w:t>2小时响应</w:t>
      </w:r>
      <w:r>
        <w:rPr>
          <w:rFonts w:hint="eastAsia" w:ascii="宋体" w:hAnsi="宋体" w:eastAsia="宋体" w:cs="宋体"/>
          <w:bCs/>
          <w:color w:val="auto"/>
          <w:sz w:val="24"/>
          <w:szCs w:val="24"/>
          <w:highlight w:val="none"/>
          <w:lang w:val="zh-CN" w:eastAsia="zh-CN"/>
        </w:rPr>
        <w:t>，</w:t>
      </w:r>
      <w:r>
        <w:rPr>
          <w:rFonts w:hint="eastAsia" w:ascii="宋体" w:hAnsi="宋体" w:cs="宋体"/>
          <w:bCs/>
          <w:color w:val="auto"/>
          <w:sz w:val="24"/>
          <w:szCs w:val="24"/>
          <w:highlight w:val="none"/>
          <w:lang w:val="zh-CN" w:eastAsia="zh-CN"/>
        </w:rPr>
        <w:t>24小时到达现场</w:t>
      </w:r>
      <w:r>
        <w:rPr>
          <w:rFonts w:hint="eastAsia" w:ascii="宋体" w:hAnsi="宋体" w:eastAsia="宋体" w:cs="宋体"/>
          <w:bCs/>
          <w:color w:val="auto"/>
          <w:sz w:val="24"/>
          <w:szCs w:val="24"/>
          <w:highlight w:val="none"/>
          <w:lang w:val="zh-CN" w:eastAsia="zh-CN"/>
        </w:rPr>
        <w:t>，保证仪器的正常操作</w:t>
      </w:r>
    </w:p>
    <w:p w14:paraId="29079AF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8.质量保证期</w:t>
      </w:r>
    </w:p>
    <w:p w14:paraId="03367F9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以双方对所供货物验收合格之日开始计算整机质保</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eastAsia="zh-CN"/>
        </w:rPr>
        <w:t>年，在保修期内，所有服务及</w:t>
      </w:r>
      <w:r>
        <w:rPr>
          <w:rFonts w:hint="eastAsia" w:ascii="宋体" w:hAnsi="宋体" w:cs="宋体"/>
          <w:bCs/>
          <w:color w:val="auto"/>
          <w:sz w:val="24"/>
          <w:szCs w:val="24"/>
          <w:highlight w:val="none"/>
          <w:lang w:val="en-US" w:eastAsia="zh-CN"/>
        </w:rPr>
        <w:t>原厂</w:t>
      </w:r>
      <w:r>
        <w:rPr>
          <w:rFonts w:hint="eastAsia" w:ascii="宋体" w:hAnsi="宋体" w:eastAsia="宋体" w:cs="宋体"/>
          <w:bCs/>
          <w:color w:val="auto"/>
          <w:sz w:val="24"/>
          <w:szCs w:val="24"/>
          <w:highlight w:val="none"/>
          <w:lang w:val="zh-CN" w:eastAsia="zh-CN"/>
        </w:rPr>
        <w:t>配件全部免费</w:t>
      </w:r>
    </w:p>
    <w:p w14:paraId="792876E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9.交货期：签订合同后</w:t>
      </w:r>
      <w:r>
        <w:rPr>
          <w:rFonts w:hint="eastAsia" w:ascii="宋体" w:hAnsi="宋体" w:eastAsia="宋体" w:cs="宋体"/>
          <w:bCs/>
          <w:color w:val="auto"/>
          <w:sz w:val="24"/>
          <w:szCs w:val="24"/>
          <w:highlight w:val="none"/>
          <w:lang w:val="en-US" w:eastAsia="zh-CN"/>
        </w:rPr>
        <w:t>60个工作日内</w:t>
      </w:r>
    </w:p>
    <w:p w14:paraId="3D31EAE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10.交货地点：用户指定</w:t>
      </w:r>
    </w:p>
    <w:p w14:paraId="3813407C">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lang w:val="en-US" w:eastAsia="zh-CN"/>
        </w:rPr>
      </w:pPr>
    </w:p>
    <w:p w14:paraId="1B6B19F4">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（二）程序降温仪</w:t>
      </w:r>
    </w:p>
    <w:p w14:paraId="1014479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1.采购数量：1台</w:t>
      </w:r>
    </w:p>
    <w:p w14:paraId="64B24A6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主要用途：主要用</w:t>
      </w:r>
      <w:r>
        <w:rPr>
          <w:rFonts w:hint="eastAsia" w:ascii="宋体" w:hAnsi="宋体" w:eastAsia="宋体" w:cs="宋体"/>
          <w:bCs/>
          <w:color w:val="auto"/>
          <w:sz w:val="24"/>
          <w:szCs w:val="24"/>
          <w:highlight w:val="none"/>
          <w:lang w:val="en-US" w:eastAsia="zh-CN"/>
        </w:rPr>
        <w:t>于</w:t>
      </w:r>
      <w:r>
        <w:rPr>
          <w:rFonts w:hint="eastAsia" w:ascii="宋体" w:hAnsi="宋体" w:eastAsia="宋体" w:cs="宋体"/>
          <w:bCs/>
          <w:color w:val="auto"/>
          <w:sz w:val="24"/>
          <w:szCs w:val="24"/>
          <w:highlight w:val="none"/>
          <w:lang w:val="zh-CN" w:eastAsia="zh-CN"/>
        </w:rPr>
        <w:t>动植物细胞的</w:t>
      </w:r>
      <w:r>
        <w:rPr>
          <w:rFonts w:hint="eastAsia" w:ascii="宋体" w:hAnsi="宋体" w:eastAsia="宋体" w:cs="宋体"/>
          <w:bCs/>
          <w:color w:val="auto"/>
          <w:sz w:val="24"/>
          <w:szCs w:val="24"/>
          <w:highlight w:val="none"/>
          <w:lang w:val="en-US" w:eastAsia="zh-CN"/>
        </w:rPr>
        <w:t>快速冷冻保存</w:t>
      </w:r>
    </w:p>
    <w:p w14:paraId="43EC01E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3.工作环境：</w:t>
      </w:r>
    </w:p>
    <w:p w14:paraId="610EEED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3.1 环境温度：0~30℃</w:t>
      </w:r>
    </w:p>
    <w:p w14:paraId="7AE2751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3.2 相对湿度：0~85%</w:t>
      </w:r>
    </w:p>
    <w:p w14:paraId="3B94C08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3.3 适用电源：220VAC，50~60Hz</w:t>
      </w:r>
    </w:p>
    <w:p w14:paraId="4572298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4.技术参数：</w:t>
      </w:r>
    </w:p>
    <w:p w14:paraId="37EA47AA">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 </w:t>
      </w:r>
      <w:r>
        <w:rPr>
          <w:rFonts w:hint="eastAsia" w:ascii="宋体" w:hAnsi="宋体" w:eastAsia="宋体" w:cs="宋体"/>
          <w:bCs/>
          <w:color w:val="auto"/>
          <w:sz w:val="24"/>
          <w:szCs w:val="24"/>
          <w:highlight w:val="none"/>
          <w:lang w:val="zh-CN" w:eastAsia="zh-CN"/>
        </w:rPr>
        <w:t>箱体容积≥37L, 一次实验可最多可放置2ml冻存管数量≥810</w:t>
      </w:r>
      <w:r>
        <w:rPr>
          <w:rFonts w:hint="eastAsia" w:ascii="宋体" w:hAnsi="宋体" w:eastAsia="宋体" w:cs="宋体"/>
          <w:bCs/>
          <w:color w:val="auto"/>
          <w:sz w:val="24"/>
          <w:szCs w:val="24"/>
          <w:highlight w:val="none"/>
          <w:lang w:val="en-US" w:eastAsia="zh-CN"/>
        </w:rPr>
        <w:t>个，</w:t>
      </w:r>
      <w:r>
        <w:rPr>
          <w:rFonts w:hint="eastAsia" w:ascii="宋体" w:hAnsi="宋体" w:eastAsia="宋体" w:cs="宋体"/>
          <w:bCs/>
          <w:color w:val="auto"/>
          <w:sz w:val="24"/>
          <w:szCs w:val="24"/>
          <w:highlight w:val="none"/>
          <w:lang w:val="zh-CN" w:eastAsia="zh-CN"/>
        </w:rPr>
        <w:t>5ml冻存管数量≥480</w:t>
      </w:r>
      <w:r>
        <w:rPr>
          <w:rFonts w:hint="eastAsia" w:ascii="宋体" w:hAnsi="宋体" w:eastAsia="宋体" w:cs="宋体"/>
          <w:bCs/>
          <w:color w:val="auto"/>
          <w:sz w:val="24"/>
          <w:szCs w:val="24"/>
          <w:highlight w:val="none"/>
          <w:lang w:val="en-US" w:eastAsia="zh-CN"/>
        </w:rPr>
        <w:t>个</w:t>
      </w:r>
      <w:r>
        <w:rPr>
          <w:rFonts w:hint="eastAsia" w:ascii="宋体" w:hAnsi="宋体" w:eastAsia="宋体" w:cs="宋体"/>
          <w:bCs/>
          <w:color w:val="auto"/>
          <w:sz w:val="24"/>
          <w:szCs w:val="24"/>
          <w:highlight w:val="none"/>
          <w:lang w:val="zh-CN" w:eastAsia="zh-CN"/>
        </w:rPr>
        <w:t>，50ml冻存袋≥78</w:t>
      </w:r>
      <w:r>
        <w:rPr>
          <w:rFonts w:hint="eastAsia" w:ascii="宋体" w:hAnsi="宋体" w:eastAsia="宋体" w:cs="宋体"/>
          <w:bCs/>
          <w:color w:val="auto"/>
          <w:sz w:val="24"/>
          <w:szCs w:val="24"/>
          <w:highlight w:val="none"/>
          <w:lang w:val="en-US" w:eastAsia="zh-CN"/>
        </w:rPr>
        <w:t>袋</w:t>
      </w:r>
    </w:p>
    <w:p w14:paraId="21FB8DD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 </w:t>
      </w:r>
      <w:r>
        <w:rPr>
          <w:rFonts w:hint="eastAsia" w:ascii="宋体" w:hAnsi="宋体" w:eastAsia="宋体" w:cs="宋体"/>
          <w:bCs/>
          <w:color w:val="auto"/>
          <w:sz w:val="24"/>
          <w:szCs w:val="24"/>
          <w:highlight w:val="none"/>
          <w:lang w:val="zh-CN" w:eastAsia="zh-CN"/>
        </w:rPr>
        <w:t>设备自带液氮余量显示功能，液氮不足报警，保证样本冻存更安全</w:t>
      </w:r>
    </w:p>
    <w:p w14:paraId="5696E0B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 </w:t>
      </w:r>
      <w:r>
        <w:rPr>
          <w:rFonts w:hint="eastAsia" w:ascii="宋体" w:hAnsi="宋体" w:eastAsia="宋体" w:cs="宋体"/>
          <w:bCs/>
          <w:color w:val="auto"/>
          <w:sz w:val="24"/>
          <w:szCs w:val="24"/>
          <w:highlight w:val="none"/>
          <w:lang w:val="zh-CN" w:eastAsia="zh-CN"/>
        </w:rPr>
        <w:t>设备采用侧面开门，方便样本拿取，箱体密封保温效果好，门锁开关轻松不费力</w:t>
      </w:r>
    </w:p>
    <w:p w14:paraId="6286755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4.4 </w:t>
      </w:r>
      <w:r>
        <w:rPr>
          <w:rFonts w:hint="eastAsia" w:ascii="宋体" w:hAnsi="宋体" w:eastAsia="宋体" w:cs="宋体"/>
          <w:bCs/>
          <w:color w:val="auto"/>
          <w:sz w:val="24"/>
          <w:szCs w:val="24"/>
          <w:highlight w:val="none"/>
          <w:lang w:val="zh-CN" w:eastAsia="zh-CN"/>
        </w:rPr>
        <w:t>设备精准控温，控温过程温度波动≤1℃（提供第三方检测报告）</w:t>
      </w:r>
    </w:p>
    <w:p w14:paraId="7AAED5F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4.5 </w:t>
      </w:r>
      <w:r>
        <w:rPr>
          <w:rFonts w:hint="eastAsia" w:ascii="宋体" w:hAnsi="宋体" w:eastAsia="宋体" w:cs="宋体"/>
          <w:bCs/>
          <w:color w:val="auto"/>
          <w:sz w:val="24"/>
          <w:szCs w:val="24"/>
          <w:highlight w:val="none"/>
          <w:lang w:val="zh-CN" w:eastAsia="zh-CN"/>
        </w:rPr>
        <w:t>在工作过程中，设备具有自感应保护装置，开门立即停止工作，避免造成伤害</w:t>
      </w:r>
    </w:p>
    <w:p w14:paraId="382FEB4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4.6 </w:t>
      </w:r>
      <w:r>
        <w:rPr>
          <w:rFonts w:hint="eastAsia" w:ascii="宋体" w:hAnsi="宋体" w:eastAsia="宋体" w:cs="宋体"/>
          <w:bCs/>
          <w:color w:val="auto"/>
          <w:sz w:val="24"/>
          <w:szCs w:val="24"/>
          <w:highlight w:val="none"/>
          <w:lang w:val="zh-CN" w:eastAsia="zh-CN"/>
        </w:rPr>
        <w:t>腔体内均一性≤2℃，保证样本冻存过程一致，冻存效果好</w:t>
      </w:r>
    </w:p>
    <w:p w14:paraId="338B6F4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4.7 </w:t>
      </w:r>
      <w:r>
        <w:rPr>
          <w:rFonts w:hint="eastAsia" w:ascii="宋体" w:hAnsi="宋体" w:eastAsia="宋体" w:cs="宋体"/>
          <w:bCs/>
          <w:color w:val="auto"/>
          <w:sz w:val="24"/>
          <w:szCs w:val="24"/>
          <w:highlight w:val="none"/>
          <w:lang w:val="zh-CN" w:eastAsia="zh-CN"/>
        </w:rPr>
        <w:t>设备操作</w:t>
      </w:r>
      <w:r>
        <w:rPr>
          <w:rFonts w:hint="eastAsia" w:ascii="宋体" w:hAnsi="宋体" w:eastAsia="宋体" w:cs="宋体"/>
          <w:bCs/>
          <w:color w:val="auto"/>
          <w:sz w:val="24"/>
          <w:szCs w:val="24"/>
          <w:highlight w:val="none"/>
          <w:lang w:val="en-US" w:eastAsia="zh-CN"/>
        </w:rPr>
        <w:t>显示屏幕</w:t>
      </w:r>
      <w:r>
        <w:rPr>
          <w:rFonts w:hint="eastAsia" w:ascii="宋体" w:hAnsi="宋体" w:eastAsia="宋体" w:cs="宋体"/>
          <w:bCs/>
          <w:color w:val="auto"/>
          <w:sz w:val="24"/>
          <w:szCs w:val="24"/>
          <w:highlight w:val="none"/>
          <w:lang w:val="zh-CN" w:eastAsia="zh-CN"/>
        </w:rPr>
        <w:t>≥7英寸，界面简洁，操作方便，界面显示样本温度和腔体温度，还能显示实时运行曲线方便查看温度变化，运行过程可追溯</w:t>
      </w:r>
    </w:p>
    <w:p w14:paraId="759EB97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4.8 </w:t>
      </w:r>
      <w:r>
        <w:rPr>
          <w:rFonts w:hint="eastAsia" w:ascii="宋体" w:hAnsi="宋体" w:eastAsia="宋体" w:cs="宋体"/>
          <w:bCs/>
          <w:color w:val="auto"/>
          <w:sz w:val="24"/>
          <w:szCs w:val="24"/>
          <w:highlight w:val="none"/>
          <w:lang w:val="zh-CN" w:eastAsia="zh-CN"/>
        </w:rPr>
        <w:t>操作界面支持中英文切换，运行曲线可放大或缩小，人机交互方便</w:t>
      </w:r>
    </w:p>
    <w:p w14:paraId="0098F7D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4.9 </w:t>
      </w:r>
      <w:r>
        <w:rPr>
          <w:rFonts w:hint="eastAsia" w:ascii="宋体" w:hAnsi="宋体" w:eastAsia="宋体" w:cs="宋体"/>
          <w:bCs/>
          <w:color w:val="auto"/>
          <w:sz w:val="24"/>
          <w:szCs w:val="24"/>
          <w:highlight w:val="none"/>
          <w:lang w:val="zh-CN" w:eastAsia="zh-CN"/>
        </w:rPr>
        <w:t>设备支持多用户系统</w:t>
      </w:r>
    </w:p>
    <w:p w14:paraId="534D18DE">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4.10 </w:t>
      </w:r>
      <w:r>
        <w:rPr>
          <w:rFonts w:hint="eastAsia" w:ascii="宋体" w:hAnsi="宋体" w:eastAsia="宋体" w:cs="宋体"/>
          <w:bCs/>
          <w:color w:val="auto"/>
          <w:sz w:val="24"/>
          <w:szCs w:val="24"/>
          <w:highlight w:val="none"/>
          <w:lang w:val="zh-CN" w:eastAsia="zh-CN"/>
        </w:rPr>
        <w:t>降温速度控制范围0.1-99℃/min，升温速度控制范围0.1-12℃/min（提供第三方检测报告）</w:t>
      </w:r>
    </w:p>
    <w:p w14:paraId="3E039C0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4.11 </w:t>
      </w:r>
      <w:r>
        <w:rPr>
          <w:rFonts w:hint="eastAsia" w:ascii="宋体" w:hAnsi="宋体" w:eastAsia="宋体" w:cs="宋体"/>
          <w:bCs/>
          <w:color w:val="auto"/>
          <w:sz w:val="24"/>
          <w:szCs w:val="24"/>
          <w:highlight w:val="none"/>
          <w:lang w:val="zh-CN" w:eastAsia="zh-CN"/>
        </w:rPr>
        <w:t>温度范围：-180~+50℃，不需要外加电加热丝</w:t>
      </w:r>
    </w:p>
    <w:p w14:paraId="5A871895">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4.12 </w:t>
      </w:r>
      <w:r>
        <w:rPr>
          <w:rFonts w:hint="eastAsia" w:ascii="宋体" w:hAnsi="宋体" w:eastAsia="宋体" w:cs="宋体"/>
          <w:bCs/>
          <w:color w:val="auto"/>
          <w:sz w:val="24"/>
          <w:szCs w:val="24"/>
          <w:highlight w:val="none"/>
          <w:lang w:val="zh-CN" w:eastAsia="zh-CN"/>
        </w:rPr>
        <w:t>设备噪音≤65dB</w:t>
      </w:r>
    </w:p>
    <w:p w14:paraId="701423C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4.13 </w:t>
      </w:r>
      <w:r>
        <w:rPr>
          <w:rFonts w:hint="eastAsia" w:ascii="宋体" w:hAnsi="宋体" w:eastAsia="宋体" w:cs="宋体"/>
          <w:bCs/>
          <w:color w:val="auto"/>
          <w:sz w:val="24"/>
          <w:szCs w:val="24"/>
          <w:highlight w:val="none"/>
          <w:lang w:val="zh-CN" w:eastAsia="zh-CN"/>
        </w:rPr>
        <w:t>可与</w:t>
      </w:r>
      <w:r>
        <w:rPr>
          <w:rFonts w:hint="eastAsia" w:ascii="宋体" w:hAnsi="宋体" w:eastAsia="宋体" w:cs="宋体"/>
          <w:bCs/>
          <w:color w:val="auto"/>
          <w:sz w:val="24"/>
          <w:szCs w:val="24"/>
          <w:highlight w:val="none"/>
          <w:lang w:val="en-US" w:eastAsia="zh-CN"/>
        </w:rPr>
        <w:t>所有</w:t>
      </w:r>
      <w:r>
        <w:rPr>
          <w:rFonts w:hint="eastAsia" w:ascii="宋体" w:hAnsi="宋体" w:eastAsia="宋体" w:cs="宋体"/>
          <w:bCs/>
          <w:color w:val="auto"/>
          <w:sz w:val="24"/>
          <w:szCs w:val="24"/>
          <w:highlight w:val="none"/>
          <w:lang w:val="zh-CN" w:eastAsia="zh-CN"/>
        </w:rPr>
        <w:t>供给罐在内的所有22psi（1.5Bar）压力的供给罐相连接</w:t>
      </w:r>
    </w:p>
    <w:p w14:paraId="48FFED9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4.14 </w:t>
      </w:r>
      <w:r>
        <w:rPr>
          <w:rFonts w:hint="eastAsia" w:ascii="宋体" w:hAnsi="宋体" w:eastAsia="宋体" w:cs="宋体"/>
          <w:bCs/>
          <w:color w:val="auto"/>
          <w:sz w:val="24"/>
          <w:szCs w:val="24"/>
          <w:highlight w:val="none"/>
          <w:lang w:val="zh-CN" w:eastAsia="zh-CN"/>
        </w:rPr>
        <w:t>具备2个高精度温度传感器，可以分别测量腔体温度和样品温度</w:t>
      </w:r>
    </w:p>
    <w:p w14:paraId="552D14B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4.15 </w:t>
      </w:r>
      <w:r>
        <w:rPr>
          <w:rFonts w:hint="eastAsia" w:ascii="宋体" w:hAnsi="宋体" w:eastAsia="宋体" w:cs="宋体"/>
          <w:bCs/>
          <w:color w:val="auto"/>
          <w:sz w:val="24"/>
          <w:szCs w:val="24"/>
          <w:highlight w:val="none"/>
          <w:lang w:val="zh-CN" w:eastAsia="zh-CN"/>
        </w:rPr>
        <w:t>可外接电脑,根据硬盘容量可无限储存程序和数据，可进行数据导入导出，可用于Windows兼容的打印机打印数据</w:t>
      </w:r>
    </w:p>
    <w:p w14:paraId="591873A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4.16 </w:t>
      </w:r>
      <w:r>
        <w:rPr>
          <w:rFonts w:hint="eastAsia" w:ascii="宋体" w:hAnsi="宋体" w:eastAsia="宋体" w:cs="宋体"/>
          <w:bCs/>
          <w:color w:val="auto"/>
          <w:sz w:val="24"/>
          <w:szCs w:val="24"/>
          <w:highlight w:val="none"/>
          <w:lang w:val="zh-CN" w:eastAsia="zh-CN"/>
        </w:rPr>
        <w:t>可通过独立的控制器与计算机交换数据，若电脑停电或死机，只要程序已经运行,冷冻过程继续执行,不受影响</w:t>
      </w:r>
    </w:p>
    <w:p w14:paraId="05549CC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4.17 </w:t>
      </w:r>
      <w:r>
        <w:rPr>
          <w:rFonts w:hint="eastAsia" w:ascii="宋体" w:hAnsi="宋体" w:eastAsia="宋体" w:cs="宋体"/>
          <w:bCs/>
          <w:color w:val="auto"/>
          <w:sz w:val="24"/>
          <w:szCs w:val="24"/>
          <w:highlight w:val="none"/>
          <w:lang w:val="zh-CN" w:eastAsia="zh-CN"/>
        </w:rPr>
        <w:t>可选配UPS电源，如遇临时断电，设备仍可继续运行，保证样本冻存安全</w:t>
      </w:r>
    </w:p>
    <w:p w14:paraId="3BE4094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4.18 </w:t>
      </w:r>
      <w:r>
        <w:rPr>
          <w:rFonts w:hint="eastAsia" w:ascii="宋体" w:hAnsi="宋体" w:eastAsia="宋体" w:cs="宋体"/>
          <w:bCs/>
          <w:color w:val="auto"/>
          <w:sz w:val="24"/>
          <w:szCs w:val="24"/>
          <w:highlight w:val="none"/>
          <w:lang w:val="zh-CN" w:eastAsia="zh-CN"/>
        </w:rPr>
        <w:t>配套的液氮系统设有安全泄压阀，规避箱体内压力过大的风险</w:t>
      </w:r>
    </w:p>
    <w:p w14:paraId="0C37C9D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4.19 </w:t>
      </w:r>
      <w:r>
        <w:rPr>
          <w:rFonts w:hint="eastAsia" w:ascii="宋体" w:hAnsi="宋体" w:eastAsia="宋体" w:cs="宋体"/>
          <w:bCs/>
          <w:color w:val="auto"/>
          <w:sz w:val="24"/>
          <w:szCs w:val="24"/>
          <w:highlight w:val="none"/>
          <w:lang w:val="zh-CN" w:eastAsia="zh-CN"/>
        </w:rPr>
        <w:t>设备自带</w:t>
      </w:r>
      <w:r>
        <w:rPr>
          <w:rFonts w:hint="eastAsia" w:ascii="宋体" w:hAnsi="宋体" w:eastAsia="宋体" w:cs="宋体"/>
          <w:bCs/>
          <w:color w:val="auto"/>
          <w:sz w:val="24"/>
          <w:szCs w:val="24"/>
          <w:highlight w:val="none"/>
          <w:lang w:val="en-US" w:eastAsia="zh-CN"/>
        </w:rPr>
        <w:t>不少于</w:t>
      </w:r>
      <w:r>
        <w:rPr>
          <w:rFonts w:hint="eastAsia" w:ascii="宋体" w:hAnsi="宋体" w:eastAsia="宋体" w:cs="宋体"/>
          <w:bCs/>
          <w:color w:val="auto"/>
          <w:sz w:val="24"/>
          <w:szCs w:val="24"/>
          <w:highlight w:val="none"/>
          <w:lang w:val="zh-CN" w:eastAsia="zh-CN"/>
        </w:rPr>
        <w:t>6个标准程序，自定义程序≥90个，可任意修改程序, 程序数量存储及每个程序设置步骤不受限制</w:t>
      </w:r>
    </w:p>
    <w:p w14:paraId="4CAF24F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4.20 </w:t>
      </w:r>
      <w:r>
        <w:rPr>
          <w:rFonts w:hint="eastAsia" w:ascii="宋体" w:hAnsi="宋体" w:eastAsia="宋体" w:cs="宋体"/>
          <w:bCs/>
          <w:color w:val="auto"/>
          <w:sz w:val="24"/>
          <w:szCs w:val="24"/>
          <w:highlight w:val="none"/>
          <w:lang w:val="zh-CN" w:eastAsia="zh-CN"/>
        </w:rPr>
        <w:t>采用真空无结霜连接管，运行过程不结霜，不凝露</w:t>
      </w:r>
    </w:p>
    <w:p w14:paraId="1529FF2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4.21 </w:t>
      </w:r>
      <w:r>
        <w:rPr>
          <w:rFonts w:hint="eastAsia" w:ascii="宋体" w:hAnsi="宋体" w:eastAsia="宋体" w:cs="宋体"/>
          <w:bCs/>
          <w:color w:val="auto"/>
          <w:sz w:val="24"/>
          <w:szCs w:val="24"/>
          <w:highlight w:val="none"/>
          <w:lang w:val="zh-CN" w:eastAsia="zh-CN"/>
        </w:rPr>
        <w:t>设备配套打印机，可进行运行记录打印</w:t>
      </w:r>
    </w:p>
    <w:p w14:paraId="66F8637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4.22 </w:t>
      </w:r>
      <w:r>
        <w:rPr>
          <w:rFonts w:hint="eastAsia" w:ascii="宋体" w:hAnsi="宋体" w:eastAsia="宋体" w:cs="宋体"/>
          <w:bCs/>
          <w:color w:val="auto"/>
          <w:sz w:val="24"/>
          <w:szCs w:val="24"/>
          <w:highlight w:val="none"/>
          <w:lang w:val="zh-CN" w:eastAsia="zh-CN"/>
        </w:rPr>
        <w:t>设备配套≥100L的自增压液氮罐，满足细胞冻存液氮使用需求</w:t>
      </w:r>
    </w:p>
    <w:p w14:paraId="791DE46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4.23 </w:t>
      </w:r>
      <w:r>
        <w:rPr>
          <w:rFonts w:hint="eastAsia" w:ascii="宋体" w:hAnsi="宋体" w:eastAsia="宋体" w:cs="宋体"/>
          <w:bCs/>
          <w:color w:val="auto"/>
          <w:sz w:val="24"/>
          <w:szCs w:val="24"/>
          <w:highlight w:val="none"/>
          <w:lang w:val="zh-CN" w:eastAsia="zh-CN"/>
        </w:rPr>
        <w:t>设备满足3Q验证</w:t>
      </w:r>
      <w:r>
        <w:rPr>
          <w:rFonts w:hint="eastAsia" w:ascii="宋体" w:hAnsi="宋体" w:eastAsia="宋体" w:cs="宋体"/>
          <w:bCs/>
          <w:color w:val="auto"/>
          <w:sz w:val="24"/>
          <w:szCs w:val="24"/>
          <w:highlight w:val="none"/>
          <w:lang w:val="en-US" w:eastAsia="zh-CN"/>
        </w:rPr>
        <w:t>功能</w:t>
      </w:r>
      <w:r>
        <w:rPr>
          <w:rFonts w:hint="eastAsia" w:ascii="宋体" w:hAnsi="宋体" w:eastAsia="宋体" w:cs="宋体"/>
          <w:bCs/>
          <w:color w:val="auto"/>
          <w:sz w:val="24"/>
          <w:szCs w:val="24"/>
          <w:highlight w:val="none"/>
          <w:lang w:val="zh-CN" w:eastAsia="zh-CN"/>
        </w:rPr>
        <w:t>，保证设备的准确性</w:t>
      </w:r>
    </w:p>
    <w:p w14:paraId="0133579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4.24 外型尺寸（长宽高）≤941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527</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571mm</w:t>
      </w:r>
    </w:p>
    <w:p w14:paraId="69B60A2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4.25 重量≤73kg</w:t>
      </w:r>
    </w:p>
    <w:p w14:paraId="436B343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5.配置清单</w:t>
      </w:r>
    </w:p>
    <w:p w14:paraId="6439479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5.1 程序降温仪主机  1台</w:t>
      </w:r>
    </w:p>
    <w:p w14:paraId="0068C12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5.2 </w:t>
      </w:r>
      <w:r>
        <w:rPr>
          <w:rFonts w:hint="eastAsia" w:ascii="宋体" w:hAnsi="宋体" w:eastAsia="宋体" w:cs="宋体"/>
          <w:bCs/>
          <w:color w:val="auto"/>
          <w:sz w:val="24"/>
          <w:szCs w:val="24"/>
          <w:highlight w:val="none"/>
          <w:lang w:val="zh-CN" w:eastAsia="zh-CN"/>
        </w:rPr>
        <w:t>2m</w:t>
      </w:r>
      <w:r>
        <w:rPr>
          <w:rFonts w:hint="eastAsia" w:ascii="宋体" w:hAnsi="宋体" w:eastAsia="宋体" w:cs="宋体"/>
          <w:bCs/>
          <w:color w:val="auto"/>
          <w:sz w:val="24"/>
          <w:szCs w:val="24"/>
          <w:highlight w:val="none"/>
          <w:lang w:val="en-US" w:eastAsia="zh-CN"/>
        </w:rPr>
        <w:t>l冻存管</w:t>
      </w:r>
      <w:r>
        <w:rPr>
          <w:rFonts w:hint="eastAsia" w:ascii="宋体" w:hAnsi="宋体" w:eastAsia="宋体" w:cs="宋体"/>
          <w:bCs/>
          <w:color w:val="auto"/>
          <w:sz w:val="24"/>
          <w:szCs w:val="24"/>
          <w:highlight w:val="none"/>
          <w:lang w:val="zh-CN" w:eastAsia="zh-CN"/>
        </w:rPr>
        <w:t>托盘</w:t>
      </w:r>
      <w:r>
        <w:rPr>
          <w:rFonts w:hint="eastAsia" w:ascii="宋体" w:hAnsi="宋体" w:eastAsia="宋体" w:cs="宋体"/>
          <w:bCs/>
          <w:color w:val="auto"/>
          <w:sz w:val="24"/>
          <w:szCs w:val="24"/>
          <w:highlight w:val="none"/>
          <w:lang w:val="en-US" w:eastAsia="zh-CN"/>
        </w:rPr>
        <w:t xml:space="preserve">  1个</w:t>
      </w:r>
    </w:p>
    <w:p w14:paraId="22F3C6B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5.3 100L</w:t>
      </w:r>
      <w:r>
        <w:rPr>
          <w:rFonts w:hint="eastAsia" w:ascii="宋体" w:hAnsi="宋体" w:eastAsia="宋体" w:cs="宋体"/>
          <w:bCs/>
          <w:color w:val="auto"/>
          <w:sz w:val="24"/>
          <w:szCs w:val="24"/>
          <w:highlight w:val="none"/>
          <w:lang w:val="zh-CN" w:eastAsia="zh-CN"/>
        </w:rPr>
        <w:t>自增压液氮容器</w:t>
      </w:r>
      <w:r>
        <w:rPr>
          <w:rFonts w:hint="eastAsia" w:ascii="宋体" w:hAnsi="宋体" w:eastAsia="宋体" w:cs="宋体"/>
          <w:bCs/>
          <w:color w:val="auto"/>
          <w:sz w:val="24"/>
          <w:szCs w:val="24"/>
          <w:highlight w:val="none"/>
          <w:lang w:val="en-US" w:eastAsia="zh-CN"/>
        </w:rPr>
        <w:t xml:space="preserve">  1台</w:t>
      </w:r>
    </w:p>
    <w:p w14:paraId="169F195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6.技术资料</w:t>
      </w:r>
    </w:p>
    <w:p w14:paraId="424ACCD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6.1 免费提供全套，完整的技术资料，包括详细的仪器中英文说明书，操作手册和仪器维护等有关资料及质量认证书</w:t>
      </w:r>
    </w:p>
    <w:p w14:paraId="42C21FC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6.2 提供相关应用技术资料</w:t>
      </w:r>
    </w:p>
    <w:p w14:paraId="27E91C6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7.技术服务和培训</w:t>
      </w:r>
    </w:p>
    <w:p w14:paraId="4D76FE8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7.1 供应商必须提供仪器的免费现场安装调试，并同时在现场对用户进行操作及维护培训</w:t>
      </w:r>
    </w:p>
    <w:p w14:paraId="76CBC60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7.2 供应商提供免费电话，为用户提供免费的电话咨询及技术服务</w:t>
      </w:r>
    </w:p>
    <w:p w14:paraId="3E78572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7.3 供应商在国内必须设有专业的维修站，有专职的维修工程师及应用工程师有效保证售后维修的及，快捷，并负责提供技术支持，</w:t>
      </w:r>
      <w:r>
        <w:rPr>
          <w:rFonts w:hint="eastAsia" w:ascii="宋体" w:hAnsi="宋体" w:cs="宋体"/>
          <w:bCs/>
          <w:color w:val="auto"/>
          <w:sz w:val="24"/>
          <w:szCs w:val="24"/>
          <w:highlight w:val="none"/>
          <w:lang w:val="zh-CN" w:eastAsia="zh-CN"/>
        </w:rPr>
        <w:t>2小时响应</w:t>
      </w:r>
      <w:r>
        <w:rPr>
          <w:rFonts w:hint="eastAsia" w:ascii="宋体" w:hAnsi="宋体" w:eastAsia="宋体" w:cs="宋体"/>
          <w:bCs/>
          <w:color w:val="auto"/>
          <w:sz w:val="24"/>
          <w:szCs w:val="24"/>
          <w:highlight w:val="none"/>
          <w:lang w:val="zh-CN" w:eastAsia="zh-CN"/>
        </w:rPr>
        <w:t>，</w:t>
      </w:r>
      <w:r>
        <w:rPr>
          <w:rFonts w:hint="eastAsia" w:ascii="宋体" w:hAnsi="宋体" w:cs="宋体"/>
          <w:bCs/>
          <w:color w:val="auto"/>
          <w:sz w:val="24"/>
          <w:szCs w:val="24"/>
          <w:highlight w:val="none"/>
          <w:lang w:val="zh-CN" w:eastAsia="zh-CN"/>
        </w:rPr>
        <w:t>24小时到达现场</w:t>
      </w:r>
      <w:r>
        <w:rPr>
          <w:rFonts w:hint="eastAsia" w:ascii="宋体" w:hAnsi="宋体" w:eastAsia="宋体" w:cs="宋体"/>
          <w:bCs/>
          <w:color w:val="auto"/>
          <w:sz w:val="24"/>
          <w:szCs w:val="24"/>
          <w:highlight w:val="none"/>
          <w:lang w:val="zh-CN" w:eastAsia="zh-CN"/>
        </w:rPr>
        <w:t>，保证仪器的正常操作</w:t>
      </w:r>
    </w:p>
    <w:p w14:paraId="192D022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8.质量保证期：以双方对所供货物验收合格之日开始计算整机质保</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年，在保修期内，所有服务及</w:t>
      </w:r>
      <w:r>
        <w:rPr>
          <w:rFonts w:hint="eastAsia" w:ascii="宋体" w:hAnsi="宋体" w:cs="宋体"/>
          <w:bCs/>
          <w:color w:val="auto"/>
          <w:sz w:val="24"/>
          <w:szCs w:val="24"/>
          <w:highlight w:val="none"/>
          <w:lang w:val="en-US" w:eastAsia="zh-CN"/>
        </w:rPr>
        <w:t>原厂</w:t>
      </w:r>
      <w:r>
        <w:rPr>
          <w:rFonts w:hint="eastAsia" w:ascii="宋体" w:hAnsi="宋体" w:eastAsia="宋体" w:cs="宋体"/>
          <w:bCs/>
          <w:color w:val="auto"/>
          <w:sz w:val="24"/>
          <w:szCs w:val="24"/>
          <w:highlight w:val="none"/>
          <w:lang w:val="zh-CN" w:eastAsia="zh-CN"/>
        </w:rPr>
        <w:t>配件全部免费</w:t>
      </w:r>
    </w:p>
    <w:p w14:paraId="07593DC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9.交货期：签订合同后</w:t>
      </w:r>
      <w:r>
        <w:rPr>
          <w:rFonts w:hint="eastAsia" w:ascii="宋体" w:hAnsi="宋体" w:eastAsia="宋体" w:cs="宋体"/>
          <w:bCs/>
          <w:color w:val="auto"/>
          <w:sz w:val="24"/>
          <w:szCs w:val="24"/>
          <w:highlight w:val="none"/>
          <w:lang w:val="en-US" w:eastAsia="zh-CN"/>
        </w:rPr>
        <w:t>60个工作日内</w:t>
      </w:r>
    </w:p>
    <w:p w14:paraId="2CA4148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10.交货地点：用户指定</w:t>
      </w:r>
    </w:p>
    <w:p w14:paraId="3B8A885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p>
    <w:p w14:paraId="585FA4F5">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（三）生物安全柜</w:t>
      </w:r>
    </w:p>
    <w:p w14:paraId="2D0131A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1.采购数量：2台</w:t>
      </w:r>
    </w:p>
    <w:p w14:paraId="348ECE5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val="zh-CN" w:eastAsia="zh-CN"/>
        </w:rPr>
        <w:t>主要用途：</w:t>
      </w:r>
      <w:r>
        <w:rPr>
          <w:rFonts w:hint="eastAsia" w:ascii="宋体" w:hAnsi="宋体" w:eastAsia="宋体" w:cs="宋体"/>
          <w:bCs/>
          <w:color w:val="auto"/>
          <w:sz w:val="24"/>
          <w:szCs w:val="24"/>
          <w:lang w:val="en-US" w:eastAsia="zh-CN"/>
        </w:rPr>
        <w:t>主要用于防止实验操作处理过程中某些含有危险性或未知性生物微粒发生气溶胶散逸的箱型空气净化负压安全装置</w:t>
      </w:r>
    </w:p>
    <w:p w14:paraId="3D05428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工作环境：</w:t>
      </w:r>
    </w:p>
    <w:p w14:paraId="5D2EC34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3.1 环境温度：0~30℃</w:t>
      </w:r>
    </w:p>
    <w:p w14:paraId="4790A23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3.2 相对湿度：0~85%</w:t>
      </w:r>
    </w:p>
    <w:p w14:paraId="4058271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3.3 适用电源：220VAC，50~60Hz</w:t>
      </w:r>
    </w:p>
    <w:p w14:paraId="157C532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4.技术参数：</w:t>
      </w:r>
    </w:p>
    <w:p w14:paraId="4F807A2C">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zh-CN" w:eastAsia="zh-CN"/>
        </w:rPr>
        <w:t>*</w:t>
      </w:r>
      <w:r>
        <w:rPr>
          <w:rFonts w:hint="eastAsia" w:ascii="宋体" w:hAnsi="宋体" w:eastAsia="宋体" w:cs="宋体"/>
          <w:bCs/>
          <w:color w:val="auto"/>
          <w:sz w:val="24"/>
          <w:szCs w:val="24"/>
          <w:lang w:val="en-US" w:eastAsia="zh-CN"/>
        </w:rPr>
        <w:t xml:space="preserve">4.1 </w:t>
      </w:r>
      <w:r>
        <w:rPr>
          <w:rFonts w:hint="eastAsia" w:ascii="宋体" w:hAnsi="宋体" w:eastAsia="宋体" w:cs="宋体"/>
          <w:bCs/>
          <w:color w:val="auto"/>
          <w:sz w:val="24"/>
          <w:szCs w:val="24"/>
          <w:lang w:val="zh-CN" w:eastAsia="zh-CN"/>
        </w:rPr>
        <w:t>Ⅱ级B2型生物安全柜，100%气体外排</w:t>
      </w:r>
    </w:p>
    <w:p w14:paraId="6DF507F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4.2 双</w:t>
      </w:r>
      <w:r>
        <w:rPr>
          <w:rFonts w:hint="eastAsia" w:ascii="宋体" w:hAnsi="宋体" w:eastAsia="宋体" w:cs="宋体"/>
          <w:bCs/>
          <w:color w:val="auto"/>
          <w:sz w:val="24"/>
          <w:szCs w:val="24"/>
          <w:lang w:val="zh-CN" w:eastAsia="zh-CN"/>
        </w:rPr>
        <w:t>人操作，工作区宽度≥1</w:t>
      </w:r>
      <w:r>
        <w:rPr>
          <w:rFonts w:hint="eastAsia" w:ascii="宋体" w:hAnsi="宋体" w:eastAsia="宋体" w:cs="宋体"/>
          <w:bCs/>
          <w:color w:val="auto"/>
          <w:sz w:val="24"/>
          <w:szCs w:val="24"/>
          <w:lang w:val="en-US" w:eastAsia="zh-CN"/>
        </w:rPr>
        <w:t>170</w:t>
      </w:r>
      <w:r>
        <w:rPr>
          <w:rFonts w:hint="eastAsia" w:ascii="宋体" w:hAnsi="宋体" w:eastAsia="宋体" w:cs="宋体"/>
          <w:bCs/>
          <w:color w:val="auto"/>
          <w:sz w:val="24"/>
          <w:szCs w:val="24"/>
          <w:lang w:val="zh-CN" w:eastAsia="zh-CN"/>
        </w:rPr>
        <w:t>mm</w:t>
      </w:r>
    </w:p>
    <w:p w14:paraId="131FBFB9">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4.3 </w:t>
      </w:r>
      <w:r>
        <w:rPr>
          <w:rFonts w:hint="eastAsia" w:ascii="宋体" w:hAnsi="宋体" w:eastAsia="宋体" w:cs="宋体"/>
          <w:bCs/>
          <w:color w:val="auto"/>
          <w:sz w:val="24"/>
          <w:szCs w:val="24"/>
          <w:lang w:val="zh-CN" w:eastAsia="zh-CN"/>
        </w:rPr>
        <w:t>前窗</w:t>
      </w:r>
      <w:r>
        <w:rPr>
          <w:rFonts w:hint="eastAsia" w:ascii="宋体" w:hAnsi="宋体" w:eastAsia="宋体" w:cs="宋体"/>
          <w:bCs/>
          <w:color w:val="auto"/>
          <w:sz w:val="24"/>
          <w:szCs w:val="24"/>
          <w:lang w:val="en-US" w:eastAsia="zh-CN"/>
        </w:rPr>
        <w:t>不小于</w:t>
      </w:r>
      <w:r>
        <w:rPr>
          <w:rFonts w:hint="eastAsia" w:ascii="宋体" w:hAnsi="宋体" w:eastAsia="宋体" w:cs="宋体"/>
          <w:bCs/>
          <w:color w:val="auto"/>
          <w:sz w:val="24"/>
          <w:szCs w:val="24"/>
          <w:lang w:val="zh-CN" w:eastAsia="zh-CN"/>
        </w:rPr>
        <w:t>10度倾角设计，方便操作</w:t>
      </w:r>
    </w:p>
    <w:p w14:paraId="1E608A7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4.4 </w:t>
      </w:r>
      <w:r>
        <w:rPr>
          <w:rFonts w:hint="eastAsia" w:ascii="宋体" w:hAnsi="宋体" w:eastAsia="宋体" w:cs="宋体"/>
          <w:bCs/>
          <w:color w:val="auto"/>
          <w:sz w:val="24"/>
          <w:szCs w:val="24"/>
          <w:lang w:val="zh-CN" w:eastAsia="zh-CN"/>
        </w:rPr>
        <w:t>所有污染部位均应处于负压状态或被负压通道和负压通风系统包围</w:t>
      </w:r>
    </w:p>
    <w:p w14:paraId="41083111">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zh-CN" w:eastAsia="zh-CN"/>
        </w:rPr>
        <w:t>*</w:t>
      </w:r>
      <w:r>
        <w:rPr>
          <w:rFonts w:hint="eastAsia" w:ascii="宋体" w:hAnsi="宋体" w:eastAsia="宋体" w:cs="宋体"/>
          <w:bCs/>
          <w:color w:val="auto"/>
          <w:sz w:val="24"/>
          <w:szCs w:val="24"/>
          <w:lang w:val="en-US" w:eastAsia="zh-CN"/>
        </w:rPr>
        <w:t xml:space="preserve">4.5 </w:t>
      </w:r>
      <w:r>
        <w:rPr>
          <w:rFonts w:hint="eastAsia" w:ascii="宋体" w:hAnsi="宋体" w:eastAsia="宋体" w:cs="宋体"/>
          <w:bCs/>
          <w:color w:val="auto"/>
          <w:sz w:val="24"/>
          <w:szCs w:val="24"/>
          <w:lang w:val="zh-CN" w:eastAsia="zh-CN"/>
        </w:rPr>
        <w:t>具有气流隔断技术，沿玻璃门上沿缝隙有负压气流阻断保护，防止工作区内外气体交互，需要提供证明资料</w:t>
      </w:r>
    </w:p>
    <w:p w14:paraId="30653374">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4.6 </w:t>
      </w:r>
      <w:r>
        <w:rPr>
          <w:rFonts w:hint="eastAsia" w:ascii="宋体" w:hAnsi="宋体" w:eastAsia="宋体" w:cs="宋体"/>
          <w:bCs/>
          <w:color w:val="auto"/>
          <w:sz w:val="24"/>
          <w:szCs w:val="24"/>
          <w:lang w:val="zh-CN" w:eastAsia="zh-CN"/>
        </w:rPr>
        <w:t>凹盘式工作台，防止液体倾洒后外溢，凹盘深度≥1cm</w:t>
      </w:r>
    </w:p>
    <w:p w14:paraId="17FA97AB">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4.7 </w:t>
      </w:r>
      <w:r>
        <w:rPr>
          <w:rFonts w:hint="eastAsia" w:ascii="宋体" w:hAnsi="宋体" w:eastAsia="宋体" w:cs="宋体"/>
          <w:bCs/>
          <w:color w:val="auto"/>
          <w:sz w:val="24"/>
          <w:szCs w:val="24"/>
          <w:lang w:val="zh-CN" w:eastAsia="zh-CN"/>
        </w:rPr>
        <w:t xml:space="preserve">主过滤器：采用超高效送风过滤器 ULPA </w:t>
      </w:r>
      <w:r>
        <w:rPr>
          <w:rFonts w:hint="eastAsia" w:ascii="宋体" w:hAnsi="宋体" w:eastAsia="宋体" w:cs="宋体"/>
          <w:bCs/>
          <w:color w:val="auto"/>
          <w:sz w:val="24"/>
          <w:szCs w:val="24"/>
          <w:lang w:val="zh-CN" w:eastAsia="zh-CN"/>
        </w:rPr>
        <w:fldChar w:fldCharType="begin"/>
      </w:r>
      <w:r>
        <w:rPr>
          <w:rFonts w:hint="eastAsia" w:ascii="宋体" w:hAnsi="宋体" w:eastAsia="宋体" w:cs="宋体"/>
          <w:bCs/>
          <w:color w:val="auto"/>
          <w:sz w:val="24"/>
          <w:szCs w:val="24"/>
          <w:lang w:val="zh-CN" w:eastAsia="zh-CN"/>
        </w:rPr>
        <w:instrText xml:space="preserve"> HYPERLINK "mailto:99.9995%@0.12µm" </w:instrText>
      </w:r>
      <w:r>
        <w:rPr>
          <w:rFonts w:hint="eastAsia" w:ascii="宋体" w:hAnsi="宋体" w:eastAsia="宋体" w:cs="宋体"/>
          <w:bCs/>
          <w:color w:val="auto"/>
          <w:sz w:val="24"/>
          <w:szCs w:val="24"/>
          <w:lang w:val="zh-CN" w:eastAsia="zh-CN"/>
        </w:rPr>
        <w:fldChar w:fldCharType="separate"/>
      </w:r>
      <w:r>
        <w:rPr>
          <w:rFonts w:hint="eastAsia" w:ascii="宋体" w:hAnsi="宋体" w:eastAsia="宋体" w:cs="宋体"/>
          <w:bCs/>
          <w:color w:val="auto"/>
          <w:sz w:val="24"/>
          <w:szCs w:val="24"/>
          <w:lang w:val="zh-CN" w:eastAsia="zh-CN"/>
        </w:rPr>
        <w:t>99.9995%@0.12µm</w:t>
      </w:r>
      <w:r>
        <w:rPr>
          <w:rFonts w:hint="eastAsia" w:ascii="宋体" w:hAnsi="宋体" w:eastAsia="宋体" w:cs="宋体"/>
          <w:bCs/>
          <w:color w:val="auto"/>
          <w:sz w:val="24"/>
          <w:szCs w:val="24"/>
          <w:lang w:val="zh-CN" w:eastAsia="zh-CN"/>
        </w:rPr>
        <w:fldChar w:fldCharType="end"/>
      </w:r>
      <w:r>
        <w:rPr>
          <w:rFonts w:hint="eastAsia" w:ascii="宋体" w:hAnsi="宋体" w:eastAsia="宋体" w:cs="宋体"/>
          <w:bCs/>
          <w:color w:val="auto"/>
          <w:sz w:val="24"/>
          <w:szCs w:val="24"/>
          <w:lang w:val="zh-CN" w:eastAsia="zh-CN"/>
        </w:rPr>
        <w:t xml:space="preserve">，排风过滤器HEPA </w:t>
      </w:r>
      <w:r>
        <w:rPr>
          <w:rFonts w:hint="eastAsia" w:ascii="宋体" w:hAnsi="宋体" w:eastAsia="宋体" w:cs="宋体"/>
          <w:bCs/>
          <w:color w:val="auto"/>
          <w:sz w:val="24"/>
          <w:szCs w:val="24"/>
          <w:lang w:val="zh-CN" w:eastAsia="zh-CN"/>
        </w:rPr>
        <w:fldChar w:fldCharType="begin"/>
      </w:r>
      <w:r>
        <w:rPr>
          <w:rFonts w:hint="eastAsia" w:ascii="宋体" w:hAnsi="宋体" w:eastAsia="宋体" w:cs="宋体"/>
          <w:bCs/>
          <w:color w:val="auto"/>
          <w:sz w:val="24"/>
          <w:szCs w:val="24"/>
          <w:lang w:val="zh-CN" w:eastAsia="zh-CN"/>
        </w:rPr>
        <w:instrText xml:space="preserve"> HYPERLINK "mailto:99.995%@0.3µm" </w:instrText>
      </w:r>
      <w:r>
        <w:rPr>
          <w:rFonts w:hint="eastAsia" w:ascii="宋体" w:hAnsi="宋体" w:eastAsia="宋体" w:cs="宋体"/>
          <w:bCs/>
          <w:color w:val="auto"/>
          <w:sz w:val="24"/>
          <w:szCs w:val="24"/>
          <w:lang w:val="zh-CN" w:eastAsia="zh-CN"/>
        </w:rPr>
        <w:fldChar w:fldCharType="separate"/>
      </w:r>
      <w:r>
        <w:rPr>
          <w:rFonts w:hint="eastAsia" w:ascii="宋体" w:hAnsi="宋体" w:eastAsia="宋体" w:cs="宋体"/>
          <w:bCs/>
          <w:color w:val="auto"/>
          <w:sz w:val="24"/>
          <w:szCs w:val="24"/>
          <w:lang w:val="zh-CN" w:eastAsia="zh-CN"/>
        </w:rPr>
        <w:t>99.99</w:t>
      </w: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val="zh-CN" w:eastAsia="zh-CN"/>
        </w:rPr>
        <w:t>5%@0.3µm</w:t>
      </w:r>
      <w:r>
        <w:rPr>
          <w:rFonts w:hint="eastAsia" w:ascii="宋体" w:hAnsi="宋体" w:eastAsia="宋体" w:cs="宋体"/>
          <w:bCs/>
          <w:color w:val="auto"/>
          <w:sz w:val="24"/>
          <w:szCs w:val="24"/>
          <w:lang w:val="zh-CN" w:eastAsia="zh-CN"/>
        </w:rPr>
        <w:fldChar w:fldCharType="end"/>
      </w:r>
      <w:r>
        <w:rPr>
          <w:rFonts w:hint="eastAsia" w:ascii="宋体" w:hAnsi="宋体" w:eastAsia="宋体" w:cs="宋体"/>
          <w:bCs/>
          <w:color w:val="auto"/>
          <w:sz w:val="24"/>
          <w:szCs w:val="24"/>
          <w:lang w:val="zh-CN" w:eastAsia="zh-CN"/>
        </w:rPr>
        <w:t>，工作区洁净度等级10级</w:t>
      </w:r>
    </w:p>
    <w:p w14:paraId="25DD7630">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4.8 </w:t>
      </w:r>
      <w:r>
        <w:rPr>
          <w:rFonts w:hint="eastAsia" w:ascii="宋体" w:hAnsi="宋体" w:eastAsia="宋体" w:cs="宋体"/>
          <w:bCs/>
          <w:color w:val="auto"/>
          <w:sz w:val="24"/>
          <w:szCs w:val="24"/>
          <w:lang w:val="zh-CN" w:eastAsia="zh-CN"/>
        </w:rPr>
        <w:t>前窗玻璃：使用光学透视清晰，清洁和消毒时不对其产生负面影响，单层抗冲击性强的防紫外线钢化玻璃，单层玻璃厚度不低于6mm，玻璃门采用手动升降，不得采用电动升降玻璃门，防止突发断电无法关闭玻璃门</w:t>
      </w:r>
    </w:p>
    <w:p w14:paraId="5BAC64F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4.9 </w:t>
      </w:r>
      <w:r>
        <w:rPr>
          <w:rFonts w:hint="eastAsia" w:ascii="宋体" w:hAnsi="宋体" w:eastAsia="宋体" w:cs="宋体"/>
          <w:bCs/>
          <w:color w:val="auto"/>
          <w:sz w:val="24"/>
          <w:szCs w:val="24"/>
          <w:lang w:val="zh-CN" w:eastAsia="zh-CN"/>
        </w:rPr>
        <w:t>标配4只万向脚轮</w:t>
      </w:r>
      <w:r>
        <w:rPr>
          <w:rFonts w:hint="eastAsia" w:ascii="宋体" w:hAnsi="宋体" w:cs="宋体"/>
          <w:bCs/>
          <w:color w:val="auto"/>
          <w:sz w:val="24"/>
          <w:szCs w:val="24"/>
          <w:lang w:val="zh-CN" w:eastAsia="zh-CN"/>
        </w:rPr>
        <w:t>（</w:t>
      </w:r>
      <w:r>
        <w:rPr>
          <w:rFonts w:hint="eastAsia" w:ascii="宋体" w:hAnsi="宋体" w:cs="宋体"/>
          <w:bCs/>
          <w:color w:val="auto"/>
          <w:sz w:val="24"/>
          <w:szCs w:val="24"/>
          <w:lang w:val="en-US" w:eastAsia="zh-CN"/>
        </w:rPr>
        <w:t>带自锁轮</w:t>
      </w:r>
      <w:r>
        <w:rPr>
          <w:rFonts w:hint="eastAsia" w:ascii="宋体" w:hAnsi="宋体" w:cs="宋体"/>
          <w:bCs/>
          <w:color w:val="auto"/>
          <w:sz w:val="24"/>
          <w:szCs w:val="24"/>
          <w:lang w:val="zh-CN" w:eastAsia="zh-CN"/>
        </w:rPr>
        <w:t>）</w:t>
      </w:r>
      <w:r>
        <w:rPr>
          <w:rFonts w:hint="eastAsia" w:ascii="宋体" w:hAnsi="宋体" w:eastAsia="宋体" w:cs="宋体"/>
          <w:bCs/>
          <w:color w:val="auto"/>
          <w:sz w:val="24"/>
          <w:szCs w:val="24"/>
          <w:lang w:val="zh-CN" w:eastAsia="zh-CN"/>
        </w:rPr>
        <w:t>，4只底脚不锈钢材质，高度可调，调节螺栓内置，无裸露螺纹，清洁方便，防止微生物滋生</w:t>
      </w:r>
    </w:p>
    <w:p w14:paraId="4B20846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4.10 </w:t>
      </w:r>
      <w:r>
        <w:rPr>
          <w:rFonts w:hint="eastAsia" w:ascii="宋体" w:hAnsi="宋体" w:eastAsia="宋体" w:cs="宋体"/>
          <w:bCs/>
          <w:color w:val="auto"/>
          <w:sz w:val="24"/>
          <w:szCs w:val="24"/>
          <w:lang w:val="zh-CN" w:eastAsia="zh-CN"/>
        </w:rPr>
        <w:t>负压通道专门设计异物过滤装置，防止纸屑等异物通过负压通道进入风机，过滤器影响产品正常运行</w:t>
      </w:r>
    </w:p>
    <w:p w14:paraId="47B7345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4.11 </w:t>
      </w:r>
      <w:r>
        <w:rPr>
          <w:rFonts w:hint="eastAsia" w:ascii="宋体" w:hAnsi="宋体" w:eastAsia="宋体" w:cs="宋体"/>
          <w:bCs/>
          <w:color w:val="auto"/>
          <w:sz w:val="24"/>
          <w:szCs w:val="24"/>
          <w:lang w:val="zh-CN" w:eastAsia="zh-CN"/>
        </w:rPr>
        <w:t>风机：高性能静音风机，提供稳定的气流模型和层流，高性能风机有效延长过滤器的使用寿命</w:t>
      </w:r>
    </w:p>
    <w:p w14:paraId="3FF1C4E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4.12 </w:t>
      </w:r>
      <w:r>
        <w:rPr>
          <w:rFonts w:hint="eastAsia" w:ascii="宋体" w:hAnsi="宋体" w:eastAsia="宋体" w:cs="宋体"/>
          <w:bCs/>
          <w:color w:val="auto"/>
          <w:sz w:val="24"/>
          <w:szCs w:val="24"/>
          <w:lang w:val="zh-CN" w:eastAsia="zh-CN"/>
        </w:rPr>
        <w:t>下降风速：≥0.28m/s</w:t>
      </w:r>
    </w:p>
    <w:p w14:paraId="520B801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4.13 </w:t>
      </w:r>
      <w:r>
        <w:rPr>
          <w:rFonts w:hint="eastAsia" w:ascii="宋体" w:hAnsi="宋体" w:eastAsia="宋体" w:cs="宋体"/>
          <w:bCs/>
          <w:color w:val="auto"/>
          <w:sz w:val="24"/>
          <w:szCs w:val="24"/>
          <w:lang w:val="zh-CN" w:eastAsia="zh-CN"/>
        </w:rPr>
        <w:t>流入风速：≥0.55m/s</w:t>
      </w:r>
    </w:p>
    <w:p w14:paraId="3C6F880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4.14 </w:t>
      </w:r>
      <w:r>
        <w:rPr>
          <w:rFonts w:hint="eastAsia" w:ascii="宋体" w:hAnsi="宋体" w:eastAsia="宋体" w:cs="宋体"/>
          <w:bCs/>
          <w:color w:val="auto"/>
          <w:sz w:val="24"/>
          <w:szCs w:val="24"/>
          <w:lang w:val="zh-CN" w:eastAsia="zh-CN"/>
        </w:rPr>
        <w:t>人员保护：碘化钾法测试，前窗操作口的保护因子≥1×105</w:t>
      </w:r>
    </w:p>
    <w:p w14:paraId="3EBCA67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4.15 </w:t>
      </w:r>
      <w:r>
        <w:rPr>
          <w:rFonts w:hint="eastAsia" w:ascii="宋体" w:hAnsi="宋体" w:eastAsia="宋体" w:cs="宋体"/>
          <w:bCs/>
          <w:color w:val="auto"/>
          <w:sz w:val="24"/>
          <w:szCs w:val="24"/>
          <w:lang w:val="zh-CN" w:eastAsia="zh-CN"/>
        </w:rPr>
        <w:t>产品保护：用YY0569标准规定方法测试，在琼脂培养皿上的枯草芽孢杆菌芽孢不超过5CFU</w:t>
      </w:r>
    </w:p>
    <w:p w14:paraId="0A6CD33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4.16 </w:t>
      </w:r>
      <w:r>
        <w:rPr>
          <w:rFonts w:hint="eastAsia" w:ascii="宋体" w:hAnsi="宋体" w:eastAsia="宋体" w:cs="宋体"/>
          <w:bCs/>
          <w:color w:val="auto"/>
          <w:sz w:val="24"/>
          <w:szCs w:val="24"/>
          <w:lang w:val="zh-CN" w:eastAsia="zh-CN"/>
        </w:rPr>
        <w:t>交叉污染保护：用YY0569标准规定方法测试，在琼脂培养皿上的枯草芽孢杆菌芽孢不超过2CFU</w:t>
      </w:r>
    </w:p>
    <w:p w14:paraId="6D138849">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4.17 </w:t>
      </w:r>
      <w:r>
        <w:rPr>
          <w:rFonts w:hint="eastAsia" w:ascii="宋体" w:hAnsi="宋体" w:eastAsia="宋体" w:cs="宋体"/>
          <w:bCs/>
          <w:color w:val="auto"/>
          <w:sz w:val="24"/>
          <w:szCs w:val="24"/>
          <w:lang w:val="zh-CN" w:eastAsia="zh-CN"/>
        </w:rPr>
        <w:t>实时数字显示系统运行情况，其中下降气流流速和流入气流流速同时显示，显示</w:t>
      </w:r>
      <w:r>
        <w:rPr>
          <w:rFonts w:hint="eastAsia" w:ascii="宋体" w:hAnsi="宋体" w:eastAsia="宋体" w:cs="宋体"/>
          <w:bCs/>
          <w:color w:val="auto"/>
          <w:sz w:val="24"/>
          <w:szCs w:val="24"/>
          <w:lang w:val="en-US" w:eastAsia="zh-CN"/>
        </w:rPr>
        <w:t>精</w:t>
      </w:r>
      <w:r>
        <w:rPr>
          <w:rFonts w:hint="eastAsia" w:ascii="宋体" w:hAnsi="宋体" w:eastAsia="宋体" w:cs="宋体"/>
          <w:bCs/>
          <w:color w:val="auto"/>
          <w:sz w:val="24"/>
          <w:szCs w:val="24"/>
          <w:lang w:val="zh-CN" w:eastAsia="zh-CN"/>
        </w:rPr>
        <w:t>度0.01</w:t>
      </w:r>
    </w:p>
    <w:p w14:paraId="4358C64D">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4.18 </w:t>
      </w:r>
      <w:r>
        <w:rPr>
          <w:rFonts w:hint="eastAsia" w:ascii="宋体" w:hAnsi="宋体" w:eastAsia="宋体" w:cs="宋体"/>
          <w:bCs/>
          <w:color w:val="auto"/>
          <w:sz w:val="24"/>
          <w:szCs w:val="24"/>
          <w:lang w:val="zh-CN" w:eastAsia="zh-CN"/>
        </w:rPr>
        <w:t>风压传感器可实时监测并显示正压区和负压区的压力，压力变化超限时自动声光报警，同时可实时监测过滤器阻力，数字显示过滤器剩余使用寿命，在使用寿命剩余10%时自动提示</w:t>
      </w:r>
    </w:p>
    <w:p w14:paraId="4FE59F6F">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lang w:val="zh-CN" w:eastAsia="zh-CN"/>
        </w:rPr>
        <w:t>1</w:t>
      </w:r>
      <w:r>
        <w:rPr>
          <w:rFonts w:hint="eastAsia" w:ascii="宋体" w:hAnsi="宋体" w:eastAsia="宋体" w:cs="宋体"/>
          <w:bCs/>
          <w:color w:val="auto"/>
          <w:sz w:val="24"/>
          <w:szCs w:val="24"/>
          <w:lang w:val="en-US" w:eastAsia="zh-CN"/>
        </w:rPr>
        <w:t xml:space="preserve">9 </w:t>
      </w:r>
      <w:r>
        <w:rPr>
          <w:rFonts w:hint="eastAsia" w:ascii="宋体" w:hAnsi="宋体" w:eastAsia="宋体" w:cs="宋体"/>
          <w:bCs/>
          <w:color w:val="auto"/>
          <w:sz w:val="24"/>
          <w:szCs w:val="24"/>
          <w:lang w:val="zh-CN" w:eastAsia="zh-CN"/>
        </w:rPr>
        <w:t>打开前窗后，紫外灯应自动关闭，风机荧光灯自动开始运行，关闭前窗后，风机和荧光灯自动关闭</w:t>
      </w:r>
    </w:p>
    <w:p w14:paraId="1C397444">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4.20 </w:t>
      </w:r>
      <w:r>
        <w:rPr>
          <w:rFonts w:hint="eastAsia" w:ascii="宋体" w:hAnsi="宋体" w:eastAsia="宋体" w:cs="宋体"/>
          <w:bCs/>
          <w:color w:val="auto"/>
          <w:sz w:val="24"/>
          <w:szCs w:val="24"/>
          <w:lang w:val="zh-CN" w:eastAsia="zh-CN"/>
        </w:rPr>
        <w:t>一键式预约紫外灯消毒时间，在班前班后两个时段自动运行，只需预约一次，安全柜生命周期内无需再次预约，紫外灯按照预约时间自动开启消毒功能</w:t>
      </w:r>
    </w:p>
    <w:p w14:paraId="7871006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4.21 </w:t>
      </w:r>
      <w:r>
        <w:rPr>
          <w:rFonts w:hint="eastAsia" w:ascii="宋体" w:hAnsi="宋体" w:eastAsia="宋体" w:cs="宋体"/>
          <w:bCs/>
          <w:color w:val="auto"/>
          <w:sz w:val="24"/>
          <w:szCs w:val="24"/>
          <w:lang w:val="zh-CN" w:eastAsia="zh-CN"/>
        </w:rPr>
        <w:t>有开门高度警示功能，开门超高或过低均有声光报警提示</w:t>
      </w:r>
    </w:p>
    <w:p w14:paraId="40DDCC6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4.22 </w:t>
      </w:r>
      <w:r>
        <w:rPr>
          <w:rFonts w:hint="eastAsia" w:ascii="宋体" w:hAnsi="宋体" w:eastAsia="宋体" w:cs="宋体"/>
          <w:bCs/>
          <w:color w:val="auto"/>
          <w:sz w:val="24"/>
          <w:szCs w:val="24"/>
          <w:lang w:val="zh-CN" w:eastAsia="zh-CN"/>
        </w:rPr>
        <w:t>有监测气流波动功能，气流波动超过20%有声光报警提示</w:t>
      </w:r>
    </w:p>
    <w:p w14:paraId="098A9B2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4.23 </w:t>
      </w:r>
      <w:r>
        <w:rPr>
          <w:rFonts w:hint="eastAsia" w:ascii="宋体" w:hAnsi="宋体" w:eastAsia="宋体" w:cs="宋体"/>
          <w:bCs/>
          <w:color w:val="auto"/>
          <w:sz w:val="24"/>
          <w:szCs w:val="24"/>
          <w:lang w:val="zh-CN" w:eastAsia="zh-CN"/>
        </w:rPr>
        <w:t>有关门监测功能，未关严门有声光报警提示</w:t>
      </w:r>
    </w:p>
    <w:p w14:paraId="7D26222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4.24 </w:t>
      </w:r>
      <w:r>
        <w:rPr>
          <w:rFonts w:hint="eastAsia" w:ascii="宋体" w:hAnsi="宋体" w:eastAsia="宋体" w:cs="宋体"/>
          <w:bCs/>
          <w:color w:val="auto"/>
          <w:sz w:val="24"/>
          <w:szCs w:val="24"/>
          <w:lang w:val="zh-CN" w:eastAsia="zh-CN"/>
        </w:rPr>
        <w:t>企业通过ISO9001 ISO14001 ISO45001</w:t>
      </w:r>
    </w:p>
    <w:p w14:paraId="5E02498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4.25 工作区</w:t>
      </w:r>
      <w:r>
        <w:rPr>
          <w:rFonts w:hint="eastAsia" w:ascii="宋体" w:hAnsi="宋体" w:eastAsia="宋体" w:cs="宋体"/>
          <w:bCs/>
          <w:color w:val="auto"/>
          <w:sz w:val="24"/>
          <w:szCs w:val="24"/>
          <w:lang w:val="zh-CN" w:eastAsia="zh-CN"/>
        </w:rPr>
        <w:t>尺寸（宽深高）</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11</w:t>
      </w:r>
      <w:r>
        <w:rPr>
          <w:rFonts w:hint="eastAsia" w:ascii="宋体" w:hAnsi="宋体" w:eastAsia="宋体" w:cs="宋体"/>
          <w:bCs/>
          <w:color w:val="auto"/>
          <w:sz w:val="24"/>
          <w:szCs w:val="24"/>
          <w:lang w:val="en-US" w:eastAsia="zh-CN"/>
        </w:rPr>
        <w:t>70</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zh-CN" w:eastAsia="zh-CN"/>
        </w:rPr>
        <w:t>610</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zh-CN" w:eastAsia="zh-CN"/>
        </w:rPr>
        <w:t>680mm</w:t>
      </w:r>
    </w:p>
    <w:p w14:paraId="44CF728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4.26 </w:t>
      </w:r>
      <w:r>
        <w:rPr>
          <w:rFonts w:hint="eastAsia" w:ascii="宋体" w:hAnsi="宋体" w:eastAsia="宋体" w:cs="宋体"/>
          <w:bCs/>
          <w:color w:val="auto"/>
          <w:sz w:val="24"/>
          <w:szCs w:val="24"/>
          <w:lang w:val="zh-CN" w:eastAsia="zh-CN"/>
        </w:rPr>
        <w:t>外形尺寸</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宽深高</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1360</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zh-CN" w:eastAsia="zh-CN"/>
        </w:rPr>
        <w:t>824</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zh-CN" w:eastAsia="zh-CN"/>
        </w:rPr>
        <w:t>2400mm（含排风罩高度）</w:t>
      </w:r>
    </w:p>
    <w:p w14:paraId="00C1BA2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4.27 </w:t>
      </w:r>
      <w:r>
        <w:rPr>
          <w:rFonts w:hint="eastAsia" w:ascii="宋体" w:hAnsi="宋体" w:eastAsia="宋体" w:cs="宋体"/>
          <w:bCs/>
          <w:color w:val="auto"/>
          <w:sz w:val="24"/>
          <w:szCs w:val="24"/>
          <w:lang w:val="zh-CN" w:eastAsia="zh-CN"/>
        </w:rPr>
        <w:t>前窗开口高度</w:t>
      </w:r>
      <w:r>
        <w:rPr>
          <w:rFonts w:hint="eastAsia" w:ascii="宋体" w:hAnsi="宋体" w:eastAsia="宋体" w:cs="宋体"/>
          <w:bCs/>
          <w:color w:val="auto"/>
          <w:sz w:val="24"/>
          <w:szCs w:val="24"/>
          <w:lang w:val="en-US" w:eastAsia="zh-CN"/>
        </w:rPr>
        <w:t>范围</w:t>
      </w:r>
      <w:r>
        <w:rPr>
          <w:rFonts w:hint="eastAsia" w:ascii="宋体" w:hAnsi="宋体" w:eastAsia="宋体" w:cs="宋体"/>
          <w:bCs/>
          <w:color w:val="auto"/>
          <w:sz w:val="24"/>
          <w:szCs w:val="24"/>
          <w:lang w:val="zh-CN" w:eastAsia="zh-CN"/>
        </w:rPr>
        <w:t>（mm）：190</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490</w:t>
      </w:r>
      <w:r>
        <w:rPr>
          <w:rFonts w:hint="eastAsia" w:ascii="宋体" w:hAnsi="宋体" w:eastAsia="宋体" w:cs="宋体"/>
          <w:bCs/>
          <w:color w:val="auto"/>
          <w:sz w:val="24"/>
          <w:szCs w:val="24"/>
          <w:lang w:val="en-US" w:eastAsia="zh-CN"/>
        </w:rPr>
        <w:t>可调</w:t>
      </w:r>
    </w:p>
    <w:p w14:paraId="35D27D1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4.28 </w:t>
      </w:r>
      <w:r>
        <w:rPr>
          <w:rFonts w:hint="eastAsia" w:ascii="宋体" w:hAnsi="宋体" w:eastAsia="宋体" w:cs="宋体"/>
          <w:bCs/>
          <w:color w:val="auto"/>
          <w:sz w:val="24"/>
          <w:szCs w:val="24"/>
          <w:lang w:val="zh-CN" w:eastAsia="zh-CN"/>
        </w:rPr>
        <w:t>洁净等级10级（美标FED 209D），CLASS 4（ISO 14644-1）</w:t>
      </w:r>
    </w:p>
    <w:p w14:paraId="1906767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4.29 </w:t>
      </w:r>
      <w:r>
        <w:rPr>
          <w:rFonts w:hint="eastAsia" w:ascii="宋体" w:hAnsi="宋体" w:eastAsia="宋体" w:cs="宋体"/>
          <w:bCs/>
          <w:color w:val="auto"/>
          <w:sz w:val="24"/>
          <w:szCs w:val="24"/>
          <w:lang w:val="zh-CN" w:eastAsia="zh-CN"/>
        </w:rPr>
        <w:t>排风量（m3/h）</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1300</w:t>
      </w:r>
    </w:p>
    <w:p w14:paraId="0596BE6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4.30 </w:t>
      </w:r>
      <w:r>
        <w:rPr>
          <w:rFonts w:hint="eastAsia" w:ascii="宋体" w:hAnsi="宋体" w:eastAsia="宋体" w:cs="宋体"/>
          <w:bCs/>
          <w:color w:val="auto"/>
          <w:sz w:val="24"/>
          <w:szCs w:val="24"/>
          <w:lang w:val="zh-CN" w:eastAsia="zh-CN"/>
        </w:rPr>
        <w:t>照度(LX)≥1000</w:t>
      </w:r>
    </w:p>
    <w:p w14:paraId="5A8CE0F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4.31 </w:t>
      </w:r>
      <w:r>
        <w:rPr>
          <w:rFonts w:hint="eastAsia" w:ascii="宋体" w:hAnsi="宋体" w:eastAsia="宋体" w:cs="宋体"/>
          <w:bCs/>
          <w:color w:val="auto"/>
          <w:sz w:val="24"/>
          <w:szCs w:val="24"/>
          <w:lang w:val="zh-CN" w:eastAsia="zh-CN"/>
        </w:rPr>
        <w:t>人员保护1</w:t>
      </w:r>
      <w:r>
        <w:rPr>
          <w:rFonts w:hint="eastAsia" w:ascii="宋体" w:hAnsi="宋体" w:eastAsia="宋体" w:cs="宋体"/>
          <w:b/>
          <w:bCs/>
          <w:color w:val="auto"/>
          <w:sz w:val="24"/>
          <w:szCs w:val="24"/>
          <w:lang w:val="zh-CN" w:eastAsia="zh-CN"/>
        </w:rPr>
        <w:t>*</w:t>
      </w:r>
      <w:r>
        <w:rPr>
          <w:rFonts w:hint="eastAsia" w:ascii="宋体" w:hAnsi="宋体" w:eastAsia="宋体" w:cs="宋体"/>
          <w:bCs/>
          <w:color w:val="auto"/>
          <w:sz w:val="24"/>
          <w:szCs w:val="24"/>
          <w:lang w:val="zh-CN" w:eastAsia="zh-CN"/>
        </w:rPr>
        <w:t>105</w:t>
      </w:r>
    </w:p>
    <w:p w14:paraId="7A2476E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4.32 风机参数</w:t>
      </w:r>
    </w:p>
    <w:p w14:paraId="5256C86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4.32.1 </w:t>
      </w:r>
      <w:r>
        <w:rPr>
          <w:rFonts w:hint="eastAsia" w:ascii="宋体" w:hAnsi="宋体" w:eastAsia="宋体" w:cs="宋体"/>
          <w:bCs/>
          <w:color w:val="auto"/>
          <w:sz w:val="24"/>
          <w:szCs w:val="24"/>
          <w:lang w:val="zh-CN" w:eastAsia="zh-CN"/>
        </w:rPr>
        <w:t>额定转速≥2435 r/min</w:t>
      </w:r>
    </w:p>
    <w:p w14:paraId="53F2D46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4.32.2 外风机</w:t>
      </w:r>
      <w:r>
        <w:rPr>
          <w:rFonts w:hint="eastAsia" w:ascii="宋体" w:hAnsi="宋体" w:eastAsia="宋体" w:cs="宋体"/>
          <w:bCs/>
          <w:color w:val="auto"/>
          <w:sz w:val="24"/>
          <w:szCs w:val="24"/>
          <w:lang w:val="zh-CN" w:eastAsia="zh-CN"/>
        </w:rPr>
        <w:t>风量≥1605 m3/h</w:t>
      </w:r>
    </w:p>
    <w:p w14:paraId="0D9BDE3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4.32.3 外风机</w:t>
      </w:r>
      <w:r>
        <w:rPr>
          <w:rFonts w:hint="eastAsia" w:ascii="宋体" w:hAnsi="宋体" w:eastAsia="宋体" w:cs="宋体"/>
          <w:bCs/>
          <w:color w:val="auto"/>
          <w:sz w:val="24"/>
          <w:szCs w:val="24"/>
          <w:lang w:val="zh-CN" w:eastAsia="zh-CN"/>
        </w:rPr>
        <w:t>风压≥600Pa</w:t>
      </w:r>
    </w:p>
    <w:p w14:paraId="3145ED7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5.配置清单：</w:t>
      </w:r>
    </w:p>
    <w:p w14:paraId="0CCB91F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5.1 生物安全柜主机  2台</w:t>
      </w:r>
    </w:p>
    <w:p w14:paraId="74D83B6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5.2 生物安全柜外排风机  2台</w:t>
      </w:r>
    </w:p>
    <w:p w14:paraId="20662B0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6.技术资料</w:t>
      </w:r>
    </w:p>
    <w:p w14:paraId="3363B76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6.1 免费提供全套，完整的技术资料，包括详细的仪器中英文说明书，操作手册和仪器维护等有关资料及质量认证书</w:t>
      </w:r>
    </w:p>
    <w:p w14:paraId="6AEF7A2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6.2 提供相关应用技术资料</w:t>
      </w:r>
    </w:p>
    <w:p w14:paraId="3D091BF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7.技术服务和培训</w:t>
      </w:r>
    </w:p>
    <w:p w14:paraId="4EA7ADE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7.1 供应商必须提供仪器的免费现场安装调试，并同时在现场对用户进行操作及维护培训</w:t>
      </w:r>
    </w:p>
    <w:p w14:paraId="700FB48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7.2 供应商提供免费电话，为用户提供免费的电话咨询及技术服务</w:t>
      </w:r>
    </w:p>
    <w:p w14:paraId="741F122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7.3 供应商在国内必须设有专业的维修站，有专职的维修工程师及应用工程师有效保证售后维修的及时，快捷，并负责提供技术支持，</w:t>
      </w:r>
      <w:r>
        <w:rPr>
          <w:rFonts w:hint="eastAsia" w:ascii="宋体" w:hAnsi="宋体" w:cs="宋体"/>
          <w:bCs/>
          <w:color w:val="auto"/>
          <w:sz w:val="24"/>
          <w:szCs w:val="24"/>
          <w:lang w:val="zh-CN" w:eastAsia="zh-CN"/>
        </w:rPr>
        <w:t>2小时响应</w:t>
      </w:r>
      <w:r>
        <w:rPr>
          <w:rFonts w:hint="eastAsia" w:ascii="宋体" w:hAnsi="宋体" w:eastAsia="宋体" w:cs="宋体"/>
          <w:bCs/>
          <w:color w:val="auto"/>
          <w:sz w:val="24"/>
          <w:szCs w:val="24"/>
          <w:lang w:val="zh-CN" w:eastAsia="zh-CN"/>
        </w:rPr>
        <w:t>，</w:t>
      </w:r>
      <w:r>
        <w:rPr>
          <w:rFonts w:hint="eastAsia" w:ascii="宋体" w:hAnsi="宋体" w:cs="宋体"/>
          <w:bCs/>
          <w:color w:val="auto"/>
          <w:sz w:val="24"/>
          <w:szCs w:val="24"/>
          <w:lang w:val="zh-CN" w:eastAsia="zh-CN"/>
        </w:rPr>
        <w:t>24小时到达现场</w:t>
      </w:r>
      <w:r>
        <w:rPr>
          <w:rFonts w:hint="eastAsia" w:ascii="宋体" w:hAnsi="宋体" w:eastAsia="宋体" w:cs="宋体"/>
          <w:bCs/>
          <w:color w:val="auto"/>
          <w:sz w:val="24"/>
          <w:szCs w:val="24"/>
          <w:lang w:val="zh-CN" w:eastAsia="zh-CN"/>
        </w:rPr>
        <w:t>，保证仪器的正常操作</w:t>
      </w:r>
    </w:p>
    <w:p w14:paraId="71D724E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8.质量保证期：以双方对所供货物验收合格之日开始计算整机质保</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zh-CN" w:eastAsia="zh-CN"/>
        </w:rPr>
        <w:t>年，在保修期内，所有服务及</w:t>
      </w:r>
      <w:r>
        <w:rPr>
          <w:rFonts w:hint="eastAsia" w:ascii="宋体" w:hAnsi="宋体" w:cs="宋体"/>
          <w:bCs/>
          <w:color w:val="auto"/>
          <w:sz w:val="24"/>
          <w:szCs w:val="24"/>
          <w:lang w:val="en-US" w:eastAsia="zh-CN"/>
        </w:rPr>
        <w:t>原厂</w:t>
      </w:r>
      <w:r>
        <w:rPr>
          <w:rFonts w:hint="eastAsia" w:ascii="宋体" w:hAnsi="宋体" w:eastAsia="宋体" w:cs="宋体"/>
          <w:bCs/>
          <w:color w:val="auto"/>
          <w:sz w:val="24"/>
          <w:szCs w:val="24"/>
          <w:lang w:val="zh-CN" w:eastAsia="zh-CN"/>
        </w:rPr>
        <w:t>配件全部免费</w:t>
      </w:r>
    </w:p>
    <w:p w14:paraId="4FA2757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9.交货期：签订合同后</w:t>
      </w:r>
      <w:r>
        <w:rPr>
          <w:rFonts w:hint="eastAsia" w:ascii="宋体" w:hAnsi="宋体" w:eastAsia="宋体" w:cs="宋体"/>
          <w:bCs/>
          <w:color w:val="auto"/>
          <w:sz w:val="24"/>
          <w:szCs w:val="24"/>
          <w:lang w:val="en-US" w:eastAsia="zh-CN"/>
        </w:rPr>
        <w:t>60个工作日内</w:t>
      </w:r>
    </w:p>
    <w:p w14:paraId="110F51A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10.交货地点：用户指定</w:t>
      </w:r>
    </w:p>
    <w:p w14:paraId="108D6DAA">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lang w:val="en-US" w:eastAsia="zh-CN"/>
        </w:rPr>
      </w:pPr>
    </w:p>
    <w:p w14:paraId="4A676DAE">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（四）三气培养箱</w:t>
      </w:r>
    </w:p>
    <w:p w14:paraId="230F666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1.采购数量：</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台</w:t>
      </w:r>
    </w:p>
    <w:p w14:paraId="3200246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2.主要用途：主要用</w:t>
      </w:r>
      <w:r>
        <w:rPr>
          <w:rFonts w:hint="eastAsia" w:ascii="宋体" w:hAnsi="宋体" w:eastAsia="宋体" w:cs="宋体"/>
          <w:bCs/>
          <w:color w:val="auto"/>
          <w:sz w:val="24"/>
          <w:szCs w:val="24"/>
          <w:highlight w:val="none"/>
          <w:lang w:val="en-US" w:eastAsia="zh-CN"/>
        </w:rPr>
        <w:t>于</w:t>
      </w:r>
      <w:r>
        <w:rPr>
          <w:rFonts w:hint="eastAsia" w:ascii="宋体" w:hAnsi="宋体" w:eastAsia="宋体" w:cs="宋体"/>
          <w:bCs/>
          <w:color w:val="auto"/>
          <w:sz w:val="24"/>
          <w:szCs w:val="24"/>
          <w:highlight w:val="none"/>
          <w:lang w:val="zh-CN" w:eastAsia="zh-CN"/>
        </w:rPr>
        <w:t>体外培养为细胞和组织培养营造一个尽可能自然的生长环境</w:t>
      </w:r>
    </w:p>
    <w:p w14:paraId="69CE7A8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3.工作环境：</w:t>
      </w:r>
    </w:p>
    <w:p w14:paraId="29C1B18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3.1 环境温度：0~30℃</w:t>
      </w:r>
    </w:p>
    <w:p w14:paraId="71DCFEF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3.2 相对湿度：0~85%</w:t>
      </w:r>
    </w:p>
    <w:p w14:paraId="5C52F5E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3.3 适用电源：220VAC，50~60Hz</w:t>
      </w:r>
    </w:p>
    <w:p w14:paraId="2C4A38F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4.技术参数：</w:t>
      </w:r>
    </w:p>
    <w:p w14:paraId="69F6076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 </w:t>
      </w:r>
      <w:r>
        <w:rPr>
          <w:rFonts w:hint="eastAsia" w:ascii="宋体" w:hAnsi="宋体" w:eastAsia="宋体" w:cs="宋体"/>
          <w:bCs/>
          <w:color w:val="auto"/>
          <w:sz w:val="24"/>
          <w:szCs w:val="24"/>
          <w:highlight w:val="none"/>
          <w:lang w:val="zh-CN" w:eastAsia="zh-CN"/>
        </w:rPr>
        <w:t>容积</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170L</w:t>
      </w:r>
    </w:p>
    <w:p w14:paraId="145580B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 </w:t>
      </w:r>
      <w:r>
        <w:rPr>
          <w:rFonts w:hint="eastAsia" w:ascii="宋体" w:hAnsi="宋体" w:eastAsia="宋体" w:cs="宋体"/>
          <w:bCs/>
          <w:color w:val="auto"/>
          <w:sz w:val="24"/>
          <w:szCs w:val="24"/>
          <w:highlight w:val="none"/>
          <w:lang w:val="zh-CN" w:eastAsia="zh-CN"/>
        </w:rPr>
        <w:t>7寸</w:t>
      </w:r>
      <w:r>
        <w:rPr>
          <w:rFonts w:hint="eastAsia" w:ascii="宋体" w:hAnsi="宋体" w:eastAsia="宋体" w:cs="宋体"/>
          <w:bCs/>
          <w:color w:val="auto"/>
          <w:sz w:val="24"/>
          <w:szCs w:val="24"/>
          <w:highlight w:val="none"/>
          <w:lang w:val="en-US" w:eastAsia="zh-CN"/>
        </w:rPr>
        <w:t>以上</w:t>
      </w:r>
      <w:r>
        <w:rPr>
          <w:rFonts w:hint="eastAsia" w:ascii="宋体" w:hAnsi="宋体" w:eastAsia="宋体" w:cs="宋体"/>
          <w:bCs/>
          <w:color w:val="auto"/>
          <w:sz w:val="24"/>
          <w:szCs w:val="24"/>
          <w:highlight w:val="none"/>
          <w:lang w:val="zh-CN" w:eastAsia="zh-CN"/>
        </w:rPr>
        <w:t>彩色触摸显示屏，方便观察及操作</w:t>
      </w:r>
    </w:p>
    <w:p w14:paraId="2E05851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 </w:t>
      </w:r>
      <w:r>
        <w:rPr>
          <w:rFonts w:hint="eastAsia" w:ascii="宋体" w:hAnsi="宋体" w:eastAsia="宋体" w:cs="宋体"/>
          <w:bCs/>
          <w:color w:val="auto"/>
          <w:sz w:val="24"/>
          <w:szCs w:val="24"/>
          <w:highlight w:val="none"/>
          <w:lang w:val="zh-CN" w:eastAsia="zh-CN"/>
        </w:rPr>
        <w:t>温度控制范围：室温+3℃~55℃</w:t>
      </w:r>
    </w:p>
    <w:p w14:paraId="2394D7AB">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4.4 </w:t>
      </w:r>
      <w:r>
        <w:rPr>
          <w:rFonts w:hint="eastAsia" w:ascii="宋体" w:hAnsi="宋体" w:eastAsia="宋体" w:cs="宋体"/>
          <w:bCs/>
          <w:color w:val="auto"/>
          <w:sz w:val="24"/>
          <w:szCs w:val="24"/>
          <w:highlight w:val="none"/>
          <w:lang w:val="zh-CN" w:eastAsia="zh-CN"/>
        </w:rPr>
        <w:t>温度均匀性</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±0.3℃，温度波动度±0.1℃，27点测试，提供第三方报告</w:t>
      </w:r>
    </w:p>
    <w:p w14:paraId="466B508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4.5 </w:t>
      </w:r>
      <w:r>
        <w:rPr>
          <w:rFonts w:hint="eastAsia" w:ascii="宋体" w:hAnsi="宋体" w:eastAsia="宋体" w:cs="宋体"/>
          <w:bCs/>
          <w:color w:val="auto"/>
          <w:sz w:val="24"/>
          <w:szCs w:val="24"/>
          <w:highlight w:val="none"/>
          <w:lang w:val="zh-CN" w:eastAsia="zh-CN"/>
        </w:rPr>
        <w:t>开门30S，关门后4分钟温度恢复至标准要求以内，提供第三方报告</w:t>
      </w:r>
    </w:p>
    <w:p w14:paraId="41A4E6E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4.6 </w:t>
      </w:r>
      <w:r>
        <w:rPr>
          <w:rFonts w:hint="eastAsia" w:ascii="宋体" w:hAnsi="宋体" w:cs="宋体"/>
          <w:bCs/>
          <w:color w:val="auto"/>
          <w:sz w:val="24"/>
          <w:szCs w:val="24"/>
          <w:highlight w:val="none"/>
          <w:lang w:val="zh-CN" w:eastAsia="zh-CN"/>
        </w:rPr>
        <w:t>CO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zh-CN" w:eastAsia="zh-CN"/>
        </w:rPr>
        <w:t>浓度控制范围，0~20%，控制精度±0.1%</w:t>
      </w:r>
    </w:p>
    <w:p w14:paraId="180A9C9F">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4.7 </w:t>
      </w:r>
      <w:r>
        <w:rPr>
          <w:rFonts w:hint="eastAsia" w:ascii="宋体" w:hAnsi="宋体" w:cs="宋体"/>
          <w:bCs/>
          <w:color w:val="auto"/>
          <w:sz w:val="24"/>
          <w:szCs w:val="24"/>
          <w:highlight w:val="none"/>
          <w:lang w:val="en-US" w:eastAsia="zh-CN"/>
        </w:rPr>
        <w:t>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en-US" w:eastAsia="zh-CN"/>
        </w:rPr>
        <w:t>浓度控制范围：1-21%，22-90%</w:t>
      </w:r>
    </w:p>
    <w:p w14:paraId="662FC044">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4.8 </w:t>
      </w:r>
      <w:r>
        <w:rPr>
          <w:rFonts w:hint="eastAsia" w:ascii="宋体" w:hAnsi="宋体" w:eastAsia="宋体" w:cs="宋体"/>
          <w:bCs/>
          <w:color w:val="auto"/>
          <w:sz w:val="24"/>
          <w:szCs w:val="24"/>
          <w:highlight w:val="none"/>
          <w:lang w:val="zh-CN" w:eastAsia="zh-CN"/>
        </w:rPr>
        <w:t>开门30S，关门后4分钟</w:t>
      </w:r>
      <w:r>
        <w:rPr>
          <w:rFonts w:hint="eastAsia" w:ascii="宋体" w:hAnsi="宋体" w:cs="宋体"/>
          <w:bCs/>
          <w:color w:val="auto"/>
          <w:sz w:val="24"/>
          <w:szCs w:val="24"/>
          <w:highlight w:val="none"/>
          <w:lang w:val="zh-CN" w:eastAsia="zh-CN"/>
        </w:rPr>
        <w:t>CO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zh-CN" w:eastAsia="zh-CN"/>
        </w:rPr>
        <w:t>浓度恢复至标准要求以内，提供第三方报告</w:t>
      </w:r>
    </w:p>
    <w:p w14:paraId="641F22DB">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4.9 </w:t>
      </w:r>
      <w:r>
        <w:rPr>
          <w:rFonts w:hint="eastAsia" w:ascii="宋体" w:hAnsi="宋体" w:eastAsia="宋体" w:cs="宋体"/>
          <w:bCs/>
          <w:color w:val="auto"/>
          <w:sz w:val="24"/>
          <w:szCs w:val="24"/>
          <w:highlight w:val="none"/>
          <w:lang w:val="zh-CN" w:eastAsia="zh-CN"/>
        </w:rPr>
        <w:t>高精度红外传感器（IR）,耐190℃高温，可进行300次干热灭菌循环</w:t>
      </w:r>
    </w:p>
    <w:p w14:paraId="4AD8341E">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4.10 </w:t>
      </w:r>
      <w:r>
        <w:rPr>
          <w:rFonts w:hint="eastAsia" w:ascii="宋体" w:hAnsi="宋体" w:eastAsia="宋体" w:cs="宋体"/>
          <w:bCs/>
          <w:color w:val="auto"/>
          <w:sz w:val="24"/>
          <w:szCs w:val="24"/>
          <w:highlight w:val="none"/>
          <w:lang w:val="zh-CN" w:eastAsia="zh-CN"/>
        </w:rPr>
        <w:t>灭菌功能：180℃干热灭菌，箱内所有部件无需拆卸，一键灭菌操作方便</w:t>
      </w:r>
    </w:p>
    <w:p w14:paraId="28F29B0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4.11 </w:t>
      </w:r>
      <w:r>
        <w:rPr>
          <w:rFonts w:hint="eastAsia" w:ascii="宋体" w:hAnsi="宋体" w:eastAsia="宋体" w:cs="宋体"/>
          <w:bCs/>
          <w:color w:val="auto"/>
          <w:sz w:val="24"/>
          <w:szCs w:val="24"/>
          <w:highlight w:val="none"/>
          <w:lang w:val="zh-CN" w:eastAsia="zh-CN"/>
        </w:rPr>
        <w:t>不锈钢304内胆，一体式冲压成型，无支架，无螺钉，圆弧无死角结构，电抛光内胆，方便清洁</w:t>
      </w:r>
    </w:p>
    <w:p w14:paraId="5679293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4.12 </w:t>
      </w:r>
      <w:r>
        <w:rPr>
          <w:rFonts w:hint="eastAsia" w:ascii="宋体" w:hAnsi="宋体" w:eastAsia="宋体" w:cs="宋体"/>
          <w:bCs/>
          <w:color w:val="auto"/>
          <w:sz w:val="24"/>
          <w:szCs w:val="24"/>
          <w:highlight w:val="none"/>
          <w:lang w:val="zh-CN" w:eastAsia="zh-CN"/>
        </w:rPr>
        <w:t>箱体前部带有排水孔</w:t>
      </w:r>
    </w:p>
    <w:p w14:paraId="208BD5C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default" w:ascii="宋体" w:hAnsi="宋体" w:eastAsia="宋体" w:cs="宋体"/>
          <w:bCs/>
          <w:color w:val="auto"/>
          <w:sz w:val="24"/>
          <w:szCs w:val="24"/>
          <w:highlight w:val="none"/>
          <w:vertAlign w:val="subscript"/>
          <w:lang w:val="en-US" w:eastAsia="zh-CN"/>
        </w:rPr>
      </w:pPr>
      <w:bookmarkStart w:id="816" w:name="OLE_LINK45"/>
      <w:bookmarkStart w:id="817" w:name="OLE_LINK46"/>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4.13 </w:t>
      </w:r>
      <w:r>
        <w:rPr>
          <w:rFonts w:hint="eastAsia" w:ascii="宋体" w:hAnsi="宋体" w:eastAsia="宋体" w:cs="宋体"/>
          <w:bCs/>
          <w:color w:val="auto"/>
          <w:sz w:val="24"/>
          <w:szCs w:val="24"/>
          <w:highlight w:val="none"/>
          <w:lang w:val="zh-CN" w:eastAsia="zh-CN"/>
        </w:rPr>
        <w:t>具有多种故障报警，超温报警，温高温低报警，CO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zh-CN" w:eastAsia="zh-CN"/>
        </w:rPr>
        <w:t>浓度超标报警，</w:t>
      </w:r>
      <w:r>
        <w:rPr>
          <w:rFonts w:hint="eastAsia" w:ascii="宋体" w:hAnsi="宋体" w:eastAsia="宋体" w:cs="宋体"/>
          <w:bCs/>
          <w:color w:val="auto"/>
          <w:sz w:val="24"/>
          <w:szCs w:val="24"/>
          <w:highlight w:val="none"/>
          <w:lang w:val="en-US" w:eastAsia="zh-CN"/>
        </w:rPr>
        <w:t>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en-US" w:eastAsia="zh-CN"/>
        </w:rPr>
        <w:t>浓度</w:t>
      </w:r>
      <w:r>
        <w:rPr>
          <w:rFonts w:hint="eastAsia" w:ascii="宋体" w:hAnsi="宋体" w:eastAsia="宋体" w:cs="宋体"/>
          <w:bCs/>
          <w:color w:val="auto"/>
          <w:sz w:val="24"/>
          <w:szCs w:val="24"/>
          <w:highlight w:val="none"/>
          <w:lang w:val="zh-CN" w:eastAsia="zh-CN"/>
        </w:rPr>
        <w:t>超标报警，缺水报警，门开报警</w:t>
      </w:r>
      <w:bookmarkEnd w:id="816"/>
      <w:bookmarkEnd w:id="817"/>
    </w:p>
    <w:p w14:paraId="271735B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4.14 </w:t>
      </w:r>
      <w:r>
        <w:rPr>
          <w:rFonts w:hint="eastAsia" w:ascii="宋体" w:hAnsi="宋体" w:eastAsia="宋体" w:cs="宋体"/>
          <w:bCs/>
          <w:color w:val="auto"/>
          <w:sz w:val="24"/>
          <w:szCs w:val="24"/>
          <w:highlight w:val="none"/>
          <w:lang w:val="zh-CN" w:eastAsia="zh-CN"/>
        </w:rPr>
        <w:t>具备超保护功能</w:t>
      </w:r>
    </w:p>
    <w:p w14:paraId="052293D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4.15 </w:t>
      </w:r>
      <w:r>
        <w:rPr>
          <w:rFonts w:hint="eastAsia" w:ascii="宋体" w:hAnsi="宋体" w:eastAsia="宋体" w:cs="宋体"/>
          <w:bCs/>
          <w:color w:val="auto"/>
          <w:sz w:val="24"/>
          <w:szCs w:val="24"/>
          <w:highlight w:val="none"/>
          <w:lang w:val="zh-CN" w:eastAsia="zh-CN"/>
        </w:rPr>
        <w:t>具有三种以上报警方式，声音蜂鸣报警，屏幕闪烁报警，APP推送报警</w:t>
      </w:r>
    </w:p>
    <w:p w14:paraId="055D21F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4.16 </w:t>
      </w:r>
      <w:r>
        <w:rPr>
          <w:rFonts w:hint="eastAsia" w:ascii="宋体" w:hAnsi="宋体" w:eastAsia="宋体" w:cs="宋体"/>
          <w:bCs/>
          <w:color w:val="auto"/>
          <w:sz w:val="24"/>
          <w:szCs w:val="24"/>
          <w:highlight w:val="none"/>
          <w:lang w:val="zh-CN" w:eastAsia="zh-CN"/>
        </w:rPr>
        <w:t>配置大容量数据存储空间，实时存储培养箱箱内设定温度，实际温度，高低报警温度，</w:t>
      </w:r>
      <w:r>
        <w:rPr>
          <w:rFonts w:hint="eastAsia" w:ascii="宋体" w:hAnsi="宋体" w:cs="宋体"/>
          <w:bCs/>
          <w:color w:val="auto"/>
          <w:sz w:val="24"/>
          <w:szCs w:val="24"/>
          <w:highlight w:val="none"/>
          <w:lang w:val="zh-CN" w:eastAsia="zh-CN"/>
        </w:rPr>
        <w:t>CO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zh-CN" w:eastAsia="zh-CN"/>
        </w:rPr>
        <w:t>设定浓度，实际浓度高低报警，事件记录，报警记录，数据可永久保存，且可通过USB数据接口端口导出全部数据，实现数据的可追溯性</w:t>
      </w:r>
    </w:p>
    <w:p w14:paraId="0FBE32E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4.17 </w:t>
      </w:r>
      <w:r>
        <w:rPr>
          <w:rFonts w:hint="eastAsia" w:ascii="宋体" w:hAnsi="宋体" w:eastAsia="宋体" w:cs="宋体"/>
          <w:bCs/>
          <w:color w:val="auto"/>
          <w:sz w:val="24"/>
          <w:szCs w:val="24"/>
          <w:highlight w:val="none"/>
          <w:lang w:val="zh-CN" w:eastAsia="zh-CN"/>
        </w:rPr>
        <w:t>选配RS485，4-20mA数据接口，可实现多台组网，并能够与计算机连接，实现数据通讯</w:t>
      </w:r>
    </w:p>
    <w:p w14:paraId="282B9485">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4.18 </w:t>
      </w:r>
      <w:r>
        <w:rPr>
          <w:rFonts w:hint="eastAsia" w:ascii="宋体" w:hAnsi="宋体" w:eastAsia="宋体" w:cs="宋体"/>
          <w:bCs/>
          <w:color w:val="auto"/>
          <w:sz w:val="24"/>
          <w:szCs w:val="24"/>
          <w:highlight w:val="none"/>
          <w:lang w:val="zh-CN" w:eastAsia="zh-CN"/>
        </w:rPr>
        <w:t>产品配置</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根</w:t>
      </w:r>
      <w:r>
        <w:rPr>
          <w:rFonts w:hint="eastAsia" w:ascii="宋体" w:hAnsi="宋体" w:cs="宋体"/>
          <w:bCs/>
          <w:color w:val="auto"/>
          <w:sz w:val="24"/>
          <w:szCs w:val="24"/>
          <w:highlight w:val="none"/>
          <w:lang w:val="en-US" w:eastAsia="zh-CN"/>
        </w:rPr>
        <w:t>以上</w:t>
      </w:r>
      <w:r>
        <w:rPr>
          <w:rFonts w:hint="eastAsia" w:ascii="宋体" w:hAnsi="宋体" w:eastAsia="宋体" w:cs="宋体"/>
          <w:bCs/>
          <w:color w:val="auto"/>
          <w:sz w:val="24"/>
          <w:szCs w:val="24"/>
          <w:highlight w:val="none"/>
          <w:lang w:val="zh-CN" w:eastAsia="zh-CN"/>
        </w:rPr>
        <w:t>PT1000高精度传感器，独立监控，相互控制</w:t>
      </w:r>
    </w:p>
    <w:p w14:paraId="7E11E13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4.19 </w:t>
      </w:r>
      <w:r>
        <w:rPr>
          <w:rFonts w:hint="eastAsia" w:ascii="宋体" w:hAnsi="宋体" w:eastAsia="宋体" w:cs="宋体"/>
          <w:bCs/>
          <w:color w:val="auto"/>
          <w:sz w:val="24"/>
          <w:szCs w:val="24"/>
          <w:highlight w:val="none"/>
          <w:lang w:val="zh-CN" w:eastAsia="zh-CN"/>
        </w:rPr>
        <w:t>具有，留言，记事本，公告功能，方便多用户共用一台培养箱时，相互之间留言，以及自己创建记事本，备忘，可实现无纸办公</w:t>
      </w:r>
    </w:p>
    <w:p w14:paraId="0906C1E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4.20 </w:t>
      </w:r>
      <w:r>
        <w:rPr>
          <w:rFonts w:hint="eastAsia" w:ascii="宋体" w:hAnsi="宋体" w:eastAsia="宋体" w:cs="宋体"/>
          <w:bCs/>
          <w:color w:val="auto"/>
          <w:sz w:val="24"/>
          <w:szCs w:val="24"/>
          <w:highlight w:val="none"/>
          <w:lang w:val="zh-CN" w:eastAsia="zh-CN"/>
        </w:rPr>
        <w:t>具有，数据上传，下载功能，可以通过USB接口和网络上传和下载箱内设置，温度，</w:t>
      </w:r>
      <w:r>
        <w:rPr>
          <w:rFonts w:hint="eastAsia" w:ascii="宋体" w:hAnsi="宋体" w:cs="宋体"/>
          <w:bCs/>
          <w:color w:val="auto"/>
          <w:sz w:val="24"/>
          <w:szCs w:val="24"/>
          <w:highlight w:val="none"/>
          <w:lang w:val="zh-CN" w:eastAsia="zh-CN"/>
        </w:rPr>
        <w:t>CO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zh-CN" w:eastAsia="zh-CN"/>
        </w:rPr>
        <w:t>浓度，报警记录以及事件记录等</w:t>
      </w:r>
    </w:p>
    <w:p w14:paraId="68FBB76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4.21 </w:t>
      </w:r>
      <w:r>
        <w:rPr>
          <w:rFonts w:hint="eastAsia" w:ascii="宋体" w:hAnsi="宋体" w:cs="宋体"/>
          <w:bCs/>
          <w:color w:val="auto"/>
          <w:sz w:val="24"/>
          <w:szCs w:val="24"/>
          <w:highlight w:val="none"/>
          <w:lang w:val="en-US" w:eastAsia="zh-CN"/>
        </w:rPr>
        <w:t>通过USB复制，快速设定参数同一配置</w:t>
      </w:r>
    </w:p>
    <w:p w14:paraId="3EFC4D2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4.22</w:t>
      </w:r>
      <w:r>
        <w:rPr>
          <w:rFonts w:hint="eastAsia" w:ascii="宋体" w:hAnsi="宋体" w:eastAsia="宋体" w:cs="宋体"/>
          <w:bCs/>
          <w:color w:val="auto"/>
          <w:sz w:val="24"/>
          <w:szCs w:val="24"/>
          <w:highlight w:val="none"/>
          <w:lang w:val="zh-CN" w:eastAsia="zh-CN"/>
        </w:rPr>
        <w:t xml:space="preserve"> 具有事件记录功能，产品能够记录开门事件，密码修改，设置修改，账户登录等信息，且所有记录信息能够下载到电脑上，实现数据分析存档</w:t>
      </w:r>
    </w:p>
    <w:p w14:paraId="3DE8388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4.23 </w:t>
      </w:r>
      <w:r>
        <w:rPr>
          <w:rFonts w:hint="eastAsia" w:ascii="宋体" w:hAnsi="宋体" w:eastAsia="宋体" w:cs="宋体"/>
          <w:bCs/>
          <w:color w:val="auto"/>
          <w:sz w:val="24"/>
          <w:szCs w:val="24"/>
          <w:highlight w:val="none"/>
          <w:lang w:val="zh-CN" w:eastAsia="zh-CN"/>
        </w:rPr>
        <w:t xml:space="preserve">产品可叠放，可选左或右开门 </w:t>
      </w:r>
    </w:p>
    <w:p w14:paraId="1C133D1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4.24 </w:t>
      </w:r>
      <w:r>
        <w:rPr>
          <w:rFonts w:hint="eastAsia" w:ascii="宋体" w:hAnsi="宋体" w:eastAsia="宋体" w:cs="宋体"/>
          <w:bCs/>
          <w:color w:val="auto"/>
          <w:sz w:val="24"/>
          <w:szCs w:val="24"/>
          <w:highlight w:val="none"/>
          <w:lang w:val="zh-CN" w:eastAsia="zh-CN"/>
        </w:rPr>
        <w:t>配置3.5 cm 测试孔</w:t>
      </w:r>
    </w:p>
    <w:p w14:paraId="6391233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4.25 </w:t>
      </w:r>
      <w:r>
        <w:rPr>
          <w:rFonts w:hint="eastAsia" w:ascii="宋体" w:hAnsi="宋体" w:eastAsia="宋体" w:cs="宋体"/>
          <w:bCs/>
          <w:color w:val="auto"/>
          <w:sz w:val="24"/>
          <w:szCs w:val="24"/>
          <w:highlight w:val="none"/>
          <w:lang w:val="zh-CN" w:eastAsia="zh-CN"/>
        </w:rPr>
        <w:t>配置远程报警接口，报警内容包括，断电，温度波动，</w:t>
      </w:r>
      <w:r>
        <w:rPr>
          <w:rFonts w:hint="eastAsia" w:ascii="宋体" w:hAnsi="宋体" w:cs="宋体"/>
          <w:bCs/>
          <w:color w:val="auto"/>
          <w:sz w:val="24"/>
          <w:szCs w:val="24"/>
          <w:highlight w:val="none"/>
          <w:lang w:val="zh-CN" w:eastAsia="zh-CN"/>
        </w:rPr>
        <w:t>CO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zh-CN" w:eastAsia="zh-CN"/>
        </w:rPr>
        <w:t>，等内容，用户可自定义报警限度</w:t>
      </w:r>
    </w:p>
    <w:p w14:paraId="194C7615">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4.26 标配</w:t>
      </w:r>
      <w:r>
        <w:rPr>
          <w:rFonts w:hint="eastAsia" w:ascii="宋体" w:hAnsi="宋体" w:eastAsia="宋体" w:cs="宋体"/>
          <w:bCs/>
          <w:color w:val="auto"/>
          <w:sz w:val="24"/>
          <w:szCs w:val="24"/>
          <w:highlight w:val="none"/>
          <w:lang w:val="zh-CN" w:eastAsia="zh-CN"/>
        </w:rPr>
        <w:t xml:space="preserve">物联模块，可通过手机，电脑，移动终端查询产品运行状况，报警等 </w:t>
      </w:r>
    </w:p>
    <w:p w14:paraId="1E4B1CE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4.27 外部尺寸（宽深高）≤714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812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887mm</w:t>
      </w:r>
    </w:p>
    <w:p w14:paraId="0D372D7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4.28 内部尺寸（宽深高）≥490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560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650mm</w:t>
      </w:r>
    </w:p>
    <w:p w14:paraId="54C388E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4.29 重量≤95kg</w:t>
      </w:r>
    </w:p>
    <w:p w14:paraId="4EE9740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eastAsia="zh-CN"/>
        </w:rPr>
        <w:t>配置清单：</w:t>
      </w:r>
    </w:p>
    <w:p w14:paraId="67BE53B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5.1 三气培养箱主机  1台</w:t>
      </w:r>
    </w:p>
    <w:p w14:paraId="0A4D985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5.2 </w:t>
      </w:r>
      <w:r>
        <w:rPr>
          <w:rFonts w:hint="eastAsia" w:ascii="宋体" w:hAnsi="宋体" w:cs="宋体"/>
          <w:bCs/>
          <w:color w:val="auto"/>
          <w:sz w:val="24"/>
          <w:szCs w:val="24"/>
          <w:highlight w:val="none"/>
          <w:lang w:val="zh-CN" w:eastAsia="zh-CN"/>
        </w:rPr>
        <w:t>CO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zh-CN" w:eastAsia="zh-CN"/>
        </w:rPr>
        <w:t>过滤器</w:t>
      </w:r>
      <w:r>
        <w:rPr>
          <w:rFonts w:hint="eastAsia" w:ascii="宋体" w:hAnsi="宋体" w:eastAsia="宋体" w:cs="宋体"/>
          <w:bCs/>
          <w:color w:val="auto"/>
          <w:sz w:val="24"/>
          <w:szCs w:val="24"/>
          <w:highlight w:val="none"/>
          <w:lang w:val="en-US" w:eastAsia="zh-CN"/>
        </w:rPr>
        <w:t xml:space="preserve">  1个</w:t>
      </w:r>
    </w:p>
    <w:p w14:paraId="5408EF7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5.3 </w:t>
      </w:r>
      <w:r>
        <w:rPr>
          <w:rFonts w:hint="eastAsia" w:ascii="宋体" w:hAnsi="宋体" w:cs="宋体"/>
          <w:bCs/>
          <w:color w:val="auto"/>
          <w:sz w:val="24"/>
          <w:szCs w:val="24"/>
          <w:highlight w:val="none"/>
          <w:lang w:val="en-US" w:eastAsia="zh-CN"/>
        </w:rPr>
        <w:t>O</w:t>
      </w:r>
      <w:r>
        <w:rPr>
          <w:rFonts w:hint="eastAsia" w:ascii="宋体" w:hAnsi="宋体" w:cs="宋体"/>
          <w:bCs/>
          <w:color w:val="auto"/>
          <w:sz w:val="24"/>
          <w:szCs w:val="24"/>
          <w:highlight w:val="none"/>
          <w:vertAlign w:val="subscript"/>
          <w:lang w:val="en-US" w:eastAsia="zh-CN"/>
        </w:rPr>
        <w:t>2</w:t>
      </w:r>
      <w:r>
        <w:rPr>
          <w:rFonts w:hint="eastAsia" w:ascii="宋体" w:hAnsi="宋体" w:eastAsia="宋体" w:cs="宋体"/>
          <w:bCs/>
          <w:color w:val="auto"/>
          <w:sz w:val="24"/>
          <w:szCs w:val="24"/>
          <w:highlight w:val="none"/>
          <w:lang w:val="en-US" w:eastAsia="zh-CN"/>
        </w:rPr>
        <w:t>过滤器  1个</w:t>
      </w:r>
    </w:p>
    <w:p w14:paraId="5126296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5.4 隔板  3块</w:t>
      </w:r>
    </w:p>
    <w:p w14:paraId="7573722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6.技术资料</w:t>
      </w:r>
    </w:p>
    <w:p w14:paraId="0EC4C19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6.1 免费提供全套，完整的技术资料，包括详细的仪器中英文说明书，操作手册和仪器维护等有关资料及质量认证书</w:t>
      </w:r>
    </w:p>
    <w:p w14:paraId="54407F2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6.2 提供相关应用技术资料</w:t>
      </w:r>
    </w:p>
    <w:p w14:paraId="7E70E0B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7.技术服务和培训</w:t>
      </w:r>
    </w:p>
    <w:p w14:paraId="03E09E3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7.1 供应商必须提供仪器的免费现场安装调试，并同时在现场对用户进行操作及维护培训</w:t>
      </w:r>
    </w:p>
    <w:p w14:paraId="6352525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7.2 供应商提供免费电话，为用户提供免费的电话咨询及技术服务</w:t>
      </w:r>
    </w:p>
    <w:p w14:paraId="44A083D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7.3 供应商在国内必须设有专业的维修站，有专职的维修工程师及应用工程师有效保证售后维修的及时，快捷，并负责提供技术支持，</w:t>
      </w:r>
      <w:r>
        <w:rPr>
          <w:rFonts w:hint="eastAsia" w:ascii="宋体" w:hAnsi="宋体" w:cs="宋体"/>
          <w:bCs/>
          <w:color w:val="auto"/>
          <w:sz w:val="24"/>
          <w:szCs w:val="24"/>
          <w:highlight w:val="none"/>
          <w:lang w:val="zh-CN" w:eastAsia="zh-CN"/>
        </w:rPr>
        <w:t>2小时响应</w:t>
      </w:r>
      <w:r>
        <w:rPr>
          <w:rFonts w:hint="eastAsia" w:ascii="宋体" w:hAnsi="宋体" w:eastAsia="宋体" w:cs="宋体"/>
          <w:bCs/>
          <w:color w:val="auto"/>
          <w:sz w:val="24"/>
          <w:szCs w:val="24"/>
          <w:highlight w:val="none"/>
          <w:lang w:val="zh-CN" w:eastAsia="zh-CN"/>
        </w:rPr>
        <w:t>，</w:t>
      </w:r>
      <w:r>
        <w:rPr>
          <w:rFonts w:hint="eastAsia" w:ascii="宋体" w:hAnsi="宋体" w:cs="宋体"/>
          <w:bCs/>
          <w:color w:val="auto"/>
          <w:sz w:val="24"/>
          <w:szCs w:val="24"/>
          <w:highlight w:val="none"/>
          <w:lang w:val="zh-CN" w:eastAsia="zh-CN"/>
        </w:rPr>
        <w:t>24小时到达现场</w:t>
      </w:r>
      <w:r>
        <w:rPr>
          <w:rFonts w:hint="eastAsia" w:ascii="宋体" w:hAnsi="宋体" w:eastAsia="宋体" w:cs="宋体"/>
          <w:bCs/>
          <w:color w:val="auto"/>
          <w:sz w:val="24"/>
          <w:szCs w:val="24"/>
          <w:highlight w:val="none"/>
          <w:lang w:val="zh-CN" w:eastAsia="zh-CN"/>
        </w:rPr>
        <w:t>，保证仪器的正常操作</w:t>
      </w:r>
    </w:p>
    <w:p w14:paraId="26FB8E3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8.质量保证期：以双方对所供货物验收合格之日开始计算整机质保</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eastAsia="zh-CN"/>
        </w:rPr>
        <w:t>年，在保修期内，所有服务及</w:t>
      </w:r>
      <w:r>
        <w:rPr>
          <w:rFonts w:hint="eastAsia" w:ascii="宋体" w:hAnsi="宋体" w:cs="宋体"/>
          <w:bCs/>
          <w:color w:val="auto"/>
          <w:sz w:val="24"/>
          <w:szCs w:val="24"/>
          <w:highlight w:val="none"/>
          <w:lang w:val="en-US" w:eastAsia="zh-CN"/>
        </w:rPr>
        <w:t>原厂</w:t>
      </w:r>
      <w:r>
        <w:rPr>
          <w:rFonts w:hint="eastAsia" w:ascii="宋体" w:hAnsi="宋体" w:eastAsia="宋体" w:cs="宋体"/>
          <w:bCs/>
          <w:color w:val="auto"/>
          <w:sz w:val="24"/>
          <w:szCs w:val="24"/>
          <w:highlight w:val="none"/>
          <w:lang w:val="zh-CN" w:eastAsia="zh-CN"/>
        </w:rPr>
        <w:t>配件全部免费</w:t>
      </w:r>
    </w:p>
    <w:p w14:paraId="0317294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9.交货期：签订合同后</w:t>
      </w:r>
      <w:r>
        <w:rPr>
          <w:rFonts w:hint="eastAsia" w:ascii="宋体" w:hAnsi="宋体" w:eastAsia="宋体" w:cs="宋体"/>
          <w:bCs/>
          <w:color w:val="auto"/>
          <w:sz w:val="24"/>
          <w:szCs w:val="24"/>
          <w:highlight w:val="none"/>
          <w:lang w:val="en-US" w:eastAsia="zh-CN"/>
        </w:rPr>
        <w:t>60个工作日</w:t>
      </w:r>
    </w:p>
    <w:p w14:paraId="4DF99EA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10.交货地点：用户指定</w:t>
      </w:r>
    </w:p>
    <w:p w14:paraId="31780D0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p>
    <w:p w14:paraId="57791D2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（五）细胞计数仪</w:t>
      </w:r>
    </w:p>
    <w:p w14:paraId="3323E72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val="zh-CN" w:eastAsia="zh-CN"/>
        </w:rPr>
        <w:t>采购数量：</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val="zh-CN" w:eastAsia="zh-CN"/>
        </w:rPr>
        <w:t>台</w:t>
      </w:r>
    </w:p>
    <w:p w14:paraId="5A92771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2.主要用途：主要</w:t>
      </w:r>
      <w:r>
        <w:rPr>
          <w:rFonts w:hint="eastAsia" w:ascii="宋体" w:hAnsi="宋体" w:eastAsia="宋体" w:cs="宋体"/>
          <w:bCs/>
          <w:color w:val="auto"/>
          <w:sz w:val="24"/>
          <w:szCs w:val="24"/>
          <w:lang w:val="en-US" w:eastAsia="zh-CN"/>
        </w:rPr>
        <w:t>用于细胞的浓度，活率，直径及聚团率等数据进行采集和分析</w:t>
      </w:r>
    </w:p>
    <w:p w14:paraId="469A1CB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3.工作环境：</w:t>
      </w:r>
    </w:p>
    <w:p w14:paraId="1EE69A1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3.1 环境温度：0~30℃</w:t>
      </w:r>
    </w:p>
    <w:p w14:paraId="69C7B2C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3.2 相对湿度：0~85%</w:t>
      </w:r>
    </w:p>
    <w:p w14:paraId="559F843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3.3 适用电源：220VAC，50~60Hz</w:t>
      </w:r>
    </w:p>
    <w:p w14:paraId="63F6C6C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4.技术参数：</w:t>
      </w:r>
    </w:p>
    <w:p w14:paraId="3AEA274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 </w:t>
      </w:r>
      <w:r>
        <w:rPr>
          <w:rFonts w:hint="eastAsia" w:ascii="宋体" w:hAnsi="宋体" w:eastAsia="宋体" w:cs="宋体"/>
          <w:bCs/>
          <w:color w:val="auto"/>
          <w:sz w:val="24"/>
          <w:szCs w:val="24"/>
          <w:lang w:val="zh-CN" w:eastAsia="zh-CN"/>
        </w:rPr>
        <w:t>仪器类型：荧光分析计数仪，一体机设计</w:t>
      </w:r>
    </w:p>
    <w:p w14:paraId="6F3E26E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 </w:t>
      </w:r>
      <w:r>
        <w:rPr>
          <w:rFonts w:hint="eastAsia" w:ascii="宋体" w:hAnsi="宋体" w:eastAsia="宋体" w:cs="宋体"/>
          <w:bCs/>
          <w:color w:val="auto"/>
          <w:sz w:val="24"/>
          <w:szCs w:val="24"/>
          <w:lang w:val="zh-CN" w:eastAsia="zh-CN"/>
        </w:rPr>
        <w:t>可放置在生物安全柜或超净工作台中，可进行无菌操作</w:t>
      </w:r>
    </w:p>
    <w:p w14:paraId="52C7AF8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4.3 </w:t>
      </w:r>
      <w:r>
        <w:rPr>
          <w:rFonts w:hint="eastAsia" w:ascii="宋体" w:hAnsi="宋体" w:eastAsia="宋体" w:cs="宋体"/>
          <w:bCs/>
          <w:color w:val="auto"/>
          <w:sz w:val="24"/>
          <w:szCs w:val="24"/>
          <w:lang w:val="zh-CN" w:eastAsia="zh-CN"/>
        </w:rPr>
        <w:t>物镜放大倍数：5倍</w:t>
      </w:r>
    </w:p>
    <w:p w14:paraId="3B25A57A">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4.4 </w:t>
      </w:r>
      <w:r>
        <w:rPr>
          <w:rFonts w:hint="eastAsia" w:ascii="宋体" w:hAnsi="宋体" w:eastAsia="宋体" w:cs="宋体"/>
          <w:bCs/>
          <w:color w:val="auto"/>
          <w:sz w:val="24"/>
          <w:szCs w:val="24"/>
          <w:lang w:val="zh-CN" w:eastAsia="zh-CN"/>
        </w:rPr>
        <w:t>镜头：1200万像素高清相机</w:t>
      </w:r>
    </w:p>
    <w:p w14:paraId="1D6DCEB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4.5 </w:t>
      </w:r>
      <w:r>
        <w:rPr>
          <w:rFonts w:hint="eastAsia" w:ascii="宋体" w:hAnsi="宋体" w:eastAsia="宋体" w:cs="宋体"/>
          <w:bCs/>
          <w:color w:val="auto"/>
          <w:sz w:val="24"/>
          <w:szCs w:val="24"/>
          <w:lang w:val="zh-CN" w:eastAsia="zh-CN"/>
        </w:rPr>
        <w:t>光源：采用长寿命高亮度LED冷光源，寿命&gt;3万小时</w:t>
      </w:r>
    </w:p>
    <w:p w14:paraId="7F86EB3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4.6 </w:t>
      </w:r>
      <w:r>
        <w:rPr>
          <w:rFonts w:hint="eastAsia" w:ascii="宋体" w:hAnsi="宋体" w:eastAsia="宋体" w:cs="宋体"/>
          <w:bCs/>
          <w:color w:val="auto"/>
          <w:sz w:val="24"/>
          <w:szCs w:val="24"/>
          <w:lang w:val="zh-CN" w:eastAsia="zh-CN"/>
        </w:rPr>
        <w:t>显示屏：8英寸</w:t>
      </w:r>
      <w:r>
        <w:rPr>
          <w:rFonts w:hint="eastAsia" w:ascii="宋体" w:hAnsi="宋体" w:eastAsia="宋体" w:cs="宋体"/>
          <w:bCs/>
          <w:color w:val="auto"/>
          <w:sz w:val="24"/>
          <w:szCs w:val="24"/>
          <w:lang w:val="en-US" w:eastAsia="zh-CN"/>
        </w:rPr>
        <w:t>以上</w:t>
      </w:r>
      <w:r>
        <w:rPr>
          <w:rFonts w:hint="eastAsia" w:ascii="宋体" w:hAnsi="宋体" w:eastAsia="宋体" w:cs="宋体"/>
          <w:bCs/>
          <w:color w:val="auto"/>
          <w:sz w:val="24"/>
          <w:szCs w:val="24"/>
          <w:lang w:val="zh-CN" w:eastAsia="zh-CN"/>
        </w:rPr>
        <w:t>LCD高清触摸屏，支持多点触控，无需外接计算机</w:t>
      </w:r>
    </w:p>
    <w:p w14:paraId="6E85011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4.7 </w:t>
      </w:r>
      <w:r>
        <w:rPr>
          <w:rFonts w:hint="eastAsia" w:ascii="宋体" w:hAnsi="宋体" w:eastAsia="宋体" w:cs="宋体"/>
          <w:bCs/>
          <w:color w:val="auto"/>
          <w:sz w:val="24"/>
          <w:szCs w:val="24"/>
          <w:lang w:val="zh-CN" w:eastAsia="zh-CN"/>
        </w:rPr>
        <w:t>进样结构：细胞计数板自动进样，不同孔位检测精确度和重复性更好，软件操控载物台全自动取样，精确移动控制</w:t>
      </w:r>
    </w:p>
    <w:p w14:paraId="22CA785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4.8 </w:t>
      </w:r>
      <w:r>
        <w:rPr>
          <w:rFonts w:hint="eastAsia" w:ascii="宋体" w:hAnsi="宋体" w:eastAsia="宋体" w:cs="宋体"/>
          <w:bCs/>
          <w:color w:val="auto"/>
          <w:sz w:val="24"/>
          <w:szCs w:val="24"/>
          <w:lang w:val="zh-CN" w:eastAsia="zh-CN"/>
        </w:rPr>
        <w:t>激发光配置：激发光480nm、525nm， 检测器滤光片: 535/40nm、600LP</w:t>
      </w:r>
    </w:p>
    <w:p w14:paraId="6ED92E4A">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4.9 </w:t>
      </w:r>
      <w:r>
        <w:rPr>
          <w:rFonts w:hint="eastAsia" w:ascii="宋体" w:hAnsi="宋体" w:eastAsia="宋体" w:cs="宋体"/>
          <w:bCs/>
          <w:color w:val="auto"/>
          <w:sz w:val="24"/>
          <w:szCs w:val="24"/>
          <w:lang w:val="zh-CN" w:eastAsia="zh-CN"/>
        </w:rPr>
        <w:t>图像识别算法：人工智能算法（AI算法），对于不规则生物样本及具有挑战性的生物样品类型做到准确计数，对于特殊生物样本的计数可进行定制化服务</w:t>
      </w:r>
    </w:p>
    <w:p w14:paraId="69B51C4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4.10 </w:t>
      </w:r>
      <w:r>
        <w:rPr>
          <w:rFonts w:hint="eastAsia" w:ascii="宋体" w:hAnsi="宋体" w:eastAsia="宋体" w:cs="宋体"/>
          <w:bCs/>
          <w:color w:val="auto"/>
          <w:sz w:val="24"/>
          <w:szCs w:val="24"/>
          <w:lang w:val="zh-CN" w:eastAsia="zh-CN"/>
        </w:rPr>
        <w:t>计数模式：支持AO（吖啶橙）/PI（碘化丙啶）双荧光染色以及明场台盼蓝染色和非台盼蓝染色3种计数功能</w:t>
      </w:r>
    </w:p>
    <w:p w14:paraId="3CEF564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4.11 </w:t>
      </w:r>
      <w:r>
        <w:rPr>
          <w:rFonts w:hint="eastAsia" w:ascii="宋体" w:hAnsi="宋体" w:eastAsia="宋体" w:cs="宋体"/>
          <w:bCs/>
          <w:color w:val="auto"/>
          <w:sz w:val="24"/>
          <w:szCs w:val="24"/>
          <w:lang w:val="zh-CN" w:eastAsia="zh-CN"/>
        </w:rPr>
        <w:t>细胞直径测量范围：1~200μm，最佳直径测量范围：5~60μm</w:t>
      </w:r>
    </w:p>
    <w:p w14:paraId="123C96C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4.12 </w:t>
      </w:r>
      <w:r>
        <w:rPr>
          <w:rFonts w:hint="eastAsia" w:ascii="宋体" w:hAnsi="宋体" w:eastAsia="宋体" w:cs="宋体"/>
          <w:bCs/>
          <w:color w:val="auto"/>
          <w:sz w:val="24"/>
          <w:szCs w:val="24"/>
          <w:lang w:val="zh-CN" w:eastAsia="zh-CN"/>
        </w:rPr>
        <w:t>细胞浓度测量范围：1×104~3×107个/mL，最佳浓度测量范围：3×105~1×107个/mL</w:t>
      </w:r>
    </w:p>
    <w:p w14:paraId="6B91A391">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4.13 </w:t>
      </w:r>
      <w:r>
        <w:rPr>
          <w:rFonts w:hint="eastAsia" w:ascii="宋体" w:hAnsi="宋体" w:eastAsia="宋体" w:cs="宋体"/>
          <w:bCs/>
          <w:color w:val="auto"/>
          <w:sz w:val="24"/>
          <w:szCs w:val="24"/>
          <w:lang w:val="zh-CN" w:eastAsia="zh-CN"/>
        </w:rPr>
        <w:t>耗材：一次性细胞计数板，无需重复清洗，避免交叉污染，最大通量</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lang w:val="zh-CN" w:eastAsia="zh-CN"/>
        </w:rPr>
        <w:t>个槽位</w:t>
      </w:r>
    </w:p>
    <w:p w14:paraId="3AE7FB90">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4.14 </w:t>
      </w:r>
      <w:r>
        <w:rPr>
          <w:rFonts w:hint="eastAsia" w:ascii="宋体" w:hAnsi="宋体" w:eastAsia="宋体" w:cs="宋体"/>
          <w:bCs/>
          <w:color w:val="auto"/>
          <w:sz w:val="24"/>
          <w:szCs w:val="24"/>
          <w:lang w:val="zh-CN" w:eastAsia="zh-CN"/>
        </w:rPr>
        <w:t>上样体积：10μL</w:t>
      </w:r>
    </w:p>
    <w:p w14:paraId="1BCB3B2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4.15 </w:t>
      </w:r>
      <w:r>
        <w:rPr>
          <w:rFonts w:hint="eastAsia" w:ascii="宋体" w:hAnsi="宋体" w:eastAsia="宋体" w:cs="宋体"/>
          <w:bCs/>
          <w:color w:val="auto"/>
          <w:sz w:val="24"/>
          <w:szCs w:val="24"/>
          <w:lang w:val="zh-CN" w:eastAsia="zh-CN"/>
        </w:rPr>
        <w:t>检测耗时：单样品计数时间&lt;8s（明场），&lt;18s（荧光）</w:t>
      </w:r>
    </w:p>
    <w:p w14:paraId="46A5D7C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4.16 </w:t>
      </w:r>
      <w:r>
        <w:rPr>
          <w:rFonts w:hint="eastAsia" w:ascii="宋体" w:hAnsi="宋体" w:eastAsia="宋体" w:cs="宋体"/>
          <w:bCs/>
          <w:color w:val="auto"/>
          <w:sz w:val="24"/>
          <w:szCs w:val="24"/>
          <w:lang w:val="zh-CN" w:eastAsia="zh-CN"/>
        </w:rPr>
        <w:t>测量细胞种类：细胞系，原代细胞，干细胞和全血细胞等</w:t>
      </w:r>
    </w:p>
    <w:p w14:paraId="4B67282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4.17 </w:t>
      </w:r>
      <w:r>
        <w:rPr>
          <w:rFonts w:hint="eastAsia" w:ascii="宋体" w:hAnsi="宋体" w:eastAsia="宋体" w:cs="宋体"/>
          <w:bCs/>
          <w:color w:val="auto"/>
          <w:sz w:val="24"/>
          <w:szCs w:val="24"/>
          <w:lang w:val="zh-CN" w:eastAsia="zh-CN"/>
        </w:rPr>
        <w:t>采样方法：自动选取视角，自动曝光，自动拍摄，多视野成像，多视野计数</w:t>
      </w:r>
    </w:p>
    <w:p w14:paraId="170098B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4.18 </w:t>
      </w:r>
      <w:r>
        <w:rPr>
          <w:rFonts w:hint="eastAsia" w:ascii="宋体" w:hAnsi="宋体" w:eastAsia="宋体" w:cs="宋体"/>
          <w:bCs/>
          <w:color w:val="auto"/>
          <w:sz w:val="24"/>
          <w:szCs w:val="24"/>
          <w:lang w:val="zh-CN" w:eastAsia="zh-CN"/>
        </w:rPr>
        <w:t>分析参数：细胞浓度，活率，直径，聚团率等参数</w:t>
      </w:r>
    </w:p>
    <w:p w14:paraId="4597285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4.19 </w:t>
      </w:r>
      <w:r>
        <w:rPr>
          <w:rFonts w:hint="eastAsia" w:ascii="宋体" w:hAnsi="宋体" w:eastAsia="宋体" w:cs="宋体"/>
          <w:bCs/>
          <w:color w:val="auto"/>
          <w:sz w:val="24"/>
          <w:szCs w:val="24"/>
          <w:lang w:val="zh-CN" w:eastAsia="zh-CN"/>
        </w:rPr>
        <w:t>分析精度：细胞浓度3×105~1×107个/ml，CV值≤5%</w:t>
      </w:r>
    </w:p>
    <w:p w14:paraId="04701BD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4.20 </w:t>
      </w:r>
      <w:r>
        <w:rPr>
          <w:rFonts w:hint="eastAsia" w:ascii="宋体" w:hAnsi="宋体" w:eastAsia="宋体" w:cs="宋体"/>
          <w:bCs/>
          <w:color w:val="auto"/>
          <w:sz w:val="24"/>
          <w:szCs w:val="24"/>
          <w:lang w:val="zh-CN" w:eastAsia="zh-CN"/>
        </w:rPr>
        <w:t>数据呈现：Excel、PDF、JPG</w:t>
      </w:r>
    </w:p>
    <w:p w14:paraId="5E1681A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4.21 </w:t>
      </w:r>
      <w:r>
        <w:rPr>
          <w:rFonts w:hint="eastAsia" w:ascii="宋体" w:hAnsi="宋体" w:eastAsia="宋体" w:cs="宋体"/>
          <w:bCs/>
          <w:color w:val="auto"/>
          <w:sz w:val="24"/>
          <w:szCs w:val="24"/>
          <w:lang w:val="zh-CN" w:eastAsia="zh-CN"/>
        </w:rPr>
        <w:t>预设多种实验类型：细胞计数，台盼蓝计数，AO/PI双荧光分析等</w:t>
      </w:r>
    </w:p>
    <w:p w14:paraId="71E14C8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bookmarkStart w:id="818" w:name="_Hlk106707678"/>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4.22 </w:t>
      </w:r>
      <w:r>
        <w:rPr>
          <w:rFonts w:hint="eastAsia" w:ascii="宋体" w:hAnsi="宋体" w:eastAsia="宋体" w:cs="宋体"/>
          <w:bCs/>
          <w:color w:val="auto"/>
          <w:sz w:val="24"/>
          <w:szCs w:val="24"/>
          <w:lang w:val="zh-CN" w:eastAsia="zh-CN"/>
        </w:rPr>
        <w:t>数据分析功能：内置稀释计算器和传代计算器，支持数据检索和再分析，可进行细胞增殖曲线以及细胞大小直方图和荧光强度分布图等分析</w:t>
      </w:r>
      <w:bookmarkEnd w:id="818"/>
    </w:p>
    <w:p w14:paraId="30C7AE7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4.23 </w:t>
      </w:r>
      <w:r>
        <w:rPr>
          <w:rFonts w:hint="eastAsia" w:ascii="宋体" w:hAnsi="宋体" w:eastAsia="宋体" w:cs="宋体"/>
          <w:bCs/>
          <w:color w:val="auto"/>
          <w:sz w:val="24"/>
          <w:szCs w:val="24"/>
          <w:lang w:val="zh-CN" w:eastAsia="zh-CN"/>
        </w:rPr>
        <w:t>用户权限管理：系统实现用户分级权限管理和电子签名，系统自带审计追踪功能，符合GMP/cGMP、FDA 21 CFR PART 11</w:t>
      </w:r>
    </w:p>
    <w:p w14:paraId="0C7559B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4.24 </w:t>
      </w:r>
      <w:r>
        <w:rPr>
          <w:rFonts w:hint="eastAsia" w:ascii="宋体" w:hAnsi="宋体" w:eastAsia="宋体" w:cs="宋体"/>
          <w:bCs/>
          <w:color w:val="auto"/>
          <w:sz w:val="24"/>
          <w:szCs w:val="24"/>
          <w:lang w:val="zh-CN" w:eastAsia="zh-CN"/>
        </w:rPr>
        <w:t>工作电压、频率：110-230V，50-60 Hz</w:t>
      </w:r>
    </w:p>
    <w:p w14:paraId="6EBE1E1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4.25 </w:t>
      </w:r>
      <w:r>
        <w:rPr>
          <w:rFonts w:hint="eastAsia" w:ascii="宋体" w:hAnsi="宋体" w:eastAsia="宋体" w:cs="宋体"/>
          <w:bCs/>
          <w:color w:val="auto"/>
          <w:sz w:val="24"/>
          <w:szCs w:val="24"/>
          <w:lang w:val="zh-CN" w:eastAsia="zh-CN"/>
        </w:rPr>
        <w:t>输出端口：2</w:t>
      </w:r>
      <w:r>
        <w:rPr>
          <w:rFonts w:hint="eastAsia" w:ascii="宋体" w:hAnsi="宋体" w:eastAsia="宋体" w:cs="宋体"/>
          <w:b/>
          <w:bCs/>
          <w:color w:val="auto"/>
          <w:sz w:val="24"/>
          <w:szCs w:val="24"/>
          <w:lang w:val="zh-CN" w:eastAsia="zh-CN"/>
        </w:rPr>
        <w:t>*</w:t>
      </w:r>
      <w:r>
        <w:rPr>
          <w:rFonts w:hint="eastAsia" w:ascii="宋体" w:hAnsi="宋体" w:eastAsia="宋体" w:cs="宋体"/>
          <w:bCs/>
          <w:color w:val="auto"/>
          <w:sz w:val="24"/>
          <w:szCs w:val="24"/>
          <w:lang w:val="zh-CN" w:eastAsia="zh-CN"/>
        </w:rPr>
        <w:t>USB3.0接口，支持U盘，硬盘和连接服务器输出</w:t>
      </w:r>
    </w:p>
    <w:p w14:paraId="1069006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4.26 </w:t>
      </w:r>
      <w:r>
        <w:rPr>
          <w:rFonts w:hint="eastAsia" w:ascii="宋体" w:hAnsi="宋体" w:eastAsia="宋体" w:cs="宋体"/>
          <w:bCs/>
          <w:color w:val="auto"/>
          <w:sz w:val="24"/>
          <w:szCs w:val="24"/>
          <w:lang w:val="zh-CN" w:eastAsia="zh-CN"/>
        </w:rPr>
        <w:t>支持连接无线网络和有线网络，并支持软件</w:t>
      </w:r>
      <w:r>
        <w:rPr>
          <w:rFonts w:hint="eastAsia" w:ascii="宋体" w:hAnsi="宋体" w:cs="宋体"/>
          <w:bCs/>
          <w:color w:val="auto"/>
          <w:sz w:val="24"/>
          <w:szCs w:val="24"/>
          <w:lang w:val="en-US" w:eastAsia="zh-CN"/>
        </w:rPr>
        <w:t>免费</w:t>
      </w:r>
      <w:r>
        <w:rPr>
          <w:rFonts w:hint="eastAsia" w:ascii="宋体" w:hAnsi="宋体" w:eastAsia="宋体" w:cs="宋体"/>
          <w:bCs/>
          <w:color w:val="auto"/>
          <w:sz w:val="24"/>
          <w:szCs w:val="24"/>
          <w:lang w:val="zh-CN" w:eastAsia="zh-CN"/>
        </w:rPr>
        <w:t>在线升级和连接打印机功能</w:t>
      </w:r>
    </w:p>
    <w:p w14:paraId="624C036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4.27 </w:t>
      </w:r>
      <w:r>
        <w:rPr>
          <w:rFonts w:hint="eastAsia" w:ascii="宋体" w:hAnsi="宋体" w:eastAsia="宋体" w:cs="宋体"/>
          <w:bCs/>
          <w:color w:val="auto"/>
          <w:sz w:val="24"/>
          <w:szCs w:val="24"/>
          <w:lang w:val="zh-CN" w:eastAsia="zh-CN"/>
        </w:rPr>
        <w:t>存储：</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8G内存，500G硬盘</w:t>
      </w:r>
    </w:p>
    <w:p w14:paraId="197D23B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4.28 外形尺寸（宽深高）：≤</w:t>
      </w:r>
      <w:r>
        <w:rPr>
          <w:rFonts w:hint="eastAsia" w:ascii="宋体" w:hAnsi="宋体" w:eastAsia="宋体" w:cs="宋体"/>
          <w:bCs/>
          <w:color w:val="auto"/>
          <w:sz w:val="24"/>
          <w:szCs w:val="24"/>
          <w:lang w:val="zh-CN" w:eastAsia="zh-CN"/>
        </w:rPr>
        <w:t>332</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zh-CN" w:eastAsia="zh-CN"/>
        </w:rPr>
        <w:t>212</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zh-CN" w:eastAsia="zh-CN"/>
        </w:rPr>
        <w:t>335mm</w:t>
      </w:r>
    </w:p>
    <w:p w14:paraId="0167A71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4.29 </w:t>
      </w:r>
      <w:r>
        <w:rPr>
          <w:rFonts w:hint="eastAsia" w:ascii="宋体" w:hAnsi="宋体" w:eastAsia="宋体" w:cs="宋体"/>
          <w:bCs/>
          <w:color w:val="auto"/>
          <w:sz w:val="24"/>
          <w:szCs w:val="24"/>
          <w:lang w:val="zh-CN" w:eastAsia="zh-CN"/>
        </w:rPr>
        <w:t>产品重量</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4kg</w:t>
      </w:r>
    </w:p>
    <w:p w14:paraId="7D81A6F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5.配置清单：</w:t>
      </w:r>
    </w:p>
    <w:p w14:paraId="78DAD99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5.1 细胞计数仪主机  1台</w:t>
      </w:r>
    </w:p>
    <w:p w14:paraId="6358FF5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lang w:val="zh-CN" w:eastAsia="zh-CN"/>
        </w:rPr>
        <w:t>技术资料</w:t>
      </w:r>
    </w:p>
    <w:p w14:paraId="76FF9A8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6.1 </w:t>
      </w:r>
      <w:r>
        <w:rPr>
          <w:rFonts w:hint="eastAsia" w:ascii="宋体" w:hAnsi="宋体" w:eastAsia="宋体" w:cs="宋体"/>
          <w:bCs/>
          <w:color w:val="auto"/>
          <w:sz w:val="24"/>
          <w:szCs w:val="24"/>
          <w:lang w:val="zh-CN" w:eastAsia="zh-CN"/>
        </w:rPr>
        <w:t>免费提供全套，完整的技术资料，包括详细的仪器中英文说明书，操作手册和仪器维护等有关资料及质量认证书</w:t>
      </w:r>
    </w:p>
    <w:p w14:paraId="25049AA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6.2 </w:t>
      </w:r>
      <w:r>
        <w:rPr>
          <w:rFonts w:hint="eastAsia" w:ascii="宋体" w:hAnsi="宋体" w:eastAsia="宋体" w:cs="宋体"/>
          <w:bCs/>
          <w:color w:val="auto"/>
          <w:sz w:val="24"/>
          <w:szCs w:val="24"/>
          <w:lang w:val="zh-CN" w:eastAsia="zh-CN"/>
        </w:rPr>
        <w:t>提供相关应用技术资料</w:t>
      </w:r>
    </w:p>
    <w:p w14:paraId="7CB5ADD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7.技术服务和培训</w:t>
      </w:r>
    </w:p>
    <w:p w14:paraId="52DDE6A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7.1 供应商必须提供仪器的免费现场安装调试，并同时在现场对用户进行操作及维护培训</w:t>
      </w:r>
    </w:p>
    <w:p w14:paraId="003A7A2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7.2 供应商提供免费电话，为用户提供免费的电话咨询及技术服务</w:t>
      </w:r>
    </w:p>
    <w:p w14:paraId="5265AB4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7.3 供应商在国内必须设有专业的维修站，有专职的维修工程师及应用工程师有效保证售后维修的及时，快捷，并负责提供技术支持，</w:t>
      </w:r>
      <w:r>
        <w:rPr>
          <w:rFonts w:hint="eastAsia" w:ascii="宋体" w:hAnsi="宋体" w:cs="宋体"/>
          <w:bCs/>
          <w:color w:val="auto"/>
          <w:sz w:val="24"/>
          <w:szCs w:val="24"/>
          <w:lang w:val="zh-CN" w:eastAsia="zh-CN"/>
        </w:rPr>
        <w:t>2小时响应</w:t>
      </w:r>
      <w:r>
        <w:rPr>
          <w:rFonts w:hint="eastAsia" w:ascii="宋体" w:hAnsi="宋体" w:eastAsia="宋体" w:cs="宋体"/>
          <w:bCs/>
          <w:color w:val="auto"/>
          <w:sz w:val="24"/>
          <w:szCs w:val="24"/>
          <w:lang w:val="zh-CN" w:eastAsia="zh-CN"/>
        </w:rPr>
        <w:t>，</w:t>
      </w:r>
      <w:r>
        <w:rPr>
          <w:rFonts w:hint="eastAsia" w:ascii="宋体" w:hAnsi="宋体" w:cs="宋体"/>
          <w:bCs/>
          <w:color w:val="auto"/>
          <w:sz w:val="24"/>
          <w:szCs w:val="24"/>
          <w:lang w:val="zh-CN" w:eastAsia="zh-CN"/>
        </w:rPr>
        <w:t>24小时到达现场</w:t>
      </w:r>
      <w:r>
        <w:rPr>
          <w:rFonts w:hint="eastAsia" w:ascii="宋体" w:hAnsi="宋体" w:eastAsia="宋体" w:cs="宋体"/>
          <w:bCs/>
          <w:color w:val="auto"/>
          <w:sz w:val="24"/>
          <w:szCs w:val="24"/>
          <w:lang w:val="zh-CN" w:eastAsia="zh-CN"/>
        </w:rPr>
        <w:t>，保证仪器的正常操作</w:t>
      </w:r>
    </w:p>
    <w:p w14:paraId="5BFB59C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8.质量保证期：以双方对所供货物验收合格之日开始计算整机质保3年，在保修期内，所有服务及配件全部免费</w:t>
      </w:r>
    </w:p>
    <w:p w14:paraId="1CB4DA4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9.交货期：签订合同后</w:t>
      </w:r>
      <w:r>
        <w:rPr>
          <w:rFonts w:hint="eastAsia" w:ascii="宋体" w:hAnsi="宋体" w:eastAsia="宋体" w:cs="宋体"/>
          <w:bCs/>
          <w:color w:val="auto"/>
          <w:sz w:val="24"/>
          <w:szCs w:val="24"/>
          <w:lang w:val="en-US" w:eastAsia="zh-CN"/>
        </w:rPr>
        <w:t>60个工作日内</w:t>
      </w:r>
    </w:p>
    <w:p w14:paraId="52A9AD1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10.交货地点：用户指定</w:t>
      </w:r>
    </w:p>
    <w:p w14:paraId="0212E2B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p>
    <w:p w14:paraId="6A95E7A1">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（六）多功能酶标仪</w:t>
      </w:r>
    </w:p>
    <w:p w14:paraId="1B9245B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1.采购数量：</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台</w:t>
      </w:r>
    </w:p>
    <w:p w14:paraId="10BA08A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2.主要用途：主要</w:t>
      </w:r>
      <w:r>
        <w:rPr>
          <w:rFonts w:hint="eastAsia" w:ascii="宋体" w:hAnsi="宋体" w:eastAsia="宋体" w:cs="宋体"/>
          <w:bCs/>
          <w:color w:val="auto"/>
          <w:sz w:val="24"/>
          <w:szCs w:val="24"/>
          <w:highlight w:val="none"/>
          <w:lang w:val="en-US" w:eastAsia="zh-CN"/>
        </w:rPr>
        <w:t>用于检测生物样本中酶的活性</w:t>
      </w:r>
    </w:p>
    <w:p w14:paraId="3BA9A79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3.工作环境：</w:t>
      </w:r>
    </w:p>
    <w:p w14:paraId="30F57AE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3.1 环境温度：0~30℃</w:t>
      </w:r>
    </w:p>
    <w:p w14:paraId="79E9CD2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3.2 相对湿度：0~85%</w:t>
      </w:r>
    </w:p>
    <w:p w14:paraId="70F60AC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3.3 适用电源：220VAC，50~60Hz</w:t>
      </w:r>
    </w:p>
    <w:p w14:paraId="57BEBD3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4.技术参数：</w:t>
      </w:r>
    </w:p>
    <w:p w14:paraId="04B3DBE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 </w:t>
      </w:r>
      <w:r>
        <w:rPr>
          <w:rFonts w:hint="eastAsia" w:ascii="宋体" w:hAnsi="宋体" w:eastAsia="宋体" w:cs="宋体"/>
          <w:bCs/>
          <w:color w:val="auto"/>
          <w:sz w:val="24"/>
          <w:szCs w:val="24"/>
          <w:highlight w:val="none"/>
          <w:lang w:val="zh-CN" w:eastAsia="zh-CN"/>
        </w:rPr>
        <w:t>基本功能：吸收光，荧光，化学发光</w:t>
      </w:r>
    </w:p>
    <w:p w14:paraId="61A829D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 </w:t>
      </w:r>
      <w:r>
        <w:rPr>
          <w:rFonts w:hint="eastAsia" w:ascii="宋体" w:hAnsi="宋体" w:eastAsia="宋体" w:cs="宋体"/>
          <w:bCs/>
          <w:color w:val="auto"/>
          <w:sz w:val="24"/>
          <w:szCs w:val="24"/>
          <w:highlight w:val="none"/>
          <w:lang w:val="zh-CN" w:eastAsia="zh-CN"/>
        </w:rPr>
        <w:t>支持板架：6-384孔</w:t>
      </w:r>
    </w:p>
    <w:p w14:paraId="4095ED5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4.3 </w:t>
      </w:r>
      <w:r>
        <w:rPr>
          <w:rFonts w:hint="eastAsia" w:ascii="宋体" w:hAnsi="宋体" w:eastAsia="宋体" w:cs="宋体"/>
          <w:bCs/>
          <w:color w:val="auto"/>
          <w:sz w:val="24"/>
          <w:szCs w:val="24"/>
          <w:highlight w:val="none"/>
          <w:lang w:val="zh-CN" w:eastAsia="zh-CN"/>
        </w:rPr>
        <w:t>吸收光</w:t>
      </w:r>
      <w:r>
        <w:rPr>
          <w:rFonts w:hint="eastAsia" w:ascii="宋体" w:hAnsi="宋体" w:eastAsia="宋体" w:cs="宋体"/>
          <w:bCs/>
          <w:color w:val="auto"/>
          <w:sz w:val="24"/>
          <w:szCs w:val="24"/>
          <w:highlight w:val="none"/>
          <w:lang w:val="en-US" w:eastAsia="zh-CN"/>
        </w:rPr>
        <w:t>模块</w:t>
      </w:r>
    </w:p>
    <w:p w14:paraId="2FC3BF5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4.3.1 </w:t>
      </w:r>
      <w:r>
        <w:rPr>
          <w:rFonts w:hint="eastAsia" w:ascii="宋体" w:hAnsi="宋体" w:eastAsia="宋体" w:cs="宋体"/>
          <w:bCs/>
          <w:color w:val="auto"/>
          <w:sz w:val="24"/>
          <w:szCs w:val="24"/>
          <w:highlight w:val="none"/>
          <w:lang w:val="zh-CN" w:eastAsia="zh-CN"/>
        </w:rPr>
        <w:t>光源：氙灯</w:t>
      </w:r>
    </w:p>
    <w:p w14:paraId="5D7A575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4.3.2 </w:t>
      </w:r>
      <w:r>
        <w:rPr>
          <w:rFonts w:hint="eastAsia" w:ascii="宋体" w:hAnsi="宋体" w:eastAsia="宋体" w:cs="宋体"/>
          <w:bCs/>
          <w:color w:val="auto"/>
          <w:sz w:val="24"/>
          <w:szCs w:val="24"/>
          <w:highlight w:val="none"/>
          <w:lang w:val="zh-CN" w:eastAsia="zh-CN"/>
        </w:rPr>
        <w:t>检测器：PD</w:t>
      </w:r>
    </w:p>
    <w:p w14:paraId="4260CCF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4.3.3 </w:t>
      </w:r>
      <w:r>
        <w:rPr>
          <w:rFonts w:hint="eastAsia" w:ascii="宋体" w:hAnsi="宋体" w:eastAsia="宋体" w:cs="宋体"/>
          <w:bCs/>
          <w:color w:val="auto"/>
          <w:sz w:val="24"/>
          <w:szCs w:val="24"/>
          <w:highlight w:val="none"/>
          <w:lang w:val="zh-CN" w:eastAsia="zh-CN"/>
        </w:rPr>
        <w:t>波长准确性：≤2nm</w:t>
      </w:r>
    </w:p>
    <w:p w14:paraId="278BD4A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4.3.4 </w:t>
      </w:r>
      <w:r>
        <w:rPr>
          <w:rFonts w:hint="eastAsia" w:ascii="宋体" w:hAnsi="宋体" w:eastAsia="宋体" w:cs="宋体"/>
          <w:bCs/>
          <w:color w:val="auto"/>
          <w:sz w:val="24"/>
          <w:szCs w:val="24"/>
          <w:highlight w:val="none"/>
          <w:lang w:val="zh-CN" w:eastAsia="zh-CN"/>
        </w:rPr>
        <w:t>波长重复性（SD）：≤0.2nm</w:t>
      </w:r>
    </w:p>
    <w:p w14:paraId="1137C2D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4.3.5 </w:t>
      </w:r>
      <w:r>
        <w:rPr>
          <w:rFonts w:hint="eastAsia" w:ascii="宋体" w:hAnsi="宋体" w:eastAsia="宋体" w:cs="宋体"/>
          <w:bCs/>
          <w:color w:val="auto"/>
          <w:sz w:val="24"/>
          <w:szCs w:val="24"/>
          <w:highlight w:val="none"/>
          <w:lang w:val="zh-CN" w:eastAsia="zh-CN"/>
        </w:rPr>
        <w:t>半峰宽（FWHM）：≤2.5nm</w:t>
      </w:r>
    </w:p>
    <w:p w14:paraId="5710FED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4.3.6 </w:t>
      </w:r>
      <w:r>
        <w:rPr>
          <w:rFonts w:hint="eastAsia" w:ascii="宋体" w:hAnsi="宋体" w:eastAsia="宋体" w:cs="宋体"/>
          <w:bCs/>
          <w:color w:val="auto"/>
          <w:sz w:val="24"/>
          <w:szCs w:val="24"/>
          <w:highlight w:val="none"/>
          <w:lang w:val="zh-CN" w:eastAsia="zh-CN"/>
        </w:rPr>
        <w:t>波长范围：200-1000nm，1nm步进</w:t>
      </w:r>
    </w:p>
    <w:p w14:paraId="751A517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4.3.7 </w:t>
      </w:r>
      <w:r>
        <w:rPr>
          <w:rFonts w:hint="eastAsia" w:ascii="宋体" w:hAnsi="宋体" w:eastAsia="宋体" w:cs="宋体"/>
          <w:bCs/>
          <w:color w:val="auto"/>
          <w:sz w:val="24"/>
          <w:szCs w:val="24"/>
          <w:highlight w:val="none"/>
          <w:lang w:val="zh-CN" w:eastAsia="zh-CN"/>
        </w:rPr>
        <w:t>测量范围：0-4 OD</w:t>
      </w:r>
    </w:p>
    <w:p w14:paraId="394B32F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4.3.8 </w:t>
      </w:r>
      <w:r>
        <w:rPr>
          <w:rFonts w:hint="eastAsia" w:ascii="宋体" w:hAnsi="宋体" w:eastAsia="宋体" w:cs="宋体"/>
          <w:bCs/>
          <w:color w:val="auto"/>
          <w:sz w:val="24"/>
          <w:szCs w:val="24"/>
          <w:highlight w:val="none"/>
          <w:lang w:val="zh-CN" w:eastAsia="zh-CN"/>
        </w:rPr>
        <w:t>分辨率：≤0.0001 OD</w:t>
      </w:r>
    </w:p>
    <w:p w14:paraId="018F633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4.3.9 </w:t>
      </w:r>
      <w:r>
        <w:rPr>
          <w:rFonts w:hint="eastAsia" w:ascii="宋体" w:hAnsi="宋体" w:eastAsia="宋体" w:cs="宋体"/>
          <w:bCs/>
          <w:color w:val="auto"/>
          <w:sz w:val="24"/>
          <w:szCs w:val="24"/>
          <w:highlight w:val="none"/>
          <w:lang w:val="zh-CN" w:eastAsia="zh-CN"/>
        </w:rPr>
        <w:t>杂散光：≤0.1%@220nm</w:t>
      </w:r>
    </w:p>
    <w:p w14:paraId="6D834C4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4.3.10 </w:t>
      </w:r>
      <w:r>
        <w:rPr>
          <w:rFonts w:hint="eastAsia" w:ascii="宋体" w:hAnsi="宋体" w:eastAsia="宋体" w:cs="宋体"/>
          <w:bCs/>
          <w:color w:val="auto"/>
          <w:sz w:val="24"/>
          <w:szCs w:val="24"/>
          <w:highlight w:val="none"/>
          <w:lang w:val="zh-CN" w:eastAsia="zh-CN"/>
        </w:rPr>
        <w:t xml:space="preserve">读数时间：96孔板≤15s </w:t>
      </w:r>
    </w:p>
    <w:p w14:paraId="2722501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4.4 </w:t>
      </w:r>
      <w:r>
        <w:rPr>
          <w:rFonts w:hint="eastAsia" w:ascii="宋体" w:hAnsi="宋体" w:eastAsia="宋体" w:cs="宋体"/>
          <w:bCs/>
          <w:color w:val="auto"/>
          <w:sz w:val="24"/>
          <w:szCs w:val="24"/>
          <w:highlight w:val="none"/>
          <w:lang w:val="zh-CN" w:eastAsia="zh-CN"/>
        </w:rPr>
        <w:t>荧光</w:t>
      </w:r>
      <w:r>
        <w:rPr>
          <w:rFonts w:hint="eastAsia" w:ascii="宋体" w:hAnsi="宋体" w:eastAsia="宋体" w:cs="宋体"/>
          <w:bCs/>
          <w:color w:val="auto"/>
          <w:sz w:val="24"/>
          <w:szCs w:val="24"/>
          <w:highlight w:val="none"/>
          <w:lang w:val="en-US" w:eastAsia="zh-CN"/>
        </w:rPr>
        <w:t>模块</w:t>
      </w:r>
    </w:p>
    <w:p w14:paraId="2F8E301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4.4.1 </w:t>
      </w:r>
      <w:r>
        <w:rPr>
          <w:rFonts w:hint="eastAsia" w:ascii="宋体" w:hAnsi="宋体" w:eastAsia="宋体" w:cs="宋体"/>
          <w:bCs/>
          <w:color w:val="auto"/>
          <w:sz w:val="24"/>
          <w:szCs w:val="24"/>
          <w:highlight w:val="none"/>
          <w:lang w:val="zh-CN" w:eastAsia="zh-CN"/>
        </w:rPr>
        <w:t>激发光源：氙灯</w:t>
      </w:r>
    </w:p>
    <w:p w14:paraId="6BFDDB3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4.4.2 </w:t>
      </w:r>
      <w:r>
        <w:rPr>
          <w:rFonts w:hint="eastAsia" w:ascii="宋体" w:hAnsi="宋体" w:eastAsia="宋体" w:cs="宋体"/>
          <w:bCs/>
          <w:color w:val="auto"/>
          <w:sz w:val="24"/>
          <w:szCs w:val="24"/>
          <w:highlight w:val="none"/>
          <w:lang w:val="zh-CN" w:eastAsia="zh-CN"/>
        </w:rPr>
        <w:t>检测器：PMT（</w:t>
      </w:r>
      <w:r>
        <w:rPr>
          <w:rFonts w:hint="eastAsia" w:ascii="宋体" w:hAnsi="宋体" w:eastAsia="宋体" w:cs="宋体"/>
          <w:bCs/>
          <w:color w:val="auto"/>
          <w:sz w:val="24"/>
          <w:szCs w:val="24"/>
          <w:highlight w:val="none"/>
          <w:lang w:val="en-US" w:eastAsia="zh-CN"/>
        </w:rPr>
        <w:t>和4.21重复</w:t>
      </w:r>
      <w:r>
        <w:rPr>
          <w:rFonts w:hint="eastAsia" w:ascii="宋体" w:hAnsi="宋体" w:eastAsia="宋体" w:cs="宋体"/>
          <w:bCs/>
          <w:color w:val="auto"/>
          <w:sz w:val="24"/>
          <w:szCs w:val="24"/>
          <w:highlight w:val="none"/>
          <w:lang w:val="zh-CN" w:eastAsia="zh-CN"/>
        </w:rPr>
        <w:t>）</w:t>
      </w:r>
    </w:p>
    <w:p w14:paraId="1EBCCB7B">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4.4.3 </w:t>
      </w:r>
      <w:r>
        <w:rPr>
          <w:rFonts w:hint="eastAsia" w:ascii="宋体" w:hAnsi="宋体" w:eastAsia="宋体" w:cs="宋体"/>
          <w:bCs/>
          <w:color w:val="auto"/>
          <w:sz w:val="24"/>
          <w:szCs w:val="24"/>
          <w:highlight w:val="none"/>
          <w:lang w:val="zh-CN" w:eastAsia="zh-CN"/>
        </w:rPr>
        <w:t xml:space="preserve">波长范围：激发200-1000nm，发射270-850nm </w:t>
      </w:r>
    </w:p>
    <w:p w14:paraId="06292E13">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4.4.4 </w:t>
      </w:r>
      <w:r>
        <w:rPr>
          <w:rFonts w:hint="eastAsia" w:ascii="宋体" w:hAnsi="宋体" w:eastAsia="宋体" w:cs="宋体"/>
          <w:bCs/>
          <w:color w:val="auto"/>
          <w:sz w:val="24"/>
          <w:szCs w:val="24"/>
          <w:highlight w:val="none"/>
          <w:lang w:val="zh-CN" w:eastAsia="zh-CN"/>
        </w:rPr>
        <w:t>检出限：≤1pM</w:t>
      </w:r>
    </w:p>
    <w:p w14:paraId="24E79F5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4.4.5 </w:t>
      </w:r>
      <w:r>
        <w:rPr>
          <w:rFonts w:hint="eastAsia" w:ascii="宋体" w:hAnsi="宋体" w:eastAsia="宋体" w:cs="宋体"/>
          <w:bCs/>
          <w:color w:val="auto"/>
          <w:sz w:val="24"/>
          <w:szCs w:val="24"/>
          <w:highlight w:val="none"/>
          <w:lang w:val="zh-CN" w:eastAsia="zh-CN"/>
        </w:rPr>
        <w:t>线性动态范围：≥6个数量级</w:t>
      </w:r>
    </w:p>
    <w:p w14:paraId="498D0DF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4.5 </w:t>
      </w:r>
      <w:r>
        <w:rPr>
          <w:rFonts w:hint="eastAsia" w:ascii="宋体" w:hAnsi="宋体" w:eastAsia="宋体" w:cs="宋体"/>
          <w:bCs/>
          <w:color w:val="auto"/>
          <w:sz w:val="24"/>
          <w:szCs w:val="24"/>
          <w:highlight w:val="none"/>
          <w:lang w:val="zh-CN" w:eastAsia="zh-CN"/>
        </w:rPr>
        <w:t>发光</w:t>
      </w:r>
      <w:r>
        <w:rPr>
          <w:rFonts w:hint="eastAsia" w:ascii="宋体" w:hAnsi="宋体" w:eastAsia="宋体" w:cs="宋体"/>
          <w:bCs/>
          <w:color w:val="auto"/>
          <w:sz w:val="24"/>
          <w:szCs w:val="24"/>
          <w:highlight w:val="none"/>
          <w:lang w:val="en-US" w:eastAsia="zh-CN"/>
        </w:rPr>
        <w:t>模块</w:t>
      </w:r>
    </w:p>
    <w:p w14:paraId="3DBAD99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4.5.1 </w:t>
      </w:r>
      <w:r>
        <w:rPr>
          <w:rFonts w:hint="eastAsia" w:ascii="宋体" w:hAnsi="宋体" w:eastAsia="宋体" w:cs="宋体"/>
          <w:bCs/>
          <w:color w:val="auto"/>
          <w:sz w:val="24"/>
          <w:szCs w:val="24"/>
          <w:highlight w:val="none"/>
          <w:lang w:val="zh-CN" w:eastAsia="zh-CN"/>
        </w:rPr>
        <w:t>检测器：PMT</w:t>
      </w:r>
    </w:p>
    <w:p w14:paraId="745C7743">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4.5.2 </w:t>
      </w:r>
      <w:r>
        <w:rPr>
          <w:rFonts w:hint="eastAsia" w:ascii="宋体" w:hAnsi="宋体" w:eastAsia="宋体" w:cs="宋体"/>
          <w:bCs/>
          <w:color w:val="auto"/>
          <w:sz w:val="24"/>
          <w:szCs w:val="24"/>
          <w:highlight w:val="none"/>
          <w:lang w:val="zh-CN" w:eastAsia="zh-CN"/>
        </w:rPr>
        <w:t>发光检出限：≤5×10-21 mol荧光素酶</w:t>
      </w:r>
    </w:p>
    <w:p w14:paraId="6BC9C0AE">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4.5.3 </w:t>
      </w:r>
      <w:r>
        <w:rPr>
          <w:rFonts w:hint="eastAsia" w:ascii="宋体" w:hAnsi="宋体" w:eastAsia="宋体" w:cs="宋体"/>
          <w:bCs/>
          <w:color w:val="auto"/>
          <w:sz w:val="24"/>
          <w:szCs w:val="24"/>
          <w:highlight w:val="none"/>
          <w:lang w:val="zh-CN" w:eastAsia="zh-CN"/>
        </w:rPr>
        <w:t>线性动态范围：≥8个数量级</w:t>
      </w:r>
    </w:p>
    <w:p w14:paraId="1BA2917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4.5.4 </w:t>
      </w:r>
      <w:r>
        <w:rPr>
          <w:rFonts w:hint="eastAsia" w:ascii="宋体" w:hAnsi="宋体" w:eastAsia="宋体" w:cs="宋体"/>
          <w:bCs/>
          <w:color w:val="auto"/>
          <w:sz w:val="24"/>
          <w:szCs w:val="24"/>
          <w:highlight w:val="none"/>
          <w:lang w:val="zh-CN" w:eastAsia="zh-CN"/>
        </w:rPr>
        <w:t>波长范围：200-850nm</w:t>
      </w:r>
    </w:p>
    <w:p w14:paraId="0C3EA36A">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4.5.5 </w:t>
      </w:r>
      <w:r>
        <w:rPr>
          <w:rFonts w:hint="eastAsia" w:ascii="宋体" w:hAnsi="宋体" w:eastAsia="宋体" w:cs="宋体"/>
          <w:bCs/>
          <w:color w:val="auto"/>
          <w:sz w:val="24"/>
          <w:szCs w:val="24"/>
          <w:highlight w:val="none"/>
          <w:lang w:val="zh-CN" w:eastAsia="zh-CN"/>
        </w:rPr>
        <w:t>串扰：≤5×10-5</w:t>
      </w:r>
    </w:p>
    <w:p w14:paraId="1A1BBE9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4.6 </w:t>
      </w:r>
      <w:r>
        <w:rPr>
          <w:rFonts w:hint="eastAsia" w:ascii="宋体" w:hAnsi="宋体" w:eastAsia="宋体" w:cs="宋体"/>
          <w:bCs/>
          <w:color w:val="auto"/>
          <w:sz w:val="24"/>
          <w:szCs w:val="24"/>
          <w:highlight w:val="none"/>
          <w:lang w:val="zh-CN" w:eastAsia="zh-CN"/>
        </w:rPr>
        <w:t>震动孵育</w:t>
      </w:r>
      <w:r>
        <w:rPr>
          <w:rFonts w:hint="eastAsia" w:ascii="宋体" w:hAnsi="宋体" w:eastAsia="宋体" w:cs="宋体"/>
          <w:bCs/>
          <w:color w:val="auto"/>
          <w:sz w:val="24"/>
          <w:szCs w:val="24"/>
          <w:highlight w:val="none"/>
          <w:lang w:val="en-US" w:eastAsia="zh-CN"/>
        </w:rPr>
        <w:t>模块</w:t>
      </w:r>
    </w:p>
    <w:p w14:paraId="77B7D8E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4.6.1 </w:t>
      </w:r>
      <w:r>
        <w:rPr>
          <w:rFonts w:hint="eastAsia" w:ascii="宋体" w:hAnsi="宋体" w:eastAsia="宋体" w:cs="宋体"/>
          <w:bCs/>
          <w:color w:val="auto"/>
          <w:sz w:val="24"/>
          <w:szCs w:val="24"/>
          <w:highlight w:val="none"/>
          <w:lang w:val="zh-CN" w:eastAsia="zh-CN"/>
        </w:rPr>
        <w:t>振动模式：线性、环形、双环形</w:t>
      </w:r>
    </w:p>
    <w:p w14:paraId="7F22290C">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4.6.2 </w:t>
      </w:r>
      <w:r>
        <w:rPr>
          <w:rFonts w:hint="eastAsia" w:ascii="宋体" w:hAnsi="宋体" w:eastAsia="宋体" w:cs="宋体"/>
          <w:bCs/>
          <w:color w:val="auto"/>
          <w:sz w:val="24"/>
          <w:szCs w:val="24"/>
          <w:highlight w:val="none"/>
          <w:lang w:val="zh-CN" w:eastAsia="zh-CN"/>
        </w:rPr>
        <w:t>孵育温度：RT+4℃ 至 45℃</w:t>
      </w:r>
    </w:p>
    <w:p w14:paraId="4EC8321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4.6.3 </w:t>
      </w:r>
      <w:r>
        <w:rPr>
          <w:rFonts w:hint="eastAsia" w:ascii="宋体" w:hAnsi="宋体" w:eastAsia="宋体" w:cs="宋体"/>
          <w:bCs/>
          <w:color w:val="auto"/>
          <w:sz w:val="24"/>
          <w:szCs w:val="24"/>
          <w:highlight w:val="none"/>
          <w:lang w:val="zh-CN" w:eastAsia="zh-CN"/>
        </w:rPr>
        <w:t>温度均匀性：±0.5℃ @ 37℃</w:t>
      </w:r>
    </w:p>
    <w:p w14:paraId="64BD59D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4.7 </w:t>
      </w:r>
      <w:r>
        <w:rPr>
          <w:rFonts w:hint="eastAsia" w:ascii="宋体" w:hAnsi="宋体" w:eastAsia="宋体" w:cs="宋体"/>
          <w:bCs/>
          <w:color w:val="auto"/>
          <w:sz w:val="24"/>
          <w:szCs w:val="24"/>
          <w:highlight w:val="none"/>
          <w:lang w:val="zh-CN" w:eastAsia="zh-CN"/>
        </w:rPr>
        <w:t>软件</w:t>
      </w:r>
    </w:p>
    <w:p w14:paraId="35E0FB5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4.7.1 </w:t>
      </w:r>
      <w:r>
        <w:rPr>
          <w:rFonts w:hint="eastAsia" w:ascii="宋体" w:hAnsi="宋体" w:eastAsia="宋体" w:cs="宋体"/>
          <w:bCs/>
          <w:color w:val="auto"/>
          <w:sz w:val="24"/>
          <w:szCs w:val="24"/>
          <w:highlight w:val="none"/>
          <w:lang w:val="zh-CN" w:eastAsia="zh-CN"/>
        </w:rPr>
        <w:t>软件界面：支持中文和英文</w:t>
      </w:r>
    </w:p>
    <w:p w14:paraId="59C113B3">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4.7.2 </w:t>
      </w:r>
      <w:r>
        <w:rPr>
          <w:rFonts w:hint="eastAsia" w:ascii="宋体" w:hAnsi="宋体" w:eastAsia="宋体" w:cs="宋体"/>
          <w:bCs/>
          <w:color w:val="auto"/>
          <w:sz w:val="24"/>
          <w:szCs w:val="24"/>
          <w:highlight w:val="none"/>
          <w:lang w:val="zh-CN" w:eastAsia="zh-CN"/>
        </w:rPr>
        <w:t>屏幕尺寸：≥10寸液晶显示屏，分辨率≥1900×1200</w:t>
      </w:r>
    </w:p>
    <w:p w14:paraId="025AC2D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4.7.3 </w:t>
      </w:r>
      <w:r>
        <w:rPr>
          <w:rFonts w:hint="eastAsia" w:ascii="宋体" w:hAnsi="宋体" w:eastAsia="宋体" w:cs="宋体"/>
          <w:bCs/>
          <w:color w:val="auto"/>
          <w:sz w:val="24"/>
          <w:szCs w:val="24"/>
          <w:highlight w:val="none"/>
          <w:lang w:val="zh-CN" w:eastAsia="zh-CN"/>
        </w:rPr>
        <w:t>操作方式：电容屏触摸操作</w:t>
      </w:r>
    </w:p>
    <w:p w14:paraId="6A60EE3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4.7.4 </w:t>
      </w:r>
      <w:r>
        <w:rPr>
          <w:rFonts w:hint="eastAsia" w:ascii="宋体" w:hAnsi="宋体" w:eastAsia="宋体" w:cs="宋体"/>
          <w:bCs/>
          <w:color w:val="auto"/>
          <w:sz w:val="24"/>
          <w:szCs w:val="24"/>
          <w:highlight w:val="none"/>
          <w:lang w:val="zh-CN" w:eastAsia="zh-CN"/>
        </w:rPr>
        <w:t>数据容量：≥10GB</w:t>
      </w:r>
    </w:p>
    <w:p w14:paraId="118F38F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4.7.5 </w:t>
      </w:r>
      <w:r>
        <w:rPr>
          <w:rFonts w:hint="eastAsia" w:ascii="宋体" w:hAnsi="宋体" w:eastAsia="宋体" w:cs="宋体"/>
          <w:bCs/>
          <w:color w:val="auto"/>
          <w:sz w:val="24"/>
          <w:szCs w:val="24"/>
          <w:highlight w:val="none"/>
          <w:lang w:val="zh-CN" w:eastAsia="zh-CN"/>
        </w:rPr>
        <w:t>用户权限分级：≥4级用户权限</w:t>
      </w:r>
    </w:p>
    <w:p w14:paraId="2E56C70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4.7.6 </w:t>
      </w:r>
      <w:r>
        <w:rPr>
          <w:rFonts w:hint="eastAsia" w:ascii="宋体" w:hAnsi="宋体" w:cs="宋体"/>
          <w:bCs/>
          <w:color w:val="auto"/>
          <w:sz w:val="24"/>
          <w:szCs w:val="24"/>
          <w:highlight w:val="none"/>
          <w:lang w:val="en-US" w:eastAsia="zh-CN"/>
        </w:rPr>
        <w:t>数据可快速导入导出</w:t>
      </w:r>
    </w:p>
    <w:p w14:paraId="50C778E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4.7.7 </w:t>
      </w:r>
      <w:r>
        <w:rPr>
          <w:rFonts w:hint="eastAsia" w:ascii="宋体" w:hAnsi="宋体" w:eastAsia="宋体" w:cs="宋体"/>
          <w:bCs/>
          <w:color w:val="auto"/>
          <w:sz w:val="24"/>
          <w:szCs w:val="24"/>
          <w:highlight w:val="none"/>
          <w:lang w:val="zh-CN" w:eastAsia="zh-CN"/>
        </w:rPr>
        <w:t>具有≥2个USB接口，≥1个以太网接口，≥1个RS232接口</w:t>
      </w:r>
    </w:p>
    <w:p w14:paraId="3954CB2A">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4.7.8 </w:t>
      </w:r>
      <w:r>
        <w:rPr>
          <w:rFonts w:hint="eastAsia" w:ascii="宋体" w:hAnsi="宋体" w:eastAsia="宋体" w:cs="宋体"/>
          <w:bCs/>
          <w:color w:val="auto"/>
          <w:sz w:val="24"/>
          <w:szCs w:val="24"/>
          <w:highlight w:val="none"/>
          <w:lang w:val="zh-CN" w:eastAsia="zh-CN"/>
        </w:rPr>
        <w:t>网络传输：检测数据报告可通过FTP上传至PC服务器</w:t>
      </w:r>
    </w:p>
    <w:p w14:paraId="007AE3F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4.8 外形尺寸（长宽高）：420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550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386mm</w:t>
      </w:r>
    </w:p>
    <w:p w14:paraId="55D7D05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4.9 重量≤33kg</w:t>
      </w:r>
    </w:p>
    <w:p w14:paraId="0D814C7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5.配置清单：</w:t>
      </w:r>
    </w:p>
    <w:p w14:paraId="1951C71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5.1 多功能酶标仪主机  1台</w:t>
      </w:r>
    </w:p>
    <w:p w14:paraId="0E81640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6.技术资料</w:t>
      </w:r>
    </w:p>
    <w:p w14:paraId="58CAEE7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6.1 免费提供全套，完整的技术资料，包括详细的仪器中英文说明书，操作手册和仪器维护等有关资料及质量认证书</w:t>
      </w:r>
    </w:p>
    <w:p w14:paraId="422CF92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6.2 提供相关应用技术资料</w:t>
      </w:r>
    </w:p>
    <w:p w14:paraId="3875276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7.技术服务和培训</w:t>
      </w:r>
    </w:p>
    <w:p w14:paraId="0100322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7.1 供应商必须提供仪器的免费现场安装调试，并同时在现场对用户进行操作及维护培训</w:t>
      </w:r>
    </w:p>
    <w:p w14:paraId="4EDE997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7.2 供应商提供免费电话，为用户提供免费的电话咨询及技术服务。</w:t>
      </w:r>
    </w:p>
    <w:p w14:paraId="3EEB0CE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7.3 供应商在国内必须设有专业的维修站，有专职的维修工程师及应用工程师有效保证售后维修的及时，快捷，并负责提供技术支持，</w:t>
      </w:r>
      <w:r>
        <w:rPr>
          <w:rFonts w:hint="eastAsia" w:ascii="宋体" w:hAnsi="宋体" w:cs="宋体"/>
          <w:bCs/>
          <w:color w:val="auto"/>
          <w:sz w:val="24"/>
          <w:szCs w:val="24"/>
          <w:highlight w:val="none"/>
          <w:lang w:val="zh-CN" w:eastAsia="zh-CN"/>
        </w:rPr>
        <w:t>2小时响应</w:t>
      </w:r>
      <w:r>
        <w:rPr>
          <w:rFonts w:hint="eastAsia" w:ascii="宋体" w:hAnsi="宋体" w:eastAsia="宋体" w:cs="宋体"/>
          <w:bCs/>
          <w:color w:val="auto"/>
          <w:sz w:val="24"/>
          <w:szCs w:val="24"/>
          <w:highlight w:val="none"/>
          <w:lang w:val="zh-CN" w:eastAsia="zh-CN"/>
        </w:rPr>
        <w:t>，</w:t>
      </w:r>
      <w:r>
        <w:rPr>
          <w:rFonts w:hint="eastAsia" w:ascii="宋体" w:hAnsi="宋体" w:cs="宋体"/>
          <w:bCs/>
          <w:color w:val="auto"/>
          <w:sz w:val="24"/>
          <w:szCs w:val="24"/>
          <w:highlight w:val="none"/>
          <w:lang w:val="zh-CN" w:eastAsia="zh-CN"/>
        </w:rPr>
        <w:t>24小时到达现场</w:t>
      </w:r>
      <w:r>
        <w:rPr>
          <w:rFonts w:hint="eastAsia" w:ascii="宋体" w:hAnsi="宋体" w:eastAsia="宋体" w:cs="宋体"/>
          <w:bCs/>
          <w:color w:val="auto"/>
          <w:sz w:val="24"/>
          <w:szCs w:val="24"/>
          <w:highlight w:val="none"/>
          <w:lang w:val="zh-CN" w:eastAsia="zh-CN"/>
        </w:rPr>
        <w:t>，保证仪器的正常操作</w:t>
      </w:r>
    </w:p>
    <w:p w14:paraId="71279B1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8.质量保证期：以双方对所供货物验收合格之日开始计算整机</w:t>
      </w:r>
      <w:r>
        <w:rPr>
          <w:rFonts w:hint="eastAsia" w:ascii="宋体" w:hAnsi="宋体" w:cs="宋体"/>
          <w:bCs/>
          <w:color w:val="auto"/>
          <w:sz w:val="24"/>
          <w:szCs w:val="24"/>
          <w:highlight w:val="none"/>
          <w:lang w:val="zh-CN" w:eastAsia="zh-CN"/>
        </w:rPr>
        <w:t>质保</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年，在保修期内，所有服务及</w:t>
      </w:r>
      <w:r>
        <w:rPr>
          <w:rFonts w:hint="eastAsia" w:ascii="宋体" w:hAnsi="宋体" w:cs="宋体"/>
          <w:bCs/>
          <w:color w:val="auto"/>
          <w:sz w:val="24"/>
          <w:szCs w:val="24"/>
          <w:highlight w:val="none"/>
          <w:lang w:val="en-US" w:eastAsia="zh-CN"/>
        </w:rPr>
        <w:t>原厂</w:t>
      </w:r>
      <w:r>
        <w:rPr>
          <w:rFonts w:hint="eastAsia" w:ascii="宋体" w:hAnsi="宋体" w:eastAsia="宋体" w:cs="宋体"/>
          <w:bCs/>
          <w:color w:val="auto"/>
          <w:sz w:val="24"/>
          <w:szCs w:val="24"/>
          <w:highlight w:val="none"/>
          <w:lang w:val="zh-CN" w:eastAsia="zh-CN"/>
        </w:rPr>
        <w:t>配件全部免费</w:t>
      </w:r>
    </w:p>
    <w:p w14:paraId="4C35320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9.交货期：签订合同后</w:t>
      </w:r>
      <w:r>
        <w:rPr>
          <w:rFonts w:hint="eastAsia" w:ascii="宋体" w:hAnsi="宋体" w:eastAsia="宋体" w:cs="宋体"/>
          <w:bCs/>
          <w:color w:val="auto"/>
          <w:sz w:val="24"/>
          <w:szCs w:val="24"/>
          <w:highlight w:val="none"/>
          <w:lang w:val="en-US" w:eastAsia="zh-CN"/>
        </w:rPr>
        <w:t>60个工作日内</w:t>
      </w:r>
    </w:p>
    <w:p w14:paraId="0767ABD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10.交货地点：用户指定</w:t>
      </w:r>
    </w:p>
    <w:p w14:paraId="64D58141">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lang w:val="en-US" w:eastAsia="zh-CN"/>
        </w:rPr>
      </w:pPr>
    </w:p>
    <w:p w14:paraId="63539D05">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（七)荧光定量PCR仪</w:t>
      </w:r>
    </w:p>
    <w:p w14:paraId="0CDDD93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1.采购数量：</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台</w:t>
      </w:r>
    </w:p>
    <w:p w14:paraId="62F1B54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2.主要用途：</w:t>
      </w:r>
      <w:r>
        <w:rPr>
          <w:rFonts w:hint="eastAsia" w:ascii="宋体" w:hAnsi="宋体" w:eastAsia="宋体" w:cs="宋体"/>
          <w:bCs/>
          <w:color w:val="auto"/>
          <w:sz w:val="24"/>
          <w:szCs w:val="24"/>
          <w:highlight w:val="none"/>
          <w:lang w:val="en-US" w:eastAsia="zh-CN"/>
        </w:rPr>
        <w:t>主要用于通过实时检测每个PCR循坏荧光信号实现起始模版的实时定量的分析</w:t>
      </w:r>
    </w:p>
    <w:p w14:paraId="5FFE807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3.工作环境：</w:t>
      </w:r>
    </w:p>
    <w:p w14:paraId="6C3A31F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3.1 环境温度：0~30℃</w:t>
      </w:r>
    </w:p>
    <w:p w14:paraId="70A4C03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3.2 相对湿度：0~85%</w:t>
      </w:r>
    </w:p>
    <w:p w14:paraId="5830EAA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3.3 适用电源：220VAC，50~60Hz</w:t>
      </w:r>
    </w:p>
    <w:p w14:paraId="71689B3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4.技术参数：</w:t>
      </w:r>
    </w:p>
    <w:p w14:paraId="59B3F61A">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 </w:t>
      </w:r>
      <w:r>
        <w:rPr>
          <w:rFonts w:hint="eastAsia" w:ascii="宋体" w:hAnsi="宋体" w:eastAsia="宋体" w:cs="宋体"/>
          <w:bCs/>
          <w:color w:val="auto"/>
          <w:sz w:val="24"/>
          <w:szCs w:val="24"/>
          <w:highlight w:val="none"/>
          <w:lang w:val="zh-CN" w:eastAsia="zh-CN"/>
        </w:rPr>
        <w:t>采用半导体升降温技术，最快变温速率可达6度/秒</w:t>
      </w:r>
    </w:p>
    <w:p w14:paraId="3BD58D4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4.2 </w:t>
      </w:r>
      <w:r>
        <w:rPr>
          <w:rFonts w:hint="eastAsia" w:ascii="宋体" w:hAnsi="宋体" w:eastAsia="宋体" w:cs="宋体"/>
          <w:bCs/>
          <w:color w:val="auto"/>
          <w:sz w:val="24"/>
          <w:szCs w:val="24"/>
          <w:highlight w:val="none"/>
          <w:lang w:val="zh-CN" w:eastAsia="zh-CN"/>
        </w:rPr>
        <w:t>半导体芯片，使用寿命可达100万次循环</w:t>
      </w:r>
    </w:p>
    <w:p w14:paraId="31B2ED0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4.3 </w:t>
      </w:r>
      <w:r>
        <w:rPr>
          <w:rFonts w:hint="eastAsia" w:ascii="宋体" w:hAnsi="宋体" w:eastAsia="宋体" w:cs="宋体"/>
          <w:bCs/>
          <w:color w:val="auto"/>
          <w:sz w:val="24"/>
          <w:szCs w:val="24"/>
          <w:highlight w:val="none"/>
          <w:lang w:val="zh-CN" w:eastAsia="zh-CN"/>
        </w:rPr>
        <w:t>顶部检测技术，使用白管可屏蔽背景干扰，提高荧光信号灵敏度和信噪比，获得更佳结果</w:t>
      </w:r>
    </w:p>
    <w:p w14:paraId="5EEC02DA">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4.4 </w:t>
      </w:r>
      <w:r>
        <w:rPr>
          <w:rFonts w:hint="eastAsia" w:ascii="宋体" w:hAnsi="宋体" w:eastAsia="宋体" w:cs="宋体"/>
          <w:bCs/>
          <w:color w:val="auto"/>
          <w:sz w:val="24"/>
          <w:szCs w:val="24"/>
          <w:highlight w:val="none"/>
          <w:lang w:val="zh-CN" w:eastAsia="zh-CN"/>
        </w:rPr>
        <w:t>屏幕角度可调节，适合不同视角使用</w:t>
      </w:r>
    </w:p>
    <w:p w14:paraId="27E2385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4.5 </w:t>
      </w:r>
      <w:r>
        <w:rPr>
          <w:rFonts w:hint="eastAsia" w:ascii="宋体" w:hAnsi="宋体" w:eastAsia="宋体" w:cs="宋体"/>
          <w:bCs/>
          <w:color w:val="auto"/>
          <w:sz w:val="24"/>
          <w:szCs w:val="24"/>
          <w:highlight w:val="none"/>
          <w:lang w:val="zh-CN" w:eastAsia="zh-CN"/>
        </w:rPr>
        <w:t>可检测96个样品，同一通道荧光同步检测，减少延时误差</w:t>
      </w:r>
    </w:p>
    <w:p w14:paraId="3F936A8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4.6 </w:t>
      </w:r>
      <w:r>
        <w:rPr>
          <w:rFonts w:hint="eastAsia" w:ascii="宋体" w:hAnsi="宋体" w:eastAsia="宋体" w:cs="宋体"/>
          <w:bCs/>
          <w:color w:val="auto"/>
          <w:sz w:val="24"/>
          <w:szCs w:val="24"/>
          <w:highlight w:val="none"/>
          <w:lang w:val="zh-CN" w:eastAsia="zh-CN"/>
        </w:rPr>
        <w:t>仪器自带</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10寸触控屏，可实时查看荧光定量PCR反应过程，无需电脑连接，也可运行实时定量PCR和普通PCR程序</w:t>
      </w:r>
    </w:p>
    <w:p w14:paraId="1A90D97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4.7 </w:t>
      </w:r>
      <w:r>
        <w:rPr>
          <w:rFonts w:hint="eastAsia" w:ascii="宋体" w:hAnsi="宋体" w:eastAsia="宋体" w:cs="宋体"/>
          <w:bCs/>
          <w:color w:val="auto"/>
          <w:sz w:val="24"/>
          <w:szCs w:val="24"/>
          <w:highlight w:val="none"/>
          <w:lang w:val="zh-CN" w:eastAsia="zh-CN"/>
        </w:rPr>
        <w:t>短光程静态荧光CCD成像技术，荧光信号更稳定，灵敏度更高</w:t>
      </w:r>
    </w:p>
    <w:p w14:paraId="25C92CA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4.8 </w:t>
      </w:r>
      <w:r>
        <w:rPr>
          <w:rFonts w:hint="eastAsia" w:ascii="宋体" w:hAnsi="宋体" w:eastAsia="宋体" w:cs="宋体"/>
          <w:bCs/>
          <w:color w:val="auto"/>
          <w:sz w:val="24"/>
          <w:szCs w:val="24"/>
          <w:highlight w:val="none"/>
          <w:lang w:val="zh-CN" w:eastAsia="zh-CN"/>
        </w:rPr>
        <w:t>抽屉式样品台设计，取放样品更方便</w:t>
      </w:r>
    </w:p>
    <w:p w14:paraId="4D2A368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4.9 </w:t>
      </w:r>
      <w:r>
        <w:rPr>
          <w:rFonts w:hint="eastAsia" w:ascii="宋体" w:hAnsi="宋体" w:eastAsia="宋体" w:cs="宋体"/>
          <w:bCs/>
          <w:color w:val="auto"/>
          <w:sz w:val="24"/>
          <w:szCs w:val="24"/>
          <w:highlight w:val="none"/>
          <w:lang w:val="zh-CN" w:eastAsia="zh-CN"/>
        </w:rPr>
        <w:t>熔解曲线，相对定量，基因分型和阴阳性判定等分析</w:t>
      </w:r>
    </w:p>
    <w:p w14:paraId="2649F96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4.10 </w:t>
      </w:r>
      <w:r>
        <w:rPr>
          <w:rFonts w:hint="eastAsia" w:ascii="宋体" w:hAnsi="宋体" w:eastAsia="宋体" w:cs="宋体"/>
          <w:bCs/>
          <w:color w:val="auto"/>
          <w:sz w:val="24"/>
          <w:szCs w:val="24"/>
          <w:highlight w:val="none"/>
          <w:lang w:val="zh-CN" w:eastAsia="zh-CN"/>
        </w:rPr>
        <w:t>样品台容量：可适用0.1ml白色单管，8联排管和96孔板</w:t>
      </w:r>
    </w:p>
    <w:p w14:paraId="6B68936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4.11 </w:t>
      </w:r>
      <w:r>
        <w:rPr>
          <w:rFonts w:hint="eastAsia" w:ascii="宋体" w:hAnsi="宋体" w:eastAsia="宋体" w:cs="宋体"/>
          <w:bCs/>
          <w:color w:val="auto"/>
          <w:sz w:val="24"/>
          <w:szCs w:val="24"/>
          <w:highlight w:val="none"/>
          <w:lang w:val="zh-CN" w:eastAsia="zh-CN"/>
        </w:rPr>
        <w:t>样品台温度范围：0~105℃，具有温度梯度功能</w:t>
      </w:r>
    </w:p>
    <w:p w14:paraId="2E43774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4.12 </w:t>
      </w:r>
      <w:r>
        <w:rPr>
          <w:rFonts w:hint="eastAsia" w:ascii="宋体" w:hAnsi="宋体" w:eastAsia="宋体" w:cs="宋体"/>
          <w:bCs/>
          <w:color w:val="auto"/>
          <w:sz w:val="24"/>
          <w:szCs w:val="24"/>
          <w:highlight w:val="none"/>
          <w:lang w:val="zh-CN" w:eastAsia="zh-CN"/>
        </w:rPr>
        <w:t>样品台温度均匀性≤±0.2℃（样品台达到90℃时）,温控精度≤±0.1℃（样品台达到90℃时）</w:t>
      </w:r>
    </w:p>
    <w:p w14:paraId="08B3C7D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4.13 </w:t>
      </w:r>
      <w:r>
        <w:rPr>
          <w:rFonts w:hint="eastAsia" w:ascii="宋体" w:hAnsi="宋体" w:eastAsia="宋体" w:cs="宋体"/>
          <w:bCs/>
          <w:color w:val="auto"/>
          <w:sz w:val="24"/>
          <w:szCs w:val="24"/>
          <w:highlight w:val="none"/>
          <w:lang w:val="zh-CN" w:eastAsia="zh-CN"/>
        </w:rPr>
        <w:t>动态范围：1-1010，灵敏度：≥1个拷贝</w:t>
      </w:r>
    </w:p>
    <w:p w14:paraId="41C5C64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4.14 </w:t>
      </w:r>
      <w:r>
        <w:rPr>
          <w:rFonts w:hint="eastAsia" w:ascii="宋体" w:hAnsi="宋体" w:eastAsia="宋体" w:cs="宋体"/>
          <w:bCs/>
          <w:color w:val="auto"/>
          <w:sz w:val="24"/>
          <w:szCs w:val="24"/>
          <w:highlight w:val="none"/>
          <w:lang w:val="zh-CN" w:eastAsia="zh-CN"/>
        </w:rPr>
        <w:t>四个荧光检测通道，可检测的荧光素基染料，通道1：FAM、SYBR Green，通道2：VIC、HEX、JOE, CY3, TAMARA, NED，通道3：ROX, TEXAS-RED，通道4：CY5</w:t>
      </w:r>
    </w:p>
    <w:p w14:paraId="6F16906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4.15 </w:t>
      </w:r>
      <w:r>
        <w:rPr>
          <w:rFonts w:hint="eastAsia" w:ascii="宋体" w:hAnsi="宋体" w:eastAsia="宋体" w:cs="宋体"/>
          <w:bCs/>
          <w:color w:val="auto"/>
          <w:sz w:val="24"/>
          <w:szCs w:val="24"/>
          <w:highlight w:val="none"/>
          <w:lang w:val="zh-CN" w:eastAsia="zh-CN"/>
        </w:rPr>
        <w:t>荧光激发波长：300-800nm</w:t>
      </w:r>
    </w:p>
    <w:p w14:paraId="4A724AA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4.16 </w:t>
      </w:r>
      <w:r>
        <w:rPr>
          <w:rFonts w:hint="eastAsia" w:ascii="宋体" w:hAnsi="宋体" w:eastAsia="宋体" w:cs="宋体"/>
          <w:bCs/>
          <w:color w:val="auto"/>
          <w:sz w:val="24"/>
          <w:szCs w:val="24"/>
          <w:highlight w:val="none"/>
          <w:lang w:val="zh-CN" w:eastAsia="zh-CN"/>
        </w:rPr>
        <w:t>荧光检测波长：500-800nm</w:t>
      </w:r>
    </w:p>
    <w:p w14:paraId="70D5D71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4.17 </w:t>
      </w:r>
      <w:r>
        <w:rPr>
          <w:rFonts w:hint="eastAsia" w:ascii="宋体" w:hAnsi="宋体" w:eastAsia="宋体" w:cs="宋体"/>
          <w:bCs/>
          <w:color w:val="auto"/>
          <w:sz w:val="24"/>
          <w:szCs w:val="24"/>
          <w:highlight w:val="none"/>
          <w:lang w:val="zh-CN" w:eastAsia="zh-CN"/>
        </w:rPr>
        <w:t>厂家必须具有1</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lang w:val="zh-CN" w:eastAsia="zh-CN"/>
        </w:rPr>
        <w:t>年以上PCR仪研发和生产历史</w:t>
      </w:r>
    </w:p>
    <w:p w14:paraId="35061DA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4.18 </w:t>
      </w:r>
      <w:r>
        <w:rPr>
          <w:rFonts w:hint="eastAsia" w:ascii="宋体" w:hAnsi="宋体" w:eastAsia="宋体" w:cs="宋体"/>
          <w:bCs/>
          <w:color w:val="auto"/>
          <w:sz w:val="24"/>
          <w:szCs w:val="24"/>
          <w:highlight w:val="none"/>
          <w:lang w:val="zh-CN" w:eastAsia="zh-CN"/>
        </w:rPr>
        <w:t>需出具</w:t>
      </w:r>
      <w:r>
        <w:rPr>
          <w:rFonts w:hint="eastAsia" w:ascii="宋体" w:hAnsi="宋体" w:eastAsia="宋体" w:cs="宋体"/>
          <w:bCs/>
          <w:color w:val="auto"/>
          <w:sz w:val="24"/>
          <w:szCs w:val="24"/>
          <w:highlight w:val="none"/>
          <w:lang w:val="en-US" w:eastAsia="zh-CN"/>
        </w:rPr>
        <w:t>厂家</w:t>
      </w:r>
      <w:r>
        <w:rPr>
          <w:rFonts w:hint="eastAsia" w:ascii="宋体" w:hAnsi="宋体" w:eastAsia="宋体" w:cs="宋体"/>
          <w:bCs/>
          <w:color w:val="auto"/>
          <w:sz w:val="24"/>
          <w:szCs w:val="24"/>
          <w:highlight w:val="none"/>
          <w:lang w:val="zh-CN" w:eastAsia="zh-CN"/>
        </w:rPr>
        <w:t>授权书和售后服务承诺书</w:t>
      </w:r>
    </w:p>
    <w:p w14:paraId="6D619E5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 xml:space="preserve">4.19 </w:t>
      </w:r>
      <w:r>
        <w:rPr>
          <w:rFonts w:hint="eastAsia" w:ascii="宋体" w:hAnsi="宋体" w:eastAsia="宋体" w:cs="宋体"/>
          <w:bCs/>
          <w:color w:val="auto"/>
          <w:sz w:val="24"/>
          <w:szCs w:val="24"/>
          <w:highlight w:val="none"/>
          <w:lang w:val="zh-CN" w:eastAsia="zh-CN"/>
        </w:rPr>
        <w:t>厂家需提供省级以上计量研究院出具的检测报告</w:t>
      </w:r>
    </w:p>
    <w:p w14:paraId="2DB19EC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4.20 外形尺寸（长宽高）≤334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280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365mm</w:t>
      </w:r>
    </w:p>
    <w:p w14:paraId="384BB26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4.21 重量≤13kg</w:t>
      </w:r>
    </w:p>
    <w:p w14:paraId="3239C09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5.配置清单：</w:t>
      </w:r>
    </w:p>
    <w:p w14:paraId="3731B5C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5.1 荧光定量PCR仪主机          1台</w:t>
      </w:r>
    </w:p>
    <w:p w14:paraId="6C0F901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6.技术资料</w:t>
      </w:r>
    </w:p>
    <w:p w14:paraId="3ADE27D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6.1 免费提供全套，完整的技术资料，包括详细的仪器中英文说明书，操作手册和仪器维护等有关资料及质量认证书</w:t>
      </w:r>
    </w:p>
    <w:p w14:paraId="7808089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6.2 提供相关应用技术资料</w:t>
      </w:r>
    </w:p>
    <w:p w14:paraId="3A66676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7.技术服务和培训</w:t>
      </w:r>
    </w:p>
    <w:p w14:paraId="3C86AB5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7.1 供应商必须提供仪器的免费现场安装调试，并同时在现场对用户进行操作及维护培训</w:t>
      </w:r>
    </w:p>
    <w:p w14:paraId="00935D1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7.2 供应商提供免费电话，为用户提供免费的电话咨询及技术服务</w:t>
      </w:r>
    </w:p>
    <w:p w14:paraId="4FA272A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7.3 供应商在国内必须设有专业的维修站，有专职的维修工程师及应用工程师有效保证售后维修的及时，快捷，并负责提供技术支持，</w:t>
      </w:r>
      <w:r>
        <w:rPr>
          <w:rFonts w:hint="eastAsia" w:ascii="宋体" w:hAnsi="宋体" w:cs="宋体"/>
          <w:bCs/>
          <w:color w:val="auto"/>
          <w:sz w:val="24"/>
          <w:szCs w:val="24"/>
          <w:highlight w:val="none"/>
          <w:lang w:val="zh-CN" w:eastAsia="zh-CN"/>
        </w:rPr>
        <w:t>2小时响应</w:t>
      </w:r>
      <w:r>
        <w:rPr>
          <w:rFonts w:hint="eastAsia" w:ascii="宋体" w:hAnsi="宋体" w:eastAsia="宋体" w:cs="宋体"/>
          <w:bCs/>
          <w:color w:val="auto"/>
          <w:sz w:val="24"/>
          <w:szCs w:val="24"/>
          <w:highlight w:val="none"/>
          <w:lang w:val="zh-CN" w:eastAsia="zh-CN"/>
        </w:rPr>
        <w:t>，</w:t>
      </w:r>
      <w:r>
        <w:rPr>
          <w:rFonts w:hint="eastAsia" w:ascii="宋体" w:hAnsi="宋体" w:cs="宋体"/>
          <w:bCs/>
          <w:color w:val="auto"/>
          <w:sz w:val="24"/>
          <w:szCs w:val="24"/>
          <w:highlight w:val="none"/>
          <w:lang w:val="zh-CN" w:eastAsia="zh-CN"/>
        </w:rPr>
        <w:t>24小时到达现场</w:t>
      </w:r>
      <w:r>
        <w:rPr>
          <w:rFonts w:hint="eastAsia" w:ascii="宋体" w:hAnsi="宋体" w:eastAsia="宋体" w:cs="宋体"/>
          <w:bCs/>
          <w:color w:val="auto"/>
          <w:sz w:val="24"/>
          <w:szCs w:val="24"/>
          <w:highlight w:val="none"/>
          <w:lang w:val="zh-CN" w:eastAsia="zh-CN"/>
        </w:rPr>
        <w:t>，保证仪器的正常操作</w:t>
      </w:r>
    </w:p>
    <w:p w14:paraId="5EE2A66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8.质量保证期</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以双方对所供货物验收合格之日开始计算整机质保</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eastAsia="zh-CN"/>
        </w:rPr>
        <w:t>年，在保修期内，所有服务及</w:t>
      </w:r>
      <w:r>
        <w:rPr>
          <w:rFonts w:hint="eastAsia" w:ascii="宋体" w:hAnsi="宋体" w:cs="宋体"/>
          <w:bCs/>
          <w:color w:val="auto"/>
          <w:sz w:val="24"/>
          <w:szCs w:val="24"/>
          <w:highlight w:val="none"/>
          <w:lang w:val="en-US" w:eastAsia="zh-CN"/>
        </w:rPr>
        <w:t>原厂</w:t>
      </w:r>
      <w:r>
        <w:rPr>
          <w:rFonts w:hint="eastAsia" w:ascii="宋体" w:hAnsi="宋体" w:eastAsia="宋体" w:cs="宋体"/>
          <w:bCs/>
          <w:color w:val="auto"/>
          <w:sz w:val="24"/>
          <w:szCs w:val="24"/>
          <w:highlight w:val="none"/>
          <w:lang w:val="zh-CN" w:eastAsia="zh-CN"/>
        </w:rPr>
        <w:t>配件全部免费</w:t>
      </w:r>
    </w:p>
    <w:p w14:paraId="16D37E9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9.交货期：签订合同后</w:t>
      </w:r>
      <w:r>
        <w:rPr>
          <w:rFonts w:hint="eastAsia" w:ascii="宋体" w:hAnsi="宋体" w:eastAsia="宋体" w:cs="宋体"/>
          <w:bCs/>
          <w:color w:val="auto"/>
          <w:sz w:val="24"/>
          <w:szCs w:val="24"/>
          <w:highlight w:val="none"/>
          <w:lang w:val="en-US" w:eastAsia="zh-CN"/>
        </w:rPr>
        <w:t>60个工作日内</w:t>
      </w:r>
    </w:p>
    <w:p w14:paraId="77C5B2E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10.交货地点：用户指定</w:t>
      </w:r>
    </w:p>
    <w:p w14:paraId="0EEB2AC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p>
    <w:p w14:paraId="63A7627C">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(八)动物全自动生化分析仪</w:t>
      </w:r>
    </w:p>
    <w:p w14:paraId="2CE6ACB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1.采购数量：</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val="zh-CN" w:eastAsia="zh-CN"/>
        </w:rPr>
        <w:t>台</w:t>
      </w:r>
    </w:p>
    <w:p w14:paraId="73D2FDD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2.主要用途：</w:t>
      </w:r>
      <w:r>
        <w:rPr>
          <w:rFonts w:hint="eastAsia" w:ascii="宋体" w:hAnsi="宋体" w:eastAsia="宋体" w:cs="宋体"/>
          <w:bCs/>
          <w:color w:val="auto"/>
          <w:sz w:val="24"/>
          <w:szCs w:val="24"/>
          <w:lang w:val="en-US" w:eastAsia="zh-CN"/>
        </w:rPr>
        <w:t>主要用于</w:t>
      </w:r>
      <w:r>
        <w:rPr>
          <w:rFonts w:hint="eastAsia" w:ascii="宋体" w:hAnsi="宋体" w:eastAsia="宋体" w:cs="宋体"/>
          <w:bCs/>
          <w:color w:val="auto"/>
          <w:sz w:val="24"/>
          <w:szCs w:val="24"/>
          <w:lang w:val="zh-CN" w:eastAsia="zh-CN"/>
        </w:rPr>
        <w:t>动物血液样本检测，</w:t>
      </w:r>
      <w:r>
        <w:rPr>
          <w:rFonts w:hint="eastAsia" w:ascii="宋体" w:hAnsi="宋体" w:eastAsia="宋体" w:cs="宋体"/>
          <w:bCs/>
          <w:color w:val="auto"/>
          <w:sz w:val="24"/>
          <w:szCs w:val="24"/>
          <w:lang w:val="en-US" w:eastAsia="zh-CN"/>
        </w:rPr>
        <w:t>对</w:t>
      </w:r>
      <w:r>
        <w:rPr>
          <w:rFonts w:hint="eastAsia" w:ascii="宋体" w:hAnsi="宋体" w:eastAsia="宋体" w:cs="宋体"/>
          <w:bCs/>
          <w:color w:val="auto"/>
          <w:sz w:val="24"/>
          <w:szCs w:val="24"/>
          <w:lang w:val="zh-CN" w:eastAsia="zh-CN"/>
        </w:rPr>
        <w:t>其独有的过滤层，能够过滤大部分溶血，乳糜血，黄疸等干扰物质，最大程度确保不良样本也能获得准确的检测结果</w:t>
      </w:r>
    </w:p>
    <w:p w14:paraId="2117326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3.工作环境：</w:t>
      </w:r>
    </w:p>
    <w:p w14:paraId="53BBB03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3.1 环境温度：0~30℃</w:t>
      </w:r>
    </w:p>
    <w:p w14:paraId="6BD3489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3.2 相对湿度：0~85%</w:t>
      </w:r>
    </w:p>
    <w:p w14:paraId="791D01A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4.技术参数：</w:t>
      </w:r>
    </w:p>
    <w:p w14:paraId="54CFF18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 </w:t>
      </w:r>
      <w:r>
        <w:rPr>
          <w:rFonts w:hint="eastAsia" w:ascii="宋体" w:hAnsi="宋体" w:eastAsia="宋体" w:cs="宋体"/>
          <w:bCs/>
          <w:color w:val="auto"/>
          <w:sz w:val="24"/>
          <w:szCs w:val="24"/>
          <w:lang w:val="zh-CN" w:eastAsia="zh-CN"/>
        </w:rPr>
        <w:t>仪器类型：动物</w:t>
      </w:r>
      <w:r>
        <w:rPr>
          <w:rFonts w:hint="eastAsia" w:ascii="宋体" w:hAnsi="宋体" w:eastAsia="宋体" w:cs="宋体"/>
          <w:bCs/>
          <w:color w:val="auto"/>
          <w:sz w:val="24"/>
          <w:szCs w:val="24"/>
          <w:lang w:val="en-US" w:eastAsia="zh-CN"/>
        </w:rPr>
        <w:t>专</w:t>
      </w:r>
      <w:r>
        <w:rPr>
          <w:rFonts w:hint="eastAsia" w:ascii="宋体" w:hAnsi="宋体" w:eastAsia="宋体" w:cs="宋体"/>
          <w:bCs/>
          <w:color w:val="auto"/>
          <w:sz w:val="24"/>
          <w:szCs w:val="24"/>
          <w:lang w:val="zh-CN" w:eastAsia="zh-CN"/>
        </w:rPr>
        <w:t>用分立式全自动生化分析仪</w:t>
      </w:r>
    </w:p>
    <w:p w14:paraId="3ABA5B8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 </w:t>
      </w:r>
      <w:r>
        <w:rPr>
          <w:rFonts w:hint="eastAsia" w:ascii="宋体" w:hAnsi="宋体" w:eastAsia="宋体" w:cs="宋体"/>
          <w:bCs/>
          <w:color w:val="auto"/>
          <w:sz w:val="24"/>
          <w:szCs w:val="24"/>
          <w:lang w:val="zh-CN" w:eastAsia="zh-CN"/>
        </w:rPr>
        <w:t>动物生化：有多种动物专用数据库</w:t>
      </w:r>
    </w:p>
    <w:p w14:paraId="108798A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4.3 </w:t>
      </w:r>
      <w:r>
        <w:rPr>
          <w:rFonts w:hint="eastAsia" w:ascii="宋体" w:hAnsi="宋体" w:eastAsia="宋体" w:cs="宋体"/>
          <w:bCs/>
          <w:color w:val="auto"/>
          <w:sz w:val="24"/>
          <w:szCs w:val="24"/>
          <w:lang w:val="zh-CN" w:eastAsia="zh-CN"/>
        </w:rPr>
        <w:t>分析速度：比色200T/H，最高可达400T/H，满足批量测试需求</w:t>
      </w:r>
    </w:p>
    <w:p w14:paraId="7FA4B795">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4.4 </w:t>
      </w:r>
      <w:r>
        <w:rPr>
          <w:rFonts w:hint="eastAsia" w:ascii="宋体" w:hAnsi="宋体" w:eastAsia="宋体" w:cs="宋体"/>
          <w:bCs/>
          <w:color w:val="auto"/>
          <w:sz w:val="24"/>
          <w:szCs w:val="24"/>
          <w:lang w:val="zh-CN" w:eastAsia="zh-CN"/>
        </w:rPr>
        <w:t>最大可同时分析项目：83个（80生化+3ISE），保证实验课题所需项目测试</w:t>
      </w:r>
    </w:p>
    <w:p w14:paraId="780A3D0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4.5 </w:t>
      </w:r>
      <w:r>
        <w:rPr>
          <w:rFonts w:hint="eastAsia" w:ascii="宋体" w:hAnsi="宋体" w:eastAsia="宋体" w:cs="宋体"/>
          <w:bCs/>
          <w:color w:val="auto"/>
          <w:sz w:val="24"/>
          <w:szCs w:val="24"/>
          <w:lang w:val="zh-CN" w:eastAsia="zh-CN"/>
        </w:rPr>
        <w:t>测试原理：比色法、比浊法、离子选择电极法(可选配ISE模块)</w:t>
      </w:r>
    </w:p>
    <w:p w14:paraId="6E5655DF">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4.6 </w:t>
      </w:r>
      <w:r>
        <w:rPr>
          <w:rFonts w:hint="eastAsia" w:ascii="宋体" w:hAnsi="宋体" w:eastAsia="宋体" w:cs="宋体"/>
          <w:bCs/>
          <w:color w:val="auto"/>
          <w:sz w:val="24"/>
          <w:szCs w:val="24"/>
          <w:lang w:val="zh-CN" w:eastAsia="zh-CN"/>
        </w:rPr>
        <w:t>样本位：40个样本位，可根据测试需要扩展至80个</w:t>
      </w:r>
    </w:p>
    <w:p w14:paraId="43E539A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4.7 </w:t>
      </w:r>
      <w:r>
        <w:rPr>
          <w:rFonts w:hint="eastAsia" w:ascii="宋体" w:hAnsi="宋体" w:eastAsia="宋体" w:cs="宋体"/>
          <w:bCs/>
          <w:color w:val="auto"/>
          <w:sz w:val="24"/>
          <w:szCs w:val="24"/>
          <w:lang w:val="zh-CN" w:eastAsia="zh-CN"/>
        </w:rPr>
        <w:t>样本加样量：2μL-45uL， 0.1µl步进，满足小标本量测试要求</w:t>
      </w:r>
    </w:p>
    <w:p w14:paraId="45752CF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4.8 </w:t>
      </w:r>
      <w:r>
        <w:rPr>
          <w:rFonts w:hint="eastAsia" w:ascii="宋体" w:hAnsi="宋体" w:eastAsia="宋体" w:cs="宋体"/>
          <w:bCs/>
          <w:color w:val="auto"/>
          <w:sz w:val="24"/>
          <w:szCs w:val="24"/>
          <w:lang w:val="zh-CN" w:eastAsia="zh-CN"/>
        </w:rPr>
        <w:t>试剂位：80个试剂位，可满足新增测试项目要求</w:t>
      </w:r>
    </w:p>
    <w:p w14:paraId="01B1E7C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4.9 </w:t>
      </w:r>
      <w:r>
        <w:rPr>
          <w:rFonts w:hint="eastAsia" w:ascii="宋体" w:hAnsi="宋体" w:eastAsia="宋体" w:cs="宋体"/>
          <w:bCs/>
          <w:color w:val="auto"/>
          <w:sz w:val="24"/>
          <w:szCs w:val="24"/>
          <w:lang w:val="zh-CN" w:eastAsia="zh-CN"/>
        </w:rPr>
        <w:t>试剂盘制冷温度：2～12℃，保证试剂保存效果，提高结果准确性</w:t>
      </w:r>
    </w:p>
    <w:p w14:paraId="02BBC27F">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4.10 </w:t>
      </w:r>
      <w:r>
        <w:rPr>
          <w:rFonts w:hint="eastAsia" w:ascii="宋体" w:hAnsi="宋体" w:eastAsia="宋体" w:cs="宋体"/>
          <w:bCs/>
          <w:color w:val="auto"/>
          <w:sz w:val="24"/>
          <w:szCs w:val="24"/>
          <w:lang w:val="zh-CN" w:eastAsia="zh-CN"/>
        </w:rPr>
        <w:t>剂加样量：10μL-250uL， 0.5µl步进,试剂针具有随量跟踪，防撞和试剂预加热功能，保证仪器稳定运行，保证结果准确性</w:t>
      </w:r>
    </w:p>
    <w:p w14:paraId="0F4C71D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4.11 </w:t>
      </w:r>
      <w:r>
        <w:rPr>
          <w:rFonts w:hint="eastAsia" w:ascii="宋体" w:hAnsi="宋体" w:eastAsia="宋体" w:cs="宋体"/>
          <w:bCs/>
          <w:color w:val="auto"/>
          <w:sz w:val="24"/>
          <w:szCs w:val="24"/>
          <w:lang w:val="zh-CN" w:eastAsia="zh-CN"/>
        </w:rPr>
        <w:t>反应杯位：40个可重复使用的反应杯，光径5mm，降低反应杯更换成本，提高测试速度</w:t>
      </w:r>
    </w:p>
    <w:p w14:paraId="11DF420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4.12 </w:t>
      </w:r>
      <w:r>
        <w:rPr>
          <w:rFonts w:hint="eastAsia" w:ascii="宋体" w:hAnsi="宋体" w:eastAsia="宋体" w:cs="宋体"/>
          <w:bCs/>
          <w:color w:val="auto"/>
          <w:sz w:val="24"/>
          <w:szCs w:val="24"/>
          <w:lang w:val="zh-CN" w:eastAsia="zh-CN"/>
        </w:rPr>
        <w:t>最小反应体积： 100µl-360uL，低试剂需求，降低20-50%测试成本</w:t>
      </w:r>
    </w:p>
    <w:p w14:paraId="4679728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4.13 </w:t>
      </w:r>
      <w:r>
        <w:rPr>
          <w:rFonts w:hint="eastAsia" w:ascii="宋体" w:hAnsi="宋体" w:eastAsia="宋体" w:cs="宋体"/>
          <w:bCs/>
          <w:color w:val="auto"/>
          <w:sz w:val="24"/>
          <w:szCs w:val="24"/>
          <w:lang w:val="zh-CN" w:eastAsia="zh-CN"/>
        </w:rPr>
        <w:t>温控方式：包容式恒温装置，无需添加任何恒温液和保养剂，免维护免保养，降低操作难度，降低维护费用</w:t>
      </w:r>
    </w:p>
    <w:p w14:paraId="48941E0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4.14 </w:t>
      </w:r>
      <w:r>
        <w:rPr>
          <w:rFonts w:hint="eastAsia" w:ascii="宋体" w:hAnsi="宋体" w:eastAsia="宋体" w:cs="宋体"/>
          <w:bCs/>
          <w:color w:val="auto"/>
          <w:sz w:val="24"/>
          <w:szCs w:val="24"/>
          <w:lang w:val="zh-CN" w:eastAsia="zh-CN"/>
        </w:rPr>
        <w:t>比色杯清洗：比色杯采用温水自动清洗，八步清洗降低交叉污染率，提高结果准确性</w:t>
      </w:r>
    </w:p>
    <w:p w14:paraId="127F88B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4.15 </w:t>
      </w:r>
      <w:r>
        <w:rPr>
          <w:rFonts w:hint="eastAsia" w:ascii="宋体" w:hAnsi="宋体" w:eastAsia="宋体" w:cs="宋体"/>
          <w:bCs/>
          <w:color w:val="auto"/>
          <w:sz w:val="24"/>
          <w:szCs w:val="24"/>
          <w:lang w:val="zh-CN" w:eastAsia="zh-CN"/>
        </w:rPr>
        <w:t>光学系统：</w:t>
      </w:r>
      <w:r>
        <w:rPr>
          <w:rFonts w:hint="eastAsia" w:ascii="宋体" w:hAnsi="宋体" w:eastAsia="宋体" w:cs="宋体"/>
          <w:bCs/>
          <w:color w:val="auto"/>
          <w:sz w:val="24"/>
          <w:szCs w:val="24"/>
          <w:lang w:val="en-ZA" w:eastAsia="zh-CN"/>
        </w:rPr>
        <w:t>8个波长，340nm，405nm，450nm，510nm，546nm，578nm，630nm，670nm，滤光片分光，后续光学器件维护成本低</w:t>
      </w:r>
    </w:p>
    <w:p w14:paraId="50FBB0E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4.16 </w:t>
      </w:r>
      <w:r>
        <w:rPr>
          <w:rFonts w:hint="eastAsia" w:ascii="宋体" w:hAnsi="宋体" w:eastAsia="宋体" w:cs="宋体"/>
          <w:bCs/>
          <w:color w:val="auto"/>
          <w:sz w:val="24"/>
          <w:szCs w:val="24"/>
          <w:lang w:val="zh-CN" w:eastAsia="zh-CN"/>
        </w:rPr>
        <w:t>吸光度线性范围：0～4.0 Abs，检测结果线性范围更广</w:t>
      </w:r>
    </w:p>
    <w:p w14:paraId="230D89D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4.17 </w:t>
      </w:r>
      <w:r>
        <w:rPr>
          <w:rFonts w:hint="eastAsia" w:ascii="宋体" w:hAnsi="宋体" w:eastAsia="宋体" w:cs="宋体"/>
          <w:bCs/>
          <w:color w:val="auto"/>
          <w:sz w:val="24"/>
          <w:szCs w:val="24"/>
          <w:lang w:val="zh-CN" w:eastAsia="zh-CN"/>
        </w:rPr>
        <w:t>支持HbAlc全血直接上机测试功能，机内溶血，无需机外手工溶血，降低人工操作误差及人工工作量</w:t>
      </w:r>
    </w:p>
    <w:p w14:paraId="47ED1B1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4.18 </w:t>
      </w:r>
      <w:r>
        <w:rPr>
          <w:rFonts w:hint="eastAsia" w:ascii="宋体" w:hAnsi="宋体" w:eastAsia="宋体" w:cs="宋体"/>
          <w:bCs/>
          <w:color w:val="auto"/>
          <w:sz w:val="24"/>
          <w:szCs w:val="24"/>
          <w:lang w:val="zh-CN" w:eastAsia="zh-CN"/>
        </w:rPr>
        <w:t>具有酶线性拓展功能，保证结果准确性</w:t>
      </w:r>
    </w:p>
    <w:p w14:paraId="43B8F1B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4.19 </w:t>
      </w:r>
      <w:r>
        <w:rPr>
          <w:rFonts w:hint="eastAsia" w:ascii="宋体" w:hAnsi="宋体" w:eastAsia="宋体" w:cs="宋体"/>
          <w:bCs/>
          <w:color w:val="auto"/>
          <w:sz w:val="24"/>
          <w:szCs w:val="24"/>
          <w:lang w:val="zh-CN" w:eastAsia="zh-CN"/>
        </w:rPr>
        <w:t>支持一个项目放置多套试剂，降低大批量测试时的工作量</w:t>
      </w:r>
    </w:p>
    <w:p w14:paraId="43C6485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4.20 </w:t>
      </w:r>
      <w:r>
        <w:rPr>
          <w:rFonts w:hint="eastAsia" w:ascii="宋体" w:hAnsi="宋体" w:eastAsia="宋体" w:cs="宋体"/>
          <w:bCs/>
          <w:color w:val="auto"/>
          <w:sz w:val="24"/>
          <w:szCs w:val="24"/>
          <w:lang w:val="zh-CN" w:eastAsia="zh-CN"/>
        </w:rPr>
        <w:t>操作系统：全中文操作界面，好学易上手</w:t>
      </w:r>
    </w:p>
    <w:p w14:paraId="7AA0CFB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4.21 </w:t>
      </w:r>
      <w:r>
        <w:rPr>
          <w:rFonts w:hint="eastAsia" w:ascii="宋体" w:hAnsi="宋体" w:eastAsia="宋体" w:cs="宋体"/>
          <w:bCs/>
          <w:color w:val="auto"/>
          <w:sz w:val="24"/>
          <w:szCs w:val="24"/>
          <w:lang w:val="zh-CN" w:eastAsia="zh-CN"/>
        </w:rPr>
        <w:t>生产厂家（或集团公司）具有标准化实验室，标准化实验室通过CNAS认证认可（提供相关的认证证书）</w:t>
      </w:r>
    </w:p>
    <w:p w14:paraId="054068A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4.22 </w:t>
      </w:r>
      <w:r>
        <w:rPr>
          <w:rFonts w:hint="eastAsia" w:ascii="宋体" w:hAnsi="宋体" w:eastAsia="宋体" w:cs="宋体"/>
          <w:bCs/>
          <w:color w:val="auto"/>
          <w:sz w:val="24"/>
          <w:szCs w:val="24"/>
          <w:lang w:val="zh-CN" w:eastAsia="zh-CN"/>
        </w:rPr>
        <w:t>具备专业的动物分析软件，从上样本到出结果不超过四步，上手容易，内置专业的动物检测板块</w:t>
      </w:r>
    </w:p>
    <w:p w14:paraId="094AE63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4.23 外形尺寸（长宽高）≤695</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585</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600mm</w:t>
      </w:r>
    </w:p>
    <w:p w14:paraId="40D1DE4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4.24 重量：≤130kg</w:t>
      </w:r>
    </w:p>
    <w:p w14:paraId="4361A5D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5.配置清单：</w:t>
      </w:r>
    </w:p>
    <w:p w14:paraId="7D0FA16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5.1 </w:t>
      </w:r>
      <w:r>
        <w:rPr>
          <w:rFonts w:hint="eastAsia" w:ascii="宋体" w:hAnsi="宋体" w:eastAsia="宋体" w:cs="宋体"/>
          <w:bCs/>
          <w:color w:val="auto"/>
          <w:sz w:val="24"/>
          <w:szCs w:val="24"/>
          <w:lang w:val="zh-CN" w:eastAsia="zh-CN"/>
        </w:rPr>
        <w:t>动物全自动生化分析仪</w:t>
      </w:r>
      <w:r>
        <w:rPr>
          <w:rFonts w:hint="eastAsia" w:ascii="宋体" w:hAnsi="宋体" w:eastAsia="宋体" w:cs="宋体"/>
          <w:bCs/>
          <w:color w:val="auto"/>
          <w:sz w:val="24"/>
          <w:szCs w:val="24"/>
          <w:lang w:val="en-US" w:eastAsia="zh-CN"/>
        </w:rPr>
        <w:t>主机  1台</w:t>
      </w:r>
    </w:p>
    <w:p w14:paraId="1A9DA03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6.技术资料</w:t>
      </w:r>
    </w:p>
    <w:p w14:paraId="24E2C86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6.1 免费提供全套，完整的技术资料，包括详细的仪器中英文说明书，操作手册和仪器维护等有关资料及质量认证书</w:t>
      </w:r>
    </w:p>
    <w:p w14:paraId="7BF77FB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6.2 提供相关应用技术资料</w:t>
      </w:r>
    </w:p>
    <w:p w14:paraId="66ECEEC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7.技术服务和培训</w:t>
      </w:r>
    </w:p>
    <w:p w14:paraId="766CD69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7.1 供应商必须提供仪器的免费现场安装调试，并同时在现场对用户进行操作及维护培训</w:t>
      </w:r>
    </w:p>
    <w:p w14:paraId="7CE578B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7.2 供应商提供免费电话，为用户提供免费的电话咨询及技术服务</w:t>
      </w:r>
    </w:p>
    <w:p w14:paraId="6EA0742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7.3 供应商在国内必须设有专业的维修站，有专职的维修工程师及应用工程师有效保证售后维修的及时，快捷，并负责提供技术支持，</w:t>
      </w:r>
      <w:r>
        <w:rPr>
          <w:rFonts w:hint="eastAsia" w:ascii="宋体" w:hAnsi="宋体" w:cs="宋体"/>
          <w:bCs/>
          <w:color w:val="auto"/>
          <w:sz w:val="24"/>
          <w:szCs w:val="24"/>
          <w:lang w:val="zh-CN" w:eastAsia="zh-CN"/>
        </w:rPr>
        <w:t>2小时响应</w:t>
      </w:r>
      <w:r>
        <w:rPr>
          <w:rFonts w:hint="eastAsia" w:ascii="宋体" w:hAnsi="宋体" w:eastAsia="宋体" w:cs="宋体"/>
          <w:bCs/>
          <w:color w:val="auto"/>
          <w:sz w:val="24"/>
          <w:szCs w:val="24"/>
          <w:lang w:val="zh-CN" w:eastAsia="zh-CN"/>
        </w:rPr>
        <w:t>，</w:t>
      </w:r>
      <w:r>
        <w:rPr>
          <w:rFonts w:hint="eastAsia" w:ascii="宋体" w:hAnsi="宋体" w:cs="宋体"/>
          <w:bCs/>
          <w:color w:val="auto"/>
          <w:sz w:val="24"/>
          <w:szCs w:val="24"/>
          <w:lang w:val="zh-CN" w:eastAsia="zh-CN"/>
        </w:rPr>
        <w:t>24小时到达现场</w:t>
      </w:r>
      <w:r>
        <w:rPr>
          <w:rFonts w:hint="eastAsia" w:ascii="宋体" w:hAnsi="宋体" w:eastAsia="宋体" w:cs="宋体"/>
          <w:bCs/>
          <w:color w:val="auto"/>
          <w:sz w:val="24"/>
          <w:szCs w:val="24"/>
          <w:lang w:val="zh-CN" w:eastAsia="zh-CN"/>
        </w:rPr>
        <w:t>，保证仪器的正常操作</w:t>
      </w:r>
    </w:p>
    <w:p w14:paraId="7C26E4D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8.质量保证期</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以双方对所供货物验收合格之日开始计算整机质保</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zh-CN" w:eastAsia="zh-CN"/>
        </w:rPr>
        <w:t>年，在保修期内，所有服务及</w:t>
      </w:r>
      <w:r>
        <w:rPr>
          <w:rFonts w:hint="eastAsia" w:ascii="宋体" w:hAnsi="宋体" w:cs="宋体"/>
          <w:bCs/>
          <w:color w:val="auto"/>
          <w:sz w:val="24"/>
          <w:szCs w:val="24"/>
          <w:lang w:val="en-US" w:eastAsia="zh-CN"/>
        </w:rPr>
        <w:t>原厂</w:t>
      </w:r>
      <w:r>
        <w:rPr>
          <w:rFonts w:hint="eastAsia" w:ascii="宋体" w:hAnsi="宋体" w:eastAsia="宋体" w:cs="宋体"/>
          <w:bCs/>
          <w:color w:val="auto"/>
          <w:sz w:val="24"/>
          <w:szCs w:val="24"/>
          <w:lang w:val="zh-CN" w:eastAsia="zh-CN"/>
        </w:rPr>
        <w:t>配件全部免费</w:t>
      </w:r>
    </w:p>
    <w:p w14:paraId="33BBE61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9.交货期：签订合同后</w:t>
      </w:r>
      <w:r>
        <w:rPr>
          <w:rFonts w:hint="eastAsia" w:ascii="宋体" w:hAnsi="宋体" w:eastAsia="宋体" w:cs="宋体"/>
          <w:bCs/>
          <w:color w:val="auto"/>
          <w:sz w:val="24"/>
          <w:szCs w:val="24"/>
          <w:lang w:val="en-US" w:eastAsia="zh-CN"/>
        </w:rPr>
        <w:t>60个工作日内</w:t>
      </w:r>
    </w:p>
    <w:p w14:paraId="76BFCD4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10.交货地点：用户指定</w:t>
      </w:r>
    </w:p>
    <w:p w14:paraId="109FB93C">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lang w:val="en-US" w:eastAsia="zh-CN"/>
        </w:rPr>
      </w:pPr>
    </w:p>
    <w:p w14:paraId="43EEBFCE">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(九)全自动五分类血细胞分析仪</w:t>
      </w:r>
    </w:p>
    <w:p w14:paraId="4EA69E0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1.采购数量：</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val="zh-CN" w:eastAsia="zh-CN"/>
        </w:rPr>
        <w:t>台</w:t>
      </w:r>
    </w:p>
    <w:p w14:paraId="0B84C6C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2.主要用途：</w:t>
      </w:r>
      <w:r>
        <w:rPr>
          <w:rFonts w:hint="eastAsia" w:ascii="宋体" w:hAnsi="宋体" w:eastAsia="宋体" w:cs="宋体"/>
          <w:bCs/>
          <w:color w:val="auto"/>
          <w:sz w:val="24"/>
          <w:szCs w:val="24"/>
          <w:lang w:val="en-US" w:eastAsia="zh-CN"/>
        </w:rPr>
        <w:t>主要</w:t>
      </w:r>
      <w:r>
        <w:rPr>
          <w:rFonts w:hint="eastAsia" w:ascii="宋体" w:hAnsi="宋体" w:eastAsia="宋体" w:cs="宋体"/>
          <w:bCs/>
          <w:color w:val="auto"/>
          <w:sz w:val="24"/>
          <w:szCs w:val="24"/>
          <w:lang w:val="zh-CN" w:eastAsia="zh-CN"/>
        </w:rPr>
        <w:t>用于自动化测量和分析人体外周血液中不同种类的白细胞红细胞和血小板等血细胞数量和比例</w:t>
      </w:r>
    </w:p>
    <w:p w14:paraId="2293A7C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3.工作环境：</w:t>
      </w:r>
    </w:p>
    <w:p w14:paraId="5DC7FC4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3.1 环境温度：0~30℃</w:t>
      </w:r>
    </w:p>
    <w:p w14:paraId="66D67DD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3.2 相对湿度：0~85%</w:t>
      </w:r>
    </w:p>
    <w:p w14:paraId="30FC778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4.技术参数：</w:t>
      </w:r>
    </w:p>
    <w:p w14:paraId="6575D54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 </w:t>
      </w:r>
      <w:r>
        <w:rPr>
          <w:rFonts w:hint="eastAsia" w:ascii="宋体" w:hAnsi="宋体" w:eastAsia="宋体" w:cs="宋体"/>
          <w:bCs/>
          <w:color w:val="auto"/>
          <w:sz w:val="24"/>
          <w:szCs w:val="24"/>
          <w:lang w:val="zh-CN" w:eastAsia="zh-CN"/>
        </w:rPr>
        <w:t>动物类型：猫，狗，猴，大鼠，小鼠，猪，马，奶牛，山羊，绵羊，美洲驼，大熊猫，小熊猫等多种动物检查模式并不少于20个自定义检查模式</w:t>
      </w:r>
    </w:p>
    <w:p w14:paraId="2D461E3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 </w:t>
      </w:r>
      <w:r>
        <w:rPr>
          <w:rFonts w:hint="eastAsia" w:ascii="宋体" w:hAnsi="宋体" w:eastAsia="宋体" w:cs="宋体"/>
          <w:bCs/>
          <w:color w:val="auto"/>
          <w:sz w:val="24"/>
          <w:szCs w:val="24"/>
          <w:lang w:val="zh-CN" w:eastAsia="zh-CN"/>
        </w:rPr>
        <w:t>检测原理：WBC五分类双通道检测，采用半导体激光散射，流式细胞术，细胞化学染色，实现白细胞的准确五分类</w:t>
      </w:r>
    </w:p>
    <w:p w14:paraId="59F647BA">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4.3 </w:t>
      </w:r>
      <w:r>
        <w:rPr>
          <w:rFonts w:hint="eastAsia" w:ascii="宋体" w:hAnsi="宋体" w:eastAsia="宋体" w:cs="宋体"/>
          <w:bCs/>
          <w:color w:val="auto"/>
          <w:sz w:val="24"/>
          <w:szCs w:val="24"/>
          <w:lang w:val="zh-CN" w:eastAsia="zh-CN"/>
        </w:rPr>
        <w:t>检测参数：测试参数不少于23项</w:t>
      </w:r>
    </w:p>
    <w:p w14:paraId="006C30D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4.4 </w:t>
      </w:r>
      <w:r>
        <w:rPr>
          <w:rFonts w:hint="eastAsia" w:ascii="宋体" w:hAnsi="宋体" w:eastAsia="宋体" w:cs="宋体"/>
          <w:bCs/>
          <w:color w:val="auto"/>
          <w:sz w:val="24"/>
          <w:szCs w:val="24"/>
          <w:lang w:val="zh-CN" w:eastAsia="zh-CN"/>
        </w:rPr>
        <w:t>DIFF激光通道：对嗜酸性粒细胞进行特异性染色，使淋巴细胞，单核细胞，嗜酸性粒细胞和中性粒细胞完全区分开来</w:t>
      </w:r>
    </w:p>
    <w:p w14:paraId="2ECBF4A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4.5 </w:t>
      </w:r>
      <w:r>
        <w:rPr>
          <w:rFonts w:hint="eastAsia" w:ascii="宋体" w:hAnsi="宋体" w:eastAsia="宋体" w:cs="宋体"/>
          <w:bCs/>
          <w:color w:val="auto"/>
          <w:sz w:val="24"/>
          <w:szCs w:val="24"/>
          <w:lang w:val="zh-CN" w:eastAsia="zh-CN"/>
        </w:rPr>
        <w:t>WBC/BASO通道：保存完整的嗜碱性粒细胞，实现嗜碱性粒细胞和WBC总数的精确检测</w:t>
      </w:r>
    </w:p>
    <w:p w14:paraId="5CAA98E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4.6 </w:t>
      </w:r>
      <w:r>
        <w:rPr>
          <w:rFonts w:hint="eastAsia" w:ascii="宋体" w:hAnsi="宋体" w:eastAsia="宋体" w:cs="宋体"/>
          <w:bCs/>
          <w:color w:val="auto"/>
          <w:sz w:val="24"/>
          <w:szCs w:val="24"/>
          <w:lang w:val="zh-CN" w:eastAsia="zh-CN"/>
        </w:rPr>
        <w:t>利用特异性的细胞差别溶解修饰技术，可有效排除难溶性红细胞，巨大血小板，血小板聚集等因素对嗜碱细胞等计数结果的影响</w:t>
      </w:r>
    </w:p>
    <w:p w14:paraId="1CE9F8A0">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4.7 </w:t>
      </w:r>
      <w:r>
        <w:rPr>
          <w:rFonts w:hint="eastAsia" w:ascii="宋体" w:hAnsi="宋体" w:eastAsia="宋体" w:cs="宋体"/>
          <w:bCs/>
          <w:color w:val="auto"/>
          <w:sz w:val="24"/>
          <w:szCs w:val="24"/>
          <w:lang w:val="zh-CN" w:eastAsia="zh-CN"/>
        </w:rPr>
        <w:t>检测速度：≥60样本/小时</w:t>
      </w:r>
    </w:p>
    <w:p w14:paraId="0D9D8B37">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4.8 </w:t>
      </w:r>
      <w:r>
        <w:rPr>
          <w:rFonts w:hint="eastAsia" w:ascii="宋体" w:hAnsi="宋体" w:eastAsia="宋体" w:cs="宋体"/>
          <w:bCs/>
          <w:color w:val="auto"/>
          <w:sz w:val="24"/>
          <w:szCs w:val="24"/>
          <w:lang w:val="zh-CN" w:eastAsia="zh-CN"/>
        </w:rPr>
        <w:t>激光装置：信号稳定，使用寿命长的半导体激光器</w:t>
      </w:r>
    </w:p>
    <w:p w14:paraId="3151A35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4.9 </w:t>
      </w:r>
      <w:r>
        <w:rPr>
          <w:rFonts w:hint="eastAsia" w:ascii="宋体" w:hAnsi="宋体" w:eastAsia="宋体" w:cs="宋体"/>
          <w:bCs/>
          <w:color w:val="auto"/>
          <w:sz w:val="24"/>
          <w:szCs w:val="24"/>
          <w:lang w:val="zh-CN" w:eastAsia="zh-CN"/>
        </w:rPr>
        <w:t>检测模式：全血模式，预稀释模式，末梢全血模式</w:t>
      </w:r>
    </w:p>
    <w:p w14:paraId="5F823753">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4.10 </w:t>
      </w:r>
      <w:r>
        <w:rPr>
          <w:rFonts w:hint="eastAsia" w:ascii="宋体" w:hAnsi="宋体" w:eastAsia="宋体" w:cs="宋体"/>
          <w:bCs/>
          <w:color w:val="auto"/>
          <w:sz w:val="24"/>
          <w:szCs w:val="24"/>
          <w:lang w:val="zh-CN" w:eastAsia="zh-CN"/>
        </w:rPr>
        <w:t>分析模式：大于等于四种，预稀释模式CBC, 预稀释模式CBC+DIFF，全血模式CBC，全血模式CBC+DIFF等</w:t>
      </w:r>
    </w:p>
    <w:p w14:paraId="206DE2ED">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4.11 </w:t>
      </w:r>
      <w:r>
        <w:rPr>
          <w:rFonts w:hint="eastAsia" w:ascii="宋体" w:hAnsi="宋体" w:eastAsia="宋体" w:cs="宋体"/>
          <w:bCs/>
          <w:color w:val="auto"/>
          <w:sz w:val="24"/>
          <w:szCs w:val="24"/>
          <w:lang w:val="zh-CN" w:eastAsia="zh-CN"/>
        </w:rPr>
        <w:t xml:space="preserve">报告图形显示：3个直方图，1个散点图  </w:t>
      </w:r>
    </w:p>
    <w:p w14:paraId="420F8A0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4.12 </w:t>
      </w:r>
      <w:r>
        <w:rPr>
          <w:rFonts w:hint="eastAsia" w:ascii="宋体" w:hAnsi="宋体" w:eastAsia="宋体" w:cs="宋体"/>
          <w:bCs/>
          <w:color w:val="auto"/>
          <w:sz w:val="24"/>
          <w:szCs w:val="24"/>
          <w:lang w:val="zh-CN" w:eastAsia="zh-CN"/>
        </w:rPr>
        <w:t>异常信息报警功能：具备未成熟细胞和异常/异型淋巴细胞等报警功能</w:t>
      </w:r>
    </w:p>
    <w:p w14:paraId="00A700B0">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4.13 </w:t>
      </w:r>
      <w:r>
        <w:rPr>
          <w:rFonts w:hint="eastAsia" w:ascii="宋体" w:hAnsi="宋体" w:eastAsia="宋体" w:cs="宋体"/>
          <w:bCs/>
          <w:color w:val="auto"/>
          <w:sz w:val="24"/>
          <w:szCs w:val="24"/>
          <w:lang w:val="zh-CN" w:eastAsia="zh-CN"/>
        </w:rPr>
        <w:t>末梢血分析：末梢血测定≤15μL，血液预稀释测定≤20μL。15μL末梢血即可得到准确的白细胞五分类和全血细胞计数，满足急诊、危重及幼年动物等特殊患病例采血的需要</w:t>
      </w:r>
    </w:p>
    <w:p w14:paraId="180DD37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4.14 </w:t>
      </w:r>
      <w:r>
        <w:rPr>
          <w:rFonts w:hint="eastAsia" w:ascii="宋体" w:hAnsi="宋体" w:eastAsia="宋体" w:cs="宋体"/>
          <w:bCs/>
          <w:color w:val="auto"/>
          <w:sz w:val="24"/>
          <w:szCs w:val="24"/>
          <w:lang w:val="zh-CN" w:eastAsia="zh-CN"/>
        </w:rPr>
        <w:t>HGB检测采用无氰试剂检测，避免环境污染</w:t>
      </w:r>
    </w:p>
    <w:p w14:paraId="4802F7F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4.15 </w:t>
      </w:r>
      <w:r>
        <w:rPr>
          <w:rFonts w:hint="eastAsia" w:ascii="宋体" w:hAnsi="宋体" w:eastAsia="宋体" w:cs="宋体"/>
          <w:bCs/>
          <w:color w:val="auto"/>
          <w:sz w:val="24"/>
          <w:szCs w:val="24"/>
          <w:lang w:val="zh-CN" w:eastAsia="zh-CN"/>
        </w:rPr>
        <w:t>稀释器：仪器内置稀释器，采样针自动分注稀释液，无需手工加注稀释液</w:t>
      </w:r>
    </w:p>
    <w:p w14:paraId="3F835991">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4.16 </w:t>
      </w:r>
      <w:r>
        <w:rPr>
          <w:rFonts w:hint="eastAsia" w:ascii="宋体" w:hAnsi="宋体" w:eastAsia="宋体" w:cs="宋体"/>
          <w:bCs/>
          <w:color w:val="auto"/>
          <w:sz w:val="24"/>
          <w:szCs w:val="24"/>
          <w:lang w:val="zh-CN" w:eastAsia="zh-CN"/>
        </w:rPr>
        <w:t>质量控制：提供原厂配套三种水平（高、中、低）有注册证的质控品和配套注册的校准品</w:t>
      </w:r>
    </w:p>
    <w:p w14:paraId="30BECB50">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4.17 </w:t>
      </w:r>
      <w:r>
        <w:rPr>
          <w:rFonts w:hint="eastAsia" w:ascii="宋体" w:hAnsi="宋体" w:eastAsia="宋体" w:cs="宋体"/>
          <w:bCs/>
          <w:color w:val="auto"/>
          <w:sz w:val="24"/>
          <w:szCs w:val="24"/>
          <w:lang w:val="zh-CN" w:eastAsia="zh-CN"/>
        </w:rPr>
        <w:t>样本存储：存储不少于40000份样本的全部信息</w:t>
      </w:r>
    </w:p>
    <w:p w14:paraId="37B468A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4.18 </w:t>
      </w:r>
      <w:r>
        <w:rPr>
          <w:rFonts w:hint="eastAsia" w:ascii="宋体" w:hAnsi="宋体" w:eastAsia="宋体" w:cs="宋体"/>
          <w:bCs/>
          <w:color w:val="auto"/>
          <w:sz w:val="24"/>
          <w:szCs w:val="24"/>
          <w:lang w:val="zh-CN" w:eastAsia="zh-CN"/>
        </w:rPr>
        <w:t>校准方式：有全血、预稀释两套独立的校准系数，不仅具备手动校准和校准物校准功能，还有新鲜血校准功能</w:t>
      </w:r>
    </w:p>
    <w:p w14:paraId="3715FAB6">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4.19 </w:t>
      </w:r>
      <w:r>
        <w:rPr>
          <w:rFonts w:hint="eastAsia" w:ascii="宋体" w:hAnsi="宋体" w:eastAsia="宋体" w:cs="宋体"/>
          <w:bCs/>
          <w:color w:val="auto"/>
          <w:sz w:val="24"/>
          <w:szCs w:val="24"/>
          <w:lang w:val="zh-CN" w:eastAsia="zh-CN"/>
        </w:rPr>
        <w:t>生产厂家（或集团公司）具有标准化实验室，标准化实验室通过CNAS认证认可（提供相关的认证证书）</w:t>
      </w:r>
    </w:p>
    <w:p w14:paraId="5A14790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4.20 外形尺寸（长高宽）：325</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435mm(含胶脚)</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410 mm</w:t>
      </w:r>
    </w:p>
    <w:p w14:paraId="7152F61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4.21 重量：25kg</w:t>
      </w:r>
    </w:p>
    <w:p w14:paraId="43F40A7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5.配置清单：</w:t>
      </w:r>
    </w:p>
    <w:p w14:paraId="16CB73C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5.1 </w:t>
      </w:r>
      <w:r>
        <w:rPr>
          <w:rFonts w:hint="eastAsia" w:ascii="宋体" w:hAnsi="宋体" w:eastAsia="宋体" w:cs="宋体"/>
          <w:bCs/>
          <w:color w:val="auto"/>
          <w:sz w:val="24"/>
          <w:szCs w:val="24"/>
          <w:lang w:val="zh-CN" w:eastAsia="zh-CN"/>
        </w:rPr>
        <w:t>全自动五分类血细胞分析仪</w:t>
      </w:r>
      <w:r>
        <w:rPr>
          <w:rFonts w:hint="eastAsia" w:ascii="宋体" w:hAnsi="宋体" w:eastAsia="宋体" w:cs="宋体"/>
          <w:bCs/>
          <w:color w:val="auto"/>
          <w:sz w:val="24"/>
          <w:szCs w:val="24"/>
          <w:lang w:val="en-US" w:eastAsia="zh-CN"/>
        </w:rPr>
        <w:t>主机  1台</w:t>
      </w:r>
    </w:p>
    <w:p w14:paraId="7E305A5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6.技术资料</w:t>
      </w:r>
    </w:p>
    <w:p w14:paraId="6525FF1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6.1 免费提供全套，完整的技术资料，包括详细的仪器中英文说明书，操作手册和仪器维护等有关资料及质量认证书</w:t>
      </w:r>
    </w:p>
    <w:p w14:paraId="74B9C32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6.2 提供相关应用技术资料</w:t>
      </w:r>
    </w:p>
    <w:p w14:paraId="09729FEA">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7.技术服务和培训</w:t>
      </w:r>
    </w:p>
    <w:p w14:paraId="5E4B6B3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7.1 供应商必须提供仪器的免费现场安装调试，并同时在现场对用户进行操作及维护培训</w:t>
      </w:r>
    </w:p>
    <w:p w14:paraId="4E675FE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7.2 供应商提供免费电话，为用户提供免费的电话咨询及技术服务</w:t>
      </w:r>
    </w:p>
    <w:p w14:paraId="4E7132E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7.3 供应商在国内必须设有专业的维修站，有专职的维修工程师及应用工程师有效保证售后维修的及时，快捷，并负责提供技术支持，</w:t>
      </w:r>
      <w:r>
        <w:rPr>
          <w:rFonts w:hint="eastAsia" w:ascii="宋体" w:hAnsi="宋体" w:cs="宋体"/>
          <w:bCs/>
          <w:color w:val="auto"/>
          <w:sz w:val="24"/>
          <w:szCs w:val="24"/>
          <w:lang w:val="zh-CN" w:eastAsia="zh-CN"/>
        </w:rPr>
        <w:t>2小时响应</w:t>
      </w:r>
      <w:r>
        <w:rPr>
          <w:rFonts w:hint="eastAsia" w:ascii="宋体" w:hAnsi="宋体" w:eastAsia="宋体" w:cs="宋体"/>
          <w:bCs/>
          <w:color w:val="auto"/>
          <w:sz w:val="24"/>
          <w:szCs w:val="24"/>
          <w:lang w:val="zh-CN" w:eastAsia="zh-CN"/>
        </w:rPr>
        <w:t>，</w:t>
      </w:r>
      <w:r>
        <w:rPr>
          <w:rFonts w:hint="eastAsia" w:ascii="宋体" w:hAnsi="宋体" w:cs="宋体"/>
          <w:bCs/>
          <w:color w:val="auto"/>
          <w:sz w:val="24"/>
          <w:szCs w:val="24"/>
          <w:lang w:val="zh-CN" w:eastAsia="zh-CN"/>
        </w:rPr>
        <w:t>24小时到达现场</w:t>
      </w:r>
      <w:r>
        <w:rPr>
          <w:rFonts w:hint="eastAsia" w:ascii="宋体" w:hAnsi="宋体" w:eastAsia="宋体" w:cs="宋体"/>
          <w:bCs/>
          <w:color w:val="auto"/>
          <w:sz w:val="24"/>
          <w:szCs w:val="24"/>
          <w:lang w:val="zh-CN" w:eastAsia="zh-CN"/>
        </w:rPr>
        <w:t>，保证仪器的正常操作</w:t>
      </w:r>
    </w:p>
    <w:p w14:paraId="4D60C7E1">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8</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质量保证期</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以双方对所供货物验收合格之日开始计算整机质保</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zh-CN" w:eastAsia="zh-CN"/>
        </w:rPr>
        <w:t>年，在保修期内，所有服务及</w:t>
      </w:r>
      <w:r>
        <w:rPr>
          <w:rFonts w:hint="eastAsia" w:ascii="宋体" w:hAnsi="宋体" w:cs="宋体"/>
          <w:bCs/>
          <w:color w:val="auto"/>
          <w:sz w:val="24"/>
          <w:szCs w:val="24"/>
          <w:lang w:val="en-US" w:eastAsia="zh-CN"/>
        </w:rPr>
        <w:t>原厂</w:t>
      </w:r>
      <w:r>
        <w:rPr>
          <w:rFonts w:hint="eastAsia" w:ascii="宋体" w:hAnsi="宋体" w:eastAsia="宋体" w:cs="宋体"/>
          <w:bCs/>
          <w:color w:val="auto"/>
          <w:sz w:val="24"/>
          <w:szCs w:val="24"/>
          <w:lang w:val="zh-CN" w:eastAsia="zh-CN"/>
        </w:rPr>
        <w:t>配件全部免费</w:t>
      </w:r>
    </w:p>
    <w:p w14:paraId="72CC621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9</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交货期：签订合同后</w:t>
      </w:r>
      <w:r>
        <w:rPr>
          <w:rFonts w:hint="eastAsia" w:ascii="宋体" w:hAnsi="宋体" w:eastAsia="宋体" w:cs="宋体"/>
          <w:bCs/>
          <w:color w:val="auto"/>
          <w:sz w:val="24"/>
          <w:szCs w:val="24"/>
          <w:lang w:val="en-US" w:eastAsia="zh-CN"/>
        </w:rPr>
        <w:t>60个工作日内</w:t>
      </w:r>
    </w:p>
    <w:p w14:paraId="7E4D462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10</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交货地点：用户指定</w:t>
      </w:r>
    </w:p>
    <w:p w14:paraId="5B7CFBE3">
      <w:pPr>
        <w:keepNext w:val="0"/>
        <w:keepLines w:val="0"/>
        <w:pageBreakBefore w:val="0"/>
        <w:widowControl/>
        <w:kinsoku w:val="0"/>
        <w:wordWrap w:val="0"/>
        <w:overflowPunct/>
        <w:topLinePunct w:val="0"/>
        <w:autoSpaceDE w:val="0"/>
        <w:autoSpaceDN w:val="0"/>
        <w:bidi w:val="0"/>
        <w:adjustRightInd w:val="0"/>
        <w:snapToGrid w:val="0"/>
        <w:textAlignment w:val="baseline"/>
        <w:rPr>
          <w:rFonts w:hint="eastAsia" w:ascii="宋体" w:hAnsi="宋体" w:eastAsia="宋体" w:cs="宋体"/>
          <w:bCs/>
          <w:color w:val="auto"/>
          <w:sz w:val="24"/>
          <w:szCs w:val="24"/>
          <w:lang w:val="en-US" w:eastAsia="zh-CN"/>
        </w:rPr>
      </w:pPr>
    </w:p>
    <w:p w14:paraId="4EA2CA7E">
      <w:pPr>
        <w:keepNext w:val="0"/>
        <w:keepLines w:val="0"/>
        <w:pageBreakBefore w:val="0"/>
        <w:widowControl/>
        <w:kinsoku w:val="0"/>
        <w:wordWrap w:val="0"/>
        <w:overflowPunct/>
        <w:topLinePunct w:val="0"/>
        <w:autoSpaceDE w:val="0"/>
        <w:autoSpaceDN w:val="0"/>
        <w:bidi w:val="0"/>
        <w:adjustRightInd w:val="0"/>
        <w:snapToGrid w:val="0"/>
        <w:textAlignment w:val="baseline"/>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(十)全光谱水质分析仪</w:t>
      </w:r>
    </w:p>
    <w:p w14:paraId="4DEE082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1</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采购数量：</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val="zh-CN" w:eastAsia="zh-CN"/>
        </w:rPr>
        <w:t>台</w:t>
      </w:r>
    </w:p>
    <w:p w14:paraId="2DA4061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2</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主要用途：</w:t>
      </w:r>
      <w:r>
        <w:rPr>
          <w:rFonts w:hint="eastAsia" w:ascii="宋体" w:hAnsi="宋体" w:eastAsia="宋体" w:cs="宋体"/>
          <w:bCs/>
          <w:color w:val="auto"/>
          <w:sz w:val="24"/>
          <w:szCs w:val="24"/>
          <w:lang w:val="en-US" w:eastAsia="zh-CN"/>
        </w:rPr>
        <w:t>主要用于针对水质的各项指标分析监测</w:t>
      </w:r>
    </w:p>
    <w:p w14:paraId="07A1D49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工作环境：</w:t>
      </w:r>
    </w:p>
    <w:p w14:paraId="6BCBE81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3.1 环境温度：0~50℃</w:t>
      </w:r>
    </w:p>
    <w:p w14:paraId="6DDB931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3.2 相对湿度：0~85%</w:t>
      </w:r>
    </w:p>
    <w:p w14:paraId="6743BEC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 xml:space="preserve">3.3 </w:t>
      </w:r>
      <w:r>
        <w:rPr>
          <w:rFonts w:hint="eastAsia" w:ascii="宋体" w:hAnsi="宋体" w:eastAsia="宋体" w:cs="宋体"/>
          <w:bCs/>
          <w:color w:val="auto"/>
          <w:sz w:val="24"/>
          <w:szCs w:val="24"/>
          <w:lang w:val="en-US" w:eastAsia="zh-CN"/>
        </w:rPr>
        <w:t>太阳能板+支架+蓄电池</w:t>
      </w:r>
    </w:p>
    <w:p w14:paraId="20EF049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4.技术参数：</w:t>
      </w:r>
    </w:p>
    <w:p w14:paraId="73DB540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 </w:t>
      </w:r>
      <w:r>
        <w:rPr>
          <w:rFonts w:hint="eastAsia" w:ascii="宋体" w:hAnsi="宋体" w:eastAsia="宋体" w:cs="宋体"/>
          <w:bCs/>
          <w:color w:val="auto"/>
          <w:sz w:val="24"/>
          <w:szCs w:val="24"/>
          <w:lang w:val="zh-CN" w:eastAsia="zh-CN"/>
        </w:rPr>
        <w:t>工作温度</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0-50℃</w:t>
      </w:r>
    </w:p>
    <w:p w14:paraId="635C6AA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 </w:t>
      </w:r>
      <w:r>
        <w:rPr>
          <w:rFonts w:hint="eastAsia" w:ascii="宋体" w:hAnsi="宋体" w:eastAsia="宋体" w:cs="宋体"/>
          <w:bCs/>
          <w:color w:val="auto"/>
          <w:sz w:val="24"/>
          <w:szCs w:val="24"/>
          <w:lang w:val="zh-CN" w:eastAsia="zh-CN"/>
        </w:rPr>
        <w:t>防水等级</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IP68</w:t>
      </w:r>
    </w:p>
    <w:p w14:paraId="074EAB8C">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 xml:space="preserve">4.3 </w:t>
      </w:r>
      <w:r>
        <w:rPr>
          <w:rFonts w:hint="eastAsia" w:ascii="宋体" w:hAnsi="宋体" w:eastAsia="宋体" w:cs="宋体"/>
          <w:bCs/>
          <w:color w:val="auto"/>
          <w:sz w:val="24"/>
          <w:szCs w:val="24"/>
          <w:lang w:val="zh-CN" w:eastAsia="zh-CN"/>
        </w:rPr>
        <w:t>测量范围</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200-900nm</w:t>
      </w:r>
    </w:p>
    <w:p w14:paraId="67175B2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4.4 </w:t>
      </w:r>
      <w:r>
        <w:rPr>
          <w:rFonts w:hint="eastAsia" w:ascii="宋体" w:hAnsi="宋体" w:eastAsia="宋体" w:cs="宋体"/>
          <w:bCs/>
          <w:color w:val="auto"/>
          <w:sz w:val="24"/>
          <w:szCs w:val="24"/>
          <w:lang w:val="zh-CN" w:eastAsia="zh-CN"/>
        </w:rPr>
        <w:t>测量精度</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±10%</w:t>
      </w:r>
    </w:p>
    <w:p w14:paraId="5021DFD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4.5 </w:t>
      </w:r>
      <w:r>
        <w:rPr>
          <w:rFonts w:hint="eastAsia" w:ascii="宋体" w:hAnsi="宋体" w:eastAsia="宋体" w:cs="宋体"/>
          <w:bCs/>
          <w:color w:val="auto"/>
          <w:sz w:val="24"/>
          <w:szCs w:val="24"/>
          <w:lang w:val="zh-CN" w:eastAsia="zh-CN"/>
        </w:rPr>
        <w:t>工作压力</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0-3bar</w:t>
      </w:r>
    </w:p>
    <w:p w14:paraId="4FC19D5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4.6 </w:t>
      </w:r>
      <w:r>
        <w:rPr>
          <w:rFonts w:hint="eastAsia" w:ascii="宋体" w:hAnsi="宋体" w:eastAsia="宋体" w:cs="宋体"/>
          <w:bCs/>
          <w:color w:val="auto"/>
          <w:sz w:val="24"/>
          <w:szCs w:val="24"/>
          <w:lang w:val="zh-CN" w:eastAsia="zh-CN"/>
        </w:rPr>
        <w:t>通讯接口</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RS485</w:t>
      </w:r>
    </w:p>
    <w:p w14:paraId="2243FB1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4.7 </w:t>
      </w:r>
      <w:r>
        <w:rPr>
          <w:rFonts w:hint="eastAsia" w:ascii="宋体" w:hAnsi="宋体" w:eastAsia="宋体" w:cs="宋体"/>
          <w:bCs/>
          <w:color w:val="auto"/>
          <w:sz w:val="24"/>
          <w:szCs w:val="24"/>
          <w:lang w:val="zh-CN" w:eastAsia="zh-CN"/>
        </w:rPr>
        <w:t>测量原理</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光谱法</w:t>
      </w:r>
    </w:p>
    <w:p w14:paraId="15DCBF9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4.8 </w:t>
      </w:r>
      <w:r>
        <w:rPr>
          <w:rFonts w:hint="eastAsia" w:ascii="宋体" w:hAnsi="宋体" w:eastAsia="宋体" w:cs="宋体"/>
          <w:bCs/>
          <w:color w:val="auto"/>
          <w:sz w:val="24"/>
          <w:szCs w:val="24"/>
          <w:lang w:val="zh-CN" w:eastAsia="zh-CN"/>
        </w:rPr>
        <w:t>MTBF</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≥720h/次</w:t>
      </w:r>
    </w:p>
    <w:p w14:paraId="7759A80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4.9 </w:t>
      </w:r>
      <w:r>
        <w:rPr>
          <w:rFonts w:hint="eastAsia" w:ascii="宋体" w:hAnsi="宋体" w:eastAsia="宋体" w:cs="宋体"/>
          <w:bCs/>
          <w:color w:val="auto"/>
          <w:sz w:val="24"/>
          <w:szCs w:val="24"/>
          <w:lang w:val="zh-CN" w:eastAsia="zh-CN"/>
        </w:rPr>
        <w:t>流速范围</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0-3m/s</w:t>
      </w:r>
    </w:p>
    <w:p w14:paraId="1061925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4.10 </w:t>
      </w:r>
      <w:r>
        <w:rPr>
          <w:rFonts w:hint="eastAsia" w:ascii="宋体" w:hAnsi="宋体" w:eastAsia="宋体" w:cs="宋体"/>
          <w:bCs/>
          <w:color w:val="auto"/>
          <w:sz w:val="24"/>
          <w:szCs w:val="24"/>
          <w:lang w:val="zh-CN" w:eastAsia="zh-CN"/>
        </w:rPr>
        <w:t>零点漂移</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±2%</w:t>
      </w:r>
    </w:p>
    <w:p w14:paraId="0E4CD7A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4.11 </w:t>
      </w:r>
      <w:r>
        <w:rPr>
          <w:rFonts w:hint="eastAsia" w:ascii="宋体" w:hAnsi="宋体" w:eastAsia="宋体" w:cs="宋体"/>
          <w:bCs/>
          <w:color w:val="auto"/>
          <w:sz w:val="24"/>
          <w:szCs w:val="24"/>
          <w:lang w:val="zh-CN" w:eastAsia="zh-CN"/>
        </w:rPr>
        <w:t>COD：测量参数</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lang w:val="zh-CN" w:eastAsia="zh-CN"/>
        </w:rPr>
        <w:t>0-500mg，测量范围L 0-1000mg/L，测量精度±10%F.S，分辨率0.01mg/L</w:t>
      </w:r>
    </w:p>
    <w:p w14:paraId="6EF5F31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4.12 </w:t>
      </w:r>
      <w:r>
        <w:rPr>
          <w:rFonts w:hint="eastAsia" w:ascii="宋体" w:hAnsi="宋体" w:eastAsia="宋体" w:cs="宋体"/>
          <w:bCs/>
          <w:color w:val="auto"/>
          <w:sz w:val="24"/>
          <w:szCs w:val="24"/>
          <w:lang w:val="zh-CN" w:eastAsia="zh-CN"/>
        </w:rPr>
        <w:t>浊度：测量参数0-400NTU，测量范围 0-1000NTU</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，测量精度±10%F.S，分辨率0.01NTU</w:t>
      </w:r>
    </w:p>
    <w:p w14:paraId="03B0D98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4.13 </w:t>
      </w:r>
      <w:r>
        <w:rPr>
          <w:rFonts w:hint="eastAsia" w:ascii="宋体" w:hAnsi="宋体" w:eastAsia="宋体" w:cs="宋体"/>
          <w:bCs/>
          <w:color w:val="auto"/>
          <w:sz w:val="24"/>
          <w:szCs w:val="24"/>
          <w:lang w:val="zh-CN" w:eastAsia="zh-CN"/>
        </w:rPr>
        <w:t>NO3：测量参数0-1000mg/L，测量范围0-30000mg/L，测量精度±10%F.S，</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分辨率0.01mg/L</w:t>
      </w:r>
    </w:p>
    <w:p w14:paraId="148EC80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4.14 </w:t>
      </w:r>
      <w:r>
        <w:rPr>
          <w:rFonts w:hint="eastAsia" w:ascii="宋体" w:hAnsi="宋体" w:eastAsia="宋体" w:cs="宋体"/>
          <w:bCs/>
          <w:color w:val="auto"/>
          <w:sz w:val="24"/>
          <w:szCs w:val="24"/>
          <w:lang w:val="zh-CN" w:eastAsia="zh-CN"/>
        </w:rPr>
        <w:t>N</w:t>
      </w:r>
      <w:r>
        <w:rPr>
          <w:rFonts w:hint="eastAsia" w:ascii="宋体" w:hAnsi="宋体" w:cs="宋体"/>
          <w:bCs/>
          <w:color w:val="auto"/>
          <w:sz w:val="24"/>
          <w:szCs w:val="24"/>
          <w:lang w:val="zh-CN" w:eastAsia="zh-CN"/>
        </w:rPr>
        <w:t>O</w:t>
      </w:r>
      <w:r>
        <w:rPr>
          <w:rFonts w:hint="eastAsia" w:ascii="宋体" w:hAnsi="宋体" w:cs="宋体"/>
          <w:bCs/>
          <w:color w:val="auto"/>
          <w:sz w:val="24"/>
          <w:szCs w:val="24"/>
          <w:vertAlign w:val="subscript"/>
          <w:lang w:val="en-US" w:eastAsia="zh-CN"/>
        </w:rPr>
        <w:t>2</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测量参数 0-1000mg/L，测量范围0-10000mg/L，测量精度±10%F.S，分辨率0.01mg/L</w:t>
      </w:r>
    </w:p>
    <w:p w14:paraId="20C325F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4.15 </w:t>
      </w:r>
      <w:r>
        <w:rPr>
          <w:rFonts w:hint="eastAsia" w:ascii="宋体" w:hAnsi="宋体" w:eastAsia="宋体" w:cs="宋体"/>
          <w:bCs/>
          <w:color w:val="auto"/>
          <w:sz w:val="24"/>
          <w:szCs w:val="24"/>
          <w:lang w:val="zh-CN" w:eastAsia="zh-CN"/>
        </w:rPr>
        <w:t>氨氮：测量参数0-300mg/L</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zh-CN" w:eastAsia="zh-CN"/>
        </w:rPr>
        <w:t>测量范围 0-1000mg/L，测量精度±10%F.S，分辨率0.1mg/L</w:t>
      </w:r>
    </w:p>
    <w:p w14:paraId="7744FE8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4.16 </w:t>
      </w:r>
      <w:r>
        <w:rPr>
          <w:rFonts w:hint="eastAsia" w:ascii="宋体" w:hAnsi="宋体" w:eastAsia="宋体" w:cs="宋体"/>
          <w:bCs/>
          <w:color w:val="auto"/>
          <w:sz w:val="24"/>
          <w:szCs w:val="24"/>
          <w:lang w:val="zh-CN" w:eastAsia="zh-CN"/>
        </w:rPr>
        <w:t>电导率，测量参数0-100ms/cm，测量范围0-500ms/cm，测量精度±10%F.S，分辨率0.1mg/L</w:t>
      </w:r>
    </w:p>
    <w:p w14:paraId="2E649B6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4.17 </w:t>
      </w:r>
      <w:r>
        <w:rPr>
          <w:rFonts w:hint="eastAsia" w:ascii="宋体" w:hAnsi="宋体" w:eastAsia="宋体" w:cs="宋体"/>
          <w:bCs/>
          <w:color w:val="auto"/>
          <w:sz w:val="24"/>
          <w:szCs w:val="24"/>
          <w:lang w:val="zh-CN" w:eastAsia="zh-CN"/>
        </w:rPr>
        <w:t>余氯：测量参数0-20mg/L，测量范围 0-100mg/L</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，测量精度±10%F.S，分辨率0.1mg/L</w:t>
      </w:r>
    </w:p>
    <w:p w14:paraId="5973153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4.18 </w:t>
      </w:r>
      <w:r>
        <w:rPr>
          <w:rFonts w:hint="eastAsia" w:ascii="宋体" w:hAnsi="宋体" w:eastAsia="宋体" w:cs="宋体"/>
          <w:bCs/>
          <w:color w:val="auto"/>
          <w:sz w:val="24"/>
          <w:szCs w:val="24"/>
          <w:lang w:val="zh-CN" w:eastAsia="zh-CN"/>
        </w:rPr>
        <w:t>溶解氧：测量参数0-20mg/L，测量范围 0-100mg/L，测量精度±10%F.S，分辨率0.01mg/L</w:t>
      </w:r>
    </w:p>
    <w:p w14:paraId="6DEE3A4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4.19 </w:t>
      </w:r>
      <w:r>
        <w:rPr>
          <w:rFonts w:hint="eastAsia" w:ascii="宋体" w:hAnsi="宋体" w:eastAsia="宋体" w:cs="宋体"/>
          <w:bCs/>
          <w:color w:val="auto"/>
          <w:sz w:val="24"/>
          <w:szCs w:val="24"/>
          <w:lang w:val="zh-CN" w:eastAsia="zh-CN"/>
        </w:rPr>
        <w:t>TOC：测量参数0-100mg/L，测量范围 0-300mg/L，测量精度±10%F.S，</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分辨率0.01mg/L</w:t>
      </w:r>
    </w:p>
    <w:p w14:paraId="518F1D39">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4.20 </w:t>
      </w:r>
      <w:r>
        <w:rPr>
          <w:rFonts w:hint="eastAsia" w:ascii="宋体" w:hAnsi="宋体" w:eastAsia="宋体" w:cs="宋体"/>
          <w:bCs/>
          <w:color w:val="auto"/>
          <w:sz w:val="24"/>
          <w:szCs w:val="24"/>
          <w:lang w:val="zh-CN" w:eastAsia="zh-CN"/>
        </w:rPr>
        <w:t>BOD：测量参数0-100mg/L，测量范围 0-300mg/L，测量精度±10%F.S，</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分辨率0.01mg/L</w:t>
      </w:r>
    </w:p>
    <w:p w14:paraId="2974E40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4.21 </w:t>
      </w:r>
      <w:r>
        <w:rPr>
          <w:rFonts w:hint="eastAsia" w:ascii="宋体" w:hAnsi="宋体" w:eastAsia="宋体" w:cs="宋体"/>
          <w:bCs/>
          <w:color w:val="auto"/>
          <w:sz w:val="24"/>
          <w:szCs w:val="24"/>
          <w:lang w:val="zh-CN" w:eastAsia="zh-CN"/>
        </w:rPr>
        <w:t>色度：测量参数 0-50度，测量范围 0-500度，测量精度±10%F.S，</w:t>
      </w:r>
      <w:r>
        <w:rPr>
          <w:rFonts w:hint="eastAsia" w:ascii="宋体" w:hAnsi="宋体" w:eastAsia="宋体" w:cs="宋体"/>
          <w:bCs/>
          <w:color w:val="auto"/>
          <w:sz w:val="24"/>
          <w:szCs w:val="24"/>
          <w:lang w:val="zh-CN" w:eastAsia="zh-CN"/>
        </w:rPr>
        <w:tab/>
      </w:r>
      <w:r>
        <w:rPr>
          <w:rFonts w:hint="eastAsia" w:ascii="宋体" w:hAnsi="宋体" w:eastAsia="宋体" w:cs="宋体"/>
          <w:bCs/>
          <w:color w:val="auto"/>
          <w:sz w:val="24"/>
          <w:szCs w:val="24"/>
          <w:lang w:val="zh-CN" w:eastAsia="zh-CN"/>
        </w:rPr>
        <w:t>分辨率0.01mg/L</w:t>
      </w:r>
    </w:p>
    <w:p w14:paraId="4696689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 xml:space="preserve">4.22 </w:t>
      </w:r>
      <w:r>
        <w:rPr>
          <w:rFonts w:hint="eastAsia" w:ascii="宋体" w:hAnsi="宋体" w:eastAsia="宋体" w:cs="宋体"/>
          <w:bCs/>
          <w:color w:val="auto"/>
          <w:sz w:val="24"/>
          <w:szCs w:val="24"/>
          <w:lang w:val="zh-CN" w:eastAsia="zh-CN"/>
        </w:rPr>
        <w:t>O</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val="zh-CN" w:eastAsia="zh-CN"/>
        </w:rPr>
        <w:t>测量参数0-200mg/L，测量范围0-1000mg/L，测量精度±10%F.S，分辨率0.1mg/L</w:t>
      </w:r>
    </w:p>
    <w:p w14:paraId="1B90ECFB">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4.23 设备尺寸（长宽高）：199</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167</w:t>
      </w:r>
      <w:r>
        <w:rPr>
          <w:rFonts w:hint="eastAsia" w:ascii="宋体" w:hAnsi="宋体" w:eastAsia="宋体" w:cs="宋体"/>
          <w:b/>
          <w:bCs/>
          <w:color w:val="auto"/>
          <w:sz w:val="24"/>
          <w:szCs w:val="24"/>
          <w:lang w:val="en-US" w:eastAsia="zh-CN"/>
        </w:rPr>
        <w:t>*</w:t>
      </w:r>
      <w:r>
        <w:rPr>
          <w:rFonts w:hint="eastAsia" w:ascii="宋体" w:hAnsi="宋体" w:eastAsia="宋体" w:cs="宋体"/>
          <w:bCs/>
          <w:color w:val="auto"/>
          <w:sz w:val="24"/>
          <w:szCs w:val="24"/>
          <w:lang w:val="en-US" w:eastAsia="zh-CN"/>
        </w:rPr>
        <w:t>199mm</w:t>
      </w:r>
    </w:p>
    <w:p w14:paraId="2B09E500">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4.24 重量：5kg</w:t>
      </w:r>
    </w:p>
    <w:p w14:paraId="05D2FCE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5.配置清单:</w:t>
      </w:r>
    </w:p>
    <w:p w14:paraId="2049B664">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5.1 全光谱水质分析仪主机  1台</w:t>
      </w:r>
    </w:p>
    <w:p w14:paraId="47FD8042">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5.2 浮漂站70cm直径浮漂  1个</w:t>
      </w:r>
    </w:p>
    <w:p w14:paraId="47221EF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5.3 含太阳能板+支架+蓄电池+4G联网模块+3年流量  1套</w:t>
      </w:r>
    </w:p>
    <w:p w14:paraId="5C5E9216">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技术资料</w:t>
      </w:r>
    </w:p>
    <w:p w14:paraId="5D8CEFD7">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6.1 免费提供全套，完整的技术资料，包括详细的仪器中英文说明书，操作手册和仪器维护等有关资料及质量认证书</w:t>
      </w:r>
    </w:p>
    <w:p w14:paraId="7A02DA48">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6.2 提供相关应用技术资料</w:t>
      </w:r>
    </w:p>
    <w:p w14:paraId="0646FD8D">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技术服务和培训</w:t>
      </w:r>
    </w:p>
    <w:p w14:paraId="14487E7E">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7.1 供应商必须提供仪器的免费现场安装调试，并同时在现场对用户进行操作及维护培训</w:t>
      </w:r>
    </w:p>
    <w:p w14:paraId="1B3B465F">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7.2 供应商提供免费电话，为用户提供免费的电话咨询及技术服务</w:t>
      </w:r>
    </w:p>
    <w:p w14:paraId="3C08942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7.3 供应商在国内必须设有专业的维修站，有专职的维修工程师及应用工程师有效保证售后维修的及时，快捷，并负责提供技术支持，</w:t>
      </w:r>
      <w:r>
        <w:rPr>
          <w:rFonts w:hint="eastAsia" w:ascii="宋体" w:hAnsi="宋体" w:cs="宋体"/>
          <w:bCs/>
          <w:color w:val="auto"/>
          <w:sz w:val="24"/>
          <w:szCs w:val="24"/>
          <w:lang w:val="zh-CN" w:eastAsia="zh-CN"/>
        </w:rPr>
        <w:t>2小时响应</w:t>
      </w:r>
      <w:r>
        <w:rPr>
          <w:rFonts w:hint="eastAsia" w:ascii="宋体" w:hAnsi="宋体" w:eastAsia="宋体" w:cs="宋体"/>
          <w:bCs/>
          <w:color w:val="auto"/>
          <w:sz w:val="24"/>
          <w:szCs w:val="24"/>
          <w:lang w:val="zh-CN" w:eastAsia="zh-CN"/>
        </w:rPr>
        <w:t>，</w:t>
      </w:r>
      <w:r>
        <w:rPr>
          <w:rFonts w:hint="eastAsia" w:ascii="宋体" w:hAnsi="宋体" w:cs="宋体"/>
          <w:bCs/>
          <w:color w:val="auto"/>
          <w:sz w:val="24"/>
          <w:szCs w:val="24"/>
          <w:lang w:val="zh-CN" w:eastAsia="zh-CN"/>
        </w:rPr>
        <w:t>24小时到达现场</w:t>
      </w:r>
      <w:r>
        <w:rPr>
          <w:rFonts w:hint="eastAsia" w:ascii="宋体" w:hAnsi="宋体" w:eastAsia="宋体" w:cs="宋体"/>
          <w:bCs/>
          <w:color w:val="auto"/>
          <w:sz w:val="24"/>
          <w:szCs w:val="24"/>
          <w:lang w:val="zh-CN" w:eastAsia="zh-CN"/>
        </w:rPr>
        <w:t>，保证仪器的正常操作</w:t>
      </w:r>
    </w:p>
    <w:p w14:paraId="719D93A3">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8</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质量保证期：以双方对所供货物验收合格之日开始计算整机质保</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zh-CN" w:eastAsia="zh-CN"/>
        </w:rPr>
        <w:t>年，在保修期内，所有服务及</w:t>
      </w:r>
      <w:r>
        <w:rPr>
          <w:rFonts w:hint="eastAsia" w:ascii="宋体" w:hAnsi="宋体" w:cs="宋体"/>
          <w:bCs/>
          <w:color w:val="auto"/>
          <w:sz w:val="24"/>
          <w:szCs w:val="24"/>
          <w:lang w:val="en-US" w:eastAsia="zh-CN"/>
        </w:rPr>
        <w:t>原厂</w:t>
      </w:r>
      <w:r>
        <w:rPr>
          <w:rFonts w:hint="eastAsia" w:ascii="宋体" w:hAnsi="宋体" w:eastAsia="宋体" w:cs="宋体"/>
          <w:bCs/>
          <w:color w:val="auto"/>
          <w:sz w:val="24"/>
          <w:szCs w:val="24"/>
          <w:lang w:val="zh-CN" w:eastAsia="zh-CN"/>
        </w:rPr>
        <w:t>配件全部免费</w:t>
      </w:r>
    </w:p>
    <w:p w14:paraId="5E206F2C">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9</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交货期：签订合同后</w:t>
      </w:r>
      <w:r>
        <w:rPr>
          <w:rFonts w:hint="eastAsia" w:ascii="宋体" w:hAnsi="宋体" w:eastAsia="宋体" w:cs="宋体"/>
          <w:bCs/>
          <w:color w:val="auto"/>
          <w:sz w:val="24"/>
          <w:szCs w:val="24"/>
          <w:lang w:val="en-US" w:eastAsia="zh-CN"/>
        </w:rPr>
        <w:t>60个工作日内</w:t>
      </w:r>
    </w:p>
    <w:p w14:paraId="30DA2235">
      <w:pPr>
        <w:keepNext w:val="0"/>
        <w:keepLines w:val="0"/>
        <w:pageBreakBefore w:val="0"/>
        <w:widowControl/>
        <w:kinsoku w:val="0"/>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10</w:t>
      </w:r>
      <w:r>
        <w:rPr>
          <w:rFonts w:hint="eastAsia" w:ascii="宋体" w:hAnsi="宋体" w:eastAsia="宋体" w:cs="宋体"/>
          <w:b w:val="0"/>
          <w:bCs/>
          <w:i w:val="0"/>
          <w:color w:val="auto"/>
          <w:sz w:val="24"/>
          <w:szCs w:val="24"/>
          <w:lang w:val="zh-CN" w:eastAsia="zh-CN"/>
        </w:rPr>
        <w:t>.</w:t>
      </w:r>
      <w:r>
        <w:rPr>
          <w:rFonts w:hint="eastAsia" w:ascii="宋体" w:hAnsi="宋体" w:eastAsia="宋体" w:cs="宋体"/>
          <w:bCs/>
          <w:color w:val="auto"/>
          <w:sz w:val="24"/>
          <w:szCs w:val="24"/>
          <w:lang w:val="zh-CN" w:eastAsia="zh-CN"/>
        </w:rPr>
        <w:t>交货地点：用户指定</w:t>
      </w:r>
    </w:p>
    <w:p w14:paraId="22AE6F29">
      <w:pPr>
        <w:keepNext w:val="0"/>
        <w:keepLines w:val="0"/>
        <w:pageBreakBefore w:val="0"/>
        <w:widowControl/>
        <w:kinsoku w:val="0"/>
        <w:wordWrap w:val="0"/>
        <w:overflowPunct/>
        <w:topLinePunct w:val="0"/>
        <w:autoSpaceDE w:val="0"/>
        <w:autoSpaceDN w:val="0"/>
        <w:bidi w:val="0"/>
        <w:adjustRightInd w:val="0"/>
        <w:snapToGrid w:val="0"/>
        <w:textAlignment w:val="baseline"/>
        <w:rPr>
          <w:rFonts w:hint="eastAsia" w:ascii="宋体" w:hAnsi="宋体" w:eastAsia="宋体" w:cs="宋体"/>
          <w:bCs/>
          <w:color w:val="auto"/>
          <w:sz w:val="24"/>
          <w:szCs w:val="24"/>
          <w:lang w:val="zh-CN" w:eastAsia="zh-CN"/>
        </w:rPr>
      </w:pPr>
    </w:p>
    <w:p w14:paraId="223A4EC1">
      <w:pPr>
        <w:keepNext w:val="0"/>
        <w:keepLines w:val="0"/>
        <w:pageBreakBefore w:val="0"/>
        <w:widowControl/>
        <w:kinsoku w:val="0"/>
        <w:wordWrap w:val="0"/>
        <w:overflowPunct/>
        <w:topLinePunct w:val="0"/>
        <w:autoSpaceDE w:val="0"/>
        <w:autoSpaceDN w:val="0"/>
        <w:bidi w:val="0"/>
        <w:adjustRightInd w:val="0"/>
        <w:snapToGrid w:val="0"/>
        <w:ind w:firstLine="482" w:firstLineChars="200"/>
        <w:textAlignment w:val="baseline"/>
        <w:rPr>
          <w:rFonts w:hint="eastAsia" w:ascii="宋体" w:hAnsi="宋体" w:eastAsia="宋体" w:cs="宋体"/>
          <w:b/>
          <w:bCs w:val="0"/>
          <w:color w:val="auto"/>
          <w:sz w:val="24"/>
          <w:szCs w:val="24"/>
          <w:lang w:val="zh-CN" w:eastAsia="zh-CN"/>
        </w:rPr>
      </w:pPr>
      <w:r>
        <w:rPr>
          <w:rFonts w:hint="eastAsia" w:ascii="宋体" w:hAnsi="宋体" w:eastAsia="宋体" w:cs="宋体"/>
          <w:b/>
          <w:bCs w:val="0"/>
          <w:color w:val="auto"/>
          <w:sz w:val="24"/>
          <w:szCs w:val="24"/>
          <w:lang w:val="zh-CN" w:eastAsia="zh-CN"/>
        </w:rPr>
        <w:t>(注:“</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lang w:val="zh-CN" w:eastAsia="zh-CN"/>
        </w:rPr>
        <w:t>”代表关键指标，不满足该指标项将导致响应被拒绝)</w:t>
      </w:r>
    </w:p>
    <w:p w14:paraId="14E85E97">
      <w:pPr>
        <w:rPr>
          <w:rFonts w:hint="default" w:ascii="Times New Roman" w:hAnsi="Times New Roman" w:cs="Times New Roman"/>
          <w:b/>
          <w:color w:val="auto"/>
          <w:sz w:val="36"/>
          <w:szCs w:val="36"/>
          <w:highlight w:val="yellow"/>
        </w:rPr>
      </w:pPr>
      <w:bookmarkStart w:id="819" w:name="_Toc20496"/>
      <w:r>
        <w:rPr>
          <w:rFonts w:hint="default" w:ascii="Times New Roman" w:hAnsi="Times New Roman" w:cs="Times New Roman"/>
          <w:b/>
          <w:color w:val="auto"/>
          <w:sz w:val="36"/>
          <w:szCs w:val="36"/>
          <w:highlight w:val="yellow"/>
        </w:rPr>
        <w:br w:type="page"/>
      </w:r>
    </w:p>
    <w:p w14:paraId="45B94ACE">
      <w:pPr>
        <w:spacing w:line="360" w:lineRule="auto"/>
        <w:jc w:val="center"/>
        <w:outlineLvl w:val="0"/>
        <w:rPr>
          <w:rFonts w:hint="default"/>
          <w:b/>
          <w:color w:val="auto"/>
          <w:sz w:val="36"/>
          <w:szCs w:val="36"/>
        </w:rPr>
      </w:pPr>
      <w:bookmarkStart w:id="820" w:name="_Toc19499"/>
      <w:r>
        <w:rPr>
          <w:rFonts w:hint="default"/>
          <w:b/>
          <w:color w:val="auto"/>
          <w:sz w:val="36"/>
          <w:szCs w:val="36"/>
        </w:rPr>
        <w:t xml:space="preserve">第六章 </w:t>
      </w:r>
      <w:r>
        <w:rPr>
          <w:rFonts w:hint="eastAsia"/>
          <w:b/>
          <w:color w:val="auto"/>
          <w:sz w:val="36"/>
          <w:szCs w:val="36"/>
          <w:lang w:val="en-US" w:eastAsia="zh-CN"/>
        </w:rPr>
        <w:t xml:space="preserve"> </w:t>
      </w:r>
      <w:r>
        <w:rPr>
          <w:rFonts w:hint="default"/>
          <w:b/>
          <w:color w:val="auto"/>
          <w:sz w:val="36"/>
          <w:szCs w:val="36"/>
        </w:rPr>
        <w:t xml:space="preserve"> 拟签订的合同文本</w:t>
      </w:r>
      <w:bookmarkEnd w:id="819"/>
      <w:bookmarkEnd w:id="820"/>
    </w:p>
    <w:p w14:paraId="3971D1EB">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实验仪器</w:t>
      </w:r>
      <w:r>
        <w:rPr>
          <w:rFonts w:hint="eastAsia" w:ascii="宋体" w:hAnsi="宋体" w:eastAsia="宋体" w:cs="宋体"/>
          <w:b/>
          <w:bCs/>
          <w:color w:val="auto"/>
          <w:sz w:val="36"/>
          <w:szCs w:val="36"/>
          <w:highlight w:val="none"/>
        </w:rPr>
        <w:t>采购项目合同书</w:t>
      </w:r>
    </w:p>
    <w:p w14:paraId="5E8EFBA9">
      <w:pPr>
        <w:jc w:val="center"/>
        <w:rPr>
          <w:rFonts w:hint="eastAsia" w:ascii="宋体" w:hAnsi="宋体" w:eastAsia="宋体" w:cs="宋体"/>
          <w:color w:val="auto"/>
          <w:szCs w:val="21"/>
          <w:highlight w:val="none"/>
        </w:rPr>
      </w:pPr>
    </w:p>
    <w:p w14:paraId="2E5973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合同编号：</w:t>
      </w:r>
    </w:p>
    <w:p w14:paraId="38B7F2FE">
      <w:pPr>
        <w:rPr>
          <w:rFonts w:hint="eastAsia" w:ascii="宋体" w:hAnsi="宋体" w:eastAsia="宋体" w:cs="宋体"/>
          <w:color w:val="auto"/>
          <w:highlight w:val="none"/>
        </w:rPr>
      </w:pPr>
    </w:p>
    <w:p w14:paraId="03F1BBC4">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val="en-US" w:eastAsia="zh-CN"/>
        </w:rPr>
        <w:t>北京麋鹿生态实验中心</w:t>
      </w:r>
    </w:p>
    <w:p w14:paraId="6BBCF8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乙方（供应商）:                                  </w:t>
      </w:r>
    </w:p>
    <w:p w14:paraId="4B8C122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snapToGrid w:val="0"/>
          <w:color w:val="auto"/>
          <w:kern w:val="0"/>
          <w:szCs w:val="21"/>
          <w:highlight w:val="none"/>
        </w:rPr>
        <w:t>《中华人民共和国民法典（合同编）》、</w:t>
      </w:r>
      <w:r>
        <w:rPr>
          <w:rFonts w:hint="eastAsia" w:ascii="宋体" w:hAnsi="宋体" w:eastAsia="宋体" w:cs="宋体"/>
          <w:color w:val="auto"/>
          <w:szCs w:val="21"/>
          <w:highlight w:val="none"/>
        </w:rPr>
        <w:t>《中华人民共和国政府采购法》等相关法律规定，甲方对</w:t>
      </w:r>
      <w:r>
        <w:rPr>
          <w:rFonts w:hint="eastAsia" w:ascii="宋体" w:hAnsi="宋体" w:cs="宋体"/>
          <w:color w:val="auto"/>
          <w:szCs w:val="21"/>
          <w:highlight w:val="none"/>
          <w:u w:val="single"/>
          <w:lang w:eastAsia="zh-CN"/>
        </w:rPr>
        <w:t>麋鹿科研及服务支撑--麋鹿种群健康与栖息地监测分析创新平台2设备采购（第二次）</w:t>
      </w:r>
      <w:r>
        <w:rPr>
          <w:rFonts w:hint="eastAsia" w:ascii="宋体" w:hAnsi="宋体" w:eastAsia="宋体" w:cs="宋体"/>
          <w:color w:val="auto"/>
          <w:szCs w:val="21"/>
          <w:highlight w:val="none"/>
          <w:u w:val="single"/>
        </w:rPr>
        <w:t>项目</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u w:val="single"/>
        </w:rPr>
        <w:t>公开招标</w:t>
      </w:r>
      <w:r>
        <w:rPr>
          <w:rFonts w:hint="eastAsia" w:ascii="宋体" w:hAnsi="宋体" w:eastAsia="宋体" w:cs="宋体"/>
          <w:color w:val="auto"/>
          <w:szCs w:val="21"/>
          <w:highlight w:val="none"/>
        </w:rPr>
        <w:t>方式进行采购（采购项目编号：</w:t>
      </w:r>
      <w:r>
        <w:rPr>
          <w:rFonts w:hint="eastAsia" w:ascii="宋体" w:hAnsi="宋体" w:cs="宋体"/>
          <w:color w:val="auto"/>
          <w:szCs w:val="21"/>
          <w:highlight w:val="none"/>
          <w:u w:val="single"/>
          <w:lang w:eastAsia="zh-CN"/>
        </w:rPr>
        <w:t>11000025210200138495-XM001</w:t>
      </w:r>
      <w:r>
        <w:rPr>
          <w:rFonts w:hint="eastAsia" w:ascii="宋体" w:hAnsi="宋体" w:eastAsia="宋体" w:cs="宋体"/>
          <w:color w:val="auto"/>
          <w:szCs w:val="21"/>
          <w:highlight w:val="none"/>
        </w:rPr>
        <w:t>），确定乙方为中标人（成交商），现依照招标文件（谈判文件、询价通知书、磋商文件、单一来源）、投标文件（响应文件）等相关文件的内容，双方达成如下协议：</w:t>
      </w:r>
    </w:p>
    <w:p w14:paraId="57A23644">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采购货物清单</w:t>
      </w:r>
    </w:p>
    <w:tbl>
      <w:tblPr>
        <w:tblStyle w:val="36"/>
        <w:tblW w:w="63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4"/>
        <w:gridCol w:w="2208"/>
        <w:gridCol w:w="1100"/>
        <w:gridCol w:w="795"/>
        <w:gridCol w:w="1791"/>
      </w:tblGrid>
      <w:tr w14:paraId="77107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484" w:type="dxa"/>
            <w:vAlign w:val="center"/>
          </w:tcPr>
          <w:p w14:paraId="1E677648">
            <w:pPr>
              <w:pStyle w:val="266"/>
              <w:widowControl w:val="0"/>
              <w:kinsoku/>
              <w:adjustRightInd/>
              <w:spacing w:before="40" w:after="40" w:line="240" w:lineRule="auto"/>
              <w:ind w:right="0" w:rightChars="0"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包号</w:t>
            </w:r>
          </w:p>
        </w:tc>
        <w:tc>
          <w:tcPr>
            <w:tcW w:w="2208" w:type="dxa"/>
            <w:vAlign w:val="center"/>
          </w:tcPr>
          <w:p w14:paraId="23C62427">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标的名称</w:t>
            </w:r>
          </w:p>
        </w:tc>
        <w:tc>
          <w:tcPr>
            <w:tcW w:w="1100" w:type="dxa"/>
            <w:vAlign w:val="center"/>
          </w:tcPr>
          <w:p w14:paraId="30BBB448">
            <w:pPr>
              <w:pStyle w:val="266"/>
              <w:widowControl w:val="0"/>
              <w:kinsoku/>
              <w:adjustRightInd/>
              <w:spacing w:before="40" w:after="40" w:line="240" w:lineRule="auto"/>
              <w:ind w:left="109" w:right="101"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采购包预算金额（万元）</w:t>
            </w:r>
          </w:p>
        </w:tc>
        <w:tc>
          <w:tcPr>
            <w:tcW w:w="795" w:type="dxa"/>
            <w:vAlign w:val="center"/>
          </w:tcPr>
          <w:p w14:paraId="3A146BAC">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数量</w:t>
            </w:r>
          </w:p>
        </w:tc>
        <w:tc>
          <w:tcPr>
            <w:tcW w:w="1791" w:type="dxa"/>
            <w:vAlign w:val="center"/>
          </w:tcPr>
          <w:p w14:paraId="2F228004">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简要技术需求或服务要求</w:t>
            </w:r>
          </w:p>
        </w:tc>
      </w:tr>
      <w:tr w14:paraId="307EC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84" w:type="dxa"/>
            <w:vMerge w:val="restart"/>
            <w:vAlign w:val="center"/>
          </w:tcPr>
          <w:p w14:paraId="6B48635C">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208" w:type="dxa"/>
            <w:vAlign w:val="center"/>
          </w:tcPr>
          <w:p w14:paraId="1E97FCC6">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超低温保存箱</w:t>
            </w:r>
          </w:p>
        </w:tc>
        <w:tc>
          <w:tcPr>
            <w:tcW w:w="1100" w:type="dxa"/>
            <w:vMerge w:val="restart"/>
            <w:vAlign w:val="center"/>
          </w:tcPr>
          <w:p w14:paraId="22119059">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p>
        </w:tc>
        <w:tc>
          <w:tcPr>
            <w:tcW w:w="795" w:type="dxa"/>
            <w:vAlign w:val="center"/>
          </w:tcPr>
          <w:p w14:paraId="3517783F">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791" w:type="dxa"/>
            <w:vMerge w:val="restart"/>
            <w:vAlign w:val="center"/>
          </w:tcPr>
          <w:p w14:paraId="3A020F35">
            <w:pPr>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具体内容详见投标文件</w:t>
            </w:r>
            <w:r>
              <w:rPr>
                <w:rFonts w:hint="eastAsia" w:ascii="宋体" w:hAnsi="宋体" w:cs="宋体"/>
                <w:color w:val="auto"/>
                <w:kern w:val="2"/>
                <w:sz w:val="21"/>
                <w:szCs w:val="21"/>
                <w:highlight w:val="none"/>
                <w:u w:val="none"/>
                <w:lang w:val="en-US" w:eastAsia="zh-CN" w:bidi="ar-SA"/>
              </w:rPr>
              <w:t>第五章采购需求</w:t>
            </w:r>
            <w:r>
              <w:rPr>
                <w:rFonts w:hint="eastAsia" w:ascii="宋体" w:hAnsi="宋体" w:eastAsia="宋体" w:cs="宋体"/>
                <w:color w:val="auto"/>
                <w:kern w:val="2"/>
                <w:sz w:val="21"/>
                <w:szCs w:val="21"/>
                <w:highlight w:val="none"/>
                <w:u w:val="none"/>
                <w:lang w:val="en-US" w:eastAsia="zh-CN" w:bidi="ar-SA"/>
              </w:rPr>
              <w:t>内容。</w:t>
            </w:r>
          </w:p>
        </w:tc>
      </w:tr>
      <w:tr w14:paraId="1215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84" w:type="dxa"/>
            <w:vMerge w:val="continue"/>
            <w:vAlign w:val="center"/>
          </w:tcPr>
          <w:p w14:paraId="0C4DBD63">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2208" w:type="dxa"/>
            <w:vAlign w:val="center"/>
          </w:tcPr>
          <w:p w14:paraId="4648E667">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程序降温仪</w:t>
            </w:r>
          </w:p>
        </w:tc>
        <w:tc>
          <w:tcPr>
            <w:tcW w:w="1100" w:type="dxa"/>
            <w:vMerge w:val="continue"/>
            <w:vAlign w:val="center"/>
          </w:tcPr>
          <w:p w14:paraId="3EF1A5F7">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c>
          <w:tcPr>
            <w:tcW w:w="795" w:type="dxa"/>
            <w:vAlign w:val="center"/>
          </w:tcPr>
          <w:p w14:paraId="449A7FE8">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91" w:type="dxa"/>
            <w:vMerge w:val="continue"/>
            <w:vAlign w:val="center"/>
          </w:tcPr>
          <w:p w14:paraId="3D7D3036">
            <w:pPr>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r>
      <w:tr w14:paraId="5CF73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84" w:type="dxa"/>
            <w:vMerge w:val="continue"/>
            <w:vAlign w:val="center"/>
          </w:tcPr>
          <w:p w14:paraId="35E98CE0">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2208" w:type="dxa"/>
            <w:vAlign w:val="center"/>
          </w:tcPr>
          <w:p w14:paraId="0E7D25EF">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生物安全柜</w:t>
            </w:r>
          </w:p>
        </w:tc>
        <w:tc>
          <w:tcPr>
            <w:tcW w:w="1100" w:type="dxa"/>
            <w:vMerge w:val="continue"/>
            <w:vAlign w:val="center"/>
          </w:tcPr>
          <w:p w14:paraId="387B795D">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c>
          <w:tcPr>
            <w:tcW w:w="795" w:type="dxa"/>
            <w:vAlign w:val="center"/>
          </w:tcPr>
          <w:p w14:paraId="7FAC79EE">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791" w:type="dxa"/>
            <w:vMerge w:val="continue"/>
            <w:vAlign w:val="center"/>
          </w:tcPr>
          <w:p w14:paraId="751F83B0">
            <w:pPr>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r>
      <w:tr w14:paraId="578DD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84" w:type="dxa"/>
            <w:vMerge w:val="continue"/>
            <w:vAlign w:val="center"/>
          </w:tcPr>
          <w:p w14:paraId="4AEA2141">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2208" w:type="dxa"/>
            <w:vAlign w:val="center"/>
          </w:tcPr>
          <w:p w14:paraId="4CB314D7">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三气培养箱</w:t>
            </w:r>
          </w:p>
        </w:tc>
        <w:tc>
          <w:tcPr>
            <w:tcW w:w="1100" w:type="dxa"/>
            <w:vMerge w:val="continue"/>
            <w:vAlign w:val="center"/>
          </w:tcPr>
          <w:p w14:paraId="3C4ED38F">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c>
          <w:tcPr>
            <w:tcW w:w="795" w:type="dxa"/>
            <w:vAlign w:val="center"/>
          </w:tcPr>
          <w:p w14:paraId="0D5D6503">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91" w:type="dxa"/>
            <w:vMerge w:val="continue"/>
            <w:vAlign w:val="center"/>
          </w:tcPr>
          <w:p w14:paraId="0B4A1352">
            <w:pPr>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r>
      <w:tr w14:paraId="35F04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84" w:type="dxa"/>
            <w:vMerge w:val="continue"/>
            <w:vAlign w:val="center"/>
          </w:tcPr>
          <w:p w14:paraId="16B87544">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2208" w:type="dxa"/>
            <w:vAlign w:val="center"/>
          </w:tcPr>
          <w:p w14:paraId="2B3138CE">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细胞计数仪</w:t>
            </w:r>
          </w:p>
        </w:tc>
        <w:tc>
          <w:tcPr>
            <w:tcW w:w="1100" w:type="dxa"/>
            <w:vMerge w:val="continue"/>
            <w:vAlign w:val="center"/>
          </w:tcPr>
          <w:p w14:paraId="3D8ACD3D">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c>
          <w:tcPr>
            <w:tcW w:w="795" w:type="dxa"/>
            <w:vAlign w:val="center"/>
          </w:tcPr>
          <w:p w14:paraId="0CBB48B9">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91" w:type="dxa"/>
            <w:vMerge w:val="continue"/>
            <w:vAlign w:val="center"/>
          </w:tcPr>
          <w:p w14:paraId="006E25BB">
            <w:pPr>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r>
      <w:tr w14:paraId="559C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84" w:type="dxa"/>
            <w:vMerge w:val="continue"/>
            <w:vAlign w:val="center"/>
          </w:tcPr>
          <w:p w14:paraId="4DFF0B23">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2208" w:type="dxa"/>
            <w:vAlign w:val="center"/>
          </w:tcPr>
          <w:p w14:paraId="1CC8E031">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多功能酶标仪</w:t>
            </w:r>
          </w:p>
        </w:tc>
        <w:tc>
          <w:tcPr>
            <w:tcW w:w="1100" w:type="dxa"/>
            <w:vMerge w:val="continue"/>
            <w:vAlign w:val="center"/>
          </w:tcPr>
          <w:p w14:paraId="5340A374">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c>
          <w:tcPr>
            <w:tcW w:w="795" w:type="dxa"/>
            <w:vAlign w:val="center"/>
          </w:tcPr>
          <w:p w14:paraId="55E3B669">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91" w:type="dxa"/>
            <w:vMerge w:val="continue"/>
            <w:vAlign w:val="center"/>
          </w:tcPr>
          <w:p w14:paraId="243F8AA7">
            <w:pPr>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r>
      <w:tr w14:paraId="0E89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84" w:type="dxa"/>
            <w:vMerge w:val="continue"/>
            <w:vAlign w:val="center"/>
          </w:tcPr>
          <w:p w14:paraId="35D024CC">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rPr>
            </w:pPr>
          </w:p>
        </w:tc>
        <w:tc>
          <w:tcPr>
            <w:tcW w:w="2208" w:type="dxa"/>
            <w:vAlign w:val="center"/>
          </w:tcPr>
          <w:p w14:paraId="49DB83C2">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荧光定量PCR仪</w:t>
            </w:r>
          </w:p>
        </w:tc>
        <w:tc>
          <w:tcPr>
            <w:tcW w:w="1100" w:type="dxa"/>
            <w:vMerge w:val="continue"/>
            <w:vAlign w:val="center"/>
          </w:tcPr>
          <w:p w14:paraId="69E9B63A">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c>
          <w:tcPr>
            <w:tcW w:w="795" w:type="dxa"/>
            <w:vAlign w:val="center"/>
          </w:tcPr>
          <w:p w14:paraId="5E5F3E15">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91" w:type="dxa"/>
            <w:vMerge w:val="continue"/>
            <w:vAlign w:val="center"/>
          </w:tcPr>
          <w:p w14:paraId="6A69342C">
            <w:pPr>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r>
      <w:tr w14:paraId="46ED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484" w:type="dxa"/>
            <w:vMerge w:val="continue"/>
            <w:vAlign w:val="center"/>
          </w:tcPr>
          <w:p w14:paraId="2C2EA757">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rPr>
            </w:pPr>
          </w:p>
        </w:tc>
        <w:tc>
          <w:tcPr>
            <w:tcW w:w="2208" w:type="dxa"/>
            <w:vAlign w:val="center"/>
          </w:tcPr>
          <w:p w14:paraId="12910A7F">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动物全自动生化分析仪</w:t>
            </w:r>
          </w:p>
        </w:tc>
        <w:tc>
          <w:tcPr>
            <w:tcW w:w="1100" w:type="dxa"/>
            <w:vMerge w:val="continue"/>
            <w:vAlign w:val="center"/>
          </w:tcPr>
          <w:p w14:paraId="25367633">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c>
          <w:tcPr>
            <w:tcW w:w="795" w:type="dxa"/>
            <w:vAlign w:val="center"/>
          </w:tcPr>
          <w:p w14:paraId="3CC2AE7F">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91" w:type="dxa"/>
            <w:vMerge w:val="continue"/>
            <w:vAlign w:val="center"/>
          </w:tcPr>
          <w:p w14:paraId="7A9EA44F">
            <w:pPr>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r>
      <w:tr w14:paraId="601DE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484" w:type="dxa"/>
            <w:vMerge w:val="continue"/>
            <w:vAlign w:val="center"/>
          </w:tcPr>
          <w:p w14:paraId="0C98656B">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rPr>
            </w:pPr>
          </w:p>
        </w:tc>
        <w:tc>
          <w:tcPr>
            <w:tcW w:w="2208" w:type="dxa"/>
            <w:vAlign w:val="center"/>
          </w:tcPr>
          <w:p w14:paraId="70146A0B">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全自动五分类血细胞分析仪</w:t>
            </w:r>
          </w:p>
        </w:tc>
        <w:tc>
          <w:tcPr>
            <w:tcW w:w="1100" w:type="dxa"/>
            <w:vMerge w:val="continue"/>
            <w:vAlign w:val="center"/>
          </w:tcPr>
          <w:p w14:paraId="5E68A85B">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c>
          <w:tcPr>
            <w:tcW w:w="795" w:type="dxa"/>
            <w:vAlign w:val="center"/>
          </w:tcPr>
          <w:p w14:paraId="4E86308F">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91" w:type="dxa"/>
            <w:vMerge w:val="continue"/>
            <w:vAlign w:val="center"/>
          </w:tcPr>
          <w:p w14:paraId="295367A6">
            <w:pPr>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r>
      <w:tr w14:paraId="26BDB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484" w:type="dxa"/>
            <w:vMerge w:val="continue"/>
            <w:vAlign w:val="center"/>
          </w:tcPr>
          <w:p w14:paraId="47C86324">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rPr>
            </w:pPr>
          </w:p>
        </w:tc>
        <w:tc>
          <w:tcPr>
            <w:tcW w:w="2208" w:type="dxa"/>
            <w:vAlign w:val="center"/>
          </w:tcPr>
          <w:p w14:paraId="136ED415">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全光谱水质分析仪</w:t>
            </w:r>
          </w:p>
        </w:tc>
        <w:tc>
          <w:tcPr>
            <w:tcW w:w="1100" w:type="dxa"/>
            <w:vMerge w:val="continue"/>
            <w:vAlign w:val="center"/>
          </w:tcPr>
          <w:p w14:paraId="64718CEB">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c>
          <w:tcPr>
            <w:tcW w:w="795" w:type="dxa"/>
            <w:vAlign w:val="center"/>
          </w:tcPr>
          <w:p w14:paraId="3ADA2787">
            <w:pPr>
              <w:pStyle w:val="266"/>
              <w:widowControl w:val="0"/>
              <w:kinsoku/>
              <w:adjustRightInd/>
              <w:spacing w:before="40" w:after="4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91" w:type="dxa"/>
            <w:vMerge w:val="continue"/>
            <w:vAlign w:val="center"/>
          </w:tcPr>
          <w:p w14:paraId="337E63E2">
            <w:pPr>
              <w:widowControl w:val="0"/>
              <w:kinsoku/>
              <w:adjustRightInd/>
              <w:spacing w:before="40" w:after="40" w:line="240" w:lineRule="auto"/>
              <w:ind w:firstLine="0" w:firstLineChars="0"/>
              <w:jc w:val="center"/>
              <w:textAlignment w:val="auto"/>
              <w:rPr>
                <w:rFonts w:hint="eastAsia" w:ascii="宋体" w:hAnsi="宋体" w:eastAsia="宋体" w:cs="宋体"/>
                <w:color w:val="auto"/>
                <w:szCs w:val="24"/>
                <w:highlight w:val="none"/>
                <w:lang w:eastAsia="zh-CN"/>
              </w:rPr>
            </w:pPr>
          </w:p>
        </w:tc>
      </w:tr>
    </w:tbl>
    <w:p w14:paraId="316AF2B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具体技术参数、配置及要求以招标文件第</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章《采购需求》为准。</w:t>
      </w:r>
    </w:p>
    <w:p w14:paraId="1E2C6D33">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合同总价款</w:t>
      </w:r>
    </w:p>
    <w:p w14:paraId="5182C8D7">
      <w:pPr>
        <w:pStyle w:val="28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接受乙方对上述货物的供货和伴随服务。包括乙方提供货物、包装、运输、货物的保险和储存、检测、验收、安装调试、保修服务、培训、资料及提供的伴随服务等所有成本、费用及税费，甲方（用户）无需再向乙方支付其他任何费用。 </w:t>
      </w:r>
    </w:p>
    <w:p w14:paraId="48C3553D">
      <w:pPr>
        <w:pStyle w:val="280"/>
        <w:ind w:firstLine="420" w:firstLineChars="200"/>
        <w:rPr>
          <w:rFonts w:hint="eastAsia" w:ascii="宋体" w:hAnsi="宋体" w:eastAsia="宋体" w:cs="宋体"/>
          <w:color w:val="auto"/>
          <w:sz w:val="21"/>
          <w:szCs w:val="21"/>
          <w:highlight w:val="none"/>
        </w:rPr>
      </w:pPr>
    </w:p>
    <w:p w14:paraId="7E4877E1">
      <w:pPr>
        <w:spacing w:before="120" w:beforeLines="50" w:after="120" w:afterLines="50"/>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第三条 交货时间、地点、交货方法（运输方式）</w:t>
      </w:r>
      <w:r>
        <w:rPr>
          <w:rFonts w:hint="eastAsia" w:ascii="宋体" w:hAnsi="宋体" w:eastAsia="宋体" w:cs="宋体"/>
          <w:color w:val="auto"/>
          <w:szCs w:val="21"/>
          <w:highlight w:val="none"/>
        </w:rPr>
        <w:t>：</w:t>
      </w:r>
    </w:p>
    <w:p w14:paraId="3E4B220D">
      <w:pPr>
        <w:pStyle w:val="281"/>
        <w:ind w:firstLine="630" w:firstLineChars="3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 xml:space="preserve">1. </w:t>
      </w:r>
      <w:r>
        <w:rPr>
          <w:rFonts w:hint="eastAsia" w:ascii="宋体" w:hAnsi="宋体" w:eastAsia="宋体" w:cs="宋体"/>
          <w:snapToGrid w:val="0"/>
          <w:color w:val="auto"/>
          <w:kern w:val="0"/>
          <w:sz w:val="21"/>
          <w:szCs w:val="21"/>
          <w:highlight w:val="none"/>
        </w:rPr>
        <w:t>交</w:t>
      </w:r>
      <w:r>
        <w:rPr>
          <w:rFonts w:hint="eastAsia" w:ascii="宋体" w:hAnsi="宋体" w:eastAsia="宋体" w:cs="宋体"/>
          <w:color w:val="auto"/>
          <w:sz w:val="21"/>
          <w:szCs w:val="21"/>
          <w:highlight w:val="none"/>
        </w:rPr>
        <w:t>货时间：合同签订后</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日内完成交货或安装调试。</w:t>
      </w:r>
    </w:p>
    <w:p w14:paraId="7CDF2ACB">
      <w:pPr>
        <w:pStyle w:val="282"/>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交货地点：</w:t>
      </w:r>
      <w:r>
        <w:rPr>
          <w:rFonts w:hint="eastAsia" w:ascii="宋体" w:hAnsi="宋体" w:eastAsia="宋体" w:cs="宋体"/>
          <w:color w:val="auto"/>
          <w:sz w:val="21"/>
          <w:szCs w:val="21"/>
          <w:highlight w:val="none"/>
          <w:lang w:val="en-US" w:eastAsia="zh-CN"/>
        </w:rPr>
        <w:t>北京麋鹿生态实验中心内指定地点</w:t>
      </w:r>
      <w:r>
        <w:rPr>
          <w:rFonts w:hint="eastAsia" w:ascii="宋体" w:hAnsi="宋体" w:eastAsia="宋体" w:cs="宋体"/>
          <w:color w:val="auto"/>
          <w:sz w:val="21"/>
          <w:szCs w:val="21"/>
          <w:highlight w:val="none"/>
        </w:rPr>
        <w:t>。</w:t>
      </w:r>
    </w:p>
    <w:p w14:paraId="76177B6C">
      <w:pPr>
        <w:pStyle w:val="283"/>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交货方法：由乙方负责采用适合的交通工具将采购货物及其附件运至交货现场并按甲方要求完成卸货，以双方签署设备到货验收签收单为准，交货时应一并交付货物的有关单证。货物从生产厂运至指定地点的运输、劳务及相关保险的办理由乙方负责并承担相应费用。</w:t>
      </w:r>
    </w:p>
    <w:p w14:paraId="2BA3907D">
      <w:pPr>
        <w:pStyle w:val="284"/>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风险责任承担：货物的风险责任和所有权在双方签署设备到货验收签收单/安装调试验收合格报告后由甲方承担和享有，此前的风险责任由乙方承担。</w:t>
      </w:r>
    </w:p>
    <w:p w14:paraId="53AD32CA">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条 货物验收</w:t>
      </w:r>
    </w:p>
    <w:p w14:paraId="3682534D">
      <w:pPr>
        <w:pStyle w:val="285"/>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（一）货物运至甲方（用户）指定地点后，由甲乙双方指派人员按照本合同规定对货物进行验收，乙方应提供交货清单等文件供甲方（用户）审查，甲方（用户）将按合同清单进行规格、数量、外观的检查。</w:t>
      </w:r>
    </w:p>
    <w:p w14:paraId="40C27FF3">
      <w:pPr>
        <w:pStyle w:val="28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（二）收货后</w:t>
      </w:r>
      <w:r>
        <w:rPr>
          <w:rFonts w:hint="eastAsia" w:ascii="宋体" w:hAnsi="宋体" w:eastAsia="宋体" w:cs="宋体"/>
          <w:color w:val="auto"/>
          <w:sz w:val="21"/>
          <w:szCs w:val="21"/>
          <w:highlight w:val="none"/>
          <w:u w:val="single"/>
          <w:lang w:val="en-US" w:eastAsia="zh-CN"/>
        </w:rPr>
        <w:t>60个工作日</w:t>
      </w:r>
      <w:r>
        <w:rPr>
          <w:rFonts w:hint="eastAsia" w:ascii="宋体" w:hAnsi="宋体" w:eastAsia="宋体" w:cs="宋体"/>
          <w:color w:val="auto"/>
          <w:sz w:val="21"/>
          <w:szCs w:val="21"/>
          <w:highlight w:val="none"/>
        </w:rPr>
        <w:t>内甲乙双方进行到货验收工作。如验收合格，甲方（用户）应及时履行验收手续，双方签署设备到货验收签收单；如验收不合格，甲方（用户）应以书面形式通知乙方原因，乙方收到通知后</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个工作日内提供解决方案。</w:t>
      </w:r>
    </w:p>
    <w:p w14:paraId="00B351FE">
      <w:pPr>
        <w:pStyle w:val="285"/>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（三）在验收工作中，发现数量不足或有质量、技术等问题，乙方应按照合同要求采取补足、更换或退货等处理措施，并承担由此发生的一切费用和损失。</w:t>
      </w:r>
    </w:p>
    <w:p w14:paraId="7A5D2009">
      <w:pPr>
        <w:pStyle w:val="285"/>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涉及设备安装调试的，乙方负责在甲方（用户）配合下完成所供设备安装调试并保证与用户原有设备互联互通，有关技术问题由乙方和制造商协同解决。安装调试后，双方签署设备安装调试验收报告。有关安装调试服务详见附件实施方案。</w:t>
      </w:r>
    </w:p>
    <w:p w14:paraId="61A30443">
      <w:pPr>
        <w:pStyle w:val="285"/>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合同项下货物生产期间，甲方（用户）有权派工作人员到生产厂进行监造、现场抽样和出厂前验核。此次验核不代表甲方（用户）对货物的最终验收。期间相关费用，包括技术交流和技术材料费等由乙方负担。</w:t>
      </w:r>
    </w:p>
    <w:p w14:paraId="45E7619F">
      <w:pPr>
        <w:pStyle w:val="285"/>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14:paraId="5898DE16">
      <w:pPr>
        <w:pStyle w:val="287"/>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（七）甲方（用户）认为必要时，对大型或者复杂的货物采购项目，可以邀请国家认可的质量检测机构参加验收工作，相关验收意见作为验收报告的参考资料，相关费用由乙方承担。</w:t>
      </w:r>
    </w:p>
    <w:p w14:paraId="7B8CDD36">
      <w:pPr>
        <w:pStyle w:val="287"/>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（八）验收标准以双方达成的对质量和技术标准的约定、乙方承诺的质量和技术标准、国家或行业规定的相关质量和技术标准中最高者为准，且应充分满足甲方使用要求。</w:t>
      </w:r>
    </w:p>
    <w:p w14:paraId="660F5E0C">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条 质量保证</w:t>
      </w:r>
    </w:p>
    <w:p w14:paraId="7697CEE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（一）乙方应保证所供货物为</w:t>
      </w:r>
      <w:r>
        <w:rPr>
          <w:rFonts w:hint="eastAsia" w:ascii="宋体" w:hAnsi="宋体" w:eastAsia="宋体" w:cs="宋体"/>
          <w:color w:val="auto"/>
          <w:szCs w:val="21"/>
          <w:highlight w:val="none"/>
          <w:lang w:val="en-US" w:eastAsia="zh-CN"/>
        </w:rPr>
        <w:t>原厂家</w:t>
      </w:r>
      <w:r>
        <w:rPr>
          <w:rFonts w:hint="eastAsia" w:ascii="宋体" w:hAnsi="宋体" w:eastAsia="宋体" w:cs="宋体"/>
          <w:color w:val="auto"/>
          <w:szCs w:val="21"/>
          <w:highlight w:val="none"/>
        </w:rPr>
        <w:t>制造生产、原包装、全新未使用过的产品，与投标文件/应答文件承诺一致，并完全符合或高于合同要求的质量、规格和技术性能。</w:t>
      </w:r>
    </w:p>
    <w:p w14:paraId="38E90D8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14:paraId="5FB96C2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14:paraId="677617A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（四）在质量保证期内所发现的缺陷，甲方（用户）应尽快以书面形式通知乙方。乙方收到通知后应10日内免费维修或更换有缺陷的货物或部件。</w:t>
      </w:r>
    </w:p>
    <w:p w14:paraId="3875A66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（五）乙方在约定的时间内未能弥补缺陷，甲方（用户）可采取必要的补救措施，但其风险和费用将由乙方承担，甲方（用户）根据合同规定对乙方行使的其他权利不受影响。</w:t>
      </w:r>
    </w:p>
    <w:p w14:paraId="2D3B1D87">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条 培训</w:t>
      </w:r>
    </w:p>
    <w:p w14:paraId="5AE27074">
      <w:pPr>
        <w:ind w:firstLine="420" w:firstLineChars="2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本合同所包括的培训详见附件培训方案。</w:t>
      </w:r>
    </w:p>
    <w:p w14:paraId="25C20988">
      <w:pPr>
        <w:numPr>
          <w:ilvl w:val="0"/>
          <w:numId w:val="0"/>
        </w:num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第七条 质保期与</w:t>
      </w:r>
      <w:r>
        <w:rPr>
          <w:rFonts w:hint="eastAsia" w:ascii="宋体" w:hAnsi="宋体" w:eastAsia="宋体" w:cs="宋体"/>
          <w:b/>
          <w:bCs/>
          <w:color w:val="auto"/>
          <w:szCs w:val="21"/>
          <w:highlight w:val="none"/>
        </w:rPr>
        <w:t>售后服务</w:t>
      </w:r>
    </w:p>
    <w:p w14:paraId="70E7604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质保期：  </w:t>
      </w:r>
    </w:p>
    <w:p w14:paraId="65A3FA1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程序降温仪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多功能酶标仪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动物全自动生化分析仪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全自动五分类血细胞分析仪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全光谱水质分析仪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整机质保</w:t>
      </w:r>
      <w:r>
        <w:rPr>
          <w:rFonts w:hint="eastAsia" w:ascii="宋体" w:hAnsi="宋体" w:eastAsia="宋体" w:cs="宋体"/>
          <w:color w:val="auto"/>
          <w:szCs w:val="21"/>
          <w:highlight w:val="none"/>
          <w:lang w:val="en-US" w:eastAsia="zh-CN"/>
        </w:rPr>
        <w:t>1年；</w:t>
      </w:r>
      <w:r>
        <w:rPr>
          <w:rFonts w:hint="eastAsia" w:ascii="宋体" w:hAnsi="宋体" w:eastAsia="宋体" w:cs="宋体"/>
          <w:color w:val="auto"/>
          <w:szCs w:val="21"/>
          <w:highlight w:val="none"/>
        </w:rPr>
        <w:t>生物安全柜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三气培养箱</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细胞计数仪：整机质保3年； 超低温保存箱、荧光定量PCR仪：整机质保5年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D20A9F6">
      <w:pPr>
        <w:keepNext w:val="0"/>
        <w:keepLines w:val="0"/>
        <w:pageBreakBefore w:val="0"/>
        <w:widowControl w:val="0"/>
        <w:kinsoku/>
        <w:wordWrap/>
        <w:overflowPunct/>
        <w:topLinePunct w:val="0"/>
        <w:autoSpaceDE/>
        <w:autoSpaceDN/>
        <w:bidi w:val="0"/>
        <w:adjustRightInd/>
        <w:snapToGrid/>
        <w:ind w:left="63" w:leftChars="3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售后服务</w:t>
      </w:r>
    </w:p>
    <w:p w14:paraId="1FF46C8B">
      <w:pPr>
        <w:keepNext w:val="0"/>
        <w:keepLines w:val="0"/>
        <w:pageBreakBefore w:val="0"/>
        <w:widowControl w:val="0"/>
        <w:numPr>
          <w:ilvl w:val="0"/>
          <w:numId w:val="0"/>
        </w:numPr>
        <w:kinsoku/>
        <w:wordWrap/>
        <w:overflowPunct/>
        <w:topLinePunct w:val="0"/>
        <w:autoSpaceDE/>
        <w:autoSpaceDN/>
        <w:bidi w:val="0"/>
        <w:adjustRightInd/>
        <w:snapToGrid/>
        <w:spacing w:before="120" w:beforeLines="5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 xml:space="preserve">     1. </w:t>
      </w:r>
      <w:r>
        <w:rPr>
          <w:rFonts w:hint="eastAsia" w:ascii="宋体" w:hAnsi="宋体" w:eastAsia="宋体" w:cs="宋体"/>
          <w:color w:val="auto"/>
          <w:szCs w:val="21"/>
          <w:highlight w:val="none"/>
        </w:rPr>
        <w:t>供应商（制造商）在质量保证期内免费提供</w:t>
      </w:r>
      <w:r>
        <w:rPr>
          <w:rFonts w:hint="eastAsia" w:ascii="宋体" w:hAnsi="宋体" w:eastAsia="宋体" w:cs="宋体"/>
          <w:color w:val="auto"/>
          <w:szCs w:val="21"/>
          <w:highlight w:val="none"/>
          <w:u w:val="single"/>
        </w:rPr>
        <w:t>7（5）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24（8）</w:t>
      </w:r>
      <w:r>
        <w:rPr>
          <w:rFonts w:hint="eastAsia" w:ascii="宋体" w:hAnsi="宋体" w:eastAsia="宋体" w:cs="宋体"/>
          <w:color w:val="auto"/>
          <w:szCs w:val="21"/>
          <w:highlight w:val="none"/>
        </w:rPr>
        <w:t>小时的技术支持与售后服务，提供专线电话支持服务，</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小时内响应，保证_</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rPr>
        <w:t>_小时内到达现场并解决故障。</w:t>
      </w:r>
    </w:p>
    <w:p w14:paraId="7EF4C491">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 本合同所包含的售后服务，包含制造商售后服务和代理商售后服务，具体见附件技术支持及售后服务方案。</w:t>
      </w:r>
    </w:p>
    <w:p w14:paraId="0F25F819">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条 违约责任</w:t>
      </w:r>
    </w:p>
    <w:p w14:paraId="3EAB8FA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（一）因乙方原因未能按照本合同要求交付合格的货物或提供相关服务的违约责任。</w:t>
      </w:r>
    </w:p>
    <w:p w14:paraId="56B2D8D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14:paraId="26350AB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（1）退货：甲方将货物退回乙方，乙方将合同货款退还给甲方，并承担由此发生的一切损失和费用。</w:t>
      </w:r>
    </w:p>
    <w:p w14:paraId="5BE8F62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（2）退货重新制作：甲方将货物退回乙方，乙方按照技术标准要求重新制作，并承担由此发生的一切损失和费用。</w:t>
      </w:r>
    </w:p>
    <w:p w14:paraId="13392B8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（3）新货替换：乙方用满足技术标准要求的货物替换存在缺陷的产品，承担甲方蒙受的全部损失和费用，并承担由此引发的一切风险，且相应延长所换货物的质量保证期。</w:t>
      </w:r>
    </w:p>
    <w:p w14:paraId="1348050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如果乙方</w:t>
      </w:r>
      <w:r>
        <w:rPr>
          <w:rFonts w:hint="eastAsia" w:ascii="宋体" w:hAnsi="宋体" w:eastAsia="宋体" w:cs="宋体"/>
          <w:color w:val="auto"/>
          <w:szCs w:val="21"/>
          <w:highlight w:val="none"/>
        </w:rPr>
        <w:t>未在甲方要求的10日内或甲方同意的期限内，按照上述任何一种方式采取补救措施，甲方有权解除合同，扣除全部履约保证金（或行使银行履约保函中载明的索赔权利）并要求乙方退回甲方已支付的货款，并视损失情况根据《中华人民共和国民法典（合同编）》有关规定追究其相关责任，赔偿甲方（用户）的全部损失。</w:t>
      </w:r>
    </w:p>
    <w:p w14:paraId="4CF5CAB7">
      <w:pPr>
        <w:pStyle w:val="28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3.对于未能按合同要求提供服务或被证实未提供应当承担的服务的，甲方有权要求限期整改。无合理理由不进行整改的视为根本违约。</w:t>
      </w:r>
    </w:p>
    <w:p w14:paraId="0C6E9AE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（二）乙方未按照本合同规定的时间交货和提供服务的违约责任。</w:t>
      </w:r>
    </w:p>
    <w:p w14:paraId="0A399A9D">
      <w:pPr>
        <w:pStyle w:val="28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14:paraId="5EED34D4">
      <w:pPr>
        <w:pStyle w:val="28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甲乙双方另有约定外，如果乙方没有按照合同规定的时间交货和提供服务，甲方有权在不影响合同项下其他补救措施的情况下，要求乙方支付误期赔偿费，或从合同货款、履约保证金中扣除误期赔偿费，或行使银行履约保函中载明的索赔权利。赔偿费按每周迟交货物价格或未提供服务费用的百分之零点五（0.5%）计收，直到交货或提供服务为止。但误期赔偿费的最高限额不超过误期货物或服务合同价格的百分之十（10%）。一周按七（7）天计算，不足七（7）天按一周计算。</w:t>
      </w:r>
    </w:p>
    <w:p w14:paraId="4D1080E8">
      <w:pPr>
        <w:pStyle w:val="28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出现上述没有按照合同规定的时间交货和提供服务的情形时，甲方也可以选择解除合同，要求乙方退回甲方已支付货款、扣除履约保证金，或行使银行履约保函中载明的索赔权利并追究乙方相应违约责任、赔偿甲方（用户）的全部损失。</w:t>
      </w:r>
    </w:p>
    <w:p w14:paraId="0D2E2099">
      <w:pPr>
        <w:pStyle w:val="28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或行使银行履约保函中载明的索赔权利，且乙方应赔偿由此给甲方造成的损失。</w:t>
      </w:r>
    </w:p>
    <w:p w14:paraId="3DA538AB">
      <w:pPr>
        <w:pStyle w:val="28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乙方或乙方工作人员或乙方相关方的作为或不作为行为致使甲方或第三方遭受人员人身伤害或财产损失的，乙方应承担全部赔偿责任，赔偿全部损失，且甲方有权以全部履约保证金（或银行依照履约保函支付的款项）作为违约金，解除本合同。</w:t>
      </w:r>
    </w:p>
    <w:p w14:paraId="067BBC9C">
      <w:pPr>
        <w:pStyle w:val="29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在本合同履行过程中，如果有证据证明乙方根本无法履行合同的，甲方可以行使不安抗辩权，有权解除合同，并扣除履约保证金（或银行依照履约保函支付的款项），如因乙方不能履行给甲方造成其他损失的，乙方应继续承担赔偿责任。</w:t>
      </w:r>
    </w:p>
    <w:p w14:paraId="53FF60E5">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条 异议的期限和方法</w:t>
      </w:r>
    </w:p>
    <w:p w14:paraId="07352230">
      <w:pPr>
        <w:pStyle w:val="29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（一）异议期限自质量保证期开始之日起3个月内。如果属于产品设计、材料、工艺或其他潜在的质量缺陷，甲方（用户）以书面形式提出异议及其处理意见。</w:t>
      </w:r>
    </w:p>
    <w:p w14:paraId="1C6D3B9E">
      <w:pPr>
        <w:pStyle w:val="29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（二）乙方接到甲方（用户）书面异议及其处理意见后，应在10日内到甲方（用户）项目现场处理，否则即视为默认甲方（用户）提出的异议和处理意见。</w:t>
      </w:r>
    </w:p>
    <w:p w14:paraId="2594EE5F">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第十条 使用合同文件和资料</w:t>
      </w:r>
    </w:p>
    <w:p w14:paraId="5D898169">
      <w:pPr>
        <w:pStyle w:val="29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14:paraId="7F367D3F">
      <w:pPr>
        <w:pStyle w:val="29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（二）没有甲方（用户）事先书面同意，除了履行本合同之外，乙方不应使用、传播与本合同相关的任何文件、资料。</w:t>
      </w:r>
    </w:p>
    <w:p w14:paraId="686FCD80">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条 知识产权</w:t>
      </w:r>
    </w:p>
    <w:p w14:paraId="242B8BD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14:paraId="35A0262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14:paraId="5BE53DE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如乙方提供的货物或服务确实侵犯了第三方合法权益（包括但不限于知识产权）的，甲方有权解除合同，没收履约保证金（或银行依照履约保函支付的款项），要求乙方退回已支付的全部货款，并赔偿甲方的全部损失及支出的合理费用。</w:t>
      </w:r>
    </w:p>
    <w:p w14:paraId="048396B1">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条 权利瑕疵担保</w:t>
      </w:r>
    </w:p>
    <w:p w14:paraId="4738AF6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（一）乙方保证对其所提供的货物享有完全的所有权等合法权利，不存在任何未曾向甲方（用户）透露的担保物权（如抵押权、质押权、留置权等）或其他任何权利负担或争议。</w:t>
      </w:r>
    </w:p>
    <w:p w14:paraId="64AD2D73">
      <w:pPr>
        <w:pStyle w:val="29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（二）乙方应保证所提供的货物免受第三方提出的任何权利主张，如因第三方提出权利主张给甲方（用户）造成损失的，乙方应予以赔偿。</w:t>
      </w:r>
    </w:p>
    <w:p w14:paraId="62B56F5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如乙方所提供的货物存在前述担保货物或权利负担，甲方（用户）有权解除合同、没收履约保证金（或银行依照履约保函支付的款项），并要求乙方退还已支付的全部货款，赔偿甲方（用户）的全部损失及支出的合理费用。</w:t>
      </w:r>
    </w:p>
    <w:p w14:paraId="657E33C6">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条 不可抗力及其免责</w:t>
      </w:r>
    </w:p>
    <w:p w14:paraId="35952FD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（一）如果乙方因不可抗力而导致合同实施延误或不能履行合同义务时，在不可抗力影响的范围内不应该被没收履约保证金（或银行依照履约保函支付的款项），也不应该承担误期赔偿或终止合同的责任。</w:t>
      </w:r>
    </w:p>
    <w:p w14:paraId="3758F6B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14:paraId="6AFD996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（三）乙方在延迟履行合同期间由于不可抗力而不能履行合同的，不能被免除责任。</w:t>
      </w:r>
    </w:p>
    <w:p w14:paraId="1DF2025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（四）甲方（用户）如遇不可抗力，应尽快以书面形式通知乙方，并尽实际可能履行不受不可抗力影响的其他事项。甲方（用户）不承担因不可抗力不能履行合同所造成的损失。</w:t>
      </w:r>
    </w:p>
    <w:p w14:paraId="6850B73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（五）本条所述的“不可抗力”指那些不能预见、不能避免并不能克服的客观情况，包括但不限于战争、动乱、严重火灾、洪水、台风、地震等及其他双方同意的情况，但不包括违约或疏忽。</w:t>
      </w:r>
    </w:p>
    <w:p w14:paraId="7B91C398">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条 争议的解决</w:t>
      </w:r>
    </w:p>
    <w:p w14:paraId="22099FC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（一）合同实施或与合同有关的一切争议应通过双方友好协商解决。如果友好协商开始</w:t>
      </w:r>
      <w:r>
        <w:rPr>
          <w:rFonts w:hint="eastAsia" w:ascii="宋体" w:hAnsi="宋体" w:eastAsia="宋体" w:cs="宋体"/>
          <w:color w:val="auto"/>
          <w:szCs w:val="21"/>
          <w:highlight w:val="none"/>
          <w:u w:val="words"/>
        </w:rPr>
        <w:t>六十天</w:t>
      </w:r>
      <w:r>
        <w:rPr>
          <w:rFonts w:hint="eastAsia" w:ascii="宋体" w:hAnsi="宋体" w:eastAsia="宋体" w:cs="宋体"/>
          <w:color w:val="auto"/>
          <w:szCs w:val="21"/>
          <w:highlight w:val="none"/>
        </w:rPr>
        <w:t>内还不能解决，争议应提交仲裁。</w:t>
      </w:r>
    </w:p>
    <w:p w14:paraId="664324A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（二）仲裁应提交</w:t>
      </w:r>
      <w:r>
        <w:rPr>
          <w:rFonts w:hint="eastAsia" w:ascii="宋体" w:hAnsi="宋体" w:eastAsia="宋体" w:cs="宋体"/>
          <w:color w:val="auto"/>
          <w:szCs w:val="21"/>
          <w:highlight w:val="none"/>
          <w:u w:val="words"/>
        </w:rPr>
        <w:t>北京仲裁委员会</w:t>
      </w:r>
      <w:r>
        <w:rPr>
          <w:rFonts w:hint="eastAsia" w:ascii="宋体" w:hAnsi="宋体" w:eastAsia="宋体" w:cs="宋体"/>
          <w:color w:val="auto"/>
          <w:szCs w:val="21"/>
          <w:highlight w:val="none"/>
        </w:rPr>
        <w:t>进行，其仲裁裁决为最终裁决，对双方均有约束力。</w:t>
      </w:r>
    </w:p>
    <w:p w14:paraId="38E1FD9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（三）仲裁费除仲裁机关另有裁决外均应由败诉方负担。</w:t>
      </w:r>
    </w:p>
    <w:p w14:paraId="50C9C14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（四）在仲裁期间，除正在进行仲裁的部分外，本合同其他部分应继续履行。</w:t>
      </w:r>
    </w:p>
    <w:p w14:paraId="67078DB6">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条 合同修改或变更</w:t>
      </w:r>
    </w:p>
    <w:p w14:paraId="27D47AA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（一）如无重大变故，甲乙双方不得擅自变更合同。</w:t>
      </w:r>
    </w:p>
    <w:p w14:paraId="1D73067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（二）如确需变更合同，甲乙双方应签署书面变更协议。变更协议为本合同不可分割的一部分。</w:t>
      </w:r>
    </w:p>
    <w:p w14:paraId="60CC690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（三）在不改变合同其他条款的前提下，甲方（用户）有权在合同价款10%的范围内追加与合同标的相同的货物或服务，并就此与乙方签订补充合同，乙方不得拒绝。</w:t>
      </w:r>
    </w:p>
    <w:p w14:paraId="1CE65BA2">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条 合同中止</w:t>
      </w:r>
    </w:p>
    <w:p w14:paraId="4C5615C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（一）合同在履行过程中，因采购计划调整，甲方（用户）可以要求中止履行，待计划确定后继续履行。</w:t>
      </w:r>
    </w:p>
    <w:p w14:paraId="1D8DD7B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（二）合同签订或履行过程中因其他供应商就采购过程或结果提起质疑、投诉、行政复议、行政诉讼的，甲方（用户）认为有必要或财政部责令中止的，应当中止合同的履行。</w:t>
      </w:r>
    </w:p>
    <w:p w14:paraId="65998DAD">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十七</w:t>
      </w:r>
      <w:r>
        <w:rPr>
          <w:rFonts w:hint="eastAsia" w:ascii="宋体" w:hAnsi="宋体" w:eastAsia="宋体" w:cs="宋体"/>
          <w:b/>
          <w:bCs/>
          <w:color w:val="auto"/>
          <w:szCs w:val="21"/>
          <w:highlight w:val="none"/>
        </w:rPr>
        <w:t>条 合同解除</w:t>
      </w:r>
    </w:p>
    <w:p w14:paraId="4EDD0BE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14:paraId="111E5F8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（一）因违约解除合同</w:t>
      </w:r>
    </w:p>
    <w:p w14:paraId="5543AA3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1.在甲方（用户）对乙方违约而采取的任何补救措施不受影响的情况下，甲方（用户）可向乙方发出书面违约通知书，提出解除部分或全部合同：</w:t>
      </w:r>
    </w:p>
    <w:p w14:paraId="1FE6CB1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（1）如果乙方未能在合同规定的期限或甲方（用户）根据合同条款的规定同意延长的限期内提供部分或全部的货物或服务，达到合同所规定的要求；</w:t>
      </w:r>
    </w:p>
    <w:p w14:paraId="7409FE87">
      <w:pPr>
        <w:pStyle w:val="293"/>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（2）如果甲方（用户）发现乙方在本合同的竞争或实施中有欺诈行为。</w:t>
      </w:r>
    </w:p>
    <w:p w14:paraId="3E7684B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（3）如果乙方未能履行合同规定的其他任何义务。</w:t>
      </w:r>
    </w:p>
    <w:p w14:paraId="63CD59A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2.如果甲方（用户）根据上述规定与乙方全部或部分解除合同，</w:t>
      </w:r>
      <w:r>
        <w:rPr>
          <w:rFonts w:hint="eastAsia" w:ascii="宋体" w:hAnsi="宋体" w:eastAsia="宋体" w:cs="宋体"/>
          <w:bCs/>
          <w:color w:val="auto"/>
          <w:szCs w:val="21"/>
          <w:highlight w:val="none"/>
        </w:rPr>
        <w:t>甲方（用户）可以依其认为适当的条件和方法购买乙方未能提供的货物或服务，乙方应对甲方购买类似货物或服务所超出的费用负责</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同时，乙方应继续执行合同中未解除的部分。</w:t>
      </w:r>
    </w:p>
    <w:p w14:paraId="57F6712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（二）因破产而解除合同</w:t>
      </w:r>
    </w:p>
    <w:p w14:paraId="2460CD0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1.如果乙方破产或无清偿能力，甲方（用户）可在任何时候以书面形式通知乙方，提出解除合同而不给乙方补偿，并有权要求乙方退回甲方（用户）已支付的合同货款。</w:t>
      </w:r>
    </w:p>
    <w:p w14:paraId="30A72F4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2.该解除合同将不损害或影响甲方已经采取或将要采取的任何行动或补救措施的权利。</w:t>
      </w:r>
    </w:p>
    <w:p w14:paraId="18CEBD6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（三）其他解除合同情况</w:t>
      </w:r>
    </w:p>
    <w:p w14:paraId="4E44A16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1.若合同继续履行将给甲方造成重大损失的，甲方（用户）可以解除合同而不给予乙方任何补偿。</w:t>
      </w:r>
    </w:p>
    <w:p w14:paraId="39F10B3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2.乙方在执行合同的过程中发生重大变故，对履行合同有影响的，甲方（用户）可以解除合同而不给予乙方任何补偿。</w:t>
      </w:r>
    </w:p>
    <w:p w14:paraId="6F472CA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3.甲方（用户）因重大变故取消或部分取消原来的采购任务，导致合同全部或部分内容无需继续履行的，可以解除合同而不给予乙方任何补偿。</w:t>
      </w:r>
    </w:p>
    <w:p w14:paraId="18897C1B">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十八</w:t>
      </w:r>
      <w:r>
        <w:rPr>
          <w:rFonts w:hint="eastAsia" w:ascii="宋体" w:hAnsi="宋体" w:eastAsia="宋体" w:cs="宋体"/>
          <w:b/>
          <w:bCs/>
          <w:color w:val="auto"/>
          <w:szCs w:val="21"/>
          <w:highlight w:val="none"/>
        </w:rPr>
        <w:t>条 合同终止</w:t>
      </w:r>
    </w:p>
    <w:p w14:paraId="6D6AE58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（一）本合同因下列原因而终止：</w:t>
      </w:r>
    </w:p>
    <w:p w14:paraId="38F393E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1.本合同正常履行完毕；</w:t>
      </w:r>
    </w:p>
    <w:p w14:paraId="737ED3E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2.合同双方协议终止本合同的履行；</w:t>
      </w:r>
    </w:p>
    <w:p w14:paraId="6394E2F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3.不可抗力事件导致本合同无法履行或履行不必要；</w:t>
      </w:r>
    </w:p>
    <w:p w14:paraId="61D5179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4.任何一方行使解除权，解除本合同；</w:t>
      </w:r>
    </w:p>
    <w:p w14:paraId="46F6FC95">
      <w:pPr>
        <w:ind w:firstLine="420" w:firstLineChars="200"/>
        <w:rPr>
          <w:rFonts w:hint="eastAsia" w:ascii="宋体" w:hAnsi="宋体" w:eastAsia="宋体" w:cs="宋体"/>
          <w:color w:val="auto"/>
          <w:szCs w:val="21"/>
          <w:highlight w:val="none"/>
        </w:rPr>
      </w:pPr>
      <w:bookmarkStart w:id="821" w:name="孔子"/>
      <w:bookmarkEnd w:id="821"/>
      <w:r>
        <w:rPr>
          <w:rFonts w:hint="eastAsia" w:ascii="宋体" w:hAnsi="宋体" w:eastAsia="宋体" w:cs="宋体"/>
          <w:color w:val="auto"/>
          <w:szCs w:val="21"/>
          <w:highlight w:val="none"/>
        </w:rPr>
        <w:t>（二）对本合同终止有过错的一方应赔偿另一方因合同终止而受到的损失。</w:t>
      </w:r>
    </w:p>
    <w:p w14:paraId="0C44BC38">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十九</w:t>
      </w:r>
      <w:r>
        <w:rPr>
          <w:rFonts w:hint="eastAsia" w:ascii="宋体" w:hAnsi="宋体" w:eastAsia="宋体" w:cs="宋体"/>
          <w:b/>
          <w:bCs/>
          <w:color w:val="auto"/>
          <w:szCs w:val="21"/>
          <w:highlight w:val="none"/>
        </w:rPr>
        <w:t>条 合同转让和分包</w:t>
      </w:r>
    </w:p>
    <w:p w14:paraId="43F56CE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（一）乙方不得以任何形式将合同转包，或部分或全部转让其应履行的合同义务。</w:t>
      </w:r>
    </w:p>
    <w:p w14:paraId="395F115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（二）除经甲方（用户）事先书面同意外，乙方不得以任何形式将合同分包。</w:t>
      </w:r>
    </w:p>
    <w:p w14:paraId="0F28038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乙方擅自转包或分包的，甲方有权解除本合同，没收履约保证金（或银行依照履约保函支付的款项），并要求乙方退还已支付的全部货款，赔偿甲方（用户）全部损失及支出的合理费用。</w:t>
      </w:r>
    </w:p>
    <w:p w14:paraId="0D1C273D">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第二十条 其他</w:t>
      </w:r>
    </w:p>
    <w:p w14:paraId="0C1A16C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14:paraId="621340F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en-US" w:eastAsia="zh-CN"/>
        </w:rPr>
        <w:t>签订</w:t>
      </w:r>
      <w:r>
        <w:rPr>
          <w:rFonts w:hint="eastAsia" w:ascii="宋体" w:hAnsi="宋体" w:eastAsia="宋体" w:cs="宋体"/>
          <w:color w:val="auto"/>
          <w:szCs w:val="21"/>
          <w:highlight w:val="none"/>
        </w:rPr>
        <w:t>后7个工作日内，乙方</w:t>
      </w:r>
      <w:r>
        <w:rPr>
          <w:rFonts w:hint="eastAsia" w:ascii="宋体" w:hAnsi="宋体" w:eastAsia="宋体" w:cs="宋体"/>
          <w:color w:val="auto"/>
          <w:szCs w:val="21"/>
          <w:highlight w:val="none"/>
          <w:lang w:val="en-US" w:eastAsia="zh-CN"/>
        </w:rPr>
        <w:t>向甲方</w:t>
      </w:r>
      <w:r>
        <w:rPr>
          <w:rFonts w:hint="eastAsia" w:ascii="宋体" w:hAnsi="宋体" w:eastAsia="宋体" w:cs="宋体"/>
          <w:color w:val="auto"/>
          <w:szCs w:val="21"/>
          <w:highlight w:val="none"/>
        </w:rPr>
        <w:t>支付本合同总价5%</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整，本合同</w:t>
      </w:r>
      <w:r>
        <w:rPr>
          <w:rFonts w:hint="eastAsia" w:ascii="宋体" w:hAnsi="宋体" w:eastAsia="宋体" w:cs="宋体"/>
          <w:color w:val="auto"/>
          <w:szCs w:val="21"/>
          <w:highlight w:val="none"/>
          <w:lang w:val="en-US" w:eastAsia="zh-CN"/>
        </w:rPr>
        <w:t>质保期满且无争议的或争议解决</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val="en-US" w:eastAsia="zh-CN"/>
        </w:rPr>
        <w:t>30日内</w:t>
      </w:r>
      <w:r>
        <w:rPr>
          <w:rFonts w:hint="eastAsia" w:ascii="宋体" w:hAnsi="宋体" w:eastAsia="宋体" w:cs="宋体"/>
          <w:color w:val="auto"/>
          <w:szCs w:val="21"/>
          <w:highlight w:val="none"/>
        </w:rPr>
        <w:t xml:space="preserve">，甲方无息退还质保金。 </w:t>
      </w:r>
    </w:p>
    <w:p w14:paraId="0B9B6E1C">
      <w:pPr>
        <w:ind w:firstLine="420" w:firstLineChars="200"/>
        <w:rPr>
          <w:rFonts w:hint="eastAsia" w:ascii="宋体" w:hAnsi="宋体" w:eastAsia="宋体" w:cs="宋体"/>
          <w:color w:val="auto"/>
          <w:szCs w:val="21"/>
          <w:highlight w:val="none"/>
        </w:rPr>
      </w:pPr>
    </w:p>
    <w:p w14:paraId="5FE93619">
      <w:pPr>
        <w:spacing w:before="120" w:beforeLines="50" w:after="120" w:afterLines="5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条 合同生效</w:t>
      </w:r>
    </w:p>
    <w:p w14:paraId="10CD3A7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（一）本合同一式</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份；自甲乙双方签字盖章之日起</w:t>
      </w:r>
      <w:r>
        <w:rPr>
          <w:rFonts w:hint="eastAsia" w:ascii="宋体" w:hAnsi="宋体" w:eastAsia="宋体" w:cs="宋体"/>
          <w:color w:val="auto"/>
          <w:szCs w:val="21"/>
          <w:highlight w:val="none"/>
          <w:lang w:val="en-US" w:eastAsia="zh-CN"/>
        </w:rPr>
        <w:t>成立，乙方足额支付履约保证金后</w:t>
      </w:r>
      <w:r>
        <w:rPr>
          <w:rFonts w:hint="eastAsia" w:ascii="宋体" w:hAnsi="宋体" w:eastAsia="宋体" w:cs="宋体"/>
          <w:color w:val="auto"/>
          <w:szCs w:val="21"/>
          <w:highlight w:val="none"/>
        </w:rPr>
        <w:t>生效。对本合同的任何更改及补充，均需双方共同协商，并以书面形式盖章确认。</w:t>
      </w:r>
    </w:p>
    <w:p w14:paraId="2C47E754">
      <w:pPr>
        <w:pStyle w:val="294"/>
        <w:widowControl/>
        <w:autoSpaceDN w:val="0"/>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（二）</w:t>
      </w:r>
      <w:r>
        <w:rPr>
          <w:rFonts w:hint="eastAsia" w:ascii="宋体" w:hAnsi="宋体" w:eastAsia="宋体" w:cs="宋体"/>
          <w:snapToGrid w:val="0"/>
          <w:color w:val="auto"/>
          <w:kern w:val="0"/>
          <w:szCs w:val="21"/>
          <w:highlight w:val="none"/>
        </w:rPr>
        <w:t>本合同签订后，由</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u w:val="single"/>
          <w:lang w:val="en-US" w:eastAsia="zh-CN"/>
        </w:rPr>
        <w:t xml:space="preserve">北京麋鹿生态实验中心 </w:t>
      </w:r>
      <w:r>
        <w:rPr>
          <w:rFonts w:hint="eastAsia" w:ascii="宋体" w:hAnsi="宋体" w:eastAsia="宋体" w:cs="宋体"/>
          <w:snapToGrid w:val="0"/>
          <w:color w:val="auto"/>
          <w:kern w:val="0"/>
          <w:szCs w:val="21"/>
          <w:highlight w:val="none"/>
        </w:rPr>
        <w:t>执行资金支付、履约保证金收退</w:t>
      </w:r>
      <w:r>
        <w:rPr>
          <w:rFonts w:hint="eastAsia" w:ascii="宋体" w:hAnsi="宋体" w:eastAsia="宋体" w:cs="宋体"/>
          <w:color w:val="auto"/>
          <w:szCs w:val="21"/>
          <w:highlight w:val="none"/>
        </w:rPr>
        <w:t>（或行使银行履约保函载明的索赔权利）</w:t>
      </w:r>
      <w:r>
        <w:rPr>
          <w:rFonts w:hint="eastAsia" w:ascii="宋体" w:hAnsi="宋体" w:eastAsia="宋体" w:cs="宋体"/>
          <w:snapToGrid w:val="0"/>
          <w:color w:val="auto"/>
          <w:kern w:val="0"/>
          <w:szCs w:val="21"/>
          <w:highlight w:val="none"/>
        </w:rPr>
        <w:t>、货物或项目验收等合同履约一切事宜。</w:t>
      </w:r>
    </w:p>
    <w:p w14:paraId="15C77690">
      <w:pPr>
        <w:rPr>
          <w:rFonts w:hint="eastAsia" w:ascii="宋体" w:hAnsi="宋体" w:eastAsia="宋体" w:cs="宋体"/>
          <w:color w:val="auto"/>
          <w:szCs w:val="21"/>
          <w:highlight w:val="none"/>
        </w:rPr>
      </w:pPr>
    </w:p>
    <w:p w14:paraId="201C1F0C">
      <w:pPr>
        <w:rPr>
          <w:rFonts w:hint="eastAsia" w:ascii="宋体" w:hAnsi="宋体" w:eastAsia="宋体" w:cs="宋体"/>
          <w:color w:val="auto"/>
          <w:szCs w:val="21"/>
          <w:highlight w:val="none"/>
        </w:rPr>
      </w:pPr>
    </w:p>
    <w:p w14:paraId="71DFD3B1">
      <w:pPr>
        <w:rPr>
          <w:rFonts w:hint="eastAsia" w:ascii="宋体" w:hAnsi="宋体" w:eastAsia="宋体" w:cs="宋体"/>
          <w:color w:val="auto"/>
          <w:szCs w:val="21"/>
          <w:highlight w:val="none"/>
        </w:rPr>
      </w:pPr>
    </w:p>
    <w:p w14:paraId="32C92051">
      <w:pPr>
        <w:rPr>
          <w:rFonts w:hint="eastAsia" w:ascii="宋体" w:hAnsi="宋体" w:eastAsia="宋体" w:cs="宋体"/>
          <w:color w:val="auto"/>
          <w:szCs w:val="21"/>
          <w:highlight w:val="none"/>
        </w:rPr>
      </w:pPr>
    </w:p>
    <w:p w14:paraId="68E9965F">
      <w:pPr>
        <w:rPr>
          <w:rFonts w:hint="eastAsia" w:ascii="宋体" w:hAnsi="宋体" w:eastAsia="宋体" w:cs="宋体"/>
          <w:color w:val="auto"/>
          <w:szCs w:val="21"/>
          <w:highlight w:val="none"/>
        </w:rPr>
      </w:pPr>
    </w:p>
    <w:tbl>
      <w:tblPr>
        <w:tblStyle w:val="3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19"/>
        <w:gridCol w:w="2624"/>
        <w:gridCol w:w="2316"/>
        <w:gridCol w:w="2393"/>
      </w:tblGrid>
      <w:tr w14:paraId="05399B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427" w:type="pct"/>
            <w:gridSpan w:val="2"/>
            <w:tcBorders>
              <w:bottom w:val="single" w:color="auto" w:sz="2" w:space="0"/>
              <w:right w:val="single" w:color="auto" w:sz="2" w:space="0"/>
            </w:tcBorders>
            <w:vAlign w:val="center"/>
          </w:tcPr>
          <w:p w14:paraId="643A9745">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w:t>
            </w:r>
          </w:p>
        </w:tc>
        <w:tc>
          <w:tcPr>
            <w:tcW w:w="2572" w:type="pct"/>
            <w:gridSpan w:val="2"/>
            <w:tcBorders>
              <w:left w:val="single" w:color="auto" w:sz="2" w:space="0"/>
              <w:bottom w:val="single" w:color="auto" w:sz="2" w:space="0"/>
            </w:tcBorders>
            <w:vAlign w:val="center"/>
          </w:tcPr>
          <w:p w14:paraId="36CA2D53">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w:t>
            </w:r>
          </w:p>
        </w:tc>
      </w:tr>
      <w:tr w14:paraId="2CE976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994" w:type="pct"/>
            <w:tcBorders>
              <w:top w:val="single" w:color="auto" w:sz="2" w:space="0"/>
              <w:bottom w:val="single" w:color="auto" w:sz="2" w:space="0"/>
              <w:right w:val="single" w:color="auto" w:sz="2" w:space="0"/>
            </w:tcBorders>
            <w:vAlign w:val="center"/>
          </w:tcPr>
          <w:p w14:paraId="0E06A94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433" w:type="pct"/>
            <w:tcBorders>
              <w:top w:val="single" w:color="auto" w:sz="2" w:space="0"/>
              <w:left w:val="single" w:color="auto" w:sz="2" w:space="0"/>
              <w:bottom w:val="single" w:color="auto" w:sz="2" w:space="0"/>
              <w:right w:val="single" w:color="auto" w:sz="2" w:space="0"/>
            </w:tcBorders>
            <w:vAlign w:val="center"/>
          </w:tcPr>
          <w:p w14:paraId="30987191">
            <w:pPr>
              <w:adjustRightInd w:val="0"/>
              <w:snapToGrid w:val="0"/>
              <w:spacing w:line="300" w:lineRule="exact"/>
              <w:jc w:val="center"/>
              <w:rPr>
                <w:rFonts w:hint="eastAsia" w:ascii="宋体" w:hAnsi="宋体" w:eastAsia="宋体" w:cs="宋体"/>
                <w:color w:val="auto"/>
                <w:szCs w:val="21"/>
                <w:highlight w:val="none"/>
              </w:rPr>
            </w:pPr>
          </w:p>
        </w:tc>
        <w:tc>
          <w:tcPr>
            <w:tcW w:w="1265" w:type="pct"/>
            <w:tcBorders>
              <w:top w:val="single" w:color="auto" w:sz="2" w:space="0"/>
              <w:left w:val="single" w:color="auto" w:sz="2" w:space="0"/>
              <w:bottom w:val="single" w:color="auto" w:sz="2" w:space="0"/>
              <w:right w:val="single" w:color="auto" w:sz="2" w:space="0"/>
            </w:tcBorders>
            <w:vAlign w:val="center"/>
          </w:tcPr>
          <w:p w14:paraId="634995A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306" w:type="pct"/>
            <w:tcBorders>
              <w:top w:val="single" w:color="auto" w:sz="2" w:space="0"/>
              <w:left w:val="single" w:color="auto" w:sz="2" w:space="0"/>
              <w:bottom w:val="single" w:color="auto" w:sz="2" w:space="0"/>
            </w:tcBorders>
            <w:vAlign w:val="center"/>
          </w:tcPr>
          <w:p w14:paraId="18FFEB10">
            <w:pPr>
              <w:adjustRightInd w:val="0"/>
              <w:snapToGrid w:val="0"/>
              <w:spacing w:line="300" w:lineRule="exact"/>
              <w:jc w:val="center"/>
              <w:rPr>
                <w:rFonts w:hint="eastAsia" w:ascii="宋体" w:hAnsi="宋体" w:eastAsia="宋体" w:cs="宋体"/>
                <w:color w:val="auto"/>
                <w:spacing w:val="20"/>
                <w:szCs w:val="21"/>
                <w:highlight w:val="none"/>
              </w:rPr>
            </w:pPr>
          </w:p>
        </w:tc>
      </w:tr>
      <w:tr w14:paraId="2542C8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994" w:type="pct"/>
            <w:tcBorders>
              <w:top w:val="single" w:color="auto" w:sz="2" w:space="0"/>
              <w:right w:val="single" w:color="auto" w:sz="2" w:space="0"/>
            </w:tcBorders>
            <w:vAlign w:val="center"/>
          </w:tcPr>
          <w:p w14:paraId="137F032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0AA85B2A">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或授权签字人（签字）</w:t>
            </w:r>
          </w:p>
        </w:tc>
        <w:tc>
          <w:tcPr>
            <w:tcW w:w="1433" w:type="pct"/>
            <w:tcBorders>
              <w:top w:val="single" w:color="auto" w:sz="2" w:space="0"/>
              <w:left w:val="single" w:color="auto" w:sz="2" w:space="0"/>
              <w:right w:val="single" w:color="auto" w:sz="2" w:space="0"/>
            </w:tcBorders>
            <w:vAlign w:val="center"/>
          </w:tcPr>
          <w:p w14:paraId="77BE20FD">
            <w:pPr>
              <w:adjustRightInd w:val="0"/>
              <w:snapToGrid w:val="0"/>
              <w:spacing w:line="300" w:lineRule="exact"/>
              <w:jc w:val="center"/>
              <w:rPr>
                <w:rFonts w:hint="eastAsia" w:ascii="宋体" w:hAnsi="宋体" w:eastAsia="宋体" w:cs="宋体"/>
                <w:color w:val="auto"/>
                <w:szCs w:val="21"/>
                <w:highlight w:val="none"/>
              </w:rPr>
            </w:pPr>
          </w:p>
        </w:tc>
        <w:tc>
          <w:tcPr>
            <w:tcW w:w="1265" w:type="pct"/>
            <w:tcBorders>
              <w:top w:val="single" w:color="auto" w:sz="2" w:space="0"/>
              <w:left w:val="single" w:color="auto" w:sz="2" w:space="0"/>
              <w:right w:val="single" w:color="auto" w:sz="2" w:space="0"/>
            </w:tcBorders>
            <w:vAlign w:val="center"/>
          </w:tcPr>
          <w:p w14:paraId="540475B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A256F7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或授权签字人（签字）</w:t>
            </w:r>
          </w:p>
        </w:tc>
        <w:tc>
          <w:tcPr>
            <w:tcW w:w="1306" w:type="pct"/>
            <w:tcBorders>
              <w:top w:val="single" w:color="auto" w:sz="2" w:space="0"/>
              <w:left w:val="single" w:color="auto" w:sz="2" w:space="0"/>
              <w:bottom w:val="single" w:color="auto" w:sz="2" w:space="0"/>
            </w:tcBorders>
            <w:vAlign w:val="center"/>
          </w:tcPr>
          <w:p w14:paraId="1931C442">
            <w:pPr>
              <w:adjustRightInd w:val="0"/>
              <w:snapToGrid w:val="0"/>
              <w:spacing w:line="300" w:lineRule="exact"/>
              <w:jc w:val="center"/>
              <w:rPr>
                <w:rFonts w:hint="eastAsia" w:ascii="宋体" w:hAnsi="宋体" w:eastAsia="宋体" w:cs="宋体"/>
                <w:color w:val="auto"/>
                <w:szCs w:val="21"/>
                <w:highlight w:val="none"/>
              </w:rPr>
            </w:pPr>
          </w:p>
        </w:tc>
      </w:tr>
      <w:tr w14:paraId="589C4A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94" w:type="pct"/>
            <w:tcBorders>
              <w:top w:val="single" w:color="auto" w:sz="2" w:space="0"/>
              <w:bottom w:val="single" w:color="auto" w:sz="2" w:space="0"/>
              <w:right w:val="single" w:color="auto" w:sz="2" w:space="0"/>
            </w:tcBorders>
            <w:vAlign w:val="center"/>
          </w:tcPr>
          <w:p w14:paraId="5F2C813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1433" w:type="pct"/>
            <w:tcBorders>
              <w:top w:val="single" w:color="auto" w:sz="2" w:space="0"/>
              <w:left w:val="single" w:color="auto" w:sz="2" w:space="0"/>
              <w:bottom w:val="single" w:color="auto" w:sz="2" w:space="0"/>
              <w:right w:val="single" w:color="auto" w:sz="2" w:space="0"/>
            </w:tcBorders>
            <w:vAlign w:val="center"/>
          </w:tcPr>
          <w:p w14:paraId="49651C6D">
            <w:pPr>
              <w:adjustRightInd w:val="0"/>
              <w:snapToGrid w:val="0"/>
              <w:spacing w:line="300" w:lineRule="exact"/>
              <w:jc w:val="center"/>
              <w:rPr>
                <w:rFonts w:hint="eastAsia" w:ascii="宋体" w:hAnsi="宋体" w:eastAsia="宋体" w:cs="宋体"/>
                <w:color w:val="auto"/>
                <w:szCs w:val="21"/>
                <w:highlight w:val="none"/>
              </w:rPr>
            </w:pPr>
          </w:p>
        </w:tc>
        <w:tc>
          <w:tcPr>
            <w:tcW w:w="1265" w:type="pct"/>
            <w:tcBorders>
              <w:top w:val="single" w:color="auto" w:sz="2" w:space="0"/>
              <w:left w:val="single" w:color="auto" w:sz="2" w:space="0"/>
              <w:bottom w:val="single" w:color="auto" w:sz="2" w:space="0"/>
              <w:right w:val="single" w:color="auto" w:sz="2" w:space="0"/>
            </w:tcBorders>
            <w:vAlign w:val="center"/>
          </w:tcPr>
          <w:p w14:paraId="4700637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1306" w:type="pct"/>
            <w:tcBorders>
              <w:top w:val="single" w:color="auto" w:sz="2" w:space="0"/>
              <w:left w:val="single" w:color="auto" w:sz="2" w:space="0"/>
              <w:bottom w:val="single" w:color="auto" w:sz="2" w:space="0"/>
            </w:tcBorders>
            <w:vAlign w:val="center"/>
          </w:tcPr>
          <w:p w14:paraId="74F43B85">
            <w:pPr>
              <w:adjustRightInd w:val="0"/>
              <w:snapToGrid w:val="0"/>
              <w:spacing w:line="300" w:lineRule="exact"/>
              <w:jc w:val="left"/>
              <w:rPr>
                <w:rFonts w:hint="eastAsia" w:ascii="宋体" w:hAnsi="宋体" w:eastAsia="宋体" w:cs="宋体"/>
                <w:snapToGrid w:val="0"/>
                <w:color w:val="auto"/>
                <w:kern w:val="0"/>
                <w:highlight w:val="none"/>
              </w:rPr>
            </w:pPr>
          </w:p>
        </w:tc>
      </w:tr>
      <w:tr w14:paraId="2D4958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94" w:type="pct"/>
            <w:tcBorders>
              <w:top w:val="single" w:color="auto" w:sz="2" w:space="0"/>
              <w:bottom w:val="single" w:color="auto" w:sz="2" w:space="0"/>
              <w:right w:val="single" w:color="auto" w:sz="2" w:space="0"/>
            </w:tcBorders>
            <w:vAlign w:val="center"/>
          </w:tcPr>
          <w:p w14:paraId="7ED40A7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3" w:type="pct"/>
            <w:tcBorders>
              <w:top w:val="single" w:color="auto" w:sz="2" w:space="0"/>
              <w:left w:val="single" w:color="auto" w:sz="2" w:space="0"/>
              <w:bottom w:val="single" w:color="auto" w:sz="2" w:space="0"/>
              <w:right w:val="single" w:color="auto" w:sz="2" w:space="0"/>
            </w:tcBorders>
            <w:vAlign w:val="center"/>
          </w:tcPr>
          <w:p w14:paraId="27A3099F">
            <w:pPr>
              <w:adjustRightInd w:val="0"/>
              <w:snapToGrid w:val="0"/>
              <w:spacing w:line="300" w:lineRule="exact"/>
              <w:jc w:val="center"/>
              <w:rPr>
                <w:rFonts w:hint="eastAsia" w:ascii="宋体" w:hAnsi="宋体" w:eastAsia="宋体" w:cs="宋体"/>
                <w:color w:val="auto"/>
                <w:szCs w:val="21"/>
                <w:highlight w:val="none"/>
              </w:rPr>
            </w:pPr>
          </w:p>
        </w:tc>
        <w:tc>
          <w:tcPr>
            <w:tcW w:w="1265" w:type="pct"/>
            <w:tcBorders>
              <w:top w:val="single" w:color="auto" w:sz="2" w:space="0"/>
              <w:left w:val="single" w:color="auto" w:sz="2" w:space="0"/>
              <w:bottom w:val="single" w:color="auto" w:sz="2" w:space="0"/>
              <w:right w:val="single" w:color="auto" w:sz="2" w:space="0"/>
            </w:tcBorders>
            <w:vAlign w:val="center"/>
          </w:tcPr>
          <w:p w14:paraId="34B4D2D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306" w:type="pct"/>
            <w:tcBorders>
              <w:top w:val="single" w:color="auto" w:sz="2" w:space="0"/>
              <w:left w:val="single" w:color="auto" w:sz="2" w:space="0"/>
              <w:bottom w:val="single" w:color="auto" w:sz="2" w:space="0"/>
            </w:tcBorders>
            <w:vAlign w:val="center"/>
          </w:tcPr>
          <w:p w14:paraId="18090674">
            <w:pPr>
              <w:adjustRightInd w:val="0"/>
              <w:snapToGrid w:val="0"/>
              <w:spacing w:line="300" w:lineRule="exact"/>
              <w:jc w:val="center"/>
              <w:rPr>
                <w:rFonts w:hint="eastAsia" w:ascii="宋体" w:hAnsi="宋体" w:eastAsia="宋体" w:cs="宋体"/>
                <w:color w:val="auto"/>
                <w:spacing w:val="20"/>
                <w:szCs w:val="21"/>
                <w:highlight w:val="none"/>
              </w:rPr>
            </w:pPr>
          </w:p>
        </w:tc>
      </w:tr>
      <w:tr w14:paraId="16F59C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94" w:type="pct"/>
            <w:tcBorders>
              <w:top w:val="single" w:color="auto" w:sz="2" w:space="0"/>
              <w:bottom w:val="single" w:color="auto" w:sz="2" w:space="0"/>
              <w:right w:val="single" w:color="auto" w:sz="2" w:space="0"/>
            </w:tcBorders>
            <w:vAlign w:val="center"/>
          </w:tcPr>
          <w:p w14:paraId="71C772A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3" w:type="pct"/>
            <w:tcBorders>
              <w:top w:val="single" w:color="auto" w:sz="2" w:space="0"/>
              <w:left w:val="single" w:color="auto" w:sz="2" w:space="0"/>
              <w:bottom w:val="single" w:color="auto" w:sz="2" w:space="0"/>
              <w:right w:val="single" w:color="auto" w:sz="2" w:space="0"/>
            </w:tcBorders>
            <w:vAlign w:val="center"/>
          </w:tcPr>
          <w:p w14:paraId="0B859FF9">
            <w:pPr>
              <w:adjustRightInd w:val="0"/>
              <w:snapToGrid w:val="0"/>
              <w:spacing w:line="300" w:lineRule="exact"/>
              <w:jc w:val="center"/>
              <w:rPr>
                <w:rFonts w:hint="eastAsia" w:ascii="宋体" w:hAnsi="宋体" w:eastAsia="宋体" w:cs="宋体"/>
                <w:color w:val="auto"/>
                <w:szCs w:val="21"/>
                <w:highlight w:val="none"/>
              </w:rPr>
            </w:pPr>
          </w:p>
        </w:tc>
        <w:tc>
          <w:tcPr>
            <w:tcW w:w="1265" w:type="pct"/>
            <w:tcBorders>
              <w:top w:val="single" w:color="auto" w:sz="2" w:space="0"/>
              <w:left w:val="single" w:color="auto" w:sz="2" w:space="0"/>
              <w:bottom w:val="single" w:color="auto" w:sz="2" w:space="0"/>
              <w:right w:val="single" w:color="auto" w:sz="2" w:space="0"/>
            </w:tcBorders>
            <w:vAlign w:val="center"/>
          </w:tcPr>
          <w:p w14:paraId="2056D55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306" w:type="pct"/>
            <w:tcBorders>
              <w:top w:val="single" w:color="auto" w:sz="2" w:space="0"/>
              <w:left w:val="single" w:color="auto" w:sz="2" w:space="0"/>
              <w:bottom w:val="single" w:color="auto" w:sz="2" w:space="0"/>
            </w:tcBorders>
            <w:vAlign w:val="center"/>
          </w:tcPr>
          <w:p w14:paraId="3E4277AA">
            <w:pPr>
              <w:adjustRightInd w:val="0"/>
              <w:snapToGrid w:val="0"/>
              <w:spacing w:line="300" w:lineRule="exact"/>
              <w:jc w:val="center"/>
              <w:rPr>
                <w:rFonts w:hint="eastAsia" w:ascii="宋体" w:hAnsi="宋体" w:eastAsia="宋体" w:cs="宋体"/>
                <w:color w:val="auto"/>
                <w:spacing w:val="20"/>
                <w:szCs w:val="21"/>
                <w:highlight w:val="none"/>
              </w:rPr>
            </w:pPr>
          </w:p>
        </w:tc>
      </w:tr>
      <w:tr w14:paraId="52B3F1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94" w:type="pct"/>
            <w:tcBorders>
              <w:top w:val="single" w:color="auto" w:sz="2" w:space="0"/>
              <w:bottom w:val="single" w:color="auto" w:sz="2" w:space="0"/>
              <w:right w:val="single" w:color="auto" w:sz="2" w:space="0"/>
            </w:tcBorders>
            <w:vAlign w:val="center"/>
          </w:tcPr>
          <w:p w14:paraId="6782FD3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tc>
        <w:tc>
          <w:tcPr>
            <w:tcW w:w="1433" w:type="pct"/>
            <w:tcBorders>
              <w:top w:val="single" w:color="auto" w:sz="2" w:space="0"/>
              <w:left w:val="single" w:color="auto" w:sz="2" w:space="0"/>
              <w:bottom w:val="single" w:color="auto" w:sz="2" w:space="0"/>
              <w:right w:val="single" w:color="auto" w:sz="2" w:space="0"/>
            </w:tcBorders>
            <w:vAlign w:val="center"/>
          </w:tcPr>
          <w:p w14:paraId="273867AB">
            <w:pPr>
              <w:adjustRightInd w:val="0"/>
              <w:snapToGrid w:val="0"/>
              <w:spacing w:line="300" w:lineRule="exact"/>
              <w:jc w:val="center"/>
              <w:rPr>
                <w:rFonts w:hint="eastAsia" w:ascii="宋体" w:hAnsi="宋体" w:eastAsia="宋体" w:cs="宋体"/>
                <w:color w:val="auto"/>
                <w:szCs w:val="21"/>
                <w:highlight w:val="none"/>
              </w:rPr>
            </w:pPr>
          </w:p>
        </w:tc>
        <w:tc>
          <w:tcPr>
            <w:tcW w:w="1265" w:type="pct"/>
            <w:tcBorders>
              <w:top w:val="single" w:color="auto" w:sz="2" w:space="0"/>
              <w:left w:val="single" w:color="auto" w:sz="2" w:space="0"/>
              <w:bottom w:val="single" w:color="auto" w:sz="2" w:space="0"/>
              <w:right w:val="single" w:color="auto" w:sz="2" w:space="0"/>
            </w:tcBorders>
            <w:vAlign w:val="center"/>
          </w:tcPr>
          <w:p w14:paraId="39EDD24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tc>
        <w:tc>
          <w:tcPr>
            <w:tcW w:w="1306" w:type="pct"/>
            <w:tcBorders>
              <w:top w:val="single" w:color="auto" w:sz="2" w:space="0"/>
              <w:left w:val="single" w:color="auto" w:sz="2" w:space="0"/>
              <w:bottom w:val="single" w:color="auto" w:sz="2" w:space="0"/>
            </w:tcBorders>
            <w:vAlign w:val="center"/>
          </w:tcPr>
          <w:p w14:paraId="73A9C33D">
            <w:pPr>
              <w:adjustRightInd w:val="0"/>
              <w:snapToGrid w:val="0"/>
              <w:spacing w:line="300" w:lineRule="exact"/>
              <w:jc w:val="center"/>
              <w:rPr>
                <w:rFonts w:hint="eastAsia" w:ascii="宋体" w:hAnsi="宋体" w:eastAsia="宋体" w:cs="宋体"/>
                <w:color w:val="auto"/>
                <w:szCs w:val="21"/>
                <w:highlight w:val="none"/>
              </w:rPr>
            </w:pPr>
          </w:p>
        </w:tc>
      </w:tr>
    </w:tbl>
    <w:p w14:paraId="60A37754"/>
    <w:p w14:paraId="39763058">
      <w:pPr>
        <w:tabs>
          <w:tab w:val="left" w:pos="1815"/>
        </w:tabs>
        <w:jc w:val="left"/>
        <w:rPr>
          <w:color w:val="auto"/>
        </w:rPr>
      </w:pPr>
    </w:p>
    <w:p w14:paraId="2E33D27C">
      <w:pPr>
        <w:pStyle w:val="17"/>
        <w:ind w:left="0" w:leftChars="0" w:firstLine="0" w:firstLineChars="0"/>
        <w:sectPr>
          <w:footerReference r:id="rId12" w:type="default"/>
          <w:pgSz w:w="11907" w:h="16840"/>
          <w:pgMar w:top="1418" w:right="1134" w:bottom="1418" w:left="1701" w:header="851" w:footer="851" w:gutter="0"/>
          <w:pgNumType w:fmt="decimal"/>
          <w:cols w:space="720" w:num="1"/>
          <w:docGrid w:linePitch="462" w:charSpace="0"/>
        </w:sectPr>
      </w:pPr>
    </w:p>
    <w:p w14:paraId="3C561591">
      <w:pPr>
        <w:pStyle w:val="26"/>
      </w:pPr>
    </w:p>
    <w:p w14:paraId="64B976F6">
      <w:pPr>
        <w:spacing w:line="360" w:lineRule="auto"/>
        <w:jc w:val="center"/>
        <w:outlineLvl w:val="0"/>
        <w:rPr>
          <w:rFonts w:hint="default"/>
          <w:b/>
          <w:color w:val="auto"/>
          <w:sz w:val="36"/>
          <w:szCs w:val="36"/>
        </w:rPr>
      </w:pPr>
      <w:bookmarkStart w:id="822" w:name="_Toc8891"/>
      <w:r>
        <w:rPr>
          <w:rFonts w:hint="default"/>
          <w:b/>
          <w:color w:val="auto"/>
          <w:sz w:val="36"/>
          <w:szCs w:val="36"/>
        </w:rPr>
        <w:t>第七章   投标文件格式</w:t>
      </w:r>
      <w:bookmarkEnd w:id="822"/>
    </w:p>
    <w:p w14:paraId="64E2E6C2">
      <w:pPr>
        <w:tabs>
          <w:tab w:val="left" w:pos="900"/>
          <w:tab w:val="left" w:pos="1980"/>
        </w:tabs>
        <w:snapToGrid w:val="0"/>
        <w:spacing w:line="360" w:lineRule="auto"/>
        <w:ind w:left="142"/>
        <w:rPr>
          <w:b/>
          <w:color w:val="auto"/>
          <w:sz w:val="24"/>
        </w:rPr>
      </w:pPr>
    </w:p>
    <w:p w14:paraId="07DC1ABF">
      <w:pPr>
        <w:tabs>
          <w:tab w:val="left" w:pos="900"/>
          <w:tab w:val="left" w:pos="1980"/>
        </w:tabs>
        <w:snapToGrid w:val="0"/>
        <w:spacing w:line="360" w:lineRule="auto"/>
        <w:ind w:left="142"/>
        <w:rPr>
          <w:b/>
          <w:color w:val="auto"/>
          <w:sz w:val="24"/>
        </w:rPr>
      </w:pPr>
    </w:p>
    <w:p w14:paraId="5BCAB185">
      <w:pPr>
        <w:tabs>
          <w:tab w:val="left" w:pos="900"/>
          <w:tab w:val="left" w:pos="1980"/>
        </w:tabs>
        <w:snapToGrid w:val="0"/>
        <w:spacing w:line="360" w:lineRule="auto"/>
        <w:ind w:left="142"/>
        <w:rPr>
          <w:color w:val="auto"/>
          <w:sz w:val="24"/>
        </w:rPr>
      </w:pPr>
      <w:r>
        <w:rPr>
          <w:b/>
          <w:color w:val="auto"/>
          <w:sz w:val="24"/>
        </w:rPr>
        <w:t>投标人编制文件须知</w:t>
      </w:r>
    </w:p>
    <w:p w14:paraId="032B56B8">
      <w:pPr>
        <w:tabs>
          <w:tab w:val="left" w:pos="900"/>
          <w:tab w:val="left" w:pos="1980"/>
        </w:tabs>
        <w:snapToGrid w:val="0"/>
        <w:spacing w:line="360" w:lineRule="auto"/>
        <w:ind w:left="142"/>
        <w:rPr>
          <w:color w:val="auto"/>
          <w:sz w:val="24"/>
        </w:rPr>
      </w:pPr>
      <w:r>
        <w:rPr>
          <w:color w:val="auto"/>
          <w:sz w:val="24"/>
        </w:rPr>
        <w:t>1、投标人按照本部分的顺序编制投标文件（资格证明文件）、投标文件（商务技术文件），编制中涉及格式资料的，应按照本部分提供的内容和格式（所有表格的格式可扩展）填写提交。</w:t>
      </w:r>
    </w:p>
    <w:p w14:paraId="64BF1C7B">
      <w:pPr>
        <w:tabs>
          <w:tab w:val="left" w:pos="900"/>
          <w:tab w:val="left" w:pos="1980"/>
        </w:tabs>
        <w:snapToGrid w:val="0"/>
        <w:spacing w:line="360" w:lineRule="auto"/>
        <w:ind w:left="142"/>
        <w:rPr>
          <w:color w:val="auto"/>
          <w:kern w:val="0"/>
          <w:sz w:val="24"/>
        </w:rPr>
      </w:pPr>
      <w:r>
        <w:rPr>
          <w:color w:val="auto"/>
          <w:sz w:val="24"/>
        </w:rPr>
        <w:t>2、</w:t>
      </w: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70DD1624">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14:paraId="34F52B2F">
      <w:pPr>
        <w:widowControl/>
        <w:jc w:val="left"/>
        <w:rPr>
          <w:color w:val="auto"/>
          <w:sz w:val="24"/>
        </w:rPr>
      </w:pPr>
      <w:r>
        <w:rPr>
          <w:color w:val="auto"/>
          <w:sz w:val="24"/>
        </w:rPr>
        <w:br w:type="page"/>
      </w:r>
    </w:p>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14:paraId="41A1D76E">
      <w:pPr>
        <w:keepNext/>
        <w:keepLines/>
        <w:autoSpaceDE w:val="0"/>
        <w:autoSpaceDN w:val="0"/>
        <w:adjustRightInd w:val="0"/>
        <w:spacing w:before="120" w:line="300" w:lineRule="auto"/>
        <w:jc w:val="left"/>
        <w:outlineLvl w:val="1"/>
        <w:rPr>
          <w:b/>
          <w:color w:val="auto"/>
          <w:kern w:val="0"/>
          <w:sz w:val="30"/>
          <w:szCs w:val="20"/>
        </w:rPr>
      </w:pPr>
      <w:r>
        <w:rPr>
          <w:b/>
          <w:color w:val="auto"/>
          <w:spacing w:val="20"/>
          <w:sz w:val="24"/>
        </w:rPr>
        <w:t>一、资格证明文件格式</w:t>
      </w:r>
    </w:p>
    <w:p w14:paraId="6F93B0FD">
      <w:pPr>
        <w:rPr>
          <w:b/>
          <w:color w:val="auto"/>
          <w:spacing w:val="20"/>
          <w:szCs w:val="21"/>
        </w:rPr>
      </w:pPr>
    </w:p>
    <w:p w14:paraId="6340E593">
      <w:pPr>
        <w:rPr>
          <w:b/>
          <w:color w:val="auto"/>
          <w:sz w:val="24"/>
        </w:rPr>
      </w:pPr>
      <w:r>
        <w:rPr>
          <w:b/>
          <w:color w:val="auto"/>
          <w:spacing w:val="20"/>
          <w:sz w:val="24"/>
        </w:rPr>
        <w:t>投标文件（资格证明文件）</w:t>
      </w:r>
      <w:r>
        <w:rPr>
          <w:b/>
          <w:color w:val="auto"/>
          <w:sz w:val="24"/>
        </w:rPr>
        <w:t>封面（非实质性格式）</w:t>
      </w:r>
    </w:p>
    <w:p w14:paraId="323741B8">
      <w:pPr>
        <w:jc w:val="center"/>
        <w:rPr>
          <w:color w:val="auto"/>
          <w:szCs w:val="21"/>
        </w:rPr>
      </w:pPr>
    </w:p>
    <w:p w14:paraId="5482A050">
      <w:pPr>
        <w:jc w:val="center"/>
        <w:rPr>
          <w:b/>
          <w:color w:val="auto"/>
          <w:spacing w:val="60"/>
          <w:sz w:val="84"/>
          <w:szCs w:val="84"/>
        </w:rPr>
      </w:pPr>
      <w:r>
        <w:rPr>
          <w:b/>
          <w:color w:val="auto"/>
          <w:spacing w:val="60"/>
          <w:sz w:val="84"/>
          <w:szCs w:val="84"/>
        </w:rPr>
        <w:t>投 标 文 件</w:t>
      </w:r>
    </w:p>
    <w:p w14:paraId="6B2E86E4">
      <w:pPr>
        <w:jc w:val="center"/>
        <w:rPr>
          <w:b/>
          <w:color w:val="auto"/>
          <w:spacing w:val="60"/>
          <w:sz w:val="52"/>
          <w:szCs w:val="52"/>
        </w:rPr>
      </w:pPr>
      <w:r>
        <w:rPr>
          <w:b/>
          <w:color w:val="auto"/>
          <w:spacing w:val="60"/>
          <w:sz w:val="52"/>
          <w:szCs w:val="52"/>
        </w:rPr>
        <w:t>（资格证明文件）</w:t>
      </w:r>
    </w:p>
    <w:p w14:paraId="545680C9">
      <w:pPr>
        <w:ind w:firstLine="542" w:firstLineChars="150"/>
        <w:rPr>
          <w:b/>
          <w:color w:val="auto"/>
          <w:spacing w:val="20"/>
          <w:sz w:val="32"/>
          <w:szCs w:val="32"/>
        </w:rPr>
      </w:pPr>
    </w:p>
    <w:p w14:paraId="5AB3670C">
      <w:pPr>
        <w:ind w:firstLine="542" w:firstLineChars="150"/>
        <w:rPr>
          <w:b/>
          <w:color w:val="auto"/>
          <w:spacing w:val="20"/>
          <w:sz w:val="32"/>
          <w:szCs w:val="32"/>
        </w:rPr>
      </w:pPr>
    </w:p>
    <w:p w14:paraId="165A63F7">
      <w:pPr>
        <w:ind w:firstLine="542" w:firstLineChars="150"/>
        <w:rPr>
          <w:b/>
          <w:color w:val="auto"/>
          <w:spacing w:val="20"/>
          <w:sz w:val="32"/>
          <w:szCs w:val="32"/>
        </w:rPr>
      </w:pPr>
      <w:r>
        <w:rPr>
          <w:rFonts w:hint="eastAsia"/>
          <w:b/>
          <w:color w:val="auto"/>
          <w:spacing w:val="20"/>
          <w:sz w:val="32"/>
          <w:szCs w:val="32"/>
        </w:rPr>
        <w:t>项目名称</w:t>
      </w:r>
      <w:r>
        <w:rPr>
          <w:b/>
          <w:color w:val="auto"/>
          <w:spacing w:val="20"/>
          <w:sz w:val="32"/>
          <w:szCs w:val="32"/>
        </w:rPr>
        <w:t>:</w:t>
      </w:r>
    </w:p>
    <w:p w14:paraId="329EEFBB">
      <w:pPr>
        <w:ind w:firstLine="542" w:firstLineChars="150"/>
        <w:rPr>
          <w:b/>
          <w:color w:val="auto"/>
          <w:spacing w:val="20"/>
          <w:sz w:val="32"/>
          <w:szCs w:val="32"/>
        </w:rPr>
      </w:pPr>
      <w:r>
        <w:rPr>
          <w:rFonts w:hint="eastAsia"/>
          <w:b/>
          <w:color w:val="auto"/>
          <w:spacing w:val="20"/>
          <w:sz w:val="32"/>
          <w:szCs w:val="32"/>
        </w:rPr>
        <w:t>项目编号：</w:t>
      </w:r>
    </w:p>
    <w:p w14:paraId="33E30F6B">
      <w:pPr>
        <w:ind w:firstLine="542" w:firstLineChars="150"/>
        <w:rPr>
          <w:b/>
          <w:color w:val="auto"/>
          <w:spacing w:val="20"/>
          <w:sz w:val="32"/>
          <w:szCs w:val="32"/>
        </w:rPr>
      </w:pPr>
    </w:p>
    <w:p w14:paraId="1F2F6FC3">
      <w:pPr>
        <w:ind w:firstLine="542" w:firstLineChars="150"/>
        <w:rPr>
          <w:b/>
          <w:color w:val="auto"/>
          <w:spacing w:val="20"/>
          <w:sz w:val="32"/>
          <w:szCs w:val="32"/>
        </w:rPr>
      </w:pPr>
    </w:p>
    <w:p w14:paraId="3B75E9D9">
      <w:pPr>
        <w:jc w:val="center"/>
        <w:rPr>
          <w:b/>
          <w:color w:val="auto"/>
          <w:sz w:val="32"/>
          <w:szCs w:val="32"/>
        </w:rPr>
      </w:pPr>
    </w:p>
    <w:p w14:paraId="306ECEDD">
      <w:pPr>
        <w:jc w:val="center"/>
        <w:rPr>
          <w:b/>
          <w:color w:val="auto"/>
          <w:sz w:val="32"/>
          <w:szCs w:val="32"/>
        </w:rPr>
      </w:pPr>
    </w:p>
    <w:p w14:paraId="214F1C0C">
      <w:pPr>
        <w:jc w:val="center"/>
        <w:rPr>
          <w:b/>
          <w:color w:val="auto"/>
          <w:sz w:val="32"/>
          <w:szCs w:val="32"/>
        </w:rPr>
      </w:pPr>
    </w:p>
    <w:p w14:paraId="739028C7">
      <w:pPr>
        <w:jc w:val="center"/>
        <w:rPr>
          <w:b/>
          <w:color w:val="auto"/>
          <w:spacing w:val="20"/>
          <w:sz w:val="32"/>
          <w:szCs w:val="32"/>
        </w:rPr>
      </w:pPr>
    </w:p>
    <w:p w14:paraId="6424C87C">
      <w:pPr>
        <w:jc w:val="center"/>
        <w:rPr>
          <w:b/>
          <w:color w:val="auto"/>
          <w:spacing w:val="20"/>
          <w:sz w:val="32"/>
          <w:szCs w:val="32"/>
        </w:rPr>
      </w:pPr>
    </w:p>
    <w:p w14:paraId="3ADB2C8B">
      <w:pPr>
        <w:jc w:val="center"/>
        <w:rPr>
          <w:b/>
          <w:color w:val="auto"/>
          <w:spacing w:val="20"/>
          <w:sz w:val="32"/>
          <w:szCs w:val="32"/>
        </w:rPr>
      </w:pPr>
    </w:p>
    <w:p w14:paraId="5C3CA8E8">
      <w:pPr>
        <w:jc w:val="center"/>
        <w:rPr>
          <w:b/>
          <w:color w:val="auto"/>
          <w:sz w:val="32"/>
          <w:szCs w:val="32"/>
        </w:rPr>
      </w:pPr>
      <w:r>
        <w:rPr>
          <w:rFonts w:hint="eastAsia"/>
          <w:b/>
          <w:color w:val="auto"/>
          <w:spacing w:val="20"/>
          <w:sz w:val="32"/>
          <w:szCs w:val="32"/>
        </w:rPr>
        <w:t>投标人名称：</w:t>
      </w:r>
    </w:p>
    <w:p w14:paraId="5D0D7281">
      <w:pPr>
        <w:rPr>
          <w:b/>
          <w:color w:val="auto"/>
        </w:rPr>
      </w:pPr>
      <w:r>
        <w:rPr>
          <w:b/>
          <w:color w:val="auto"/>
          <w:spacing w:val="20"/>
          <w:sz w:val="32"/>
          <w:szCs w:val="32"/>
        </w:rPr>
        <w:br w:type="page"/>
      </w:r>
    </w:p>
    <w:p w14:paraId="2B5A0DAB">
      <w:pPr>
        <w:spacing w:line="360" w:lineRule="auto"/>
        <w:outlineLvl w:val="2"/>
        <w:rPr>
          <w:color w:val="auto"/>
          <w:sz w:val="24"/>
          <w:szCs w:val="20"/>
        </w:rPr>
      </w:pPr>
      <w:r>
        <w:rPr>
          <w:color w:val="auto"/>
          <w:sz w:val="24"/>
          <w:szCs w:val="20"/>
        </w:rPr>
        <w:t xml:space="preserve">1 </w:t>
      </w:r>
      <w:r>
        <w:rPr>
          <w:color w:val="auto"/>
          <w:sz w:val="24"/>
        </w:rPr>
        <w:t>满足《中华人民共和国政府采购法》第二十二条规定及法律法规的其他规定</w:t>
      </w:r>
    </w:p>
    <w:p w14:paraId="6C43F94E">
      <w:pPr>
        <w:spacing w:line="360" w:lineRule="auto"/>
        <w:outlineLvl w:val="2"/>
        <w:rPr>
          <w:color w:val="auto"/>
          <w:sz w:val="24"/>
          <w:szCs w:val="20"/>
        </w:rPr>
      </w:pPr>
      <w:r>
        <w:rPr>
          <w:color w:val="auto"/>
          <w:sz w:val="24"/>
          <w:szCs w:val="20"/>
        </w:rPr>
        <w:t>1-1营业执照等证明文件</w:t>
      </w:r>
    </w:p>
    <w:p w14:paraId="6D201BB3">
      <w:pPr>
        <w:spacing w:line="360" w:lineRule="auto"/>
        <w:outlineLvl w:val="2"/>
        <w:rPr>
          <w:color w:val="auto"/>
          <w:sz w:val="24"/>
          <w:szCs w:val="20"/>
        </w:rPr>
      </w:pPr>
      <w:r>
        <w:rPr>
          <w:color w:val="auto"/>
          <w:sz w:val="24"/>
          <w:szCs w:val="20"/>
        </w:rPr>
        <w:t xml:space="preserve"> </w:t>
      </w:r>
    </w:p>
    <w:p w14:paraId="4DF67064">
      <w:pPr>
        <w:tabs>
          <w:tab w:val="left" w:pos="1080"/>
        </w:tabs>
        <w:snapToGrid w:val="0"/>
        <w:rPr>
          <w:color w:val="auto"/>
          <w:sz w:val="24"/>
        </w:rPr>
      </w:pPr>
    </w:p>
    <w:p w14:paraId="1F3AF78F">
      <w:pPr>
        <w:widowControl/>
        <w:jc w:val="left"/>
        <w:rPr>
          <w:color w:val="auto"/>
          <w:sz w:val="24"/>
          <w:szCs w:val="20"/>
        </w:rPr>
      </w:pPr>
      <w:r>
        <w:rPr>
          <w:color w:val="auto"/>
          <w:sz w:val="24"/>
        </w:rPr>
        <w:br w:type="page"/>
      </w:r>
    </w:p>
    <w:p w14:paraId="38341703">
      <w:pPr>
        <w:pStyle w:val="4"/>
        <w:rPr>
          <w:rFonts w:ascii="Times New Roman"/>
          <w:b w:val="0"/>
          <w:bCs/>
          <w:color w:val="auto"/>
          <w:u w:val="none"/>
        </w:rPr>
      </w:pPr>
      <w:r>
        <w:rPr>
          <w:rFonts w:ascii="Times New Roman"/>
          <w:b w:val="0"/>
          <w:color w:val="auto"/>
          <w:u w:val="none"/>
        </w:rPr>
        <w:t>1-2 投标人资格声明书（实质性格式）</w:t>
      </w:r>
    </w:p>
    <w:p w14:paraId="68F6AE6D">
      <w:pPr>
        <w:jc w:val="center"/>
        <w:rPr>
          <w:b/>
          <w:color w:val="auto"/>
          <w:sz w:val="36"/>
          <w:szCs w:val="36"/>
        </w:rPr>
      </w:pPr>
      <w:r>
        <w:rPr>
          <w:rFonts w:hint="eastAsia"/>
          <w:b/>
          <w:color w:val="auto"/>
          <w:sz w:val="36"/>
          <w:szCs w:val="36"/>
        </w:rPr>
        <w:t>投标人资格声明书</w:t>
      </w:r>
    </w:p>
    <w:p w14:paraId="5B757848">
      <w:pPr>
        <w:tabs>
          <w:tab w:val="left" w:pos="5580"/>
        </w:tabs>
        <w:spacing w:line="360" w:lineRule="auto"/>
        <w:rPr>
          <w:color w:val="auto"/>
          <w:sz w:val="24"/>
        </w:rPr>
      </w:pPr>
    </w:p>
    <w:p w14:paraId="0BBD0D5F">
      <w:pPr>
        <w:tabs>
          <w:tab w:val="left" w:pos="5580"/>
        </w:tabs>
        <w:spacing w:line="360" w:lineRule="auto"/>
        <w:rPr>
          <w:color w:val="auto"/>
          <w:sz w:val="24"/>
        </w:rPr>
      </w:pPr>
      <w:r>
        <w:rPr>
          <w:color w:val="auto"/>
          <w:sz w:val="24"/>
        </w:rPr>
        <w:t>致：</w:t>
      </w:r>
      <w:r>
        <w:rPr>
          <w:color w:val="auto"/>
          <w:sz w:val="24"/>
          <w:u w:val="single"/>
        </w:rPr>
        <w:t>采购人或采购代理机构</w:t>
      </w:r>
    </w:p>
    <w:p w14:paraId="6938B8EF">
      <w:pPr>
        <w:spacing w:line="360" w:lineRule="auto"/>
        <w:ind w:firstLine="480" w:firstLineChars="200"/>
        <w:rPr>
          <w:color w:val="auto"/>
          <w:sz w:val="24"/>
        </w:rPr>
      </w:pPr>
      <w:r>
        <w:rPr>
          <w:color w:val="auto"/>
          <w:sz w:val="24"/>
        </w:rPr>
        <w:t>在参与本次项目投标中，我单位承诺：</w:t>
      </w:r>
    </w:p>
    <w:p w14:paraId="20483604">
      <w:pPr>
        <w:numPr>
          <w:ilvl w:val="0"/>
          <w:numId w:val="12"/>
        </w:numPr>
        <w:spacing w:line="360" w:lineRule="auto"/>
        <w:ind w:left="1134"/>
        <w:rPr>
          <w:color w:val="auto"/>
          <w:sz w:val="24"/>
          <w:szCs w:val="22"/>
        </w:rPr>
      </w:pPr>
      <w:r>
        <w:rPr>
          <w:color w:val="auto"/>
          <w:sz w:val="24"/>
          <w:szCs w:val="22"/>
        </w:rPr>
        <w:t>具有良好的商业信誉和健全的财务会计制度；</w:t>
      </w:r>
    </w:p>
    <w:p w14:paraId="238C484E">
      <w:pPr>
        <w:numPr>
          <w:ilvl w:val="0"/>
          <w:numId w:val="12"/>
        </w:numPr>
        <w:spacing w:line="360" w:lineRule="auto"/>
        <w:ind w:left="1134"/>
        <w:rPr>
          <w:color w:val="auto"/>
          <w:sz w:val="24"/>
          <w:szCs w:val="22"/>
        </w:rPr>
      </w:pPr>
      <w:r>
        <w:rPr>
          <w:color w:val="auto"/>
          <w:sz w:val="24"/>
          <w:szCs w:val="22"/>
        </w:rPr>
        <w:t>具有履行合同所必需的设备和专业技术能力；</w:t>
      </w:r>
    </w:p>
    <w:p w14:paraId="0DA75FDE">
      <w:pPr>
        <w:numPr>
          <w:ilvl w:val="0"/>
          <w:numId w:val="12"/>
        </w:numPr>
        <w:spacing w:line="360" w:lineRule="auto"/>
        <w:ind w:left="1134"/>
        <w:rPr>
          <w:color w:val="auto"/>
          <w:sz w:val="24"/>
          <w:szCs w:val="22"/>
        </w:rPr>
      </w:pPr>
      <w:r>
        <w:rPr>
          <w:color w:val="auto"/>
          <w:sz w:val="24"/>
          <w:szCs w:val="22"/>
        </w:rPr>
        <w:t>有依法缴纳税收和社会保障资金的良好记录；</w:t>
      </w:r>
    </w:p>
    <w:p w14:paraId="31A5EF77">
      <w:pPr>
        <w:numPr>
          <w:ilvl w:val="0"/>
          <w:numId w:val="12"/>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CD65A0">
      <w:pPr>
        <w:numPr>
          <w:ilvl w:val="0"/>
          <w:numId w:val="12"/>
        </w:numPr>
        <w:spacing w:line="360" w:lineRule="auto"/>
        <w:ind w:left="1134"/>
        <w:rPr>
          <w:color w:val="auto"/>
          <w:sz w:val="24"/>
          <w:szCs w:val="22"/>
        </w:rPr>
      </w:pPr>
      <w:r>
        <w:rPr>
          <w:color w:val="auto"/>
          <w:sz w:val="24"/>
          <w:szCs w:val="22"/>
        </w:rPr>
        <w:t>我单位不属于政府采购法律、行政法规规定的公益一类事业单位、或使用事业编制且由财政拨款保障的群团组织；</w:t>
      </w:r>
    </w:p>
    <w:p w14:paraId="723E0DE1">
      <w:pPr>
        <w:numPr>
          <w:ilvl w:val="0"/>
          <w:numId w:val="12"/>
        </w:numPr>
        <w:spacing w:line="360" w:lineRule="auto"/>
        <w:ind w:left="1134"/>
        <w:rPr>
          <w:color w:val="auto"/>
          <w:sz w:val="24"/>
          <w:szCs w:val="22"/>
        </w:rPr>
      </w:pPr>
      <w:r>
        <w:rPr>
          <w:color w:val="auto"/>
          <w:sz w:val="24"/>
          <w:szCs w:val="22"/>
        </w:rPr>
        <w:t>我单位不存在为采购项目提供整体设计、规范编制或者项目管理、监理、检测等服务后，再参加该采购项目的其他采购活动的情形；</w:t>
      </w:r>
    </w:p>
    <w:p w14:paraId="1FC3EEE3">
      <w:pPr>
        <w:numPr>
          <w:ilvl w:val="0"/>
          <w:numId w:val="12"/>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3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A0C6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AE2592">
            <w:pPr>
              <w:jc w:val="center"/>
              <w:rPr>
                <w:color w:val="auto"/>
                <w:sz w:val="24"/>
              </w:rPr>
            </w:pPr>
            <w:r>
              <w:rPr>
                <w:color w:val="auto"/>
                <w:sz w:val="24"/>
              </w:rPr>
              <w:t>序号</w:t>
            </w:r>
          </w:p>
        </w:tc>
        <w:tc>
          <w:tcPr>
            <w:tcW w:w="4574" w:type="dxa"/>
            <w:vAlign w:val="center"/>
          </w:tcPr>
          <w:p w14:paraId="1098B4CE">
            <w:pPr>
              <w:jc w:val="center"/>
              <w:rPr>
                <w:color w:val="auto"/>
                <w:sz w:val="24"/>
              </w:rPr>
            </w:pPr>
            <w:r>
              <w:rPr>
                <w:color w:val="auto"/>
                <w:sz w:val="24"/>
              </w:rPr>
              <w:t>单位名称</w:t>
            </w:r>
          </w:p>
        </w:tc>
        <w:tc>
          <w:tcPr>
            <w:tcW w:w="2976" w:type="dxa"/>
            <w:vAlign w:val="center"/>
          </w:tcPr>
          <w:p w14:paraId="14F0A397">
            <w:pPr>
              <w:jc w:val="center"/>
              <w:rPr>
                <w:color w:val="auto"/>
                <w:sz w:val="24"/>
              </w:rPr>
            </w:pPr>
            <w:r>
              <w:rPr>
                <w:color w:val="auto"/>
                <w:sz w:val="24"/>
              </w:rPr>
              <w:t>相互关系</w:t>
            </w:r>
          </w:p>
        </w:tc>
      </w:tr>
      <w:tr w14:paraId="4E80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8E5B6D6">
            <w:pPr>
              <w:jc w:val="center"/>
              <w:rPr>
                <w:color w:val="auto"/>
                <w:sz w:val="24"/>
              </w:rPr>
            </w:pPr>
            <w:r>
              <w:rPr>
                <w:color w:val="auto"/>
                <w:sz w:val="24"/>
              </w:rPr>
              <w:t>1</w:t>
            </w:r>
          </w:p>
        </w:tc>
        <w:tc>
          <w:tcPr>
            <w:tcW w:w="4574" w:type="dxa"/>
            <w:vAlign w:val="center"/>
          </w:tcPr>
          <w:p w14:paraId="2E1C8BAD">
            <w:pPr>
              <w:jc w:val="center"/>
              <w:rPr>
                <w:color w:val="auto"/>
                <w:sz w:val="24"/>
              </w:rPr>
            </w:pPr>
          </w:p>
        </w:tc>
        <w:tc>
          <w:tcPr>
            <w:tcW w:w="2976" w:type="dxa"/>
            <w:vAlign w:val="center"/>
          </w:tcPr>
          <w:p w14:paraId="1E2B55F2">
            <w:pPr>
              <w:jc w:val="center"/>
              <w:rPr>
                <w:color w:val="auto"/>
                <w:sz w:val="24"/>
              </w:rPr>
            </w:pPr>
          </w:p>
        </w:tc>
      </w:tr>
      <w:tr w14:paraId="4F66A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2A3C80">
            <w:pPr>
              <w:jc w:val="center"/>
              <w:rPr>
                <w:color w:val="auto"/>
                <w:sz w:val="24"/>
              </w:rPr>
            </w:pPr>
            <w:r>
              <w:rPr>
                <w:color w:val="auto"/>
                <w:sz w:val="24"/>
              </w:rPr>
              <w:t>2</w:t>
            </w:r>
          </w:p>
        </w:tc>
        <w:tc>
          <w:tcPr>
            <w:tcW w:w="4574" w:type="dxa"/>
            <w:vAlign w:val="center"/>
          </w:tcPr>
          <w:p w14:paraId="6914BB1A">
            <w:pPr>
              <w:jc w:val="center"/>
              <w:rPr>
                <w:color w:val="auto"/>
                <w:sz w:val="24"/>
              </w:rPr>
            </w:pPr>
          </w:p>
        </w:tc>
        <w:tc>
          <w:tcPr>
            <w:tcW w:w="2976" w:type="dxa"/>
            <w:vAlign w:val="center"/>
          </w:tcPr>
          <w:p w14:paraId="4281399F">
            <w:pPr>
              <w:jc w:val="center"/>
              <w:rPr>
                <w:color w:val="auto"/>
                <w:sz w:val="24"/>
              </w:rPr>
            </w:pPr>
          </w:p>
        </w:tc>
      </w:tr>
      <w:tr w14:paraId="23A8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0CD232">
            <w:pPr>
              <w:jc w:val="center"/>
              <w:rPr>
                <w:color w:val="auto"/>
                <w:sz w:val="24"/>
              </w:rPr>
            </w:pPr>
            <w:r>
              <w:rPr>
                <w:color w:val="auto"/>
                <w:sz w:val="24"/>
              </w:rPr>
              <w:t>…</w:t>
            </w:r>
          </w:p>
        </w:tc>
        <w:tc>
          <w:tcPr>
            <w:tcW w:w="4574" w:type="dxa"/>
            <w:vAlign w:val="center"/>
          </w:tcPr>
          <w:p w14:paraId="7617B451">
            <w:pPr>
              <w:jc w:val="center"/>
              <w:rPr>
                <w:color w:val="auto"/>
                <w:sz w:val="24"/>
              </w:rPr>
            </w:pPr>
          </w:p>
        </w:tc>
        <w:tc>
          <w:tcPr>
            <w:tcW w:w="2976" w:type="dxa"/>
            <w:vAlign w:val="center"/>
          </w:tcPr>
          <w:p w14:paraId="75FB7182">
            <w:pPr>
              <w:jc w:val="center"/>
              <w:rPr>
                <w:color w:val="auto"/>
                <w:sz w:val="24"/>
              </w:rPr>
            </w:pPr>
          </w:p>
        </w:tc>
      </w:tr>
    </w:tbl>
    <w:p w14:paraId="30168B1F">
      <w:pPr>
        <w:rPr>
          <w:color w:val="auto"/>
        </w:rPr>
      </w:pPr>
    </w:p>
    <w:p w14:paraId="58AF9363">
      <w:pPr>
        <w:ind w:firstLine="480" w:firstLineChars="200"/>
        <w:rPr>
          <w:color w:val="auto"/>
          <w:sz w:val="24"/>
          <w:szCs w:val="22"/>
        </w:rPr>
      </w:pPr>
      <w:r>
        <w:rPr>
          <w:color w:val="auto"/>
          <w:sz w:val="24"/>
        </w:rPr>
        <w:t>上述声明真实有效，否则我方负全部责任。</w:t>
      </w:r>
    </w:p>
    <w:p w14:paraId="592A64F5">
      <w:pPr>
        <w:spacing w:line="360" w:lineRule="auto"/>
        <w:rPr>
          <w:color w:val="auto"/>
          <w:sz w:val="24"/>
        </w:rPr>
      </w:pPr>
    </w:p>
    <w:p w14:paraId="6944AD64">
      <w:pPr>
        <w:autoSpaceDE w:val="0"/>
        <w:autoSpaceDN w:val="0"/>
        <w:adjustRightInd w:val="0"/>
        <w:snapToGrid w:val="0"/>
        <w:spacing w:before="25" w:after="25" w:line="360" w:lineRule="auto"/>
        <w:ind w:right="600"/>
        <w:jc w:val="right"/>
        <w:rPr>
          <w:color w:val="auto"/>
          <w:sz w:val="24"/>
          <w:lang w:val="zh-CN"/>
        </w:rPr>
      </w:pPr>
      <w:r>
        <w:rPr>
          <w:color w:val="auto"/>
          <w:sz w:val="24"/>
        </w:rPr>
        <w:t>投标人名称（加盖公章）</w:t>
      </w:r>
      <w:r>
        <w:rPr>
          <w:color w:val="auto"/>
          <w:sz w:val="24"/>
          <w:lang w:val="zh-CN"/>
        </w:rPr>
        <w:t>：____________</w:t>
      </w:r>
    </w:p>
    <w:p w14:paraId="0EFEDC4C">
      <w:pPr>
        <w:spacing w:line="360" w:lineRule="auto"/>
        <w:ind w:right="1320" w:firstLine="480"/>
        <w:jc w:val="right"/>
        <w:rPr>
          <w:color w:val="auto"/>
          <w:sz w:val="24"/>
        </w:rPr>
      </w:pPr>
      <w:r>
        <w:rPr>
          <w:color w:val="auto"/>
          <w:sz w:val="24"/>
          <w:szCs w:val="20"/>
        </w:rPr>
        <w:t xml:space="preserve">日期：_____年______月______日   </w:t>
      </w:r>
    </w:p>
    <w:p w14:paraId="33B3CC24">
      <w:pPr>
        <w:spacing w:line="360" w:lineRule="auto"/>
        <w:rPr>
          <w:color w:val="auto"/>
          <w:sz w:val="24"/>
        </w:rPr>
      </w:pPr>
      <w:r>
        <w:rPr>
          <w:color w:val="auto"/>
          <w:sz w:val="24"/>
        </w:rPr>
        <w:t>说明：</w:t>
      </w:r>
      <w:r>
        <w:rPr>
          <w:rFonts w:hint="eastAsia"/>
          <w:color w:val="auto"/>
          <w:sz w:val="24"/>
        </w:rPr>
        <w:t>供应商承诺不实的，依据《政府采购法》第七十七条“提供虚假材料谋取中标、成交的”有关规定予以处理</w:t>
      </w:r>
      <w:r>
        <w:rPr>
          <w:color w:val="auto"/>
          <w:sz w:val="24"/>
        </w:rPr>
        <w:t>。</w:t>
      </w:r>
    </w:p>
    <w:p w14:paraId="460ABE4B">
      <w:pPr>
        <w:tabs>
          <w:tab w:val="left" w:pos="5580"/>
        </w:tabs>
        <w:spacing w:line="360" w:lineRule="auto"/>
        <w:rPr>
          <w:color w:val="auto"/>
          <w:sz w:val="24"/>
        </w:rPr>
        <w:sectPr>
          <w:pgSz w:w="11907" w:h="16840"/>
          <w:pgMar w:top="1418" w:right="1134" w:bottom="1418" w:left="1701" w:header="851" w:footer="851" w:gutter="0"/>
          <w:pgNumType w:fmt="decimal"/>
          <w:cols w:space="720" w:num="1"/>
          <w:docGrid w:linePitch="462" w:charSpace="0"/>
        </w:sectPr>
      </w:pPr>
    </w:p>
    <w:p w14:paraId="1A98979C">
      <w:pPr>
        <w:spacing w:line="360" w:lineRule="auto"/>
        <w:outlineLvl w:val="2"/>
        <w:rPr>
          <w:color w:val="auto"/>
          <w:sz w:val="24"/>
          <w:szCs w:val="20"/>
        </w:rPr>
      </w:pPr>
      <w:r>
        <w:rPr>
          <w:color w:val="auto"/>
          <w:sz w:val="24"/>
          <w:szCs w:val="20"/>
        </w:rPr>
        <w:t>2 落实政府采购政策需满足的资格要求</w:t>
      </w:r>
      <w:r>
        <w:rPr>
          <w:rFonts w:hint="eastAsia"/>
          <w:color w:val="auto"/>
          <w:sz w:val="24"/>
          <w:szCs w:val="20"/>
        </w:rPr>
        <w:t xml:space="preserve"> </w:t>
      </w:r>
    </w:p>
    <w:p w14:paraId="38F1D6FB">
      <w:pPr>
        <w:spacing w:line="360" w:lineRule="auto"/>
        <w:outlineLvl w:val="2"/>
        <w:rPr>
          <w:color w:val="auto"/>
          <w:sz w:val="24"/>
          <w:szCs w:val="20"/>
        </w:rPr>
      </w:pPr>
      <w:r>
        <w:rPr>
          <w:color w:val="auto"/>
          <w:sz w:val="24"/>
          <w:szCs w:val="20"/>
        </w:rPr>
        <w:t>2-1中小企业声明函</w:t>
      </w:r>
    </w:p>
    <w:p w14:paraId="3646228E">
      <w:pPr>
        <w:tabs>
          <w:tab w:val="left" w:pos="5580"/>
        </w:tabs>
        <w:spacing w:line="360" w:lineRule="auto"/>
        <w:rPr>
          <w:color w:val="auto"/>
          <w:sz w:val="24"/>
        </w:rPr>
      </w:pPr>
    </w:p>
    <w:p w14:paraId="1F4E66CF">
      <w:pPr>
        <w:tabs>
          <w:tab w:val="left" w:pos="5580"/>
        </w:tabs>
        <w:spacing w:line="360" w:lineRule="auto"/>
        <w:rPr>
          <w:color w:val="auto"/>
          <w:sz w:val="24"/>
        </w:rPr>
      </w:pPr>
      <w:r>
        <w:rPr>
          <w:rFonts w:hint="eastAsia"/>
          <w:color w:val="auto"/>
          <w:sz w:val="24"/>
        </w:rPr>
        <w:t>1）中小企业参加政府采购活动，应当出具此格式文件。《中小企业声明函》由参加政府采购活动的投标人出具。</w:t>
      </w:r>
    </w:p>
    <w:p w14:paraId="3B996D2C">
      <w:pPr>
        <w:tabs>
          <w:tab w:val="left" w:pos="5580"/>
        </w:tabs>
        <w:spacing w:line="360" w:lineRule="auto"/>
        <w:rPr>
          <w:color w:val="auto"/>
          <w:sz w:val="24"/>
        </w:rPr>
      </w:pPr>
      <w:r>
        <w:rPr>
          <w:rFonts w:hint="eastAsia"/>
          <w:color w:val="auto"/>
          <w:sz w:val="24"/>
        </w:rPr>
        <w:t>2）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FDA0C7D">
      <w:pPr>
        <w:widowControl/>
        <w:jc w:val="left"/>
        <w:rPr>
          <w:color w:val="auto"/>
          <w:sz w:val="24"/>
        </w:rPr>
      </w:pPr>
      <w:r>
        <w:rPr>
          <w:color w:val="auto"/>
          <w:sz w:val="24"/>
        </w:rPr>
        <w:br w:type="page"/>
      </w:r>
    </w:p>
    <w:p w14:paraId="1006C256">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34078EFB">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94F5CD3">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b w:val="0"/>
          <w:i w:val="0"/>
          <w:spacing w:val="6"/>
          <w:sz w:val="24"/>
          <w:lang w:eastAsia="zh-CN"/>
        </w:rPr>
        <w:t>.</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4C370C89">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b w:val="0"/>
          <w:i w:val="0"/>
          <w:spacing w:val="6"/>
          <w:sz w:val="24"/>
          <w:lang w:eastAsia="zh-CN"/>
        </w:rPr>
        <w:t>.</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04FA004A">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2DDD7E5B">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717083CD">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7B389798">
      <w:pPr>
        <w:spacing w:line="360" w:lineRule="auto"/>
        <w:ind w:firstLine="504"/>
        <w:rPr>
          <w:rFonts w:hint="eastAsia" w:ascii="宋体" w:hAnsi="宋体" w:eastAsia="宋体" w:cs="宋体"/>
          <w:spacing w:val="6"/>
          <w:sz w:val="24"/>
        </w:rPr>
      </w:pPr>
    </w:p>
    <w:p w14:paraId="627BBDBD">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0C9BB33E">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688B5C08">
      <w:pPr>
        <w:adjustRightInd w:val="0"/>
        <w:snapToGrid w:val="0"/>
        <w:jc w:val="left"/>
        <w:rPr>
          <w:color w:val="auto"/>
          <w:sz w:val="24"/>
          <w:szCs w:val="21"/>
        </w:rPr>
      </w:pPr>
    </w:p>
    <w:p w14:paraId="1C99AFA4">
      <w:pPr>
        <w:adjustRightInd w:val="0"/>
        <w:snapToGrid w:val="0"/>
        <w:jc w:val="left"/>
        <w:rPr>
          <w:color w:val="auto"/>
          <w:sz w:val="24"/>
          <w:szCs w:val="21"/>
        </w:rPr>
      </w:pPr>
    </w:p>
    <w:tbl>
      <w:tblPr>
        <w:tblStyle w:val="3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9A9CB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6FEFB6E">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51AA3CFA">
      <w:pPr>
        <w:spacing w:line="360" w:lineRule="auto"/>
        <w:ind w:right="840" w:firstLine="480"/>
        <w:jc w:val="right"/>
        <w:rPr>
          <w:color w:val="auto"/>
          <w:sz w:val="24"/>
        </w:rPr>
      </w:pPr>
    </w:p>
    <w:p w14:paraId="06A6E18F">
      <w:pPr>
        <w:pStyle w:val="30"/>
        <w:pageBreakBefore/>
        <w:spacing w:line="360" w:lineRule="auto"/>
        <w:ind w:firstLine="3132" w:firstLineChars="1300"/>
        <w:rPr>
          <w:rFonts w:hint="eastAsia"/>
          <w:color w:val="auto"/>
        </w:rPr>
      </w:pPr>
      <w:bookmarkStart w:id="823" w:name="_Toc3608_WPSOffice_Level2"/>
      <w:r>
        <w:rPr>
          <w:rStyle w:val="40"/>
          <w:rFonts w:hint="eastAsia"/>
          <w:color w:val="auto"/>
        </w:rPr>
        <w:t>中小企业划型标准规定</w:t>
      </w:r>
      <w:bookmarkEnd w:id="823"/>
    </w:p>
    <w:p w14:paraId="57363404">
      <w:pPr>
        <w:numPr>
          <w:ilvl w:val="0"/>
          <w:numId w:val="13"/>
        </w:numPr>
        <w:spacing w:line="360" w:lineRule="auto"/>
        <w:rPr>
          <w:rFonts w:hint="eastAsia" w:ascii="宋体" w:hAnsi="宋体" w:cs="宋体"/>
          <w:color w:val="auto"/>
          <w:sz w:val="24"/>
        </w:rPr>
        <w:sectPr>
          <w:headerReference r:id="rId15" w:type="first"/>
          <w:footerReference r:id="rId17" w:type="first"/>
          <w:headerReference r:id="rId13" w:type="default"/>
          <w:headerReference r:id="rId14" w:type="even"/>
          <w:footerReference r:id="rId16" w:type="even"/>
          <w:pgSz w:w="11907" w:h="16840"/>
          <w:pgMar w:top="1418" w:right="1134" w:bottom="1418" w:left="1701" w:header="851" w:footer="851" w:gutter="0"/>
          <w:pgNumType w:fmt="decimal"/>
          <w:cols w:space="720" w:num="1"/>
          <w:docGrid w:linePitch="462" w:charSpace="0"/>
        </w:sectPr>
      </w:pPr>
      <w:r>
        <w:rPr>
          <w:rFonts w:hint="eastAsia" w:ascii="宋体" w:hAnsi="宋体" w:cs="宋体"/>
          <w:color w:val="auto"/>
          <w:sz w:val="24"/>
        </w:rPr>
        <w:t>根据《中华人民共和国中小企业促进法》和《国务院关于进一步促进中小企业发展的若干意见》(国发〔2009〕36号)，制定本规定。</w:t>
      </w:r>
      <w:r>
        <w:rPr>
          <w:rFonts w:hint="eastAsia" w:ascii="宋体" w:hAnsi="宋体" w:cs="宋体"/>
          <w:color w:val="auto"/>
          <w:sz w:val="24"/>
        </w:rPr>
        <w:br w:type="textWrapping"/>
      </w:r>
      <w:r>
        <w:rPr>
          <w:rFonts w:hint="eastAsia" w:ascii="宋体" w:hAnsi="宋体" w:cs="宋体"/>
          <w:color w:val="auto"/>
          <w:sz w:val="24"/>
        </w:rPr>
        <w:t>　　二、中小企业划分为中型、小型、微型三种类型，具体标准根据企业从业人员、营业收入、资产总额等指标，结合行业特点制定。</w:t>
      </w:r>
      <w:r>
        <w:rPr>
          <w:rFonts w:hint="eastAsia" w:ascii="宋体" w:hAnsi="宋体" w:cs="宋体"/>
          <w:color w:val="auto"/>
          <w:sz w:val="24"/>
        </w:rPr>
        <w:br w:type="textWrapping"/>
      </w:r>
      <w:r>
        <w:rPr>
          <w:rFonts w:hint="eastAsia" w:ascii="宋体" w:hAnsi="宋体" w:cs="宋体"/>
          <w:color w:val="auto"/>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auto"/>
          <w:sz w:val="24"/>
        </w:rPr>
        <w:br w:type="textWrapping"/>
      </w:r>
      <w:r>
        <w:rPr>
          <w:rFonts w:hint="eastAsia" w:ascii="宋体" w:hAnsi="宋体" w:cs="宋体"/>
          <w:color w:val="auto"/>
          <w:sz w:val="24"/>
        </w:rPr>
        <w:t>　　四、各行业划型标准为：</w:t>
      </w:r>
      <w:r>
        <w:rPr>
          <w:rFonts w:hint="eastAsia" w:ascii="宋体" w:hAnsi="宋体" w:cs="宋体"/>
          <w:color w:val="auto"/>
          <w:sz w:val="24"/>
        </w:rPr>
        <w:br w:type="textWrapping"/>
      </w:r>
      <w:r>
        <w:rPr>
          <w:rFonts w:hint="eastAsia" w:ascii="宋体" w:hAnsi="宋体" w:cs="宋体"/>
          <w:color w:val="auto"/>
          <w:sz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24"/>
        </w:rPr>
        <w:br w:type="textWrapping"/>
      </w:r>
      <w:r>
        <w:rPr>
          <w:rFonts w:hint="eastAsia" w:ascii="宋体" w:hAnsi="宋体" w:cs="宋体"/>
          <w:color w:val="auto"/>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24"/>
        </w:rPr>
        <w:br w:type="textWrapping"/>
      </w:r>
      <w:r>
        <w:rPr>
          <w:rFonts w:hint="eastAsia" w:ascii="宋体" w:hAnsi="宋体" w:cs="宋体"/>
          <w:color w:val="auto"/>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24"/>
        </w:rPr>
        <w:br w:type="textWrapping"/>
      </w:r>
      <w:r>
        <w:rPr>
          <w:rFonts w:hint="eastAsia" w:ascii="宋体" w:hAnsi="宋体" w:cs="宋体"/>
          <w:color w:val="auto"/>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24"/>
        </w:rPr>
        <w:br w:type="textWrapping"/>
      </w:r>
      <w:r>
        <w:rPr>
          <w:rFonts w:hint="eastAsia" w:ascii="宋体" w:hAnsi="宋体" w:cs="宋体"/>
          <w:color w:val="auto"/>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24"/>
        </w:rPr>
        <w:br w:type="textWrapping"/>
      </w:r>
      <w:r>
        <w:rPr>
          <w:rFonts w:hint="eastAsia" w:ascii="宋体" w:hAnsi="宋体" w:cs="宋体"/>
          <w:color w:val="auto"/>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rPr>
        <w:br w:type="textWrapping"/>
      </w:r>
      <w:r>
        <w:rPr>
          <w:rFonts w:hint="eastAsia" w:ascii="宋体" w:hAnsi="宋体" w:cs="宋体"/>
          <w:color w:val="auto"/>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24"/>
        </w:rPr>
        <w:br w:type="textWrapping"/>
      </w:r>
      <w:r>
        <w:rPr>
          <w:rFonts w:hint="eastAsia" w:ascii="宋体" w:hAnsi="宋体" w:cs="宋体"/>
          <w:color w:val="auto"/>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24"/>
        </w:rPr>
        <w:br w:type="textWrapping"/>
      </w:r>
      <w:r>
        <w:rPr>
          <w:rFonts w:hint="eastAsia" w:ascii="宋体" w:hAnsi="宋体" w:cs="宋体"/>
          <w:color w:val="auto"/>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24"/>
        </w:rPr>
        <w:br w:type="textWrapping"/>
      </w:r>
      <w:r>
        <w:rPr>
          <w:rFonts w:hint="eastAsia" w:ascii="宋体" w:hAnsi="宋体" w:cs="宋体"/>
          <w:color w:val="auto"/>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24"/>
        </w:rPr>
        <w:br w:type="textWrapping"/>
      </w:r>
      <w:r>
        <w:rPr>
          <w:rFonts w:hint="eastAsia" w:ascii="宋体" w:hAnsi="宋体" w:cs="宋体"/>
          <w:color w:val="auto"/>
          <w:sz w:val="24"/>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auto"/>
          <w:sz w:val="24"/>
        </w:rPr>
        <w:br w:type="textWrapping"/>
      </w:r>
      <w:r>
        <w:rPr>
          <w:rFonts w:hint="eastAsia" w:ascii="宋体" w:hAnsi="宋体" w:cs="宋体"/>
          <w:color w:val="auto"/>
          <w:sz w:val="24"/>
        </w:rPr>
        <w:t>　　五、企业类型的划分以统计部门的统计数据为依据。</w:t>
      </w:r>
      <w:r>
        <w:rPr>
          <w:rFonts w:hint="eastAsia" w:ascii="宋体" w:hAnsi="宋体" w:cs="宋体"/>
          <w:color w:val="auto"/>
          <w:sz w:val="24"/>
        </w:rPr>
        <w:br w:type="textWrapping"/>
      </w:r>
      <w:r>
        <w:rPr>
          <w:rFonts w:hint="eastAsia" w:ascii="宋体" w:hAnsi="宋体" w:cs="宋体"/>
          <w:color w:val="auto"/>
          <w:sz w:val="24"/>
        </w:rPr>
        <w:t>　　六、本规定适用于在中华人民共和国境内依法设立的各类所有制和各种组织形式的企业。个体工商户和本规定以外的行业，参照本规定进行划型。</w:t>
      </w:r>
      <w:r>
        <w:rPr>
          <w:rFonts w:hint="eastAsia" w:ascii="宋体" w:hAnsi="宋体" w:cs="宋体"/>
          <w:color w:val="auto"/>
          <w:sz w:val="24"/>
        </w:rPr>
        <w:br w:type="textWrapping"/>
      </w:r>
      <w:r>
        <w:rPr>
          <w:rFonts w:hint="eastAsia" w:ascii="宋体" w:hAnsi="宋体" w:cs="宋体"/>
          <w:color w:val="auto"/>
          <w:sz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auto"/>
          <w:sz w:val="24"/>
        </w:rPr>
        <w:br w:type="textWrapping"/>
      </w:r>
      <w:r>
        <w:rPr>
          <w:rFonts w:hint="eastAsia" w:ascii="宋体" w:hAnsi="宋体" w:cs="宋体"/>
          <w:color w:val="auto"/>
          <w:sz w:val="24"/>
        </w:rPr>
        <w:t>　　八、本规定由工业和信息化部、国家统计局会同有关部门根据《国民经济行业分类》修订情况和企业发展变化情况适时修订。</w:t>
      </w:r>
      <w:r>
        <w:rPr>
          <w:rFonts w:hint="eastAsia" w:ascii="宋体" w:hAnsi="宋体" w:cs="宋体"/>
          <w:color w:val="auto"/>
          <w:sz w:val="24"/>
        </w:rPr>
        <w:br w:type="textWrapping"/>
      </w:r>
      <w:r>
        <w:rPr>
          <w:rFonts w:hint="eastAsia" w:ascii="宋体" w:hAnsi="宋体" w:cs="宋体"/>
          <w:color w:val="auto"/>
          <w:sz w:val="24"/>
        </w:rPr>
        <w:t>　　九、本规定由工业和信息化部、国家统计局会同有关部门负责解释。</w:t>
      </w:r>
      <w:r>
        <w:rPr>
          <w:rFonts w:hint="eastAsia" w:ascii="宋体" w:hAnsi="宋体" w:cs="宋体"/>
          <w:color w:val="auto"/>
          <w:sz w:val="24"/>
        </w:rPr>
        <w:br w:type="textWrapping"/>
      </w:r>
      <w:r>
        <w:rPr>
          <w:rFonts w:hint="eastAsia" w:ascii="宋体" w:hAnsi="宋体" w:cs="宋体"/>
          <w:color w:val="auto"/>
          <w:sz w:val="24"/>
        </w:rPr>
        <w:t>　　十、本规定自发布之日起执行，原国家经贸委、原国家计委、财政部和国家统计局2003年颁布的《中小企业标准暂行规定》同时废止。</w:t>
      </w:r>
    </w:p>
    <w:p w14:paraId="34ABE3F1">
      <w:pPr>
        <w:spacing w:before="240" w:beforeLines="100" w:after="240" w:afterLines="100" w:line="360" w:lineRule="auto"/>
        <w:jc w:val="center"/>
        <w:rPr>
          <w:b/>
          <w:color w:val="auto"/>
          <w:sz w:val="36"/>
          <w:szCs w:val="36"/>
        </w:rPr>
      </w:pPr>
      <w:r>
        <w:rPr>
          <w:rFonts w:hint="eastAsia"/>
          <w:b/>
          <w:bCs/>
          <w:color w:val="auto"/>
          <w:sz w:val="36"/>
          <w:szCs w:val="36"/>
        </w:rPr>
        <w:t>残疾人福利性单位声明函格式</w:t>
      </w:r>
      <w:r>
        <w:rPr>
          <w:b/>
          <w:color w:val="auto"/>
          <w:sz w:val="36"/>
          <w:szCs w:val="36"/>
        </w:rPr>
        <w:t xml:space="preserve">       </w:t>
      </w:r>
    </w:p>
    <w:p w14:paraId="1A23F131">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（请进行勾选）</w:t>
      </w:r>
      <w:r>
        <w:rPr>
          <w:color w:val="auto"/>
          <w:spacing w:val="6"/>
          <w:sz w:val="24"/>
        </w:rPr>
        <w:t>：</w:t>
      </w:r>
    </w:p>
    <w:p w14:paraId="2D4C4F4D">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4D642F7C">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225837F">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26EDEE36">
      <w:pPr>
        <w:spacing w:line="588" w:lineRule="exact"/>
        <w:ind w:firstLine="504" w:firstLineChars="200"/>
        <w:rPr>
          <w:color w:val="auto"/>
          <w:spacing w:val="6"/>
          <w:sz w:val="24"/>
        </w:rPr>
      </w:pPr>
    </w:p>
    <w:p w14:paraId="50711356">
      <w:pPr>
        <w:spacing w:line="588" w:lineRule="exact"/>
        <w:ind w:firstLine="504" w:firstLineChars="200"/>
        <w:rPr>
          <w:color w:val="auto"/>
          <w:spacing w:val="6"/>
          <w:sz w:val="24"/>
        </w:rPr>
      </w:pPr>
    </w:p>
    <w:p w14:paraId="24FC725D">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7F430FDC">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6AA12F6B">
      <w:pPr>
        <w:widowControl/>
        <w:jc w:val="left"/>
        <w:rPr>
          <w:color w:val="auto"/>
          <w:spacing w:val="6"/>
          <w:sz w:val="24"/>
        </w:rPr>
      </w:pPr>
      <w:r>
        <w:rPr>
          <w:color w:val="auto"/>
          <w:spacing w:val="6"/>
          <w:sz w:val="24"/>
        </w:rPr>
        <w:br w:type="page"/>
      </w:r>
    </w:p>
    <w:p w14:paraId="4F8C4540">
      <w:pPr>
        <w:widowControl/>
        <w:jc w:val="left"/>
        <w:rPr>
          <w:color w:val="auto"/>
          <w:sz w:val="24"/>
        </w:rPr>
      </w:pPr>
      <w:r>
        <w:rPr>
          <w:color w:val="auto"/>
          <w:sz w:val="24"/>
        </w:rPr>
        <w:t>3 本项目的特定资格要求</w:t>
      </w:r>
    </w:p>
    <w:p w14:paraId="2F43EAE4">
      <w:pPr>
        <w:widowControl/>
        <w:jc w:val="left"/>
        <w:rPr>
          <w:color w:val="auto"/>
          <w:sz w:val="24"/>
        </w:rPr>
      </w:pPr>
    </w:p>
    <w:p w14:paraId="78923C34">
      <w:pPr>
        <w:spacing w:line="360" w:lineRule="auto"/>
        <w:outlineLvl w:val="2"/>
        <w:rPr>
          <w:color w:val="auto"/>
          <w:sz w:val="24"/>
          <w:szCs w:val="20"/>
        </w:rPr>
      </w:pPr>
      <w:r>
        <w:rPr>
          <w:color w:val="auto"/>
          <w:sz w:val="24"/>
          <w:szCs w:val="20"/>
        </w:rPr>
        <w:t>3-1其他特定资格要求</w:t>
      </w:r>
    </w:p>
    <w:p w14:paraId="1FEB268F">
      <w:pPr>
        <w:widowControl/>
        <w:jc w:val="left"/>
        <w:rPr>
          <w:color w:val="auto"/>
          <w:sz w:val="24"/>
          <w:szCs w:val="20"/>
        </w:rPr>
      </w:pPr>
      <w:r>
        <w:rPr>
          <w:color w:val="auto"/>
          <w:spacing w:val="6"/>
          <w:sz w:val="24"/>
        </w:rPr>
        <w:br w:type="page"/>
      </w:r>
    </w:p>
    <w:p w14:paraId="6FA42B82">
      <w:pPr>
        <w:widowControl/>
        <w:jc w:val="left"/>
        <w:rPr>
          <w:color w:val="auto"/>
          <w:kern w:val="0"/>
          <w:sz w:val="24"/>
          <w:szCs w:val="20"/>
        </w:rPr>
      </w:pPr>
    </w:p>
    <w:p w14:paraId="4141E36E">
      <w:pPr>
        <w:keepNext/>
        <w:keepLines/>
        <w:autoSpaceDE w:val="0"/>
        <w:autoSpaceDN w:val="0"/>
        <w:adjustRightInd w:val="0"/>
        <w:spacing w:before="120" w:line="300" w:lineRule="auto"/>
        <w:jc w:val="left"/>
        <w:outlineLvl w:val="1"/>
        <w:rPr>
          <w:b/>
          <w:color w:val="auto"/>
          <w:spacing w:val="20"/>
          <w:sz w:val="24"/>
        </w:rPr>
      </w:pPr>
      <w:r>
        <w:rPr>
          <w:b/>
          <w:color w:val="auto"/>
          <w:spacing w:val="20"/>
          <w:sz w:val="24"/>
        </w:rPr>
        <w:t>二、商务技术文件格式</w:t>
      </w:r>
    </w:p>
    <w:p w14:paraId="7C371521">
      <w:pPr>
        <w:rPr>
          <w:b/>
          <w:color w:val="auto"/>
          <w:spacing w:val="20"/>
          <w:szCs w:val="21"/>
        </w:rPr>
      </w:pPr>
    </w:p>
    <w:p w14:paraId="21095434">
      <w:pPr>
        <w:rPr>
          <w:b/>
          <w:color w:val="auto"/>
          <w:sz w:val="24"/>
        </w:rPr>
      </w:pPr>
      <w:r>
        <w:rPr>
          <w:b/>
          <w:color w:val="auto"/>
          <w:spacing w:val="20"/>
          <w:sz w:val="24"/>
        </w:rPr>
        <w:t>投标文件（商务技术文件）</w:t>
      </w:r>
      <w:r>
        <w:rPr>
          <w:b/>
          <w:color w:val="auto"/>
          <w:sz w:val="24"/>
        </w:rPr>
        <w:t>封面（非实质性格式）</w:t>
      </w:r>
    </w:p>
    <w:p w14:paraId="75C2040A">
      <w:pPr>
        <w:jc w:val="center"/>
        <w:rPr>
          <w:color w:val="auto"/>
          <w:szCs w:val="21"/>
        </w:rPr>
      </w:pPr>
    </w:p>
    <w:p w14:paraId="4E3AEBD6">
      <w:pPr>
        <w:jc w:val="center"/>
        <w:rPr>
          <w:b/>
          <w:color w:val="auto"/>
          <w:spacing w:val="60"/>
          <w:sz w:val="84"/>
          <w:szCs w:val="84"/>
        </w:rPr>
      </w:pPr>
    </w:p>
    <w:p w14:paraId="21766A56">
      <w:pPr>
        <w:jc w:val="center"/>
        <w:rPr>
          <w:b/>
          <w:color w:val="auto"/>
          <w:spacing w:val="60"/>
          <w:sz w:val="84"/>
          <w:szCs w:val="84"/>
        </w:rPr>
      </w:pPr>
      <w:r>
        <w:rPr>
          <w:b/>
          <w:color w:val="auto"/>
          <w:spacing w:val="60"/>
          <w:sz w:val="84"/>
          <w:szCs w:val="84"/>
        </w:rPr>
        <w:t>投 标 文 件</w:t>
      </w:r>
    </w:p>
    <w:p w14:paraId="030D0B9C">
      <w:pPr>
        <w:jc w:val="center"/>
        <w:rPr>
          <w:b/>
          <w:color w:val="auto"/>
          <w:spacing w:val="60"/>
          <w:sz w:val="52"/>
          <w:szCs w:val="52"/>
        </w:rPr>
      </w:pPr>
      <w:r>
        <w:rPr>
          <w:b/>
          <w:color w:val="auto"/>
          <w:spacing w:val="60"/>
          <w:sz w:val="52"/>
          <w:szCs w:val="52"/>
        </w:rPr>
        <w:t>（商务技术文件）</w:t>
      </w:r>
    </w:p>
    <w:p w14:paraId="27C3A686">
      <w:pPr>
        <w:ind w:firstLine="542" w:firstLineChars="150"/>
        <w:rPr>
          <w:b/>
          <w:color w:val="auto"/>
          <w:spacing w:val="20"/>
          <w:sz w:val="32"/>
          <w:szCs w:val="32"/>
        </w:rPr>
      </w:pPr>
    </w:p>
    <w:p w14:paraId="4D15CAE2">
      <w:pPr>
        <w:ind w:firstLine="542" w:firstLineChars="150"/>
        <w:rPr>
          <w:b/>
          <w:color w:val="auto"/>
          <w:spacing w:val="20"/>
          <w:sz w:val="32"/>
          <w:szCs w:val="32"/>
        </w:rPr>
      </w:pPr>
    </w:p>
    <w:p w14:paraId="60566C67">
      <w:pPr>
        <w:ind w:firstLine="542" w:firstLineChars="150"/>
        <w:rPr>
          <w:b/>
          <w:color w:val="auto"/>
          <w:spacing w:val="20"/>
          <w:sz w:val="32"/>
          <w:szCs w:val="32"/>
        </w:rPr>
      </w:pPr>
      <w:r>
        <w:rPr>
          <w:rFonts w:hint="eastAsia"/>
          <w:b/>
          <w:color w:val="auto"/>
          <w:spacing w:val="20"/>
          <w:sz w:val="32"/>
          <w:szCs w:val="32"/>
        </w:rPr>
        <w:t>项目名称</w:t>
      </w:r>
      <w:r>
        <w:rPr>
          <w:b/>
          <w:color w:val="auto"/>
          <w:spacing w:val="20"/>
          <w:sz w:val="32"/>
          <w:szCs w:val="32"/>
        </w:rPr>
        <w:t>:</w:t>
      </w:r>
    </w:p>
    <w:p w14:paraId="7ECFFAA5">
      <w:pPr>
        <w:ind w:firstLine="542" w:firstLineChars="150"/>
        <w:rPr>
          <w:b/>
          <w:color w:val="auto"/>
          <w:spacing w:val="20"/>
          <w:sz w:val="32"/>
          <w:szCs w:val="32"/>
        </w:rPr>
      </w:pPr>
      <w:r>
        <w:rPr>
          <w:rFonts w:hint="eastAsia"/>
          <w:b/>
          <w:color w:val="auto"/>
          <w:spacing w:val="20"/>
          <w:sz w:val="32"/>
          <w:szCs w:val="32"/>
        </w:rPr>
        <w:t>项目编号：</w:t>
      </w:r>
    </w:p>
    <w:p w14:paraId="30A8A952">
      <w:pPr>
        <w:ind w:firstLine="542" w:firstLineChars="150"/>
        <w:rPr>
          <w:b/>
          <w:color w:val="auto"/>
          <w:spacing w:val="20"/>
          <w:sz w:val="32"/>
          <w:szCs w:val="32"/>
        </w:rPr>
      </w:pPr>
    </w:p>
    <w:p w14:paraId="723B4F91">
      <w:pPr>
        <w:ind w:firstLine="542" w:firstLineChars="150"/>
        <w:rPr>
          <w:b/>
          <w:color w:val="auto"/>
          <w:spacing w:val="20"/>
          <w:sz w:val="32"/>
          <w:szCs w:val="32"/>
        </w:rPr>
      </w:pPr>
    </w:p>
    <w:p w14:paraId="6748C54F">
      <w:pPr>
        <w:jc w:val="center"/>
        <w:rPr>
          <w:b/>
          <w:color w:val="auto"/>
          <w:sz w:val="32"/>
          <w:szCs w:val="32"/>
        </w:rPr>
      </w:pPr>
    </w:p>
    <w:p w14:paraId="1971D0A0">
      <w:pPr>
        <w:jc w:val="center"/>
        <w:rPr>
          <w:b/>
          <w:color w:val="auto"/>
          <w:sz w:val="32"/>
          <w:szCs w:val="32"/>
        </w:rPr>
      </w:pPr>
    </w:p>
    <w:p w14:paraId="36E0A4ED">
      <w:pPr>
        <w:jc w:val="center"/>
        <w:rPr>
          <w:b/>
          <w:color w:val="auto"/>
          <w:sz w:val="32"/>
          <w:szCs w:val="32"/>
        </w:rPr>
      </w:pPr>
    </w:p>
    <w:p w14:paraId="6E2CE09B">
      <w:pPr>
        <w:jc w:val="center"/>
        <w:rPr>
          <w:b/>
          <w:color w:val="auto"/>
          <w:spacing w:val="20"/>
          <w:sz w:val="32"/>
          <w:szCs w:val="32"/>
        </w:rPr>
      </w:pPr>
    </w:p>
    <w:p w14:paraId="4136DCE0">
      <w:pPr>
        <w:jc w:val="center"/>
        <w:rPr>
          <w:b/>
          <w:color w:val="auto"/>
          <w:spacing w:val="20"/>
          <w:sz w:val="32"/>
          <w:szCs w:val="32"/>
        </w:rPr>
      </w:pPr>
    </w:p>
    <w:p w14:paraId="5CE0102A">
      <w:pPr>
        <w:jc w:val="center"/>
        <w:rPr>
          <w:b/>
          <w:color w:val="auto"/>
          <w:spacing w:val="20"/>
          <w:sz w:val="32"/>
          <w:szCs w:val="32"/>
        </w:rPr>
      </w:pPr>
    </w:p>
    <w:p w14:paraId="1B70C917">
      <w:pPr>
        <w:spacing w:line="480" w:lineRule="auto"/>
        <w:ind w:firstLine="1445" w:firstLineChars="400"/>
        <w:rPr>
          <w:b/>
          <w:color w:val="auto"/>
          <w:spacing w:val="20"/>
          <w:sz w:val="32"/>
          <w:szCs w:val="32"/>
        </w:rPr>
        <w:sectPr>
          <w:pgSz w:w="11907" w:h="16840"/>
          <w:pgMar w:top="1418" w:right="1134" w:bottom="1418" w:left="1701" w:header="851" w:footer="851" w:gutter="0"/>
          <w:pgNumType w:fmt="decimal"/>
          <w:cols w:space="720" w:num="1"/>
          <w:docGrid w:linePitch="462" w:charSpace="0"/>
        </w:sectPr>
      </w:pPr>
      <w:r>
        <w:rPr>
          <w:rFonts w:hint="eastAsia"/>
          <w:b/>
          <w:color w:val="auto"/>
          <w:spacing w:val="20"/>
          <w:sz w:val="32"/>
          <w:szCs w:val="32"/>
        </w:rPr>
        <w:t>投标人名称：</w:t>
      </w:r>
    </w:p>
    <w:p w14:paraId="611E4509">
      <w:pPr>
        <w:widowControl/>
        <w:jc w:val="left"/>
        <w:rPr>
          <w:b/>
          <w:color w:val="auto"/>
          <w:sz w:val="24"/>
        </w:rPr>
      </w:pPr>
    </w:p>
    <w:p w14:paraId="747B4C61">
      <w:pPr>
        <w:spacing w:line="360" w:lineRule="auto"/>
        <w:outlineLvl w:val="2"/>
        <w:rPr>
          <w:color w:val="auto"/>
          <w:sz w:val="24"/>
          <w:szCs w:val="20"/>
        </w:rPr>
      </w:pPr>
      <w:bookmarkStart w:id="824" w:name="_Hlt520355504"/>
      <w:bookmarkEnd w:id="824"/>
      <w:bookmarkStart w:id="825" w:name="_Hlt520274121"/>
      <w:bookmarkEnd w:id="825"/>
      <w:bookmarkStart w:id="826" w:name="_Hlt520271212"/>
      <w:bookmarkEnd w:id="826"/>
      <w:bookmarkStart w:id="827" w:name="_Hlt520274407"/>
      <w:bookmarkEnd w:id="827"/>
      <w:bookmarkStart w:id="828" w:name="_Hlt520350918"/>
      <w:bookmarkEnd w:id="828"/>
      <w:bookmarkStart w:id="829" w:name="_Hlt520274065"/>
      <w:bookmarkEnd w:id="829"/>
      <w:bookmarkStart w:id="830" w:name="_Hlt520273711"/>
      <w:bookmarkEnd w:id="830"/>
      <w:bookmarkStart w:id="831" w:name="_Hlt520343392"/>
      <w:bookmarkEnd w:id="831"/>
      <w:bookmarkStart w:id="832" w:name="_Hlt520274393"/>
      <w:bookmarkEnd w:id="832"/>
      <w:bookmarkStart w:id="833" w:name="_Hlt520343000"/>
      <w:bookmarkEnd w:id="833"/>
      <w:bookmarkStart w:id="834" w:name="_Ref467988698"/>
      <w:bookmarkStart w:id="835" w:name="_Toc480942349"/>
      <w:bookmarkStart w:id="836" w:name="_Toc226965829"/>
      <w:bookmarkStart w:id="837" w:name="_Toc142311058"/>
      <w:bookmarkStart w:id="838" w:name="_Toc195842921"/>
      <w:bookmarkStart w:id="839" w:name="_Toc226337252"/>
      <w:bookmarkStart w:id="840" w:name="_Toc226309800"/>
      <w:bookmarkStart w:id="841" w:name="_Toc150774761"/>
      <w:bookmarkStart w:id="842" w:name="_Toc127151556"/>
      <w:bookmarkStart w:id="843" w:name="_Toc150480794"/>
      <w:bookmarkStart w:id="844" w:name="_Toc520356217"/>
      <w:bookmarkStart w:id="845" w:name="_Toc226965746"/>
      <w:r>
        <w:rPr>
          <w:color w:val="auto"/>
          <w:sz w:val="24"/>
        </w:rPr>
        <w:t>1</w:t>
      </w:r>
      <w:r>
        <w:rPr>
          <w:color w:val="auto"/>
          <w:sz w:val="24"/>
          <w:szCs w:val="20"/>
        </w:rPr>
        <w:t xml:space="preserve">  </w:t>
      </w:r>
      <w:r>
        <w:rPr>
          <w:color w:val="auto"/>
          <w:sz w:val="24"/>
        </w:rPr>
        <w:t>投标</w:t>
      </w:r>
      <w:bookmarkEnd w:id="834"/>
      <w:bookmarkEnd w:id="835"/>
      <w:r>
        <w:rPr>
          <w:color w:val="auto"/>
          <w:sz w:val="24"/>
        </w:rPr>
        <w:t>书</w:t>
      </w:r>
      <w:bookmarkEnd w:id="836"/>
      <w:bookmarkEnd w:id="837"/>
      <w:bookmarkEnd w:id="838"/>
      <w:bookmarkEnd w:id="839"/>
      <w:bookmarkEnd w:id="840"/>
      <w:bookmarkEnd w:id="841"/>
      <w:bookmarkEnd w:id="842"/>
      <w:bookmarkEnd w:id="843"/>
      <w:bookmarkEnd w:id="844"/>
      <w:bookmarkEnd w:id="845"/>
      <w:r>
        <w:rPr>
          <w:color w:val="auto"/>
          <w:sz w:val="24"/>
          <w:szCs w:val="20"/>
        </w:rPr>
        <w:t>（实质性格式）</w:t>
      </w:r>
    </w:p>
    <w:p w14:paraId="2B2E6628">
      <w:pPr>
        <w:tabs>
          <w:tab w:val="left" w:pos="5580"/>
        </w:tabs>
        <w:spacing w:line="360" w:lineRule="auto"/>
        <w:rPr>
          <w:color w:val="auto"/>
          <w:sz w:val="24"/>
        </w:rPr>
      </w:pPr>
    </w:p>
    <w:p w14:paraId="3CC967E4">
      <w:pPr>
        <w:spacing w:line="360" w:lineRule="auto"/>
        <w:jc w:val="center"/>
        <w:rPr>
          <w:b/>
          <w:color w:val="auto"/>
          <w:sz w:val="36"/>
          <w:szCs w:val="36"/>
        </w:rPr>
      </w:pPr>
      <w:r>
        <w:rPr>
          <w:rFonts w:hint="eastAsia"/>
          <w:b/>
          <w:color w:val="auto"/>
          <w:sz w:val="36"/>
          <w:szCs w:val="36"/>
        </w:rPr>
        <w:t>投标书</w:t>
      </w:r>
    </w:p>
    <w:p w14:paraId="2563F332">
      <w:pPr>
        <w:tabs>
          <w:tab w:val="left" w:pos="5580"/>
        </w:tabs>
        <w:spacing w:line="360" w:lineRule="auto"/>
        <w:rPr>
          <w:color w:val="auto"/>
          <w:sz w:val="24"/>
        </w:rPr>
      </w:pPr>
      <w:r>
        <w:rPr>
          <w:color w:val="auto"/>
          <w:sz w:val="24"/>
        </w:rPr>
        <w:t>致：</w:t>
      </w:r>
      <w:r>
        <w:rPr>
          <w:color w:val="auto"/>
          <w:sz w:val="24"/>
          <w:u w:val="single"/>
        </w:rPr>
        <w:t>（采购人或采购代理机构）</w:t>
      </w:r>
    </w:p>
    <w:p w14:paraId="08B0E429">
      <w:pPr>
        <w:tabs>
          <w:tab w:val="left" w:pos="5580"/>
        </w:tabs>
        <w:spacing w:line="360" w:lineRule="auto"/>
        <w:rPr>
          <w:color w:val="auto"/>
          <w:sz w:val="24"/>
          <w:szCs w:val="20"/>
        </w:rPr>
      </w:pPr>
    </w:p>
    <w:p w14:paraId="09BAFA81">
      <w:pPr>
        <w:tabs>
          <w:tab w:val="left" w:pos="5580"/>
        </w:tabs>
        <w:spacing w:line="360" w:lineRule="auto"/>
        <w:ind w:firstLine="408"/>
        <w:rPr>
          <w:color w:val="auto"/>
          <w:sz w:val="24"/>
          <w:szCs w:val="20"/>
        </w:rPr>
      </w:pPr>
      <w:r>
        <w:rPr>
          <w:color w:val="auto"/>
          <w:sz w:val="24"/>
          <w:szCs w:val="20"/>
        </w:rPr>
        <w:t>我方参加你方就___________（项目名称，</w:t>
      </w:r>
      <w:r>
        <w:rPr>
          <w:rFonts w:hint="eastAsia"/>
          <w:color w:val="auto"/>
          <w:sz w:val="24"/>
          <w:szCs w:val="20"/>
        </w:rPr>
        <w:t>项目编号</w:t>
      </w:r>
      <w:r>
        <w:rPr>
          <w:color w:val="auto"/>
          <w:sz w:val="24"/>
          <w:szCs w:val="20"/>
        </w:rPr>
        <w:t>）组织的招标活动，并对此项目进行投标。</w:t>
      </w:r>
    </w:p>
    <w:p w14:paraId="32D208D6">
      <w:pPr>
        <w:tabs>
          <w:tab w:val="left" w:pos="5580"/>
        </w:tabs>
        <w:spacing w:line="360" w:lineRule="auto"/>
        <w:ind w:firstLine="408"/>
        <w:rPr>
          <w:color w:val="auto"/>
          <w:sz w:val="24"/>
          <w:szCs w:val="20"/>
        </w:rPr>
      </w:pPr>
      <w:r>
        <w:rPr>
          <w:color w:val="auto"/>
          <w:sz w:val="24"/>
          <w:szCs w:val="20"/>
        </w:rPr>
        <w:t>1. 我方</w:t>
      </w:r>
      <w:r>
        <w:rPr>
          <w:color w:val="auto"/>
          <w:sz w:val="24"/>
        </w:rPr>
        <w:t>已详细审查全部招标文件</w:t>
      </w:r>
      <w:r>
        <w:rPr>
          <w:color w:val="auto"/>
          <w:sz w:val="24"/>
          <w:szCs w:val="20"/>
        </w:rPr>
        <w:t>，自愿参与投标并承诺如下：</w:t>
      </w:r>
    </w:p>
    <w:p w14:paraId="7B5F5A87">
      <w:pPr>
        <w:tabs>
          <w:tab w:val="left" w:pos="720"/>
          <w:tab w:val="left" w:pos="900"/>
        </w:tabs>
        <w:spacing w:line="360" w:lineRule="auto"/>
        <w:ind w:left="360" w:firstLine="72" w:firstLineChars="30"/>
        <w:rPr>
          <w:color w:val="auto"/>
          <w:sz w:val="24"/>
          <w:szCs w:val="20"/>
        </w:rPr>
      </w:pPr>
      <w:r>
        <w:rPr>
          <w:color w:val="auto"/>
          <w:sz w:val="24"/>
          <w:szCs w:val="20"/>
        </w:rPr>
        <w:t>（1）本投标有效期为自提交投标文件的截止之日起</w:t>
      </w:r>
      <w:r>
        <w:rPr>
          <w:color w:val="auto"/>
          <w:sz w:val="24"/>
        </w:rPr>
        <w:t>_____</w:t>
      </w:r>
      <w:r>
        <w:rPr>
          <w:color w:val="auto"/>
          <w:sz w:val="24"/>
          <w:szCs w:val="20"/>
        </w:rPr>
        <w:t>个日历日。</w:t>
      </w:r>
    </w:p>
    <w:p w14:paraId="75EB076D">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（2）除合同条款及采购需求偏离表列出的偏离外，我方响应招标文件的全部要求。</w:t>
      </w:r>
    </w:p>
    <w:p w14:paraId="2EAB8B58">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4B7BF799">
      <w:pPr>
        <w:tabs>
          <w:tab w:val="left" w:pos="5580"/>
        </w:tabs>
        <w:spacing w:line="360" w:lineRule="auto"/>
        <w:ind w:firstLine="420" w:firstLineChars="175"/>
        <w:rPr>
          <w:color w:val="auto"/>
          <w:sz w:val="24"/>
        </w:rPr>
      </w:pPr>
      <w:r>
        <w:rPr>
          <w:color w:val="auto"/>
          <w:sz w:val="24"/>
          <w:szCs w:val="20"/>
        </w:rPr>
        <w:t>（4）如我方中标，我方将在法律规定的期限内与你方签订合同，按照招标文件要求提交履约保证金，并在合同约定的期限内完成合同规定的全部义务。</w:t>
      </w:r>
    </w:p>
    <w:p w14:paraId="00E1B589">
      <w:pPr>
        <w:spacing w:line="360" w:lineRule="auto"/>
        <w:ind w:left="420"/>
        <w:rPr>
          <w:color w:val="auto"/>
          <w:sz w:val="24"/>
        </w:rPr>
      </w:pPr>
      <w:r>
        <w:rPr>
          <w:color w:val="auto"/>
          <w:sz w:val="24"/>
        </w:rPr>
        <w:t>2. 其他补充条款（如有）：</w:t>
      </w:r>
      <w:r>
        <w:rPr>
          <w:color w:val="auto"/>
          <w:sz w:val="24"/>
          <w:szCs w:val="20"/>
        </w:rPr>
        <w:t>___________</w:t>
      </w:r>
      <w:r>
        <w:rPr>
          <w:color w:val="auto"/>
          <w:sz w:val="24"/>
        </w:rPr>
        <w:t>。</w:t>
      </w:r>
    </w:p>
    <w:p w14:paraId="1A6EEA13">
      <w:pPr>
        <w:spacing w:line="360" w:lineRule="auto"/>
        <w:ind w:firstLine="480" w:firstLineChars="200"/>
        <w:rPr>
          <w:color w:val="auto"/>
          <w:sz w:val="24"/>
        </w:rPr>
      </w:pPr>
      <w:r>
        <w:rPr>
          <w:color w:val="auto"/>
          <w:sz w:val="24"/>
        </w:rPr>
        <w:t>与本投标有关的一切正式往来信函请寄：</w:t>
      </w:r>
    </w:p>
    <w:p w14:paraId="15778A28">
      <w:pPr>
        <w:tabs>
          <w:tab w:val="left" w:pos="5580"/>
        </w:tabs>
        <w:spacing w:line="360" w:lineRule="auto"/>
        <w:ind w:left="420"/>
        <w:rPr>
          <w:color w:val="auto"/>
          <w:sz w:val="24"/>
          <w:szCs w:val="20"/>
        </w:rPr>
      </w:pPr>
    </w:p>
    <w:p w14:paraId="60D1D898">
      <w:pPr>
        <w:tabs>
          <w:tab w:val="left" w:pos="5580"/>
        </w:tabs>
        <w:spacing w:line="360" w:lineRule="auto"/>
        <w:ind w:left="420"/>
        <w:rPr>
          <w:color w:val="auto"/>
          <w:sz w:val="24"/>
          <w:szCs w:val="20"/>
        </w:rPr>
      </w:pPr>
      <w:r>
        <w:rPr>
          <w:color w:val="auto"/>
          <w:sz w:val="24"/>
          <w:szCs w:val="20"/>
        </w:rPr>
        <w:t>地址_________________________     传真____________________________</w:t>
      </w:r>
    </w:p>
    <w:p w14:paraId="4DB843F6">
      <w:pPr>
        <w:tabs>
          <w:tab w:val="left" w:pos="5580"/>
        </w:tabs>
        <w:spacing w:line="360" w:lineRule="auto"/>
        <w:ind w:left="420"/>
        <w:rPr>
          <w:color w:val="auto"/>
          <w:sz w:val="24"/>
          <w:szCs w:val="20"/>
        </w:rPr>
      </w:pPr>
      <w:r>
        <w:rPr>
          <w:color w:val="auto"/>
          <w:sz w:val="24"/>
          <w:szCs w:val="20"/>
        </w:rPr>
        <w:t>电话_________________________     电子函件________________________</w:t>
      </w:r>
    </w:p>
    <w:p w14:paraId="10D229C5">
      <w:pPr>
        <w:tabs>
          <w:tab w:val="left" w:pos="5580"/>
        </w:tabs>
        <w:spacing w:line="360" w:lineRule="auto"/>
        <w:ind w:left="420"/>
        <w:rPr>
          <w:color w:val="auto"/>
          <w:sz w:val="24"/>
          <w:szCs w:val="20"/>
        </w:rPr>
      </w:pPr>
    </w:p>
    <w:p w14:paraId="42D1574F">
      <w:pPr>
        <w:tabs>
          <w:tab w:val="left" w:pos="5580"/>
        </w:tabs>
        <w:spacing w:line="360" w:lineRule="auto"/>
        <w:ind w:left="420"/>
        <w:rPr>
          <w:color w:val="auto"/>
          <w:sz w:val="24"/>
          <w:szCs w:val="20"/>
        </w:rPr>
      </w:pPr>
      <w:r>
        <w:rPr>
          <w:color w:val="auto"/>
          <w:sz w:val="24"/>
          <w:szCs w:val="20"/>
        </w:rPr>
        <w:t>投标人名称（加盖公章） ___________</w:t>
      </w:r>
    </w:p>
    <w:p w14:paraId="1A6AC4D2">
      <w:pPr>
        <w:tabs>
          <w:tab w:val="left" w:pos="5580"/>
        </w:tabs>
        <w:spacing w:line="360" w:lineRule="auto"/>
        <w:ind w:left="420"/>
        <w:rPr>
          <w:color w:val="auto"/>
          <w:sz w:val="24"/>
          <w:szCs w:val="20"/>
        </w:rPr>
      </w:pPr>
      <w:r>
        <w:rPr>
          <w:color w:val="auto"/>
          <w:sz w:val="24"/>
          <w:szCs w:val="20"/>
        </w:rPr>
        <w:t xml:space="preserve">日期：_____年______月______日    </w:t>
      </w:r>
    </w:p>
    <w:p w14:paraId="0235619B">
      <w:pPr>
        <w:tabs>
          <w:tab w:val="left" w:pos="5580"/>
        </w:tabs>
        <w:spacing w:line="360" w:lineRule="auto"/>
        <w:ind w:left="420"/>
        <w:rPr>
          <w:color w:val="auto"/>
          <w:sz w:val="24"/>
          <w:szCs w:val="20"/>
          <w:u w:val="single"/>
        </w:rPr>
      </w:pPr>
    </w:p>
    <w:p w14:paraId="664A726F">
      <w:pPr>
        <w:widowControl/>
        <w:jc w:val="left"/>
        <w:rPr>
          <w:color w:val="auto"/>
          <w:sz w:val="24"/>
        </w:rPr>
      </w:pPr>
      <w:bookmarkStart w:id="846" w:name="_Hlt520355938"/>
      <w:bookmarkEnd w:id="846"/>
      <w:bookmarkStart w:id="847" w:name="_Hlt520356243"/>
      <w:bookmarkEnd w:id="847"/>
      <w:bookmarkStart w:id="848" w:name="_Toc150774762"/>
      <w:bookmarkStart w:id="849" w:name="_Toc226309801"/>
      <w:bookmarkStart w:id="850" w:name="_Toc264969247"/>
      <w:bookmarkStart w:id="851" w:name="_Toc226965830"/>
      <w:bookmarkStart w:id="852" w:name="_Toc480942350"/>
      <w:bookmarkStart w:id="853" w:name="_Toc265228395"/>
      <w:bookmarkStart w:id="854" w:name="_Toc150480795"/>
      <w:bookmarkStart w:id="855" w:name="_Ref467988705"/>
      <w:bookmarkStart w:id="856" w:name="_Toc226337253"/>
      <w:bookmarkStart w:id="857" w:name="_Toc226965747"/>
      <w:bookmarkStart w:id="858" w:name="_Toc127151557"/>
      <w:bookmarkStart w:id="859" w:name="_Toc142311059"/>
      <w:bookmarkStart w:id="860" w:name="_Toc305158825"/>
      <w:bookmarkStart w:id="861" w:name="_Toc520356218"/>
      <w:bookmarkStart w:id="862" w:name="_Toc305158899"/>
      <w:bookmarkStart w:id="863" w:name="_Toc195842922"/>
      <w:r>
        <w:rPr>
          <w:color w:val="auto"/>
          <w:sz w:val="24"/>
        </w:rPr>
        <w:br w:type="page"/>
      </w:r>
    </w:p>
    <w:p w14:paraId="087FC0B5">
      <w:pPr>
        <w:spacing w:line="360" w:lineRule="auto"/>
        <w:outlineLvl w:val="2"/>
        <w:rPr>
          <w:color w:val="auto"/>
          <w:sz w:val="24"/>
        </w:rPr>
      </w:pPr>
      <w:r>
        <w:rPr>
          <w:color w:val="auto"/>
          <w:sz w:val="24"/>
        </w:rPr>
        <w:t>2  授权委托书（实质性格式）</w:t>
      </w:r>
    </w:p>
    <w:p w14:paraId="2830D1B8">
      <w:pPr>
        <w:spacing w:line="360" w:lineRule="exact"/>
        <w:jc w:val="center"/>
        <w:rPr>
          <w:rFonts w:hint="eastAsia" w:ascii="宋体" w:hAnsi="宋体"/>
          <w:b/>
          <w:color w:val="auto"/>
          <w:sz w:val="36"/>
          <w:szCs w:val="36"/>
        </w:rPr>
      </w:pPr>
      <w:r>
        <w:rPr>
          <w:rFonts w:hint="eastAsia" w:ascii="宋体" w:hAnsi="宋体"/>
          <w:b/>
          <w:color w:val="auto"/>
          <w:sz w:val="36"/>
          <w:szCs w:val="36"/>
        </w:rPr>
        <w:t>授权委托书</w:t>
      </w:r>
    </w:p>
    <w:p w14:paraId="0133672F">
      <w:pPr>
        <w:spacing w:line="360" w:lineRule="auto"/>
        <w:ind w:firstLine="420"/>
        <w:rPr>
          <w:rFonts w:hint="eastAsia" w:ascii="宋体" w:hAnsi="宋体"/>
          <w:color w:val="auto"/>
          <w:sz w:val="24"/>
          <w:szCs w:val="20"/>
        </w:rPr>
      </w:pPr>
    </w:p>
    <w:p w14:paraId="0061365F">
      <w:pPr>
        <w:spacing w:line="360" w:lineRule="auto"/>
        <w:ind w:firstLine="420"/>
        <w:rPr>
          <w:rFonts w:hint="eastAsia" w:ascii="宋体" w:hAnsi="宋体"/>
          <w:color w:val="auto"/>
          <w:sz w:val="24"/>
          <w:szCs w:val="20"/>
        </w:rPr>
      </w:pPr>
      <w:r>
        <w:rPr>
          <w:rFonts w:hint="eastAsia" w:ascii="宋体" w:hAnsi="宋体"/>
          <w:color w:val="auto"/>
          <w:sz w:val="24"/>
          <w:szCs w:val="20"/>
        </w:rPr>
        <w:t>本人</w:t>
      </w:r>
      <w:r>
        <w:rPr>
          <w:rFonts w:ascii="宋体" w:hAnsi="宋体"/>
          <w:color w:val="auto"/>
          <w:sz w:val="24"/>
          <w:lang w:val="zh-CN"/>
        </w:rPr>
        <w:t>_______</w:t>
      </w:r>
      <w:r>
        <w:rPr>
          <w:rFonts w:ascii="宋体" w:hAnsi="宋体"/>
          <w:color w:val="auto"/>
          <w:sz w:val="24"/>
          <w:szCs w:val="20"/>
        </w:rPr>
        <w:t>（</w:t>
      </w:r>
      <w:r>
        <w:rPr>
          <w:rFonts w:hint="eastAsia" w:ascii="宋体" w:hAnsi="宋体"/>
          <w:color w:val="auto"/>
          <w:sz w:val="24"/>
          <w:szCs w:val="20"/>
        </w:rPr>
        <w:t>姓名</w:t>
      </w:r>
      <w:r>
        <w:rPr>
          <w:rFonts w:ascii="宋体" w:hAnsi="宋体"/>
          <w:color w:val="auto"/>
          <w:sz w:val="24"/>
          <w:szCs w:val="20"/>
        </w:rPr>
        <w:t>）</w:t>
      </w:r>
      <w:r>
        <w:rPr>
          <w:rFonts w:hint="eastAsia" w:ascii="宋体" w:hAnsi="宋体"/>
          <w:color w:val="auto"/>
          <w:sz w:val="24"/>
          <w:szCs w:val="20"/>
        </w:rPr>
        <w:t>系</w:t>
      </w:r>
      <w:r>
        <w:rPr>
          <w:rFonts w:ascii="宋体" w:hAnsi="宋体"/>
          <w:color w:val="auto"/>
          <w:sz w:val="24"/>
          <w:lang w:val="zh-CN"/>
        </w:rPr>
        <w:t>________________</w:t>
      </w:r>
      <w:r>
        <w:rPr>
          <w:rFonts w:ascii="宋体" w:hAnsi="宋体"/>
          <w:color w:val="auto"/>
          <w:sz w:val="24"/>
          <w:szCs w:val="20"/>
        </w:rPr>
        <w:t>（</w:t>
      </w:r>
      <w:r>
        <w:rPr>
          <w:rFonts w:hint="eastAsia" w:ascii="宋体" w:hAnsi="宋体"/>
          <w:color w:val="auto"/>
          <w:sz w:val="24"/>
          <w:szCs w:val="20"/>
        </w:rPr>
        <w:t>投标人</w:t>
      </w:r>
      <w:r>
        <w:rPr>
          <w:rFonts w:ascii="宋体" w:hAnsi="宋体"/>
          <w:color w:val="auto"/>
          <w:sz w:val="24"/>
          <w:szCs w:val="20"/>
        </w:rPr>
        <w:t>名称）</w:t>
      </w:r>
      <w:r>
        <w:rPr>
          <w:rFonts w:hint="eastAsia" w:ascii="宋体" w:hAnsi="宋体"/>
          <w:color w:val="auto"/>
          <w:sz w:val="24"/>
          <w:szCs w:val="20"/>
        </w:rPr>
        <w:t>的</w:t>
      </w:r>
      <w:r>
        <w:rPr>
          <w:rFonts w:ascii="宋体" w:hAnsi="宋体"/>
          <w:color w:val="auto"/>
          <w:sz w:val="24"/>
          <w:szCs w:val="20"/>
        </w:rPr>
        <w:t>法定代表人（</w:t>
      </w:r>
      <w:r>
        <w:rPr>
          <w:rFonts w:hint="eastAsia" w:ascii="宋体" w:hAnsi="宋体"/>
          <w:color w:val="auto"/>
          <w:sz w:val="24"/>
          <w:szCs w:val="20"/>
        </w:rPr>
        <w:t>单位</w:t>
      </w:r>
      <w:r>
        <w:rPr>
          <w:rFonts w:ascii="宋体" w:hAnsi="宋体"/>
          <w:color w:val="auto"/>
          <w:sz w:val="24"/>
          <w:szCs w:val="20"/>
        </w:rPr>
        <w:t>负责人）</w:t>
      </w:r>
      <w:r>
        <w:rPr>
          <w:rFonts w:hint="eastAsia" w:ascii="宋体" w:hAnsi="宋体"/>
          <w:color w:val="auto"/>
          <w:sz w:val="24"/>
          <w:szCs w:val="20"/>
        </w:rPr>
        <w:t>，</w:t>
      </w:r>
      <w:r>
        <w:rPr>
          <w:rFonts w:ascii="宋体" w:hAnsi="宋体"/>
          <w:color w:val="auto"/>
          <w:sz w:val="24"/>
          <w:szCs w:val="20"/>
        </w:rPr>
        <w:t>现委托</w:t>
      </w:r>
      <w:r>
        <w:rPr>
          <w:rFonts w:ascii="宋体" w:hAnsi="宋体"/>
          <w:color w:val="auto"/>
          <w:sz w:val="24"/>
          <w:lang w:val="zh-CN"/>
        </w:rPr>
        <w:t>_______</w:t>
      </w:r>
      <w:r>
        <w:rPr>
          <w:rFonts w:ascii="宋体" w:hAnsi="宋体"/>
          <w:color w:val="auto"/>
          <w:sz w:val="24"/>
          <w:szCs w:val="20"/>
        </w:rPr>
        <w:t>（</w:t>
      </w:r>
      <w:r>
        <w:rPr>
          <w:rFonts w:hint="eastAsia" w:ascii="宋体" w:hAnsi="宋体"/>
          <w:color w:val="auto"/>
          <w:sz w:val="24"/>
          <w:szCs w:val="20"/>
        </w:rPr>
        <w:t>姓名</w:t>
      </w:r>
      <w:r>
        <w:rPr>
          <w:rFonts w:ascii="宋体" w:hAnsi="宋体"/>
          <w:color w:val="auto"/>
          <w:sz w:val="24"/>
          <w:szCs w:val="20"/>
        </w:rPr>
        <w:t>）</w:t>
      </w:r>
      <w:r>
        <w:rPr>
          <w:rFonts w:hint="eastAsia" w:ascii="宋体" w:hAnsi="宋体"/>
          <w:color w:val="auto"/>
          <w:sz w:val="24"/>
          <w:szCs w:val="20"/>
        </w:rPr>
        <w:t>为</w:t>
      </w:r>
      <w:r>
        <w:rPr>
          <w:rFonts w:ascii="宋体" w:hAnsi="宋体"/>
          <w:color w:val="auto"/>
          <w:sz w:val="24"/>
          <w:szCs w:val="20"/>
        </w:rPr>
        <w:t>我方代理人。</w:t>
      </w:r>
      <w:r>
        <w:rPr>
          <w:rFonts w:hint="eastAsia" w:ascii="宋体" w:hAnsi="宋体"/>
          <w:color w:val="auto"/>
          <w:sz w:val="24"/>
          <w:szCs w:val="20"/>
        </w:rPr>
        <w:t>代理人根据</w:t>
      </w:r>
      <w:r>
        <w:rPr>
          <w:rFonts w:ascii="宋体" w:hAnsi="宋体"/>
          <w:color w:val="auto"/>
          <w:sz w:val="24"/>
          <w:szCs w:val="20"/>
        </w:rPr>
        <w:t>授权，以我方名义签署、澄清确认、递交、撤回、修改</w:t>
      </w:r>
      <w:r>
        <w:rPr>
          <w:rFonts w:ascii="宋体" w:hAnsi="宋体"/>
          <w:color w:val="auto"/>
          <w:sz w:val="24"/>
          <w:lang w:val="zh-CN"/>
        </w:rPr>
        <w:t>________________</w:t>
      </w:r>
      <w:r>
        <w:rPr>
          <w:rFonts w:ascii="宋体" w:hAnsi="宋体"/>
          <w:color w:val="auto"/>
          <w:sz w:val="24"/>
          <w:szCs w:val="20"/>
        </w:rPr>
        <w:t>（</w:t>
      </w:r>
      <w:r>
        <w:rPr>
          <w:rFonts w:hint="eastAsia" w:ascii="宋体" w:hAnsi="宋体"/>
          <w:color w:val="auto"/>
          <w:sz w:val="24"/>
          <w:szCs w:val="20"/>
        </w:rPr>
        <w:t>项目</w:t>
      </w:r>
      <w:r>
        <w:rPr>
          <w:rFonts w:ascii="宋体" w:hAnsi="宋体"/>
          <w:color w:val="auto"/>
          <w:sz w:val="24"/>
          <w:szCs w:val="20"/>
        </w:rPr>
        <w:t>名称）</w:t>
      </w:r>
      <w:r>
        <w:rPr>
          <w:rFonts w:hint="eastAsia" w:ascii="宋体" w:hAnsi="宋体"/>
          <w:color w:val="auto"/>
          <w:sz w:val="24"/>
          <w:szCs w:val="20"/>
          <w:lang w:eastAsia="zh-CN"/>
        </w:rPr>
        <w:t>投标文件</w:t>
      </w:r>
      <w:r>
        <w:rPr>
          <w:rFonts w:hint="eastAsia" w:ascii="宋体" w:hAnsi="宋体"/>
          <w:color w:val="auto"/>
          <w:sz w:val="24"/>
          <w:szCs w:val="20"/>
        </w:rPr>
        <w:t>和</w:t>
      </w:r>
      <w:r>
        <w:rPr>
          <w:rFonts w:ascii="宋体" w:hAnsi="宋体"/>
          <w:color w:val="auto"/>
          <w:sz w:val="24"/>
          <w:szCs w:val="20"/>
        </w:rPr>
        <w:t>处理有关事宜，其法律后果由我方承担。</w:t>
      </w:r>
    </w:p>
    <w:p w14:paraId="19C1F6DE">
      <w:pPr>
        <w:spacing w:line="360" w:lineRule="auto"/>
        <w:ind w:firstLine="420"/>
        <w:rPr>
          <w:rFonts w:hint="eastAsia" w:ascii="宋体" w:hAnsi="宋体"/>
          <w:color w:val="auto"/>
          <w:sz w:val="24"/>
          <w:szCs w:val="20"/>
        </w:rPr>
      </w:pPr>
      <w:r>
        <w:rPr>
          <w:rFonts w:hint="eastAsia" w:ascii="宋体" w:hAnsi="宋体"/>
          <w:color w:val="auto"/>
          <w:sz w:val="24"/>
          <w:szCs w:val="20"/>
        </w:rPr>
        <w:t>委托</w:t>
      </w:r>
      <w:r>
        <w:rPr>
          <w:rFonts w:ascii="宋体" w:hAnsi="宋体"/>
          <w:color w:val="auto"/>
          <w:sz w:val="24"/>
          <w:szCs w:val="20"/>
        </w:rPr>
        <w:t>期限：自本</w:t>
      </w:r>
      <w:r>
        <w:rPr>
          <w:rFonts w:hint="eastAsia" w:ascii="宋体" w:hAnsi="宋体"/>
          <w:color w:val="auto"/>
          <w:sz w:val="24"/>
          <w:szCs w:val="20"/>
        </w:rPr>
        <w:t>授权</w:t>
      </w:r>
      <w:r>
        <w:rPr>
          <w:rFonts w:ascii="宋体" w:hAnsi="宋体"/>
          <w:color w:val="auto"/>
          <w:sz w:val="24"/>
          <w:szCs w:val="20"/>
        </w:rPr>
        <w:t>委托书签署之日起至</w:t>
      </w:r>
      <w:r>
        <w:rPr>
          <w:rFonts w:hint="eastAsia" w:ascii="宋体" w:hAnsi="宋体"/>
          <w:color w:val="auto"/>
          <w:sz w:val="24"/>
          <w:szCs w:val="20"/>
        </w:rPr>
        <w:t>响应</w:t>
      </w:r>
      <w:r>
        <w:rPr>
          <w:rFonts w:ascii="宋体" w:hAnsi="宋体"/>
          <w:color w:val="auto"/>
          <w:sz w:val="24"/>
          <w:szCs w:val="20"/>
        </w:rPr>
        <w:t>有效期</w:t>
      </w:r>
      <w:r>
        <w:rPr>
          <w:rFonts w:hint="eastAsia" w:ascii="宋体" w:hAnsi="宋体"/>
          <w:color w:val="auto"/>
          <w:sz w:val="24"/>
          <w:szCs w:val="20"/>
        </w:rPr>
        <w:t>届满</w:t>
      </w:r>
      <w:r>
        <w:rPr>
          <w:rFonts w:ascii="宋体" w:hAnsi="宋体"/>
          <w:color w:val="auto"/>
          <w:sz w:val="24"/>
          <w:szCs w:val="20"/>
        </w:rPr>
        <w:t>之日止。</w:t>
      </w:r>
    </w:p>
    <w:p w14:paraId="0C6CBE67">
      <w:pPr>
        <w:spacing w:line="360" w:lineRule="auto"/>
        <w:ind w:firstLine="420"/>
        <w:rPr>
          <w:rFonts w:hint="eastAsia" w:ascii="宋体" w:hAnsi="宋体"/>
          <w:color w:val="auto"/>
          <w:sz w:val="24"/>
          <w:szCs w:val="20"/>
        </w:rPr>
      </w:pPr>
      <w:r>
        <w:rPr>
          <w:rFonts w:hint="eastAsia" w:ascii="宋体" w:hAnsi="宋体"/>
          <w:color w:val="auto"/>
          <w:sz w:val="24"/>
          <w:szCs w:val="20"/>
        </w:rPr>
        <w:t>代理人</w:t>
      </w:r>
      <w:r>
        <w:rPr>
          <w:rFonts w:ascii="宋体" w:hAnsi="宋体"/>
          <w:color w:val="auto"/>
          <w:sz w:val="24"/>
          <w:szCs w:val="20"/>
        </w:rPr>
        <w:t>无转委托权。</w:t>
      </w:r>
      <w:r>
        <w:rPr>
          <w:rFonts w:ascii="宋体" w:hAnsi="宋体"/>
          <w:color w:val="auto"/>
          <w:sz w:val="24"/>
          <w:szCs w:val="20"/>
        </w:rPr>
        <w:cr/>
      </w:r>
    </w:p>
    <w:p w14:paraId="62C9B467">
      <w:pPr>
        <w:spacing w:line="360" w:lineRule="auto"/>
        <w:rPr>
          <w:rFonts w:hint="eastAsia" w:ascii="宋体" w:hAnsi="宋体"/>
          <w:color w:val="auto"/>
          <w:sz w:val="24"/>
          <w:lang w:val="zh-CN"/>
        </w:rPr>
      </w:pPr>
      <w:r>
        <w:rPr>
          <w:rFonts w:hint="eastAsia" w:ascii="宋体" w:hAnsi="宋体"/>
          <w:color w:val="auto"/>
          <w:sz w:val="24"/>
        </w:rPr>
        <w:t>投标人</w:t>
      </w:r>
      <w:r>
        <w:rPr>
          <w:rFonts w:ascii="宋体" w:hAnsi="宋体"/>
          <w:color w:val="auto"/>
          <w:sz w:val="24"/>
        </w:rPr>
        <w:t>名称（加盖公章）</w:t>
      </w:r>
      <w:r>
        <w:rPr>
          <w:rFonts w:ascii="宋体" w:hAnsi="宋体"/>
          <w:color w:val="auto"/>
          <w:sz w:val="24"/>
          <w:lang w:val="zh-CN"/>
        </w:rPr>
        <w:t>：________________</w:t>
      </w:r>
    </w:p>
    <w:p w14:paraId="6575F0D8">
      <w:pPr>
        <w:spacing w:line="360" w:lineRule="auto"/>
        <w:rPr>
          <w:rFonts w:hint="eastAsia" w:ascii="宋体" w:hAnsi="宋体"/>
          <w:color w:val="auto"/>
          <w:sz w:val="24"/>
          <w:szCs w:val="20"/>
        </w:rPr>
      </w:pPr>
      <w:r>
        <w:rPr>
          <w:rFonts w:ascii="宋体" w:hAnsi="宋体"/>
          <w:color w:val="auto"/>
          <w:sz w:val="24"/>
          <w:szCs w:val="20"/>
        </w:rPr>
        <w:t>法定代表人（单位负责人）（签字</w:t>
      </w:r>
      <w:r>
        <w:rPr>
          <w:rFonts w:hint="eastAsia" w:ascii="宋体" w:hAnsi="宋体"/>
          <w:color w:val="auto"/>
          <w:sz w:val="24"/>
          <w:szCs w:val="20"/>
        </w:rPr>
        <w:t>或盖章）</w:t>
      </w:r>
      <w:r>
        <w:rPr>
          <w:rFonts w:ascii="宋体" w:hAnsi="宋体"/>
          <w:color w:val="auto"/>
          <w:sz w:val="24"/>
          <w:szCs w:val="20"/>
        </w:rPr>
        <w:t>：</w:t>
      </w:r>
      <w:r>
        <w:rPr>
          <w:rFonts w:ascii="宋体" w:hAnsi="宋体"/>
          <w:color w:val="auto"/>
          <w:sz w:val="24"/>
          <w:lang w:val="zh-CN"/>
        </w:rPr>
        <w:t>________________</w:t>
      </w:r>
    </w:p>
    <w:p w14:paraId="16111FD1">
      <w:pPr>
        <w:autoSpaceDE w:val="0"/>
        <w:autoSpaceDN w:val="0"/>
        <w:adjustRightInd w:val="0"/>
        <w:snapToGrid w:val="0"/>
        <w:spacing w:line="360" w:lineRule="auto"/>
        <w:rPr>
          <w:rFonts w:hint="eastAsia" w:ascii="宋体" w:hAnsi="宋体"/>
          <w:color w:val="auto"/>
          <w:sz w:val="24"/>
          <w:lang w:val="zh-CN"/>
        </w:rPr>
      </w:pPr>
      <w:r>
        <w:rPr>
          <w:rFonts w:hint="eastAsia" w:ascii="宋体" w:hAnsi="宋体"/>
          <w:color w:val="auto"/>
          <w:sz w:val="24"/>
        </w:rPr>
        <w:t>委托代理</w:t>
      </w:r>
      <w:r>
        <w:rPr>
          <w:rFonts w:ascii="宋体" w:hAnsi="宋体"/>
          <w:color w:val="auto"/>
          <w:sz w:val="24"/>
        </w:rPr>
        <w:t>人（签字）：</w:t>
      </w:r>
      <w:r>
        <w:rPr>
          <w:rFonts w:ascii="宋体" w:hAnsi="宋体"/>
          <w:color w:val="auto"/>
          <w:sz w:val="24"/>
          <w:lang w:val="zh-CN"/>
        </w:rPr>
        <w:t>________________</w:t>
      </w:r>
      <w:r>
        <w:rPr>
          <w:rFonts w:ascii="宋体" w:hAnsi="宋体"/>
          <w:color w:val="auto"/>
          <w:sz w:val="24"/>
        </w:rPr>
        <w:t xml:space="preserve">    </w:t>
      </w:r>
      <w:r>
        <w:rPr>
          <w:rFonts w:ascii="宋体" w:hAnsi="宋体"/>
          <w:color w:val="auto"/>
          <w:sz w:val="24"/>
          <w:lang w:val="zh-CN"/>
        </w:rPr>
        <w:t xml:space="preserve">                      </w:t>
      </w:r>
    </w:p>
    <w:p w14:paraId="61115671">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日期：_____年______月______日</w:t>
      </w:r>
    </w:p>
    <w:p w14:paraId="56DF0B09">
      <w:pPr>
        <w:tabs>
          <w:tab w:val="left" w:pos="5580"/>
        </w:tabs>
        <w:spacing w:line="360" w:lineRule="auto"/>
        <w:ind w:firstLine="480" w:firstLineChars="200"/>
        <w:rPr>
          <w:rFonts w:hint="eastAsia" w:ascii="宋体" w:hAnsi="宋体"/>
          <w:color w:val="auto"/>
          <w:sz w:val="24"/>
          <w:szCs w:val="20"/>
        </w:rPr>
      </w:pPr>
    </w:p>
    <w:p w14:paraId="4984B0FD">
      <w:pPr>
        <w:tabs>
          <w:tab w:val="left" w:pos="5580"/>
        </w:tabs>
        <w:spacing w:line="360" w:lineRule="auto"/>
        <w:jc w:val="left"/>
        <w:rPr>
          <w:rFonts w:hint="eastAsia" w:ascii="宋体" w:hAnsi="宋体"/>
          <w:color w:val="auto"/>
          <w:sz w:val="24"/>
          <w:szCs w:val="20"/>
        </w:rPr>
      </w:pPr>
      <w:r>
        <w:rPr>
          <w:rFonts w:ascii="宋体" w:hAnsi="宋体"/>
          <w:color w:val="auto"/>
          <w:sz w:val="24"/>
          <w:szCs w:val="20"/>
        </w:rPr>
        <w:t>法定代表人（单位负责人）有效期内的身份证</w:t>
      </w:r>
      <w:r>
        <w:rPr>
          <w:rFonts w:ascii="宋体" w:hAnsi="宋体"/>
          <w:b/>
          <w:color w:val="auto"/>
          <w:sz w:val="24"/>
          <w:szCs w:val="20"/>
        </w:rPr>
        <w:t>正反面</w:t>
      </w:r>
      <w:r>
        <w:rPr>
          <w:rFonts w:ascii="宋体" w:hAnsi="宋体"/>
          <w:color w:val="auto"/>
          <w:sz w:val="24"/>
          <w:szCs w:val="20"/>
        </w:rPr>
        <w:t>：</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D2B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E44659B">
            <w:pPr>
              <w:tabs>
                <w:tab w:val="left" w:pos="5580"/>
              </w:tabs>
              <w:spacing w:line="360" w:lineRule="auto"/>
              <w:jc w:val="left"/>
              <w:rPr>
                <w:rFonts w:hint="eastAsia" w:ascii="宋体" w:hAnsi="宋体"/>
                <w:color w:val="auto"/>
                <w:sz w:val="24"/>
                <w:szCs w:val="20"/>
              </w:rPr>
            </w:pPr>
          </w:p>
          <w:p w14:paraId="245DD092">
            <w:pPr>
              <w:tabs>
                <w:tab w:val="left" w:pos="5580"/>
              </w:tabs>
              <w:spacing w:line="360" w:lineRule="auto"/>
              <w:jc w:val="left"/>
              <w:rPr>
                <w:rFonts w:hint="eastAsia" w:ascii="宋体" w:hAnsi="宋体"/>
                <w:color w:val="auto"/>
                <w:sz w:val="24"/>
                <w:szCs w:val="20"/>
              </w:rPr>
            </w:pPr>
          </w:p>
          <w:p w14:paraId="0411C528">
            <w:pPr>
              <w:tabs>
                <w:tab w:val="left" w:pos="5580"/>
              </w:tabs>
              <w:spacing w:line="360" w:lineRule="auto"/>
              <w:jc w:val="left"/>
              <w:rPr>
                <w:rFonts w:hint="eastAsia" w:ascii="宋体" w:hAnsi="宋体"/>
                <w:color w:val="auto"/>
                <w:sz w:val="24"/>
                <w:szCs w:val="20"/>
              </w:rPr>
            </w:pPr>
          </w:p>
        </w:tc>
        <w:tc>
          <w:tcPr>
            <w:tcW w:w="4536" w:type="dxa"/>
          </w:tcPr>
          <w:p w14:paraId="688BC4DF">
            <w:pPr>
              <w:tabs>
                <w:tab w:val="left" w:pos="5580"/>
              </w:tabs>
              <w:spacing w:line="360" w:lineRule="auto"/>
              <w:jc w:val="left"/>
              <w:rPr>
                <w:rFonts w:hint="eastAsia" w:ascii="宋体" w:hAnsi="宋体"/>
                <w:color w:val="auto"/>
                <w:sz w:val="24"/>
                <w:szCs w:val="20"/>
              </w:rPr>
            </w:pPr>
          </w:p>
          <w:p w14:paraId="1FC3D981">
            <w:pPr>
              <w:tabs>
                <w:tab w:val="left" w:pos="5580"/>
              </w:tabs>
              <w:spacing w:line="360" w:lineRule="auto"/>
              <w:jc w:val="left"/>
              <w:rPr>
                <w:rFonts w:hint="eastAsia" w:ascii="宋体" w:hAnsi="宋体"/>
                <w:color w:val="auto"/>
                <w:sz w:val="24"/>
                <w:szCs w:val="20"/>
              </w:rPr>
            </w:pPr>
          </w:p>
          <w:p w14:paraId="28151935">
            <w:pPr>
              <w:tabs>
                <w:tab w:val="left" w:pos="5580"/>
              </w:tabs>
              <w:spacing w:line="360" w:lineRule="auto"/>
              <w:jc w:val="left"/>
              <w:rPr>
                <w:rFonts w:hint="eastAsia" w:ascii="宋体" w:hAnsi="宋体"/>
                <w:color w:val="auto"/>
                <w:sz w:val="24"/>
                <w:szCs w:val="20"/>
              </w:rPr>
            </w:pPr>
          </w:p>
        </w:tc>
      </w:tr>
    </w:tbl>
    <w:p w14:paraId="11A3773B">
      <w:pPr>
        <w:tabs>
          <w:tab w:val="left" w:pos="5580"/>
        </w:tabs>
        <w:spacing w:line="360" w:lineRule="auto"/>
        <w:jc w:val="left"/>
        <w:rPr>
          <w:rFonts w:hint="eastAsia" w:ascii="宋体" w:hAnsi="宋体"/>
          <w:color w:val="auto"/>
          <w:sz w:val="24"/>
          <w:szCs w:val="20"/>
        </w:rPr>
      </w:pPr>
      <w:r>
        <w:rPr>
          <w:rFonts w:hint="eastAsia" w:ascii="宋体" w:hAnsi="宋体"/>
          <w:color w:val="auto"/>
          <w:sz w:val="24"/>
          <w:szCs w:val="20"/>
        </w:rPr>
        <w:t>委托代理人</w:t>
      </w:r>
      <w:r>
        <w:rPr>
          <w:rFonts w:ascii="宋体" w:hAnsi="宋体"/>
          <w:color w:val="auto"/>
          <w:sz w:val="24"/>
          <w:szCs w:val="20"/>
        </w:rPr>
        <w:t>有效期内的身份证</w:t>
      </w:r>
      <w:r>
        <w:rPr>
          <w:rFonts w:ascii="宋体" w:hAnsi="宋体"/>
          <w:b/>
          <w:color w:val="auto"/>
          <w:sz w:val="24"/>
          <w:szCs w:val="20"/>
        </w:rPr>
        <w:t>正反面</w:t>
      </w:r>
      <w:r>
        <w:rPr>
          <w:rFonts w:ascii="宋体" w:hAnsi="宋体"/>
          <w:color w:val="auto"/>
          <w:sz w:val="24"/>
          <w:szCs w:val="20"/>
        </w:rPr>
        <w:t>：</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3C2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AAA9092">
            <w:pPr>
              <w:tabs>
                <w:tab w:val="left" w:pos="5580"/>
              </w:tabs>
              <w:spacing w:line="360" w:lineRule="auto"/>
              <w:jc w:val="left"/>
              <w:rPr>
                <w:rFonts w:hint="eastAsia" w:ascii="宋体" w:hAnsi="宋体"/>
                <w:color w:val="auto"/>
                <w:sz w:val="24"/>
                <w:szCs w:val="20"/>
              </w:rPr>
            </w:pPr>
          </w:p>
          <w:p w14:paraId="7CE5BC0F">
            <w:pPr>
              <w:tabs>
                <w:tab w:val="left" w:pos="5580"/>
              </w:tabs>
              <w:spacing w:line="360" w:lineRule="auto"/>
              <w:jc w:val="left"/>
              <w:rPr>
                <w:rFonts w:hint="eastAsia" w:ascii="宋体" w:hAnsi="宋体"/>
                <w:color w:val="auto"/>
                <w:sz w:val="24"/>
                <w:szCs w:val="20"/>
              </w:rPr>
            </w:pPr>
          </w:p>
          <w:p w14:paraId="499E7A7E">
            <w:pPr>
              <w:tabs>
                <w:tab w:val="left" w:pos="5580"/>
              </w:tabs>
              <w:spacing w:line="360" w:lineRule="auto"/>
              <w:jc w:val="left"/>
              <w:rPr>
                <w:rFonts w:hint="eastAsia" w:ascii="宋体" w:hAnsi="宋体"/>
                <w:color w:val="auto"/>
                <w:sz w:val="24"/>
                <w:szCs w:val="20"/>
              </w:rPr>
            </w:pPr>
          </w:p>
        </w:tc>
        <w:tc>
          <w:tcPr>
            <w:tcW w:w="4536" w:type="dxa"/>
          </w:tcPr>
          <w:p w14:paraId="60F4E493">
            <w:pPr>
              <w:tabs>
                <w:tab w:val="left" w:pos="5580"/>
              </w:tabs>
              <w:spacing w:line="360" w:lineRule="auto"/>
              <w:jc w:val="left"/>
              <w:rPr>
                <w:rFonts w:hint="eastAsia" w:ascii="宋体" w:hAnsi="宋体"/>
                <w:color w:val="auto"/>
                <w:sz w:val="24"/>
                <w:szCs w:val="20"/>
              </w:rPr>
            </w:pPr>
          </w:p>
          <w:p w14:paraId="7CAB706E">
            <w:pPr>
              <w:tabs>
                <w:tab w:val="left" w:pos="5580"/>
              </w:tabs>
              <w:spacing w:line="360" w:lineRule="auto"/>
              <w:jc w:val="left"/>
              <w:rPr>
                <w:rFonts w:hint="eastAsia" w:ascii="宋体" w:hAnsi="宋体"/>
                <w:color w:val="auto"/>
                <w:sz w:val="24"/>
                <w:szCs w:val="20"/>
              </w:rPr>
            </w:pPr>
          </w:p>
          <w:p w14:paraId="181ABAAC">
            <w:pPr>
              <w:tabs>
                <w:tab w:val="left" w:pos="5580"/>
              </w:tabs>
              <w:spacing w:line="360" w:lineRule="auto"/>
              <w:jc w:val="left"/>
              <w:rPr>
                <w:rFonts w:hint="eastAsia" w:ascii="宋体" w:hAnsi="宋体"/>
                <w:color w:val="auto"/>
                <w:sz w:val="24"/>
                <w:szCs w:val="20"/>
              </w:rPr>
            </w:pPr>
          </w:p>
        </w:tc>
      </w:tr>
    </w:tbl>
    <w:p w14:paraId="3C70339A">
      <w:pPr>
        <w:tabs>
          <w:tab w:val="left" w:pos="5580"/>
        </w:tabs>
        <w:spacing w:line="360" w:lineRule="auto"/>
        <w:jc w:val="left"/>
        <w:rPr>
          <w:rFonts w:hint="eastAsia" w:ascii="宋体" w:hAnsi="宋体"/>
          <w:color w:val="auto"/>
          <w:sz w:val="24"/>
          <w:szCs w:val="20"/>
        </w:rPr>
      </w:pPr>
    </w:p>
    <w:p w14:paraId="4FA9B92D">
      <w:pPr>
        <w:tabs>
          <w:tab w:val="left" w:pos="5580"/>
        </w:tabs>
        <w:spacing w:line="360" w:lineRule="auto"/>
        <w:jc w:val="left"/>
        <w:rPr>
          <w:color w:val="auto"/>
          <w:sz w:val="24"/>
          <w:szCs w:val="20"/>
        </w:rPr>
      </w:pPr>
      <w:r>
        <w:rPr>
          <w:color w:val="auto"/>
          <w:sz w:val="24"/>
          <w:szCs w:val="20"/>
        </w:rPr>
        <w:t>委托代理人近期社保缴纳证明</w:t>
      </w:r>
      <w:r>
        <w:rPr>
          <w:rFonts w:hint="eastAsia"/>
          <w:color w:val="auto"/>
          <w:sz w:val="24"/>
          <w:szCs w:val="20"/>
        </w:rPr>
        <w:t>：</w:t>
      </w:r>
    </w:p>
    <w:p w14:paraId="733477F2">
      <w:pPr>
        <w:tabs>
          <w:tab w:val="left" w:pos="5580"/>
        </w:tabs>
        <w:spacing w:line="360" w:lineRule="auto"/>
        <w:jc w:val="left"/>
        <w:rPr>
          <w:rFonts w:hint="eastAsia" w:ascii="宋体" w:hAnsi="宋体"/>
          <w:color w:val="auto"/>
          <w:sz w:val="24"/>
          <w:szCs w:val="20"/>
        </w:rPr>
      </w:pPr>
    </w:p>
    <w:p w14:paraId="025252EF">
      <w:pPr>
        <w:tabs>
          <w:tab w:val="left" w:pos="5580"/>
        </w:tabs>
        <w:spacing w:line="360" w:lineRule="auto"/>
        <w:jc w:val="left"/>
        <w:rPr>
          <w:rFonts w:hint="eastAsia" w:ascii="宋体" w:hAnsi="宋体"/>
          <w:color w:val="auto"/>
          <w:sz w:val="24"/>
          <w:szCs w:val="20"/>
        </w:rPr>
      </w:pPr>
      <w:r>
        <w:rPr>
          <w:rFonts w:hint="eastAsia" w:ascii="宋体" w:hAnsi="宋体"/>
          <w:color w:val="auto"/>
          <w:sz w:val="24"/>
          <w:szCs w:val="20"/>
        </w:rPr>
        <w:t>说明</w:t>
      </w:r>
      <w:r>
        <w:rPr>
          <w:rFonts w:ascii="宋体" w:hAnsi="宋体"/>
          <w:color w:val="auto"/>
          <w:sz w:val="24"/>
          <w:szCs w:val="20"/>
        </w:rPr>
        <w:t>：</w:t>
      </w:r>
    </w:p>
    <w:p w14:paraId="3E4A70D8">
      <w:pPr>
        <w:tabs>
          <w:tab w:val="left" w:pos="5580"/>
        </w:tabs>
        <w:spacing w:line="360" w:lineRule="auto"/>
        <w:jc w:val="left"/>
        <w:rPr>
          <w:rFonts w:hint="eastAsia" w:ascii="宋体" w:hAnsi="宋体"/>
          <w:color w:val="auto"/>
          <w:sz w:val="24"/>
          <w:szCs w:val="20"/>
        </w:rPr>
      </w:pPr>
      <w:r>
        <w:rPr>
          <w:rFonts w:ascii="宋体" w:hAnsi="宋体"/>
          <w:color w:val="auto"/>
          <w:sz w:val="24"/>
          <w:szCs w:val="20"/>
        </w:rPr>
        <w:t>1.若供应商为事业单位或其他组织或分支机构（仅当</w:t>
      </w:r>
      <w:r>
        <w:rPr>
          <w:rFonts w:hint="eastAsia" w:ascii="宋体" w:hAnsi="宋体"/>
          <w:color w:val="auto"/>
          <w:sz w:val="24"/>
          <w:szCs w:val="20"/>
        </w:rPr>
        <w:t>招标</w:t>
      </w:r>
      <w:r>
        <w:rPr>
          <w:rFonts w:ascii="宋体" w:hAnsi="宋体"/>
          <w:color w:val="auto"/>
          <w:sz w:val="24"/>
          <w:szCs w:val="20"/>
        </w:rPr>
        <w:t>文件注明允许分支机构</w:t>
      </w:r>
      <w:r>
        <w:rPr>
          <w:rFonts w:hint="eastAsia" w:ascii="宋体" w:hAnsi="宋体"/>
          <w:color w:val="auto"/>
          <w:sz w:val="24"/>
          <w:szCs w:val="20"/>
        </w:rPr>
        <w:t>投标</w:t>
      </w:r>
      <w:r>
        <w:rPr>
          <w:rFonts w:ascii="宋体" w:hAnsi="宋体"/>
          <w:color w:val="auto"/>
          <w:sz w:val="24"/>
          <w:szCs w:val="20"/>
        </w:rPr>
        <w:t>的），则法定代表人（单位负责人）</w:t>
      </w:r>
      <w:r>
        <w:rPr>
          <w:rFonts w:hint="eastAsia" w:ascii="宋体" w:hAnsi="宋体"/>
          <w:color w:val="auto"/>
          <w:sz w:val="24"/>
          <w:szCs w:val="20"/>
        </w:rPr>
        <w:t>处</w:t>
      </w:r>
      <w:r>
        <w:rPr>
          <w:rFonts w:ascii="宋体" w:hAnsi="宋体"/>
          <w:color w:val="auto"/>
          <w:sz w:val="24"/>
          <w:szCs w:val="20"/>
        </w:rPr>
        <w:t>的签署人可为单位负责人</w:t>
      </w:r>
      <w:r>
        <w:rPr>
          <w:rFonts w:hint="eastAsia" w:ascii="宋体" w:hAnsi="宋体"/>
          <w:color w:val="auto"/>
          <w:sz w:val="24"/>
          <w:szCs w:val="20"/>
        </w:rPr>
        <w:t>。</w:t>
      </w:r>
    </w:p>
    <w:p w14:paraId="443FCBBF">
      <w:pPr>
        <w:tabs>
          <w:tab w:val="left" w:pos="5580"/>
        </w:tabs>
        <w:spacing w:line="360" w:lineRule="auto"/>
        <w:jc w:val="left"/>
        <w:rPr>
          <w:rFonts w:hint="eastAsia" w:ascii="宋体" w:hAnsi="宋体"/>
          <w:color w:val="auto"/>
          <w:sz w:val="24"/>
          <w:szCs w:val="20"/>
        </w:rPr>
      </w:pPr>
      <w:r>
        <w:rPr>
          <w:rFonts w:hint="eastAsia" w:ascii="宋体" w:hAnsi="宋体"/>
          <w:color w:val="auto"/>
          <w:sz w:val="24"/>
          <w:szCs w:val="20"/>
        </w:rPr>
        <w:t>2.</w:t>
      </w:r>
      <w:r>
        <w:rPr>
          <w:rFonts w:ascii="宋体" w:hAnsi="宋体"/>
          <w:color w:val="auto"/>
          <w:sz w:val="24"/>
          <w:szCs w:val="20"/>
        </w:rPr>
        <w:t>若</w:t>
      </w:r>
      <w:r>
        <w:rPr>
          <w:rFonts w:hint="eastAsia" w:ascii="宋体" w:hAnsi="宋体"/>
          <w:color w:val="auto"/>
          <w:sz w:val="24"/>
          <w:szCs w:val="20"/>
        </w:rPr>
        <w:t>投标</w:t>
      </w:r>
      <w:r>
        <w:rPr>
          <w:rFonts w:ascii="宋体" w:hAnsi="宋体"/>
          <w:color w:val="auto"/>
          <w:sz w:val="24"/>
          <w:szCs w:val="20"/>
        </w:rPr>
        <w:t>文件中签字之处均为法定代表人（单位负责人）本人签署，则可不提供本《</w:t>
      </w:r>
      <w:r>
        <w:rPr>
          <w:rFonts w:hint="eastAsia" w:ascii="宋体" w:hAnsi="宋体"/>
          <w:color w:val="auto"/>
          <w:sz w:val="24"/>
          <w:szCs w:val="20"/>
        </w:rPr>
        <w:t>授权委托书</w:t>
      </w:r>
      <w:r>
        <w:rPr>
          <w:rFonts w:ascii="宋体" w:hAnsi="宋体"/>
          <w:color w:val="auto"/>
          <w:sz w:val="24"/>
          <w:szCs w:val="20"/>
        </w:rPr>
        <w:t>》，但须提供</w:t>
      </w:r>
      <w:r>
        <w:rPr>
          <w:rFonts w:hint="eastAsia" w:ascii="宋体" w:hAnsi="宋体"/>
          <w:color w:val="auto"/>
          <w:sz w:val="24"/>
          <w:szCs w:val="20"/>
        </w:rPr>
        <w:t>《</w:t>
      </w:r>
      <w:r>
        <w:rPr>
          <w:rFonts w:ascii="宋体" w:hAnsi="宋体"/>
          <w:color w:val="auto"/>
          <w:sz w:val="24"/>
          <w:szCs w:val="20"/>
        </w:rPr>
        <w:t>法定代表人（单位负责人）身份证</w:t>
      </w:r>
      <w:r>
        <w:rPr>
          <w:rFonts w:hint="eastAsia" w:ascii="宋体" w:hAnsi="宋体"/>
          <w:color w:val="auto"/>
          <w:sz w:val="24"/>
          <w:szCs w:val="20"/>
        </w:rPr>
        <w:t>明》</w:t>
      </w:r>
      <w:r>
        <w:rPr>
          <w:rFonts w:ascii="宋体" w:hAnsi="宋体"/>
          <w:color w:val="auto"/>
          <w:sz w:val="24"/>
          <w:szCs w:val="20"/>
        </w:rPr>
        <w:t>（实质性格式）。</w:t>
      </w:r>
    </w:p>
    <w:p w14:paraId="74BEE8BD">
      <w:pPr>
        <w:tabs>
          <w:tab w:val="left" w:pos="5580"/>
        </w:tabs>
        <w:spacing w:line="360" w:lineRule="auto"/>
        <w:jc w:val="left"/>
        <w:rPr>
          <w:rFonts w:hint="eastAsia" w:ascii="宋体" w:hAnsi="宋体"/>
          <w:color w:val="auto"/>
          <w:sz w:val="30"/>
          <w:szCs w:val="30"/>
        </w:rPr>
      </w:pPr>
      <w:r>
        <w:rPr>
          <w:rFonts w:ascii="宋体" w:hAnsi="宋体"/>
          <w:color w:val="auto"/>
          <w:sz w:val="24"/>
          <w:szCs w:val="20"/>
        </w:rPr>
        <w:t>3.</w:t>
      </w:r>
      <w:r>
        <w:rPr>
          <w:rFonts w:hint="eastAsia" w:ascii="宋体" w:hAnsi="宋体"/>
          <w:color w:val="auto"/>
          <w:sz w:val="24"/>
          <w:szCs w:val="20"/>
        </w:rPr>
        <w:t>供应商为自然人的情形，可不提供本</w:t>
      </w:r>
      <w:r>
        <w:rPr>
          <w:rFonts w:ascii="宋体" w:hAnsi="宋体"/>
          <w:color w:val="auto"/>
          <w:sz w:val="24"/>
          <w:szCs w:val="20"/>
        </w:rPr>
        <w:t>《</w:t>
      </w:r>
      <w:r>
        <w:rPr>
          <w:rFonts w:hint="eastAsia" w:ascii="宋体" w:hAnsi="宋体"/>
          <w:color w:val="auto"/>
          <w:sz w:val="24"/>
          <w:szCs w:val="20"/>
        </w:rPr>
        <w:t>授权委托书</w:t>
      </w:r>
      <w:r>
        <w:rPr>
          <w:rFonts w:ascii="宋体" w:hAnsi="宋体"/>
          <w:color w:val="auto"/>
          <w:sz w:val="24"/>
          <w:szCs w:val="20"/>
        </w:rPr>
        <w:t>》</w:t>
      </w:r>
      <w:r>
        <w:rPr>
          <w:rFonts w:hint="eastAsia" w:ascii="宋体" w:hAnsi="宋体"/>
          <w:color w:val="auto"/>
          <w:sz w:val="24"/>
          <w:szCs w:val="20"/>
        </w:rPr>
        <w:t>。</w:t>
      </w:r>
      <w:r>
        <w:rPr>
          <w:rFonts w:ascii="宋体" w:hAnsi="宋体"/>
          <w:color w:val="auto"/>
          <w:sz w:val="30"/>
          <w:szCs w:val="30"/>
        </w:rPr>
        <w:br w:type="page"/>
      </w:r>
    </w:p>
    <w:p w14:paraId="79DEE204">
      <w:pPr>
        <w:spacing w:line="360" w:lineRule="exact"/>
        <w:jc w:val="center"/>
        <w:rPr>
          <w:rFonts w:hint="eastAsia" w:ascii="宋体" w:hAnsi="宋体"/>
          <w:b/>
          <w:color w:val="auto"/>
          <w:sz w:val="36"/>
          <w:szCs w:val="36"/>
        </w:rPr>
      </w:pPr>
      <w:r>
        <w:rPr>
          <w:rFonts w:hint="eastAsia" w:ascii="宋体" w:hAnsi="宋体"/>
          <w:b/>
          <w:color w:val="auto"/>
          <w:sz w:val="36"/>
          <w:szCs w:val="36"/>
        </w:rPr>
        <w:t>附：</w:t>
      </w:r>
      <w:r>
        <w:rPr>
          <w:rFonts w:ascii="宋体" w:hAnsi="宋体"/>
          <w:b/>
          <w:color w:val="auto"/>
          <w:sz w:val="36"/>
          <w:szCs w:val="36"/>
        </w:rPr>
        <w:t>法定代表人（单位负责人）身份证明</w:t>
      </w:r>
    </w:p>
    <w:p w14:paraId="775ECC42">
      <w:pPr>
        <w:kinsoku w:val="0"/>
        <w:overflowPunct w:val="0"/>
        <w:spacing w:line="200" w:lineRule="exact"/>
        <w:rPr>
          <w:rFonts w:hint="eastAsia" w:ascii="宋体" w:hAnsi="宋体"/>
          <w:color w:val="auto"/>
          <w:sz w:val="20"/>
          <w:szCs w:val="20"/>
        </w:rPr>
      </w:pPr>
    </w:p>
    <w:p w14:paraId="5CDAD4C1">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w:t>
      </w:r>
      <w:r>
        <w:rPr>
          <w:rFonts w:hint="eastAsia" w:ascii="宋体" w:hAnsi="宋体"/>
          <w:color w:val="auto"/>
          <w:sz w:val="24"/>
          <w:u w:val="single"/>
        </w:rPr>
        <w:t>采购人或</w:t>
      </w:r>
      <w:r>
        <w:rPr>
          <w:rFonts w:ascii="宋体" w:hAnsi="宋体"/>
          <w:color w:val="auto"/>
          <w:sz w:val="24"/>
          <w:u w:val="single"/>
        </w:rPr>
        <w:t>采购代理机构）</w:t>
      </w:r>
    </w:p>
    <w:p w14:paraId="28179529">
      <w:pPr>
        <w:pStyle w:val="16"/>
        <w:tabs>
          <w:tab w:val="left" w:pos="2412"/>
          <w:tab w:val="left" w:pos="3883"/>
          <w:tab w:val="left" w:pos="5352"/>
          <w:tab w:val="left" w:pos="6821"/>
        </w:tabs>
        <w:kinsoku w:val="0"/>
        <w:overflowPunct w:val="0"/>
        <w:spacing w:line="335" w:lineRule="exact"/>
        <w:ind w:firstLine="480" w:firstLineChars="200"/>
        <w:rPr>
          <w:rFonts w:hint="eastAsia"/>
          <w:color w:val="auto"/>
        </w:rPr>
      </w:pPr>
      <w:r>
        <w:rPr>
          <w:rFonts w:hint="eastAsia"/>
          <w:color w:val="auto"/>
        </w:rPr>
        <w:t>兹证明，</w:t>
      </w:r>
    </w:p>
    <w:p w14:paraId="2AFCA8D4">
      <w:pPr>
        <w:pStyle w:val="16"/>
        <w:tabs>
          <w:tab w:val="left" w:pos="1690"/>
          <w:tab w:val="left" w:pos="3400"/>
          <w:tab w:val="left" w:pos="5110"/>
          <w:tab w:val="left" w:pos="6821"/>
        </w:tabs>
        <w:kinsoku w:val="0"/>
        <w:overflowPunct w:val="0"/>
        <w:spacing w:line="335" w:lineRule="exact"/>
        <w:rPr>
          <w:rFonts w:hint="eastAsia"/>
          <w:color w:val="auto"/>
        </w:rPr>
      </w:pPr>
      <w:r>
        <w:rPr>
          <w:color w:val="auto"/>
        </w:rPr>
        <w:t>姓名</w:t>
      </w:r>
      <w:r>
        <w:rPr>
          <w:rFonts w:hint="eastAsia"/>
          <w:color w:val="auto"/>
        </w:rPr>
        <w:t>：</w:t>
      </w:r>
      <w:r>
        <w:rPr>
          <w:color w:val="auto"/>
        </w:rPr>
        <w:t>____性别：____年龄：____职务：____</w:t>
      </w:r>
    </w:p>
    <w:p w14:paraId="269BDAF6">
      <w:pPr>
        <w:pStyle w:val="16"/>
        <w:tabs>
          <w:tab w:val="left" w:pos="2412"/>
          <w:tab w:val="left" w:pos="3883"/>
          <w:tab w:val="left" w:pos="5352"/>
          <w:tab w:val="left" w:pos="6821"/>
        </w:tabs>
        <w:kinsoku w:val="0"/>
        <w:overflowPunct w:val="0"/>
        <w:spacing w:line="335" w:lineRule="exact"/>
        <w:rPr>
          <w:rFonts w:hint="eastAsia"/>
          <w:color w:val="auto"/>
        </w:rPr>
      </w:pPr>
    </w:p>
    <w:p w14:paraId="00A78242">
      <w:pPr>
        <w:pStyle w:val="16"/>
        <w:tabs>
          <w:tab w:val="left" w:pos="2250"/>
          <w:tab w:val="left" w:pos="2412"/>
          <w:tab w:val="left" w:pos="3883"/>
          <w:tab w:val="left" w:pos="5352"/>
          <w:tab w:val="left" w:pos="6821"/>
          <w:tab w:val="clear" w:pos="567"/>
        </w:tabs>
        <w:kinsoku w:val="0"/>
        <w:overflowPunct w:val="0"/>
        <w:spacing w:line="335" w:lineRule="exact"/>
        <w:rPr>
          <w:rFonts w:hint="eastAsia"/>
          <w:color w:val="auto"/>
        </w:rPr>
      </w:pPr>
      <w:r>
        <w:rPr>
          <w:color w:val="auto"/>
        </w:rPr>
        <w:t>系</w:t>
      </w:r>
      <w:r>
        <w:rPr>
          <w:color w:val="auto"/>
          <w:u w:val="single"/>
        </w:rPr>
        <w:tab/>
      </w:r>
      <w:r>
        <w:rPr>
          <w:color w:val="auto"/>
        </w:rPr>
        <w:t>（</w:t>
      </w:r>
      <w:r>
        <w:rPr>
          <w:rFonts w:hint="eastAsia"/>
          <w:color w:val="auto"/>
        </w:rPr>
        <w:t>投标人</w:t>
      </w:r>
      <w:r>
        <w:rPr>
          <w:color w:val="auto"/>
        </w:rPr>
        <w:t>名称）的法定代表人（单位负责人）。</w:t>
      </w:r>
    </w:p>
    <w:p w14:paraId="3C4E6E35">
      <w:pPr>
        <w:pStyle w:val="16"/>
        <w:tabs>
          <w:tab w:val="left" w:pos="2412"/>
          <w:tab w:val="left" w:pos="3883"/>
          <w:tab w:val="left" w:pos="5352"/>
          <w:tab w:val="left" w:pos="6821"/>
        </w:tabs>
        <w:kinsoku w:val="0"/>
        <w:overflowPunct w:val="0"/>
        <w:spacing w:line="335" w:lineRule="exact"/>
        <w:rPr>
          <w:rFonts w:hint="eastAsia"/>
          <w:color w:val="auto"/>
        </w:rPr>
      </w:pPr>
    </w:p>
    <w:p w14:paraId="7F48489C">
      <w:pPr>
        <w:pStyle w:val="16"/>
        <w:tabs>
          <w:tab w:val="left" w:pos="2412"/>
          <w:tab w:val="left" w:pos="3883"/>
          <w:tab w:val="left" w:pos="5352"/>
          <w:tab w:val="left" w:pos="6821"/>
        </w:tabs>
        <w:kinsoku w:val="0"/>
        <w:overflowPunct w:val="0"/>
        <w:spacing w:line="335" w:lineRule="exact"/>
        <w:rPr>
          <w:rFonts w:hint="eastAsia"/>
          <w:color w:val="auto"/>
        </w:rPr>
      </w:pPr>
    </w:p>
    <w:p w14:paraId="3E30A308">
      <w:pPr>
        <w:pStyle w:val="16"/>
        <w:tabs>
          <w:tab w:val="left" w:pos="2412"/>
          <w:tab w:val="left" w:pos="3883"/>
          <w:tab w:val="left" w:pos="5352"/>
          <w:tab w:val="left" w:pos="6821"/>
        </w:tabs>
        <w:kinsoku w:val="0"/>
        <w:overflowPunct w:val="0"/>
        <w:spacing w:line="335" w:lineRule="exact"/>
        <w:rPr>
          <w:rFonts w:hint="eastAsia"/>
          <w:color w:val="auto"/>
        </w:rPr>
      </w:pPr>
    </w:p>
    <w:p w14:paraId="164B8C58">
      <w:pPr>
        <w:pStyle w:val="16"/>
        <w:kinsoku w:val="0"/>
        <w:overflowPunct w:val="0"/>
        <w:spacing w:line="583" w:lineRule="auto"/>
        <w:ind w:right="-46"/>
        <w:rPr>
          <w:rFonts w:hint="eastAsia"/>
          <w:color w:val="auto"/>
          <w:spacing w:val="-3"/>
        </w:rPr>
      </w:pPr>
      <w:r>
        <w:rPr>
          <w:color w:val="auto"/>
        </w:rPr>
        <w:t>附：</w:t>
      </w:r>
      <w:r>
        <w:rPr>
          <w:color w:val="auto"/>
          <w:spacing w:val="-3"/>
        </w:rPr>
        <w:t>法</w:t>
      </w:r>
      <w:r>
        <w:rPr>
          <w:color w:val="auto"/>
        </w:rPr>
        <w:t>定</w:t>
      </w:r>
      <w:r>
        <w:rPr>
          <w:color w:val="auto"/>
          <w:spacing w:val="-3"/>
        </w:rPr>
        <w:t>代</w:t>
      </w:r>
      <w:r>
        <w:rPr>
          <w:color w:val="auto"/>
        </w:rPr>
        <w:t>表</w:t>
      </w:r>
      <w:r>
        <w:rPr>
          <w:color w:val="auto"/>
          <w:spacing w:val="-3"/>
        </w:rPr>
        <w:t>人</w:t>
      </w:r>
      <w:r>
        <w:rPr>
          <w:color w:val="auto"/>
        </w:rPr>
        <w:t>（</w:t>
      </w:r>
      <w:r>
        <w:rPr>
          <w:color w:val="auto"/>
          <w:spacing w:val="-3"/>
        </w:rPr>
        <w:t>单</w:t>
      </w:r>
      <w:r>
        <w:rPr>
          <w:color w:val="auto"/>
        </w:rPr>
        <w:t>位</w:t>
      </w:r>
      <w:r>
        <w:rPr>
          <w:color w:val="auto"/>
          <w:spacing w:val="-3"/>
        </w:rPr>
        <w:t>负</w:t>
      </w:r>
      <w:r>
        <w:rPr>
          <w:color w:val="auto"/>
        </w:rPr>
        <w:t>责人</w:t>
      </w:r>
      <w:r>
        <w:rPr>
          <w:color w:val="auto"/>
          <w:spacing w:val="-3"/>
        </w:rPr>
        <w:t>）有效期内的身</w:t>
      </w:r>
      <w:r>
        <w:rPr>
          <w:rFonts w:hint="eastAsia"/>
          <w:color w:val="auto"/>
          <w:spacing w:val="-3"/>
        </w:rPr>
        <w:t>份</w:t>
      </w:r>
      <w:r>
        <w:rPr>
          <w:color w:val="auto"/>
          <w:spacing w:val="-3"/>
        </w:rPr>
        <w:t>证正反面</w:t>
      </w:r>
      <w:r>
        <w:rPr>
          <w:rFonts w:hint="eastAsia"/>
          <w:color w:val="auto"/>
          <w:spacing w:val="-3"/>
        </w:rPr>
        <w:t>。</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E1E4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97B0D48">
            <w:pPr>
              <w:tabs>
                <w:tab w:val="left" w:pos="5580"/>
              </w:tabs>
              <w:spacing w:line="360" w:lineRule="auto"/>
              <w:jc w:val="left"/>
              <w:rPr>
                <w:rFonts w:hint="eastAsia" w:ascii="宋体" w:hAnsi="宋体"/>
                <w:color w:val="auto"/>
                <w:sz w:val="24"/>
                <w:szCs w:val="20"/>
              </w:rPr>
            </w:pPr>
          </w:p>
          <w:p w14:paraId="74A3740A">
            <w:pPr>
              <w:tabs>
                <w:tab w:val="left" w:pos="5580"/>
              </w:tabs>
              <w:spacing w:line="360" w:lineRule="auto"/>
              <w:jc w:val="left"/>
              <w:rPr>
                <w:rFonts w:hint="eastAsia" w:ascii="宋体" w:hAnsi="宋体"/>
                <w:color w:val="auto"/>
                <w:sz w:val="24"/>
                <w:szCs w:val="20"/>
              </w:rPr>
            </w:pPr>
          </w:p>
          <w:p w14:paraId="6E565279">
            <w:pPr>
              <w:tabs>
                <w:tab w:val="left" w:pos="5580"/>
              </w:tabs>
              <w:spacing w:line="360" w:lineRule="auto"/>
              <w:jc w:val="left"/>
              <w:rPr>
                <w:rFonts w:hint="eastAsia" w:ascii="宋体" w:hAnsi="宋体"/>
                <w:color w:val="auto"/>
                <w:sz w:val="24"/>
                <w:szCs w:val="20"/>
              </w:rPr>
            </w:pPr>
          </w:p>
        </w:tc>
        <w:tc>
          <w:tcPr>
            <w:tcW w:w="4536" w:type="dxa"/>
          </w:tcPr>
          <w:p w14:paraId="447C3EE2">
            <w:pPr>
              <w:tabs>
                <w:tab w:val="left" w:pos="5580"/>
              </w:tabs>
              <w:spacing w:line="360" w:lineRule="auto"/>
              <w:jc w:val="left"/>
              <w:rPr>
                <w:rFonts w:hint="eastAsia" w:ascii="宋体" w:hAnsi="宋体"/>
                <w:color w:val="auto"/>
                <w:sz w:val="24"/>
                <w:szCs w:val="20"/>
              </w:rPr>
            </w:pPr>
          </w:p>
          <w:p w14:paraId="6FBECF24">
            <w:pPr>
              <w:tabs>
                <w:tab w:val="left" w:pos="5580"/>
              </w:tabs>
              <w:spacing w:line="360" w:lineRule="auto"/>
              <w:jc w:val="left"/>
              <w:rPr>
                <w:rFonts w:hint="eastAsia" w:ascii="宋体" w:hAnsi="宋体"/>
                <w:color w:val="auto"/>
                <w:sz w:val="24"/>
                <w:szCs w:val="20"/>
              </w:rPr>
            </w:pPr>
          </w:p>
          <w:p w14:paraId="25033F81">
            <w:pPr>
              <w:tabs>
                <w:tab w:val="left" w:pos="5580"/>
              </w:tabs>
              <w:spacing w:line="360" w:lineRule="auto"/>
              <w:jc w:val="left"/>
              <w:rPr>
                <w:rFonts w:hint="eastAsia" w:ascii="宋体" w:hAnsi="宋体"/>
                <w:color w:val="auto"/>
                <w:sz w:val="24"/>
                <w:szCs w:val="20"/>
              </w:rPr>
            </w:pPr>
          </w:p>
        </w:tc>
      </w:tr>
    </w:tbl>
    <w:p w14:paraId="37426560">
      <w:pPr>
        <w:pStyle w:val="16"/>
        <w:kinsoku w:val="0"/>
        <w:overflowPunct w:val="0"/>
        <w:spacing w:line="583" w:lineRule="auto"/>
        <w:ind w:right="4305"/>
        <w:rPr>
          <w:rFonts w:hint="eastAsia"/>
          <w:color w:val="auto"/>
          <w:spacing w:val="-3"/>
        </w:rPr>
      </w:pPr>
    </w:p>
    <w:p w14:paraId="3A7DA0BF">
      <w:pPr>
        <w:pStyle w:val="16"/>
        <w:kinsoku w:val="0"/>
        <w:overflowPunct w:val="0"/>
        <w:spacing w:line="583" w:lineRule="auto"/>
        <w:ind w:right="4305"/>
        <w:rPr>
          <w:rFonts w:hint="eastAsia"/>
          <w:color w:val="auto"/>
          <w:spacing w:val="-3"/>
        </w:rPr>
      </w:pPr>
    </w:p>
    <w:p w14:paraId="7D6E5131">
      <w:pPr>
        <w:autoSpaceDE w:val="0"/>
        <w:autoSpaceDN w:val="0"/>
        <w:adjustRightInd w:val="0"/>
        <w:snapToGrid w:val="0"/>
        <w:spacing w:line="360" w:lineRule="auto"/>
        <w:rPr>
          <w:rFonts w:hint="eastAsia" w:ascii="宋体" w:hAnsi="宋体"/>
          <w:color w:val="auto"/>
          <w:sz w:val="24"/>
          <w:lang w:val="zh-CN"/>
        </w:rPr>
      </w:pPr>
      <w:r>
        <w:rPr>
          <w:rFonts w:hint="eastAsia" w:ascii="宋体" w:hAnsi="宋体"/>
          <w:color w:val="auto"/>
          <w:sz w:val="24"/>
        </w:rPr>
        <w:t>投标人</w:t>
      </w:r>
      <w:r>
        <w:rPr>
          <w:rFonts w:ascii="宋体" w:hAnsi="宋体"/>
          <w:color w:val="auto"/>
          <w:sz w:val="24"/>
        </w:rPr>
        <w:t>名称（加盖公章）</w:t>
      </w:r>
      <w:r>
        <w:rPr>
          <w:rFonts w:ascii="宋体" w:hAnsi="宋体"/>
          <w:color w:val="auto"/>
          <w:sz w:val="24"/>
          <w:lang w:val="zh-CN"/>
        </w:rPr>
        <w:t>：________________</w:t>
      </w:r>
    </w:p>
    <w:p w14:paraId="674047BD">
      <w:pPr>
        <w:pStyle w:val="16"/>
        <w:kinsoku w:val="0"/>
        <w:overflowPunct w:val="0"/>
        <w:spacing w:line="583" w:lineRule="auto"/>
        <w:ind w:right="95"/>
        <w:rPr>
          <w:rFonts w:hint="eastAsia"/>
          <w:color w:val="auto"/>
          <w:spacing w:val="-3"/>
        </w:rPr>
      </w:pPr>
      <w:r>
        <w:rPr>
          <w:rFonts w:hint="eastAsia"/>
          <w:color w:val="auto"/>
          <w:spacing w:val="-3"/>
        </w:rPr>
        <w:t>法定代表人（</w:t>
      </w:r>
      <w:r>
        <w:rPr>
          <w:color w:val="auto"/>
        </w:rPr>
        <w:t>单位负责人</w:t>
      </w:r>
      <w:r>
        <w:rPr>
          <w:rFonts w:hint="eastAsia"/>
          <w:color w:val="auto"/>
          <w:spacing w:val="-3"/>
        </w:rPr>
        <w:t>）（</w:t>
      </w:r>
      <w:r>
        <w:rPr>
          <w:color w:val="auto"/>
          <w:szCs w:val="20"/>
        </w:rPr>
        <w:t>签字</w:t>
      </w:r>
      <w:r>
        <w:rPr>
          <w:rFonts w:hint="eastAsia"/>
          <w:color w:val="auto"/>
          <w:szCs w:val="20"/>
        </w:rPr>
        <w:t>或盖章</w:t>
      </w:r>
      <w:r>
        <w:rPr>
          <w:rFonts w:hint="eastAsia"/>
          <w:color w:val="auto"/>
          <w:spacing w:val="-3"/>
        </w:rPr>
        <w:t>）：_</w:t>
      </w:r>
      <w:r>
        <w:rPr>
          <w:color w:val="auto"/>
          <w:spacing w:val="-3"/>
        </w:rPr>
        <w:t>______</w:t>
      </w:r>
    </w:p>
    <w:p w14:paraId="228EBE71">
      <w:pPr>
        <w:autoSpaceDE w:val="0"/>
        <w:autoSpaceDN w:val="0"/>
        <w:adjustRightInd w:val="0"/>
        <w:snapToGrid w:val="0"/>
        <w:spacing w:line="360" w:lineRule="auto"/>
        <w:rPr>
          <w:rFonts w:hint="eastAsia" w:ascii="宋体" w:hAnsi="宋体"/>
          <w:color w:val="auto"/>
          <w:sz w:val="24"/>
        </w:rPr>
      </w:pPr>
    </w:p>
    <w:p w14:paraId="6EB49C57">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日期：_____年______月______日</w:t>
      </w:r>
    </w:p>
    <w:p w14:paraId="198C02DE">
      <w:pPr>
        <w:widowControl/>
        <w:jc w:val="left"/>
        <w:rPr>
          <w:rFonts w:hint="eastAsia" w:ascii="宋体" w:hAnsi="宋体"/>
          <w:i/>
          <w:color w:val="auto"/>
          <w:sz w:val="24"/>
          <w:szCs w:val="20"/>
          <w:u w:val="single"/>
        </w:rPr>
      </w:pPr>
    </w:p>
    <w:p w14:paraId="547093F6">
      <w:pPr>
        <w:widowControl/>
        <w:jc w:val="left"/>
        <w:rPr>
          <w:color w:val="auto"/>
          <w:sz w:val="24"/>
          <w:szCs w:val="20"/>
        </w:rPr>
      </w:pPr>
      <w:r>
        <w:rPr>
          <w:color w:val="auto"/>
          <w:sz w:val="24"/>
          <w:szCs w:val="20"/>
        </w:rPr>
        <w:br w:type="page"/>
      </w:r>
    </w:p>
    <w:p w14:paraId="76C2820E">
      <w:pPr>
        <w:spacing w:line="360" w:lineRule="auto"/>
        <w:outlineLvl w:val="2"/>
        <w:rPr>
          <w:color w:val="auto"/>
          <w:sz w:val="24"/>
          <w:szCs w:val="20"/>
        </w:rPr>
      </w:pPr>
      <w:r>
        <w:rPr>
          <w:color w:val="auto"/>
          <w:sz w:val="24"/>
          <w:szCs w:val="20"/>
        </w:rPr>
        <w:t>3  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color w:val="auto"/>
          <w:sz w:val="24"/>
          <w:szCs w:val="20"/>
        </w:rPr>
        <w:t>（实质性格式）</w:t>
      </w:r>
    </w:p>
    <w:p w14:paraId="083DD5E1">
      <w:pPr>
        <w:spacing w:line="360" w:lineRule="exact"/>
        <w:jc w:val="center"/>
        <w:rPr>
          <w:b/>
          <w:color w:val="auto"/>
          <w:sz w:val="36"/>
          <w:szCs w:val="36"/>
        </w:rPr>
      </w:pPr>
      <w:bookmarkStart w:id="864" w:name="_Toc226309802"/>
      <w:bookmarkStart w:id="865" w:name="_Toc164608672"/>
      <w:bookmarkStart w:id="866" w:name="_Toc226337254"/>
      <w:bookmarkStart w:id="867" w:name="_Toc264969248"/>
      <w:bookmarkStart w:id="868" w:name="_Toc265228396"/>
      <w:bookmarkStart w:id="869" w:name="_Toc305158826"/>
      <w:bookmarkStart w:id="870" w:name="_Toc305158900"/>
      <w:bookmarkStart w:id="871" w:name="_Toc226965831"/>
      <w:bookmarkStart w:id="872" w:name="_Toc164608827"/>
      <w:bookmarkStart w:id="873" w:name="_Toc226965748"/>
      <w:bookmarkStart w:id="874" w:name="_Toc195842923"/>
      <w:r>
        <w:rPr>
          <w:rFonts w:hint="eastAsia"/>
          <w:b/>
          <w:color w:val="auto"/>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14:paraId="11625476">
      <w:pPr>
        <w:tabs>
          <w:tab w:val="left" w:pos="1800"/>
          <w:tab w:val="left" w:pos="5580"/>
        </w:tabs>
        <w:spacing w:line="360" w:lineRule="auto"/>
        <w:jc w:val="left"/>
        <w:rPr>
          <w:i/>
          <w:color w:val="auto"/>
          <w:sz w:val="24"/>
        </w:rPr>
      </w:pPr>
    </w:p>
    <w:p w14:paraId="642BF434">
      <w:pPr>
        <w:tabs>
          <w:tab w:val="left" w:pos="1800"/>
          <w:tab w:val="left" w:pos="5580"/>
        </w:tabs>
        <w:spacing w:line="360" w:lineRule="auto"/>
        <w:ind w:firstLine="240" w:firstLineChars="100"/>
        <w:jc w:val="left"/>
        <w:rPr>
          <w:color w:val="auto"/>
          <w:sz w:val="24"/>
          <w:u w:val="single"/>
        </w:rPr>
      </w:pPr>
      <w:r>
        <w:rPr>
          <w:rFonts w:hint="eastAsia"/>
          <w:color w:val="auto"/>
          <w:sz w:val="24"/>
          <w:szCs w:val="20"/>
        </w:rPr>
        <w:t>项目编号</w:t>
      </w:r>
      <w:r>
        <w:rPr>
          <w:color w:val="auto"/>
          <w:sz w:val="24"/>
        </w:rPr>
        <w:t xml:space="preserve">：_____________________    </w:t>
      </w:r>
      <w:r>
        <w:rPr>
          <w:rFonts w:hint="eastAsia"/>
          <w:color w:val="auto"/>
          <w:sz w:val="24"/>
        </w:rPr>
        <w:t xml:space="preserve">          </w:t>
      </w:r>
      <w:r>
        <w:rPr>
          <w:color w:val="auto"/>
          <w:sz w:val="24"/>
        </w:rPr>
        <w:t xml:space="preserve"> 项目名称：____________</w:t>
      </w:r>
    </w:p>
    <w:tbl>
      <w:tblPr>
        <w:tblStyle w:val="36"/>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045F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70A03FCC">
            <w:pPr>
              <w:tabs>
                <w:tab w:val="left" w:pos="5580"/>
              </w:tabs>
              <w:jc w:val="center"/>
              <w:rPr>
                <w:b/>
                <w:color w:val="auto"/>
                <w:sz w:val="24"/>
              </w:rPr>
            </w:pPr>
            <w:r>
              <w:rPr>
                <w:b/>
                <w:color w:val="auto"/>
                <w:sz w:val="24"/>
              </w:rPr>
              <w:t>序号</w:t>
            </w:r>
          </w:p>
        </w:tc>
        <w:tc>
          <w:tcPr>
            <w:tcW w:w="3700" w:type="dxa"/>
            <w:vMerge w:val="restart"/>
            <w:vAlign w:val="center"/>
          </w:tcPr>
          <w:p w14:paraId="49558BD8">
            <w:pPr>
              <w:tabs>
                <w:tab w:val="left" w:pos="5580"/>
              </w:tabs>
              <w:jc w:val="center"/>
              <w:rPr>
                <w:b/>
                <w:color w:val="auto"/>
                <w:sz w:val="24"/>
              </w:rPr>
            </w:pPr>
            <w:r>
              <w:rPr>
                <w:b/>
                <w:color w:val="auto"/>
                <w:sz w:val="24"/>
              </w:rPr>
              <w:t>投标人名称</w:t>
            </w:r>
          </w:p>
        </w:tc>
        <w:tc>
          <w:tcPr>
            <w:tcW w:w="3965" w:type="dxa"/>
            <w:gridSpan w:val="2"/>
            <w:vAlign w:val="center"/>
          </w:tcPr>
          <w:p w14:paraId="5242DFED">
            <w:pPr>
              <w:tabs>
                <w:tab w:val="left" w:pos="5580"/>
              </w:tabs>
              <w:jc w:val="center"/>
              <w:rPr>
                <w:b/>
                <w:color w:val="auto"/>
                <w:sz w:val="24"/>
              </w:rPr>
            </w:pPr>
            <w:r>
              <w:rPr>
                <w:b/>
                <w:color w:val="auto"/>
                <w:sz w:val="24"/>
              </w:rPr>
              <w:t>投标报价</w:t>
            </w:r>
          </w:p>
        </w:tc>
      </w:tr>
      <w:tr w14:paraId="1E1E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D58754D">
            <w:pPr>
              <w:tabs>
                <w:tab w:val="left" w:pos="5580"/>
              </w:tabs>
              <w:jc w:val="center"/>
              <w:rPr>
                <w:color w:val="auto"/>
                <w:sz w:val="24"/>
              </w:rPr>
            </w:pPr>
          </w:p>
        </w:tc>
        <w:tc>
          <w:tcPr>
            <w:tcW w:w="3700" w:type="dxa"/>
            <w:vMerge w:val="continue"/>
            <w:vAlign w:val="center"/>
          </w:tcPr>
          <w:p w14:paraId="2E226696">
            <w:pPr>
              <w:tabs>
                <w:tab w:val="left" w:pos="5580"/>
              </w:tabs>
              <w:jc w:val="center"/>
              <w:rPr>
                <w:color w:val="auto"/>
                <w:sz w:val="24"/>
              </w:rPr>
            </w:pPr>
          </w:p>
        </w:tc>
        <w:tc>
          <w:tcPr>
            <w:tcW w:w="1985" w:type="dxa"/>
            <w:vAlign w:val="center"/>
          </w:tcPr>
          <w:p w14:paraId="4A49839A">
            <w:pPr>
              <w:tabs>
                <w:tab w:val="left" w:pos="5580"/>
              </w:tabs>
              <w:jc w:val="center"/>
              <w:rPr>
                <w:b/>
                <w:color w:val="auto"/>
                <w:sz w:val="24"/>
              </w:rPr>
            </w:pPr>
            <w:r>
              <w:rPr>
                <w:b/>
                <w:color w:val="auto"/>
                <w:sz w:val="24"/>
              </w:rPr>
              <w:t>大写</w:t>
            </w:r>
          </w:p>
        </w:tc>
        <w:tc>
          <w:tcPr>
            <w:tcW w:w="1980" w:type="dxa"/>
            <w:vAlign w:val="center"/>
          </w:tcPr>
          <w:p w14:paraId="6B833B05">
            <w:pPr>
              <w:tabs>
                <w:tab w:val="left" w:pos="5580"/>
              </w:tabs>
              <w:jc w:val="center"/>
              <w:rPr>
                <w:b/>
                <w:color w:val="auto"/>
                <w:sz w:val="24"/>
              </w:rPr>
            </w:pPr>
            <w:r>
              <w:rPr>
                <w:b/>
                <w:color w:val="auto"/>
                <w:sz w:val="24"/>
              </w:rPr>
              <w:t>小写</w:t>
            </w:r>
          </w:p>
        </w:tc>
      </w:tr>
      <w:tr w14:paraId="7B36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59394835">
            <w:pPr>
              <w:tabs>
                <w:tab w:val="left" w:pos="5580"/>
              </w:tabs>
              <w:jc w:val="center"/>
              <w:rPr>
                <w:color w:val="auto"/>
                <w:sz w:val="24"/>
              </w:rPr>
            </w:pPr>
          </w:p>
        </w:tc>
        <w:tc>
          <w:tcPr>
            <w:tcW w:w="3700" w:type="dxa"/>
            <w:vAlign w:val="center"/>
          </w:tcPr>
          <w:p w14:paraId="25C0B59E">
            <w:pPr>
              <w:tabs>
                <w:tab w:val="left" w:pos="5580"/>
              </w:tabs>
              <w:jc w:val="center"/>
              <w:rPr>
                <w:color w:val="auto"/>
                <w:sz w:val="24"/>
              </w:rPr>
            </w:pPr>
          </w:p>
        </w:tc>
        <w:tc>
          <w:tcPr>
            <w:tcW w:w="1985" w:type="dxa"/>
            <w:vAlign w:val="center"/>
          </w:tcPr>
          <w:p w14:paraId="28403E83">
            <w:pPr>
              <w:tabs>
                <w:tab w:val="left" w:pos="5580"/>
              </w:tabs>
              <w:jc w:val="center"/>
              <w:rPr>
                <w:color w:val="auto"/>
                <w:sz w:val="24"/>
              </w:rPr>
            </w:pPr>
          </w:p>
        </w:tc>
        <w:tc>
          <w:tcPr>
            <w:tcW w:w="1980" w:type="dxa"/>
            <w:vAlign w:val="center"/>
          </w:tcPr>
          <w:p w14:paraId="242ECE9E">
            <w:pPr>
              <w:tabs>
                <w:tab w:val="left" w:pos="5580"/>
              </w:tabs>
              <w:jc w:val="center"/>
              <w:rPr>
                <w:color w:val="auto"/>
                <w:sz w:val="24"/>
              </w:rPr>
            </w:pPr>
          </w:p>
        </w:tc>
      </w:tr>
    </w:tbl>
    <w:p w14:paraId="68986CE0">
      <w:pPr>
        <w:autoSpaceDE w:val="0"/>
        <w:autoSpaceDN w:val="0"/>
        <w:adjustRightInd w:val="0"/>
        <w:jc w:val="left"/>
        <w:rPr>
          <w:color w:val="auto"/>
          <w:kern w:val="0"/>
          <w:sz w:val="24"/>
        </w:rPr>
      </w:pPr>
    </w:p>
    <w:p w14:paraId="587757B5">
      <w:pPr>
        <w:autoSpaceDE w:val="0"/>
        <w:autoSpaceDN w:val="0"/>
        <w:adjustRightInd w:val="0"/>
        <w:jc w:val="left"/>
        <w:rPr>
          <w:color w:val="auto"/>
          <w:sz w:val="24"/>
          <w:szCs w:val="20"/>
        </w:rPr>
      </w:pPr>
      <w:r>
        <w:rPr>
          <w:color w:val="auto"/>
          <w:kern w:val="0"/>
          <w:sz w:val="24"/>
        </w:rPr>
        <w:t>注：</w:t>
      </w:r>
      <w:r>
        <w:rPr>
          <w:color w:val="auto"/>
          <w:sz w:val="24"/>
          <w:szCs w:val="20"/>
        </w:rPr>
        <w:t>此表中，投标报价应和《投标分项报价表》中的总价相一致。</w:t>
      </w:r>
    </w:p>
    <w:p w14:paraId="25E71A7B">
      <w:pPr>
        <w:autoSpaceDE w:val="0"/>
        <w:autoSpaceDN w:val="0"/>
        <w:adjustRightInd w:val="0"/>
        <w:snapToGrid w:val="0"/>
        <w:spacing w:before="25" w:after="25" w:line="360" w:lineRule="auto"/>
        <w:rPr>
          <w:color w:val="auto"/>
          <w:sz w:val="24"/>
          <w:lang w:val="zh-CN"/>
        </w:rPr>
      </w:pPr>
    </w:p>
    <w:p w14:paraId="6864E1B4">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54891ED7">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2FF987EF">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01D37A5B">
      <w:pPr>
        <w:widowControl/>
        <w:jc w:val="left"/>
        <w:rPr>
          <w:color w:val="auto"/>
          <w:sz w:val="24"/>
          <w:szCs w:val="20"/>
        </w:rPr>
      </w:pPr>
      <w:bookmarkStart w:id="875" w:name="_Toc226309803"/>
      <w:bookmarkStart w:id="876" w:name="_Toc127151558"/>
      <w:bookmarkStart w:id="877" w:name="_Toc150480796"/>
      <w:bookmarkStart w:id="878" w:name="_Toc264969249"/>
      <w:bookmarkStart w:id="879" w:name="_Toc142311060"/>
      <w:bookmarkStart w:id="880" w:name="_Toc226965832"/>
      <w:bookmarkStart w:id="881" w:name="_Toc305158827"/>
      <w:bookmarkStart w:id="882" w:name="_Toc195842924"/>
      <w:bookmarkStart w:id="883" w:name="_Toc226965749"/>
      <w:bookmarkStart w:id="884" w:name="_Toc150774763"/>
      <w:bookmarkStart w:id="885" w:name="_Toc226337255"/>
      <w:bookmarkStart w:id="886" w:name="_Toc265228397"/>
      <w:bookmarkStart w:id="887" w:name="_Toc305158901"/>
    </w:p>
    <w:p w14:paraId="56BD43FB">
      <w:pPr>
        <w:spacing w:line="360" w:lineRule="auto"/>
        <w:outlineLvl w:val="2"/>
        <w:rPr>
          <w:color w:val="auto"/>
          <w:sz w:val="24"/>
          <w:szCs w:val="20"/>
        </w:rPr>
        <w:sectPr>
          <w:pgSz w:w="11907" w:h="16840"/>
          <w:pgMar w:top="1418" w:right="1134" w:bottom="1418" w:left="1701" w:header="851" w:footer="851" w:gutter="0"/>
          <w:pgNumType w:fmt="decimal"/>
          <w:cols w:space="720" w:num="1"/>
          <w:docGrid w:linePitch="462" w:charSpace="0"/>
        </w:sectPr>
      </w:pPr>
    </w:p>
    <w:p w14:paraId="48D45009">
      <w:pPr>
        <w:widowControl w:val="0"/>
        <w:tabs>
          <w:tab w:val="left" w:pos="360"/>
        </w:tabs>
        <w:kinsoku/>
        <w:autoSpaceDE/>
        <w:autoSpaceDN/>
        <w:adjustRightInd/>
        <w:snapToGrid w:val="0"/>
        <w:spacing w:line="360" w:lineRule="auto"/>
        <w:ind w:firstLine="0" w:firstLineChars="0"/>
        <w:jc w:val="both"/>
        <w:textAlignment w:val="auto"/>
        <w:outlineLvl w:val="1"/>
        <w:rPr>
          <w:rFonts w:ascii="Times New Roman" w:hAnsi="Times New Roman" w:cs="Times New Roman" w:eastAsiaTheme="minorEastAsia"/>
          <w:snapToGrid/>
          <w:kern w:val="2"/>
          <w:sz w:val="24"/>
          <w:szCs w:val="24"/>
          <w:lang w:eastAsia="zh-CN"/>
        </w:rPr>
      </w:pPr>
      <w:r>
        <w:rPr>
          <w:color w:val="auto"/>
          <w:sz w:val="24"/>
          <w:szCs w:val="20"/>
        </w:rPr>
        <w:t xml:space="preserve">4  </w:t>
      </w:r>
      <w:bookmarkEnd w:id="875"/>
      <w:bookmarkEnd w:id="876"/>
      <w:bookmarkEnd w:id="877"/>
      <w:bookmarkEnd w:id="878"/>
      <w:bookmarkEnd w:id="879"/>
      <w:bookmarkEnd w:id="880"/>
      <w:bookmarkEnd w:id="881"/>
      <w:bookmarkEnd w:id="882"/>
      <w:bookmarkEnd w:id="883"/>
      <w:bookmarkEnd w:id="884"/>
      <w:bookmarkEnd w:id="885"/>
      <w:bookmarkEnd w:id="886"/>
      <w:bookmarkEnd w:id="887"/>
      <w:r>
        <w:rPr>
          <w:rFonts w:ascii="Times New Roman" w:hAnsi="Times New Roman" w:cs="Times New Roman" w:eastAsiaTheme="minorEastAsia"/>
          <w:snapToGrid/>
          <w:kern w:val="2"/>
          <w:sz w:val="24"/>
          <w:szCs w:val="24"/>
          <w:lang w:eastAsia="zh-CN"/>
        </w:rPr>
        <w:t xml:space="preserve"> 分项报价表</w:t>
      </w:r>
    </w:p>
    <w:p w14:paraId="51C27620">
      <w:pPr>
        <w:widowControl w:val="0"/>
        <w:kinsoku/>
        <w:autoSpaceDE/>
        <w:autoSpaceDN/>
        <w:adjustRightInd/>
        <w:snapToGrid/>
        <w:spacing w:line="240" w:lineRule="auto"/>
        <w:ind w:firstLine="0" w:firstLineChars="0"/>
        <w:jc w:val="center"/>
        <w:textAlignment w:val="auto"/>
        <w:rPr>
          <w:rFonts w:hint="eastAsia" w:ascii="宋体" w:hAnsi="宋体" w:eastAsia="宋体" w:cs="宋体"/>
          <w:snapToGrid w:val="0"/>
          <w:color w:val="auto"/>
          <w:spacing w:val="-2"/>
          <w:sz w:val="36"/>
          <w:szCs w:val="36"/>
          <w:lang w:val="en-US" w:eastAsia="zh-CN" w:bidi="ar-SA"/>
          <w14:textOutline w14:w="2311" w14:cap="flat" w14:cmpd="sng" w14:algn="ctr">
            <w14:solidFill>
              <w14:srgbClr w14:val="000000"/>
            </w14:solidFill>
            <w14:prstDash w14:val="solid"/>
            <w14:miter w14:val="0"/>
          </w14:textOutline>
        </w:rPr>
      </w:pPr>
      <w:r>
        <w:rPr>
          <w:rFonts w:hint="eastAsia" w:ascii="宋体" w:hAnsi="宋体" w:eastAsia="宋体" w:cs="宋体"/>
          <w:snapToGrid w:val="0"/>
          <w:color w:val="auto"/>
          <w:spacing w:val="-2"/>
          <w:sz w:val="36"/>
          <w:szCs w:val="36"/>
          <w:lang w:val="en-US" w:eastAsia="zh-CN" w:bidi="ar-SA"/>
          <w14:textOutline w14:w="2311" w14:cap="flat" w14:cmpd="sng" w14:algn="ctr">
            <w14:solidFill>
              <w14:srgbClr w14:val="000000"/>
            </w14:solidFill>
            <w14:prstDash w14:val="solid"/>
            <w14:miter w14:val="0"/>
          </w14:textOutline>
        </w:rPr>
        <w:t>分项报价表</w:t>
      </w:r>
    </w:p>
    <w:p w14:paraId="589B25AB">
      <w:pPr>
        <w:widowControl w:val="0"/>
        <w:tabs>
          <w:tab w:val="left" w:pos="1800"/>
          <w:tab w:val="left" w:pos="5580"/>
        </w:tabs>
        <w:kinsoku/>
        <w:autoSpaceDE/>
        <w:autoSpaceDN/>
        <w:adjustRightInd/>
        <w:snapToGrid/>
        <w:spacing w:line="240" w:lineRule="auto"/>
        <w:ind w:firstLine="0" w:firstLineChars="0"/>
        <w:jc w:val="both"/>
        <w:textAlignment w:val="auto"/>
        <w:rPr>
          <w:rFonts w:ascii="Times New Roman" w:hAnsi="Times New Roman" w:cs="Times New Roman" w:eastAsiaTheme="minorEastAsia"/>
          <w:snapToGrid/>
          <w:color w:val="000000"/>
          <w:kern w:val="2"/>
          <w:sz w:val="24"/>
          <w:szCs w:val="24"/>
          <w:lang w:eastAsia="zh-CN"/>
        </w:rPr>
      </w:pPr>
    </w:p>
    <w:p w14:paraId="6CF78D29">
      <w:pPr>
        <w:widowControl w:val="0"/>
        <w:tabs>
          <w:tab w:val="left" w:pos="1800"/>
          <w:tab w:val="left" w:pos="5580"/>
        </w:tabs>
        <w:kinsoku/>
        <w:autoSpaceDE/>
        <w:autoSpaceDN/>
        <w:adjustRightInd/>
        <w:snapToGrid/>
        <w:spacing w:line="240" w:lineRule="auto"/>
        <w:ind w:firstLine="0" w:firstLineChars="0"/>
        <w:jc w:val="both"/>
        <w:textAlignment w:val="auto"/>
        <w:rPr>
          <w:rFonts w:ascii="Times New Roman" w:hAnsi="Times New Roman" w:cs="Times New Roman" w:eastAsiaTheme="minorEastAsia"/>
          <w:snapToGrid/>
          <w:color w:val="000000"/>
          <w:kern w:val="2"/>
          <w:sz w:val="24"/>
          <w:szCs w:val="24"/>
          <w:lang w:eastAsia="zh-CN"/>
        </w:rPr>
      </w:pPr>
      <w:r>
        <w:rPr>
          <w:rFonts w:ascii="Times New Roman" w:hAnsi="Times New Roman" w:cs="Times New Roman" w:eastAsiaTheme="minorEastAsia"/>
          <w:snapToGrid/>
          <w:color w:val="000000"/>
          <w:kern w:val="2"/>
          <w:sz w:val="24"/>
          <w:szCs w:val="24"/>
          <w:lang w:eastAsia="zh-CN"/>
        </w:rPr>
        <w:t>项目编号/包号：_________ 项目名称：_________报价单位：人民币元</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539C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175" w:type="pct"/>
            <w:vAlign w:val="center"/>
          </w:tcPr>
          <w:p w14:paraId="6794285B">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序号</w:t>
            </w:r>
          </w:p>
        </w:tc>
        <w:tc>
          <w:tcPr>
            <w:tcW w:w="370" w:type="pct"/>
            <w:vAlign w:val="center"/>
          </w:tcPr>
          <w:p w14:paraId="11CF2BCB">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分项名称</w:t>
            </w:r>
          </w:p>
        </w:tc>
        <w:tc>
          <w:tcPr>
            <w:tcW w:w="466" w:type="pct"/>
            <w:vAlign w:val="center"/>
          </w:tcPr>
          <w:p w14:paraId="3C244DC3">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制造商</w:t>
            </w:r>
          </w:p>
        </w:tc>
        <w:tc>
          <w:tcPr>
            <w:tcW w:w="332" w:type="pct"/>
            <w:vAlign w:val="center"/>
          </w:tcPr>
          <w:p w14:paraId="5E330219">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产地/国别</w:t>
            </w:r>
          </w:p>
        </w:tc>
        <w:tc>
          <w:tcPr>
            <w:tcW w:w="441" w:type="pct"/>
            <w:vAlign w:val="center"/>
          </w:tcPr>
          <w:p w14:paraId="51CA1FAB">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制造商统一</w:t>
            </w:r>
            <w:r>
              <w:rPr>
                <w:rFonts w:hint="eastAsia" w:ascii="Times New Roman" w:hAnsi="Times New Roman" w:eastAsia="宋体" w:cs="Times New Roman"/>
                <w:b/>
                <w:snapToGrid/>
                <w:color w:val="000000"/>
                <w:kern w:val="2"/>
                <w:sz w:val="24"/>
                <w:szCs w:val="24"/>
                <w:lang w:eastAsia="zh-CN"/>
              </w:rPr>
              <w:t>社会</w:t>
            </w:r>
            <w:r>
              <w:rPr>
                <w:rFonts w:ascii="Times New Roman" w:hAnsi="Times New Roman" w:eastAsia="宋体" w:cs="Times New Roman"/>
                <w:b/>
                <w:snapToGrid/>
                <w:color w:val="000000"/>
                <w:kern w:val="2"/>
                <w:sz w:val="24"/>
                <w:szCs w:val="24"/>
                <w:lang w:eastAsia="zh-CN"/>
              </w:rPr>
              <w:t>信用代码</w:t>
            </w:r>
          </w:p>
        </w:tc>
        <w:tc>
          <w:tcPr>
            <w:tcW w:w="441" w:type="pct"/>
            <w:vAlign w:val="center"/>
          </w:tcPr>
          <w:p w14:paraId="6D929327">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制造商</w:t>
            </w:r>
          </w:p>
          <w:p w14:paraId="7C708CFD">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规模</w:t>
            </w:r>
          </w:p>
        </w:tc>
        <w:tc>
          <w:tcPr>
            <w:tcW w:w="441" w:type="pct"/>
            <w:vAlign w:val="center"/>
          </w:tcPr>
          <w:p w14:paraId="227280EF">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b/>
                <w:snapToGrid/>
                <w:color w:val="000000"/>
                <w:kern w:val="2"/>
                <w:sz w:val="24"/>
                <w:szCs w:val="24"/>
                <w:lang w:eastAsia="zh-CN"/>
              </w:rPr>
            </w:pPr>
            <w:r>
              <w:rPr>
                <w:rFonts w:hint="eastAsia" w:ascii="Times New Roman" w:hAnsi="Times New Roman" w:eastAsia="宋体" w:cs="Times New Roman"/>
                <w:b/>
                <w:snapToGrid/>
                <w:color w:val="000000"/>
                <w:kern w:val="2"/>
                <w:sz w:val="24"/>
                <w:szCs w:val="24"/>
                <w:lang w:eastAsia="zh-CN"/>
              </w:rPr>
              <w:t>制造商所属性别</w:t>
            </w:r>
          </w:p>
        </w:tc>
        <w:tc>
          <w:tcPr>
            <w:tcW w:w="441" w:type="pct"/>
            <w:vAlign w:val="center"/>
          </w:tcPr>
          <w:p w14:paraId="79AD9757">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b/>
                <w:snapToGrid/>
                <w:color w:val="000000"/>
                <w:kern w:val="2"/>
                <w:sz w:val="24"/>
                <w:szCs w:val="24"/>
                <w:lang w:eastAsia="zh-CN"/>
              </w:rPr>
            </w:pPr>
            <w:r>
              <w:rPr>
                <w:rFonts w:hint="eastAsia" w:ascii="Times New Roman" w:hAnsi="Times New Roman" w:eastAsia="宋体" w:cs="Times New Roman"/>
                <w:b/>
                <w:snapToGrid/>
                <w:color w:val="000000"/>
                <w:kern w:val="2"/>
                <w:sz w:val="24"/>
                <w:szCs w:val="24"/>
                <w:lang w:eastAsia="zh-CN"/>
              </w:rPr>
              <w:t>外商投资类型</w:t>
            </w:r>
          </w:p>
        </w:tc>
        <w:tc>
          <w:tcPr>
            <w:tcW w:w="441" w:type="pct"/>
            <w:vAlign w:val="center"/>
          </w:tcPr>
          <w:p w14:paraId="794488CD">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品牌</w:t>
            </w:r>
          </w:p>
        </w:tc>
        <w:tc>
          <w:tcPr>
            <w:tcW w:w="441" w:type="pct"/>
            <w:vAlign w:val="center"/>
          </w:tcPr>
          <w:p w14:paraId="227C9F68">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规格、型号</w:t>
            </w:r>
          </w:p>
        </w:tc>
        <w:tc>
          <w:tcPr>
            <w:tcW w:w="360" w:type="pct"/>
            <w:vAlign w:val="center"/>
          </w:tcPr>
          <w:p w14:paraId="0F522523">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单价（元）</w:t>
            </w:r>
          </w:p>
        </w:tc>
        <w:tc>
          <w:tcPr>
            <w:tcW w:w="292" w:type="pct"/>
            <w:vAlign w:val="center"/>
          </w:tcPr>
          <w:p w14:paraId="22F04317">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数量</w:t>
            </w:r>
          </w:p>
        </w:tc>
        <w:tc>
          <w:tcPr>
            <w:tcW w:w="359" w:type="pct"/>
            <w:vAlign w:val="center"/>
          </w:tcPr>
          <w:p w14:paraId="18DD4A1E">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b/>
                <w:snapToGrid/>
                <w:color w:val="000000"/>
                <w:kern w:val="2"/>
                <w:sz w:val="24"/>
                <w:szCs w:val="24"/>
                <w:lang w:eastAsia="zh-CN"/>
              </w:rPr>
            </w:pPr>
            <w:r>
              <w:rPr>
                <w:rFonts w:ascii="Times New Roman" w:hAnsi="Times New Roman" w:eastAsia="宋体" w:cs="Times New Roman"/>
                <w:b/>
                <w:snapToGrid/>
                <w:color w:val="000000"/>
                <w:kern w:val="2"/>
                <w:sz w:val="24"/>
                <w:szCs w:val="24"/>
                <w:lang w:eastAsia="zh-CN"/>
              </w:rPr>
              <w:t>合价（元）</w:t>
            </w:r>
          </w:p>
        </w:tc>
      </w:tr>
      <w:tr w14:paraId="49BE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7A78F78">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1</w:t>
            </w:r>
          </w:p>
        </w:tc>
        <w:tc>
          <w:tcPr>
            <w:tcW w:w="370" w:type="pct"/>
            <w:vAlign w:val="center"/>
          </w:tcPr>
          <w:p w14:paraId="4D7B147F">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66" w:type="pct"/>
            <w:vAlign w:val="center"/>
          </w:tcPr>
          <w:p w14:paraId="71EDBF36">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32" w:type="pct"/>
          </w:tcPr>
          <w:p w14:paraId="6424309E">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19E41B21">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2761DFE9">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0EA7810F">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142E0F86">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5ABAAADC">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2C0FB688">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60" w:type="pct"/>
            <w:vAlign w:val="center"/>
          </w:tcPr>
          <w:p w14:paraId="442760E8">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292" w:type="pct"/>
            <w:vAlign w:val="center"/>
          </w:tcPr>
          <w:p w14:paraId="3E9A4F1C">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59" w:type="pct"/>
            <w:vAlign w:val="center"/>
          </w:tcPr>
          <w:p w14:paraId="29675B9C">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r>
      <w:tr w14:paraId="16E2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5D64B4D">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2</w:t>
            </w:r>
          </w:p>
        </w:tc>
        <w:tc>
          <w:tcPr>
            <w:tcW w:w="370" w:type="pct"/>
            <w:vAlign w:val="center"/>
          </w:tcPr>
          <w:p w14:paraId="6AB238D5">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66" w:type="pct"/>
            <w:vAlign w:val="center"/>
          </w:tcPr>
          <w:p w14:paraId="18C0C3FC">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32" w:type="pct"/>
          </w:tcPr>
          <w:p w14:paraId="42B4B9B9">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28299638">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2947131B">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16706EFC">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0231B9FB">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0E6B7CF6">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3CDDC872">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60" w:type="pct"/>
            <w:vAlign w:val="center"/>
          </w:tcPr>
          <w:p w14:paraId="3287CA2D">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292" w:type="pct"/>
            <w:vAlign w:val="center"/>
          </w:tcPr>
          <w:p w14:paraId="38188E61">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59" w:type="pct"/>
            <w:vAlign w:val="center"/>
          </w:tcPr>
          <w:p w14:paraId="172EE7FE">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r>
      <w:tr w14:paraId="3CBE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5CA4B44">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3</w:t>
            </w:r>
          </w:p>
        </w:tc>
        <w:tc>
          <w:tcPr>
            <w:tcW w:w="370" w:type="pct"/>
            <w:vAlign w:val="center"/>
          </w:tcPr>
          <w:p w14:paraId="5C43F172">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66" w:type="pct"/>
            <w:vAlign w:val="center"/>
          </w:tcPr>
          <w:p w14:paraId="01AE8F09">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32" w:type="pct"/>
          </w:tcPr>
          <w:p w14:paraId="5C6A652A">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1A3D375E">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4D1D4AA5">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49B6DE4D">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13960407">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24307FD3">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26BC998F">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60" w:type="pct"/>
            <w:vAlign w:val="center"/>
          </w:tcPr>
          <w:p w14:paraId="619F6630">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292" w:type="pct"/>
            <w:vAlign w:val="center"/>
          </w:tcPr>
          <w:p w14:paraId="4DD76783">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59" w:type="pct"/>
            <w:vAlign w:val="center"/>
          </w:tcPr>
          <w:p w14:paraId="1BD12A2F">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r>
      <w:tr w14:paraId="0FDE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03CF1009">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4</w:t>
            </w:r>
          </w:p>
        </w:tc>
        <w:tc>
          <w:tcPr>
            <w:tcW w:w="370" w:type="pct"/>
            <w:vAlign w:val="center"/>
          </w:tcPr>
          <w:p w14:paraId="5D17B873">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66" w:type="pct"/>
            <w:vAlign w:val="center"/>
          </w:tcPr>
          <w:p w14:paraId="3A0C1C86">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32" w:type="pct"/>
          </w:tcPr>
          <w:p w14:paraId="2633FD87">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204A0D07">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563D7671">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713E92A3">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3B8AD9E6">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44C62951">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4254CACE">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60" w:type="pct"/>
            <w:vAlign w:val="center"/>
          </w:tcPr>
          <w:p w14:paraId="07AD2C93">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292" w:type="pct"/>
            <w:vAlign w:val="center"/>
          </w:tcPr>
          <w:p w14:paraId="6939EFF5">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59" w:type="pct"/>
            <w:vAlign w:val="center"/>
          </w:tcPr>
          <w:p w14:paraId="3398B213">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r>
      <w:tr w14:paraId="5B07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1AA6D958">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w:t>
            </w:r>
          </w:p>
        </w:tc>
        <w:tc>
          <w:tcPr>
            <w:tcW w:w="370" w:type="pct"/>
            <w:vAlign w:val="center"/>
          </w:tcPr>
          <w:p w14:paraId="38DE4F07">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66" w:type="pct"/>
            <w:vAlign w:val="center"/>
          </w:tcPr>
          <w:p w14:paraId="24714489">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32" w:type="pct"/>
          </w:tcPr>
          <w:p w14:paraId="5081BCB4">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32093B8F">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2B08FA33">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1DD817AF">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tcPr>
          <w:p w14:paraId="46010729">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1C1CBCEA">
            <w:pPr>
              <w:widowControl w:val="0"/>
              <w:kinsoku/>
              <w:autoSpaceDE/>
              <w:autoSpaceDN/>
              <w:adjustRightInd w:val="0"/>
              <w:snapToGrid w:val="0"/>
              <w:spacing w:line="240" w:lineRule="auto"/>
              <w:ind w:firstLine="0" w:firstLineChars="0"/>
              <w:jc w:val="center"/>
              <w:textAlignment w:val="auto"/>
              <w:rPr>
                <w:rFonts w:ascii="Times New Roman" w:hAnsi="Times New Roman" w:eastAsia="宋体" w:cs="Times New Roman"/>
                <w:snapToGrid/>
                <w:color w:val="000000"/>
                <w:kern w:val="2"/>
                <w:sz w:val="24"/>
                <w:szCs w:val="24"/>
                <w:lang w:eastAsia="zh-CN"/>
              </w:rPr>
            </w:pPr>
          </w:p>
        </w:tc>
        <w:tc>
          <w:tcPr>
            <w:tcW w:w="441" w:type="pct"/>
            <w:vAlign w:val="center"/>
          </w:tcPr>
          <w:p w14:paraId="04911E93">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60" w:type="pct"/>
            <w:vAlign w:val="center"/>
          </w:tcPr>
          <w:p w14:paraId="69D98BFC">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292" w:type="pct"/>
            <w:vAlign w:val="center"/>
          </w:tcPr>
          <w:p w14:paraId="5E712C67">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c>
          <w:tcPr>
            <w:tcW w:w="359" w:type="pct"/>
            <w:vAlign w:val="center"/>
          </w:tcPr>
          <w:p w14:paraId="1E290751">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r>
      <w:tr w14:paraId="428F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2E7F4BEF">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b/>
                <w:snapToGrid/>
                <w:kern w:val="2"/>
                <w:sz w:val="24"/>
                <w:szCs w:val="24"/>
                <w:lang w:eastAsia="zh-CN"/>
              </w:rPr>
            </w:pPr>
            <w:r>
              <w:rPr>
                <w:rFonts w:ascii="Times New Roman" w:hAnsi="Times New Roman" w:eastAsia="宋体" w:cs="Times New Roman"/>
                <w:b/>
                <w:snapToGrid/>
                <w:kern w:val="2"/>
                <w:sz w:val="24"/>
                <w:szCs w:val="24"/>
                <w:lang w:eastAsia="zh-CN"/>
              </w:rPr>
              <w:t>总价（元）</w:t>
            </w:r>
          </w:p>
        </w:tc>
        <w:tc>
          <w:tcPr>
            <w:tcW w:w="359" w:type="pct"/>
            <w:vAlign w:val="center"/>
          </w:tcPr>
          <w:p w14:paraId="0632E123">
            <w:pPr>
              <w:widowControl w:val="0"/>
              <w:kinsoku/>
              <w:autoSpaceDE/>
              <w:autoSpaceDN/>
              <w:adjustRightInd w:val="0"/>
              <w:snapToGrid w:val="0"/>
              <w:spacing w:line="240" w:lineRule="auto"/>
              <w:ind w:firstLine="0" w:firstLineChars="0"/>
              <w:jc w:val="left"/>
              <w:textAlignment w:val="auto"/>
              <w:rPr>
                <w:rFonts w:ascii="Times New Roman" w:hAnsi="Times New Roman" w:eastAsia="宋体" w:cs="Times New Roman"/>
                <w:snapToGrid/>
                <w:color w:val="000000"/>
                <w:kern w:val="2"/>
                <w:sz w:val="24"/>
                <w:szCs w:val="24"/>
                <w:lang w:eastAsia="zh-CN"/>
              </w:rPr>
            </w:pPr>
          </w:p>
        </w:tc>
      </w:tr>
    </w:tbl>
    <w:p w14:paraId="1143971D">
      <w:pPr>
        <w:pStyle w:val="16"/>
        <w:widowControl w:val="0"/>
        <w:tabs>
          <w:tab w:val="left" w:pos="4421"/>
          <w:tab w:val="left" w:pos="5021"/>
          <w:tab w:val="left" w:pos="5621"/>
          <w:tab w:val="left" w:pos="6221"/>
          <w:tab w:val="left" w:pos="6821"/>
          <w:tab w:val="clear" w:pos="567"/>
        </w:tabs>
        <w:spacing w:line="240" w:lineRule="auto"/>
        <w:ind w:right="65" w:rightChars="31" w:firstLine="476"/>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说明：制造商规模请填写“大型”、“中型”、“小型”、“微型”或“其他”，中小企业的定义见第二章《供应商须知》。</w:t>
      </w:r>
    </w:p>
    <w:p w14:paraId="25C6531A">
      <w:pPr>
        <w:pStyle w:val="16"/>
        <w:widowControl w:val="0"/>
        <w:tabs>
          <w:tab w:val="left" w:pos="4421"/>
          <w:tab w:val="left" w:pos="5021"/>
          <w:tab w:val="left" w:pos="5621"/>
          <w:tab w:val="left" w:pos="6221"/>
          <w:tab w:val="left" w:pos="6821"/>
          <w:tab w:val="clear" w:pos="567"/>
        </w:tabs>
        <w:spacing w:line="240" w:lineRule="auto"/>
        <w:ind w:right="65" w:rightChars="31" w:firstLine="476"/>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制造商所属性别请填写“男”或“女”，指拥有制造商51%以上绝对所有权的性别；绝对所有权拥有者可以是一个人，也可以是多人合计计算。</w:t>
      </w:r>
    </w:p>
    <w:p w14:paraId="2DD584A3">
      <w:pPr>
        <w:pStyle w:val="16"/>
        <w:widowControl w:val="0"/>
        <w:tabs>
          <w:tab w:val="left" w:pos="4421"/>
          <w:tab w:val="left" w:pos="5021"/>
          <w:tab w:val="left" w:pos="5621"/>
          <w:tab w:val="left" w:pos="6221"/>
          <w:tab w:val="left" w:pos="6821"/>
          <w:tab w:val="clear" w:pos="567"/>
        </w:tabs>
        <w:spacing w:line="240" w:lineRule="auto"/>
        <w:ind w:right="65" w:rightChars="31" w:firstLine="476"/>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外商投资类型请填写“外商单独投资”、“外商部分投资”或“内资”。</w:t>
      </w:r>
    </w:p>
    <w:p w14:paraId="789BE269">
      <w:pPr>
        <w:autoSpaceDE w:val="0"/>
        <w:autoSpaceDN w:val="0"/>
        <w:adjustRightInd w:val="0"/>
        <w:snapToGrid w:val="0"/>
        <w:spacing w:before="25" w:after="25" w:line="240" w:lineRule="auto"/>
        <w:jc w:val="right"/>
        <w:rPr>
          <w:color w:val="auto"/>
          <w:sz w:val="24"/>
          <w:lang w:val="zh-CN"/>
        </w:rPr>
      </w:pPr>
      <w:r>
        <w:rPr>
          <w:color w:val="auto"/>
          <w:sz w:val="24"/>
        </w:rPr>
        <w:t>投标人名称（加盖公章）</w:t>
      </w:r>
      <w:r>
        <w:rPr>
          <w:color w:val="auto"/>
          <w:sz w:val="24"/>
          <w:lang w:val="zh-CN"/>
        </w:rPr>
        <w:t>：____________</w:t>
      </w:r>
    </w:p>
    <w:p w14:paraId="64092B42">
      <w:pPr>
        <w:autoSpaceDE w:val="0"/>
        <w:autoSpaceDN w:val="0"/>
        <w:adjustRightInd w:val="0"/>
        <w:snapToGrid w:val="0"/>
        <w:spacing w:before="25" w:after="25" w:line="240" w:lineRule="auto"/>
        <w:jc w:val="right"/>
        <w:rPr>
          <w:color w:val="auto"/>
          <w:sz w:val="24"/>
          <w:lang w:val="zh-CN"/>
        </w:rPr>
      </w:pPr>
      <w:r>
        <w:rPr>
          <w:color w:val="auto"/>
          <w:sz w:val="24"/>
          <w:szCs w:val="20"/>
        </w:rPr>
        <w:t xml:space="preserve">日期：_____年______月______日   </w:t>
      </w:r>
    </w:p>
    <w:p w14:paraId="78B54FAF">
      <w:pPr>
        <w:spacing w:line="360" w:lineRule="auto"/>
        <w:outlineLvl w:val="2"/>
        <w:rPr>
          <w:color w:val="auto"/>
          <w:sz w:val="24"/>
          <w:szCs w:val="20"/>
        </w:rPr>
        <w:sectPr>
          <w:pgSz w:w="16840" w:h="11907" w:orient="landscape"/>
          <w:pgMar w:top="1701" w:right="1418" w:bottom="1134" w:left="1418" w:header="851" w:footer="851" w:gutter="0"/>
          <w:pgNumType w:fmt="decimal"/>
          <w:cols w:space="720" w:num="1"/>
          <w:docGrid w:linePitch="462" w:charSpace="0"/>
        </w:sectPr>
      </w:pPr>
      <w:bookmarkStart w:id="888" w:name="_Toc265228400"/>
      <w:bookmarkStart w:id="889" w:name="_Toc226309806"/>
      <w:bookmarkStart w:id="890" w:name="_Toc305158830"/>
      <w:bookmarkStart w:id="891" w:name="_Toc305158904"/>
      <w:bookmarkStart w:id="892" w:name="_Toc150774765"/>
      <w:bookmarkStart w:id="893" w:name="_Toc142311062"/>
      <w:bookmarkStart w:id="894" w:name="_Toc226337258"/>
      <w:bookmarkStart w:id="895" w:name="_Toc264969252"/>
      <w:bookmarkStart w:id="896" w:name="_Toc195842927"/>
      <w:bookmarkStart w:id="897" w:name="_Toc127151562"/>
      <w:bookmarkStart w:id="898" w:name="_Toc150480798"/>
      <w:bookmarkStart w:id="899" w:name="_Toc226965835"/>
      <w:bookmarkStart w:id="900" w:name="_Toc226965752"/>
      <w:bookmarkStart w:id="901" w:name="_Toc150774764"/>
      <w:bookmarkStart w:id="902" w:name="_Toc305158903"/>
      <w:bookmarkStart w:id="903" w:name="_Toc226965834"/>
      <w:bookmarkStart w:id="904" w:name="_Toc142311061"/>
      <w:bookmarkStart w:id="905" w:name="_Toc265228399"/>
      <w:bookmarkStart w:id="906" w:name="_Toc127151561"/>
      <w:bookmarkStart w:id="907" w:name="_Toc226337257"/>
      <w:bookmarkStart w:id="908" w:name="_Toc226309805"/>
      <w:bookmarkStart w:id="909" w:name="_Toc226965751"/>
      <w:bookmarkStart w:id="910" w:name="_Toc150480797"/>
      <w:bookmarkStart w:id="911" w:name="_Toc305158829"/>
      <w:bookmarkStart w:id="912" w:name="_Toc264969251"/>
      <w:bookmarkStart w:id="913" w:name="_Toc195842926"/>
      <w:r>
        <w:rPr>
          <w:color w:val="auto"/>
          <w:sz w:val="24"/>
          <w:szCs w:val="20"/>
        </w:rPr>
        <w:br w:type="page"/>
      </w:r>
    </w:p>
    <w:p w14:paraId="78CE3516">
      <w:pPr>
        <w:spacing w:line="360" w:lineRule="auto"/>
        <w:outlineLvl w:val="2"/>
        <w:rPr>
          <w:color w:val="auto"/>
          <w:sz w:val="24"/>
          <w:szCs w:val="20"/>
        </w:rPr>
      </w:pPr>
      <w:r>
        <w:rPr>
          <w:color w:val="auto"/>
          <w:sz w:val="24"/>
          <w:szCs w:val="20"/>
        </w:rPr>
        <w:t>5  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auto"/>
          <w:sz w:val="24"/>
          <w:szCs w:val="20"/>
        </w:rPr>
        <w:t>（实质性格式）</w:t>
      </w:r>
    </w:p>
    <w:p w14:paraId="0751872E">
      <w:pPr>
        <w:spacing w:line="360" w:lineRule="auto"/>
        <w:rPr>
          <w:color w:val="auto"/>
          <w:sz w:val="24"/>
          <w:szCs w:val="20"/>
        </w:rPr>
      </w:pPr>
    </w:p>
    <w:p w14:paraId="4858DCB2">
      <w:pPr>
        <w:tabs>
          <w:tab w:val="left" w:pos="2775"/>
          <w:tab w:val="center" w:pos="4153"/>
        </w:tabs>
        <w:autoSpaceDE w:val="0"/>
        <w:autoSpaceDN w:val="0"/>
        <w:adjustRightInd w:val="0"/>
        <w:spacing w:line="360" w:lineRule="auto"/>
        <w:jc w:val="center"/>
        <w:rPr>
          <w:b/>
          <w:color w:val="auto"/>
          <w:sz w:val="36"/>
          <w:szCs w:val="36"/>
        </w:rPr>
      </w:pPr>
      <w:r>
        <w:rPr>
          <w:rFonts w:hint="eastAsia"/>
          <w:b/>
          <w:color w:val="auto"/>
          <w:sz w:val="36"/>
          <w:szCs w:val="36"/>
        </w:rPr>
        <w:t>合同条款偏离表</w:t>
      </w:r>
    </w:p>
    <w:p w14:paraId="73DCC31D">
      <w:pPr>
        <w:spacing w:line="360" w:lineRule="auto"/>
        <w:rPr>
          <w:color w:val="auto"/>
          <w:sz w:val="24"/>
          <w:szCs w:val="20"/>
        </w:rPr>
      </w:pPr>
    </w:p>
    <w:p w14:paraId="5ED40455">
      <w:pPr>
        <w:tabs>
          <w:tab w:val="left" w:pos="1800"/>
          <w:tab w:val="left" w:pos="5580"/>
        </w:tabs>
        <w:spacing w:line="360" w:lineRule="auto"/>
        <w:ind w:firstLine="360" w:firstLineChars="150"/>
        <w:jc w:val="left"/>
        <w:rPr>
          <w:color w:val="auto"/>
          <w:sz w:val="24"/>
        </w:rPr>
      </w:pPr>
      <w:r>
        <w:rPr>
          <w:rFonts w:hint="eastAsia"/>
          <w:color w:val="auto"/>
          <w:sz w:val="24"/>
          <w:szCs w:val="20"/>
        </w:rPr>
        <w:t>项目编号</w:t>
      </w:r>
      <w:r>
        <w:rPr>
          <w:color w:val="auto"/>
          <w:sz w:val="24"/>
        </w:rPr>
        <w:t>：_____________________     项目名称：_____________</w:t>
      </w:r>
    </w:p>
    <w:tbl>
      <w:tblPr>
        <w:tblStyle w:val="36"/>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70"/>
        <w:gridCol w:w="1926"/>
        <w:gridCol w:w="1927"/>
        <w:gridCol w:w="2354"/>
        <w:gridCol w:w="771"/>
      </w:tblGrid>
      <w:tr w14:paraId="7BAD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431D57F8">
            <w:pPr>
              <w:adjustRightInd w:val="0"/>
              <w:snapToGrid w:val="0"/>
              <w:jc w:val="left"/>
              <w:rPr>
                <w:b/>
                <w:color w:val="auto"/>
                <w:sz w:val="24"/>
              </w:rPr>
            </w:pPr>
            <w:r>
              <w:rPr>
                <w:b/>
                <w:color w:val="auto"/>
                <w:sz w:val="24"/>
              </w:rPr>
              <w:t>对本</w:t>
            </w:r>
            <w:r>
              <w:rPr>
                <w:rFonts w:hint="eastAsia"/>
                <w:b/>
                <w:color w:val="auto"/>
                <w:sz w:val="24"/>
              </w:rPr>
              <w:t>项目</w:t>
            </w:r>
            <w:r>
              <w:rPr>
                <w:b/>
                <w:color w:val="auto"/>
                <w:sz w:val="24"/>
              </w:rPr>
              <w:t>合同条款的偏离情况（请进行勾选）：</w:t>
            </w:r>
          </w:p>
          <w:p w14:paraId="77B3DB8E">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如无偏离，仅勾选无偏离即可</w:t>
            </w:r>
            <w:r>
              <w:rPr>
                <w:color w:val="auto"/>
                <w:sz w:val="24"/>
              </w:rPr>
              <w:t>）</w:t>
            </w:r>
          </w:p>
          <w:p w14:paraId="27E91F4E">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w:t>
            </w:r>
            <w:r>
              <w:rPr>
                <w:rFonts w:hint="eastAsia"/>
                <w:color w:val="auto"/>
                <w:sz w:val="24"/>
              </w:rPr>
              <w:t>应</w:t>
            </w:r>
            <w:r>
              <w:rPr>
                <w:color w:val="auto"/>
                <w:sz w:val="24"/>
              </w:rPr>
              <w:t>在本表中对偏离项逐一列明）</w:t>
            </w:r>
          </w:p>
        </w:tc>
      </w:tr>
      <w:tr w14:paraId="1F19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5636274">
            <w:pPr>
              <w:adjustRightInd w:val="0"/>
              <w:snapToGrid w:val="0"/>
              <w:jc w:val="center"/>
              <w:rPr>
                <w:color w:val="auto"/>
                <w:sz w:val="24"/>
              </w:rPr>
            </w:pPr>
            <w:r>
              <w:rPr>
                <w:color w:val="auto"/>
                <w:sz w:val="24"/>
              </w:rPr>
              <w:t>序号</w:t>
            </w:r>
          </w:p>
        </w:tc>
        <w:tc>
          <w:tcPr>
            <w:tcW w:w="1270" w:type="dxa"/>
            <w:vAlign w:val="center"/>
          </w:tcPr>
          <w:p w14:paraId="3F5295DB">
            <w:pPr>
              <w:adjustRightInd w:val="0"/>
              <w:snapToGrid w:val="0"/>
              <w:jc w:val="center"/>
              <w:rPr>
                <w:color w:val="auto"/>
                <w:sz w:val="24"/>
              </w:rPr>
            </w:pPr>
            <w:r>
              <w:rPr>
                <w:color w:val="auto"/>
                <w:sz w:val="24"/>
                <w:szCs w:val="21"/>
              </w:rPr>
              <w:t>招标文件</w:t>
            </w:r>
            <w:r>
              <w:rPr>
                <w:color w:val="auto"/>
                <w:sz w:val="24"/>
              </w:rPr>
              <w:t>条目号（页码）</w:t>
            </w:r>
          </w:p>
        </w:tc>
        <w:tc>
          <w:tcPr>
            <w:tcW w:w="1926" w:type="dxa"/>
            <w:vAlign w:val="center"/>
          </w:tcPr>
          <w:p w14:paraId="611D5C14">
            <w:pPr>
              <w:adjustRightInd w:val="0"/>
              <w:snapToGrid w:val="0"/>
              <w:jc w:val="center"/>
              <w:rPr>
                <w:color w:val="auto"/>
                <w:sz w:val="24"/>
              </w:rPr>
            </w:pPr>
            <w:r>
              <w:rPr>
                <w:color w:val="auto"/>
                <w:sz w:val="24"/>
                <w:szCs w:val="21"/>
              </w:rPr>
              <w:t>招标文件</w:t>
            </w:r>
            <w:r>
              <w:rPr>
                <w:color w:val="auto"/>
                <w:sz w:val="24"/>
              </w:rPr>
              <w:t>要求</w:t>
            </w:r>
          </w:p>
        </w:tc>
        <w:tc>
          <w:tcPr>
            <w:tcW w:w="1927" w:type="dxa"/>
            <w:vAlign w:val="center"/>
          </w:tcPr>
          <w:p w14:paraId="7BE2CB4C">
            <w:pPr>
              <w:adjustRightInd w:val="0"/>
              <w:snapToGrid w:val="0"/>
              <w:jc w:val="center"/>
              <w:rPr>
                <w:color w:val="auto"/>
                <w:sz w:val="24"/>
              </w:rPr>
            </w:pPr>
            <w:r>
              <w:rPr>
                <w:color w:val="auto"/>
                <w:sz w:val="24"/>
              </w:rPr>
              <w:t>投标文件内容</w:t>
            </w:r>
          </w:p>
        </w:tc>
        <w:tc>
          <w:tcPr>
            <w:tcW w:w="2354" w:type="dxa"/>
            <w:vAlign w:val="center"/>
          </w:tcPr>
          <w:p w14:paraId="206E6E88">
            <w:pPr>
              <w:adjustRightInd w:val="0"/>
              <w:snapToGrid w:val="0"/>
              <w:jc w:val="center"/>
              <w:rPr>
                <w:color w:val="auto"/>
                <w:sz w:val="24"/>
              </w:rPr>
            </w:pPr>
            <w:r>
              <w:rPr>
                <w:color w:val="auto"/>
                <w:sz w:val="24"/>
              </w:rPr>
              <w:t>偏离情况</w:t>
            </w:r>
          </w:p>
        </w:tc>
        <w:tc>
          <w:tcPr>
            <w:tcW w:w="771" w:type="dxa"/>
            <w:vAlign w:val="center"/>
          </w:tcPr>
          <w:p w14:paraId="5E4C8783">
            <w:pPr>
              <w:adjustRightInd w:val="0"/>
              <w:snapToGrid w:val="0"/>
              <w:jc w:val="center"/>
              <w:rPr>
                <w:color w:val="auto"/>
                <w:sz w:val="24"/>
              </w:rPr>
            </w:pPr>
            <w:r>
              <w:rPr>
                <w:color w:val="auto"/>
                <w:sz w:val="24"/>
              </w:rPr>
              <w:t>说明</w:t>
            </w:r>
          </w:p>
        </w:tc>
      </w:tr>
      <w:tr w14:paraId="3C8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548F98C0">
            <w:pPr>
              <w:adjustRightInd w:val="0"/>
              <w:snapToGrid w:val="0"/>
              <w:jc w:val="center"/>
              <w:rPr>
                <w:color w:val="auto"/>
                <w:sz w:val="24"/>
              </w:rPr>
            </w:pPr>
          </w:p>
        </w:tc>
        <w:tc>
          <w:tcPr>
            <w:tcW w:w="1270" w:type="dxa"/>
            <w:vAlign w:val="center"/>
          </w:tcPr>
          <w:p w14:paraId="5DB72F40">
            <w:pPr>
              <w:adjustRightInd w:val="0"/>
              <w:snapToGrid w:val="0"/>
              <w:jc w:val="center"/>
              <w:rPr>
                <w:color w:val="auto"/>
                <w:sz w:val="24"/>
              </w:rPr>
            </w:pPr>
          </w:p>
        </w:tc>
        <w:tc>
          <w:tcPr>
            <w:tcW w:w="1926" w:type="dxa"/>
            <w:vAlign w:val="center"/>
          </w:tcPr>
          <w:p w14:paraId="48C3A78F">
            <w:pPr>
              <w:adjustRightInd w:val="0"/>
              <w:snapToGrid w:val="0"/>
              <w:jc w:val="center"/>
              <w:rPr>
                <w:color w:val="auto"/>
                <w:sz w:val="24"/>
              </w:rPr>
            </w:pPr>
          </w:p>
        </w:tc>
        <w:tc>
          <w:tcPr>
            <w:tcW w:w="1927" w:type="dxa"/>
            <w:vAlign w:val="center"/>
          </w:tcPr>
          <w:p w14:paraId="67F49D75">
            <w:pPr>
              <w:adjustRightInd w:val="0"/>
              <w:snapToGrid w:val="0"/>
              <w:jc w:val="center"/>
              <w:rPr>
                <w:color w:val="auto"/>
                <w:sz w:val="24"/>
              </w:rPr>
            </w:pPr>
          </w:p>
        </w:tc>
        <w:tc>
          <w:tcPr>
            <w:tcW w:w="2354" w:type="dxa"/>
            <w:vAlign w:val="center"/>
          </w:tcPr>
          <w:p w14:paraId="77BD3ED4">
            <w:pPr>
              <w:adjustRightInd w:val="0"/>
              <w:snapToGrid w:val="0"/>
              <w:jc w:val="center"/>
              <w:rPr>
                <w:color w:val="auto"/>
                <w:sz w:val="24"/>
              </w:rPr>
            </w:pPr>
          </w:p>
        </w:tc>
        <w:tc>
          <w:tcPr>
            <w:tcW w:w="771" w:type="dxa"/>
            <w:vAlign w:val="center"/>
          </w:tcPr>
          <w:p w14:paraId="5A5B0EC7">
            <w:pPr>
              <w:adjustRightInd w:val="0"/>
              <w:snapToGrid w:val="0"/>
              <w:jc w:val="center"/>
              <w:rPr>
                <w:color w:val="auto"/>
                <w:sz w:val="24"/>
              </w:rPr>
            </w:pPr>
          </w:p>
        </w:tc>
      </w:tr>
      <w:tr w14:paraId="45B9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04DA56F4">
            <w:pPr>
              <w:adjustRightInd w:val="0"/>
              <w:snapToGrid w:val="0"/>
              <w:jc w:val="center"/>
              <w:rPr>
                <w:color w:val="auto"/>
                <w:sz w:val="24"/>
              </w:rPr>
            </w:pPr>
          </w:p>
        </w:tc>
        <w:tc>
          <w:tcPr>
            <w:tcW w:w="1270" w:type="dxa"/>
            <w:vAlign w:val="center"/>
          </w:tcPr>
          <w:p w14:paraId="3F0EA1A0">
            <w:pPr>
              <w:adjustRightInd w:val="0"/>
              <w:snapToGrid w:val="0"/>
              <w:jc w:val="center"/>
              <w:rPr>
                <w:color w:val="auto"/>
                <w:sz w:val="24"/>
              </w:rPr>
            </w:pPr>
          </w:p>
        </w:tc>
        <w:tc>
          <w:tcPr>
            <w:tcW w:w="1926" w:type="dxa"/>
            <w:vAlign w:val="center"/>
          </w:tcPr>
          <w:p w14:paraId="7E9C88CE">
            <w:pPr>
              <w:adjustRightInd w:val="0"/>
              <w:snapToGrid w:val="0"/>
              <w:jc w:val="center"/>
              <w:rPr>
                <w:color w:val="auto"/>
                <w:sz w:val="24"/>
              </w:rPr>
            </w:pPr>
          </w:p>
        </w:tc>
        <w:tc>
          <w:tcPr>
            <w:tcW w:w="1927" w:type="dxa"/>
            <w:vAlign w:val="center"/>
          </w:tcPr>
          <w:p w14:paraId="63862D5A">
            <w:pPr>
              <w:adjustRightInd w:val="0"/>
              <w:snapToGrid w:val="0"/>
              <w:jc w:val="center"/>
              <w:rPr>
                <w:color w:val="auto"/>
                <w:sz w:val="24"/>
              </w:rPr>
            </w:pPr>
          </w:p>
        </w:tc>
        <w:tc>
          <w:tcPr>
            <w:tcW w:w="2354" w:type="dxa"/>
            <w:vAlign w:val="center"/>
          </w:tcPr>
          <w:p w14:paraId="73403477">
            <w:pPr>
              <w:adjustRightInd w:val="0"/>
              <w:snapToGrid w:val="0"/>
              <w:jc w:val="center"/>
              <w:rPr>
                <w:color w:val="auto"/>
                <w:sz w:val="24"/>
              </w:rPr>
            </w:pPr>
          </w:p>
        </w:tc>
        <w:tc>
          <w:tcPr>
            <w:tcW w:w="771" w:type="dxa"/>
            <w:vAlign w:val="center"/>
          </w:tcPr>
          <w:p w14:paraId="45FCD0A3">
            <w:pPr>
              <w:adjustRightInd w:val="0"/>
              <w:snapToGrid w:val="0"/>
              <w:jc w:val="center"/>
              <w:rPr>
                <w:color w:val="auto"/>
                <w:sz w:val="24"/>
              </w:rPr>
            </w:pPr>
          </w:p>
        </w:tc>
      </w:tr>
      <w:tr w14:paraId="40C2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08FCCFE4">
            <w:pPr>
              <w:adjustRightInd w:val="0"/>
              <w:snapToGrid w:val="0"/>
              <w:jc w:val="center"/>
              <w:rPr>
                <w:color w:val="auto"/>
                <w:sz w:val="24"/>
              </w:rPr>
            </w:pPr>
          </w:p>
        </w:tc>
        <w:tc>
          <w:tcPr>
            <w:tcW w:w="1270" w:type="dxa"/>
            <w:vAlign w:val="center"/>
          </w:tcPr>
          <w:p w14:paraId="342791A6">
            <w:pPr>
              <w:adjustRightInd w:val="0"/>
              <w:snapToGrid w:val="0"/>
              <w:jc w:val="center"/>
              <w:rPr>
                <w:color w:val="auto"/>
                <w:sz w:val="24"/>
              </w:rPr>
            </w:pPr>
          </w:p>
        </w:tc>
        <w:tc>
          <w:tcPr>
            <w:tcW w:w="1926" w:type="dxa"/>
            <w:vAlign w:val="center"/>
          </w:tcPr>
          <w:p w14:paraId="25635BB1">
            <w:pPr>
              <w:adjustRightInd w:val="0"/>
              <w:snapToGrid w:val="0"/>
              <w:jc w:val="center"/>
              <w:rPr>
                <w:color w:val="auto"/>
                <w:sz w:val="24"/>
              </w:rPr>
            </w:pPr>
          </w:p>
        </w:tc>
        <w:tc>
          <w:tcPr>
            <w:tcW w:w="1927" w:type="dxa"/>
            <w:vAlign w:val="center"/>
          </w:tcPr>
          <w:p w14:paraId="572EE750">
            <w:pPr>
              <w:adjustRightInd w:val="0"/>
              <w:snapToGrid w:val="0"/>
              <w:jc w:val="center"/>
              <w:rPr>
                <w:color w:val="auto"/>
                <w:sz w:val="24"/>
              </w:rPr>
            </w:pPr>
          </w:p>
        </w:tc>
        <w:tc>
          <w:tcPr>
            <w:tcW w:w="2354" w:type="dxa"/>
            <w:vAlign w:val="center"/>
          </w:tcPr>
          <w:p w14:paraId="1B1AF92B">
            <w:pPr>
              <w:adjustRightInd w:val="0"/>
              <w:snapToGrid w:val="0"/>
              <w:jc w:val="center"/>
              <w:rPr>
                <w:color w:val="auto"/>
                <w:sz w:val="24"/>
              </w:rPr>
            </w:pPr>
          </w:p>
        </w:tc>
        <w:tc>
          <w:tcPr>
            <w:tcW w:w="771" w:type="dxa"/>
            <w:vAlign w:val="center"/>
          </w:tcPr>
          <w:p w14:paraId="7B5D1043">
            <w:pPr>
              <w:adjustRightInd w:val="0"/>
              <w:snapToGrid w:val="0"/>
              <w:jc w:val="center"/>
              <w:rPr>
                <w:color w:val="auto"/>
                <w:sz w:val="24"/>
              </w:rPr>
            </w:pPr>
          </w:p>
        </w:tc>
      </w:tr>
      <w:tr w14:paraId="2B0C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2DBEA3A4">
            <w:pPr>
              <w:adjustRightInd w:val="0"/>
              <w:snapToGrid w:val="0"/>
              <w:jc w:val="center"/>
              <w:rPr>
                <w:color w:val="auto"/>
                <w:sz w:val="24"/>
              </w:rPr>
            </w:pPr>
          </w:p>
        </w:tc>
        <w:tc>
          <w:tcPr>
            <w:tcW w:w="1270" w:type="dxa"/>
            <w:vAlign w:val="center"/>
          </w:tcPr>
          <w:p w14:paraId="18FA4EAC">
            <w:pPr>
              <w:adjustRightInd w:val="0"/>
              <w:snapToGrid w:val="0"/>
              <w:jc w:val="center"/>
              <w:rPr>
                <w:color w:val="auto"/>
                <w:sz w:val="24"/>
              </w:rPr>
            </w:pPr>
          </w:p>
        </w:tc>
        <w:tc>
          <w:tcPr>
            <w:tcW w:w="1926" w:type="dxa"/>
            <w:vAlign w:val="center"/>
          </w:tcPr>
          <w:p w14:paraId="540EE756">
            <w:pPr>
              <w:adjustRightInd w:val="0"/>
              <w:snapToGrid w:val="0"/>
              <w:jc w:val="center"/>
              <w:rPr>
                <w:color w:val="auto"/>
                <w:sz w:val="24"/>
              </w:rPr>
            </w:pPr>
          </w:p>
        </w:tc>
        <w:tc>
          <w:tcPr>
            <w:tcW w:w="1927" w:type="dxa"/>
            <w:vAlign w:val="center"/>
          </w:tcPr>
          <w:p w14:paraId="41BC0821">
            <w:pPr>
              <w:adjustRightInd w:val="0"/>
              <w:snapToGrid w:val="0"/>
              <w:jc w:val="center"/>
              <w:rPr>
                <w:color w:val="auto"/>
                <w:sz w:val="24"/>
              </w:rPr>
            </w:pPr>
          </w:p>
        </w:tc>
        <w:tc>
          <w:tcPr>
            <w:tcW w:w="2354" w:type="dxa"/>
            <w:vAlign w:val="center"/>
          </w:tcPr>
          <w:p w14:paraId="5D99EC17">
            <w:pPr>
              <w:adjustRightInd w:val="0"/>
              <w:snapToGrid w:val="0"/>
              <w:jc w:val="center"/>
              <w:rPr>
                <w:color w:val="auto"/>
                <w:sz w:val="24"/>
              </w:rPr>
            </w:pPr>
          </w:p>
        </w:tc>
        <w:tc>
          <w:tcPr>
            <w:tcW w:w="771" w:type="dxa"/>
            <w:vAlign w:val="center"/>
          </w:tcPr>
          <w:p w14:paraId="5FE5F5D6">
            <w:pPr>
              <w:adjustRightInd w:val="0"/>
              <w:snapToGrid w:val="0"/>
              <w:jc w:val="center"/>
              <w:rPr>
                <w:color w:val="auto"/>
                <w:sz w:val="24"/>
              </w:rPr>
            </w:pPr>
          </w:p>
        </w:tc>
      </w:tr>
    </w:tbl>
    <w:p w14:paraId="1B962C35">
      <w:pPr>
        <w:tabs>
          <w:tab w:val="left" w:pos="1800"/>
          <w:tab w:val="left" w:pos="5580"/>
        </w:tabs>
        <w:jc w:val="left"/>
        <w:rPr>
          <w:color w:val="auto"/>
          <w:sz w:val="24"/>
        </w:rPr>
      </w:pPr>
    </w:p>
    <w:p w14:paraId="6482DE53">
      <w:pPr>
        <w:tabs>
          <w:tab w:val="left" w:pos="1800"/>
          <w:tab w:val="left" w:pos="5580"/>
        </w:tabs>
        <w:jc w:val="left"/>
        <w:rPr>
          <w:color w:val="auto"/>
          <w:sz w:val="24"/>
        </w:rPr>
      </w:pPr>
      <w:r>
        <w:rPr>
          <w:color w:val="auto"/>
          <w:sz w:val="24"/>
        </w:rPr>
        <w:t>注：</w:t>
      </w:r>
    </w:p>
    <w:p w14:paraId="2B0C4601">
      <w:pPr>
        <w:tabs>
          <w:tab w:val="left" w:pos="1800"/>
          <w:tab w:val="left" w:pos="5580"/>
        </w:tabs>
        <w:jc w:val="left"/>
        <w:rPr>
          <w:color w:val="auto"/>
          <w:sz w:val="24"/>
        </w:rPr>
      </w:pPr>
      <w:r>
        <w:rPr>
          <w:rFonts w:hint="eastAsia"/>
          <w:color w:val="auto"/>
          <w:sz w:val="24"/>
        </w:rPr>
        <w:t>1</w:t>
      </w:r>
      <w:r>
        <w:rPr>
          <w:color w:val="auto"/>
          <w:sz w:val="24"/>
        </w:rPr>
        <w:t>. 对合同条款中的所有要求，除本表所列明的所有偏离外，均视作供应商已对之理解和</w:t>
      </w:r>
      <w:r>
        <w:rPr>
          <w:rFonts w:hint="eastAsia"/>
          <w:color w:val="auto"/>
          <w:sz w:val="24"/>
        </w:rPr>
        <w:t>响应</w:t>
      </w:r>
      <w:r>
        <w:rPr>
          <w:color w:val="auto"/>
          <w:sz w:val="24"/>
        </w:rPr>
        <w:t>。</w:t>
      </w:r>
    </w:p>
    <w:p w14:paraId="3FA64C50">
      <w:pPr>
        <w:tabs>
          <w:tab w:val="left" w:pos="1800"/>
          <w:tab w:val="left" w:pos="5580"/>
        </w:tabs>
        <w:jc w:val="left"/>
        <w:rPr>
          <w:color w:val="auto"/>
          <w:sz w:val="24"/>
        </w:rPr>
      </w:pPr>
      <w:r>
        <w:rPr>
          <w:rFonts w:hint="eastAsia"/>
          <w:color w:val="auto"/>
          <w:sz w:val="24"/>
        </w:rPr>
        <w:t>2</w:t>
      </w:r>
      <w:r>
        <w:rPr>
          <w:color w:val="auto"/>
          <w:sz w:val="24"/>
        </w:rPr>
        <w:t xml:space="preserve">. </w:t>
      </w:r>
      <w:r>
        <w:rPr>
          <w:rFonts w:hint="eastAsia"/>
          <w:color w:val="auto"/>
          <w:sz w:val="24"/>
        </w:rPr>
        <w:t>“偏离情况”列应</w:t>
      </w:r>
      <w:r>
        <w:rPr>
          <w:color w:val="auto"/>
          <w:sz w:val="24"/>
        </w:rPr>
        <w:t>据实</w:t>
      </w:r>
      <w:r>
        <w:rPr>
          <w:rFonts w:hint="eastAsia"/>
          <w:color w:val="auto"/>
          <w:sz w:val="24"/>
        </w:rPr>
        <w:t>填写“正偏离”或“负偏离”。</w:t>
      </w:r>
    </w:p>
    <w:p w14:paraId="6129373E">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46561711">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201C857D">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48846E9A">
      <w:pPr>
        <w:spacing w:line="360" w:lineRule="auto"/>
        <w:outlineLvl w:val="2"/>
        <w:rPr>
          <w:color w:val="auto"/>
          <w:sz w:val="24"/>
          <w:szCs w:val="20"/>
        </w:rPr>
      </w:pPr>
      <w:r>
        <w:rPr>
          <w:color w:val="auto"/>
          <w:sz w:val="24"/>
          <w:szCs w:val="20"/>
        </w:rPr>
        <w:br w:type="page"/>
      </w:r>
      <w:r>
        <w:rPr>
          <w:color w:val="auto"/>
          <w:sz w:val="24"/>
          <w:szCs w:val="20"/>
        </w:rPr>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color w:val="auto"/>
          <w:sz w:val="24"/>
          <w:szCs w:val="20"/>
        </w:rPr>
        <w:t>采购需求偏离表（实质性格式）</w:t>
      </w:r>
    </w:p>
    <w:p w14:paraId="078912F7">
      <w:pPr>
        <w:autoSpaceDE w:val="0"/>
        <w:autoSpaceDN w:val="0"/>
        <w:adjustRightInd w:val="0"/>
        <w:spacing w:line="360" w:lineRule="auto"/>
        <w:jc w:val="center"/>
        <w:rPr>
          <w:b/>
          <w:color w:val="auto"/>
          <w:sz w:val="36"/>
          <w:szCs w:val="36"/>
        </w:rPr>
      </w:pPr>
      <w:r>
        <w:rPr>
          <w:rFonts w:hint="eastAsia"/>
          <w:b/>
          <w:color w:val="auto"/>
          <w:sz w:val="36"/>
          <w:szCs w:val="36"/>
        </w:rPr>
        <w:t>采购需求偏离表</w:t>
      </w:r>
    </w:p>
    <w:p w14:paraId="3BF5F184">
      <w:pPr>
        <w:tabs>
          <w:tab w:val="left" w:pos="1800"/>
          <w:tab w:val="left" w:pos="5580"/>
        </w:tabs>
        <w:spacing w:line="360" w:lineRule="auto"/>
        <w:ind w:firstLine="360" w:firstLineChars="150"/>
        <w:jc w:val="left"/>
        <w:rPr>
          <w:color w:val="auto"/>
          <w:sz w:val="24"/>
          <w:u w:val="single"/>
        </w:rPr>
      </w:pPr>
      <w:r>
        <w:rPr>
          <w:color w:val="auto"/>
          <w:sz w:val="24"/>
        </w:rPr>
        <w:t>项目编号：_____________________     项目名称：____________</w:t>
      </w:r>
    </w:p>
    <w:tbl>
      <w:tblPr>
        <w:tblStyle w:val="3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E8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2504F988">
            <w:pPr>
              <w:adjustRightInd w:val="0"/>
              <w:snapToGrid w:val="0"/>
              <w:jc w:val="left"/>
              <w:rPr>
                <w:b/>
                <w:color w:val="auto"/>
                <w:sz w:val="24"/>
              </w:rPr>
            </w:pPr>
            <w:r>
              <w:rPr>
                <w:b/>
                <w:color w:val="auto"/>
                <w:sz w:val="24"/>
              </w:rPr>
              <w:t>对本</w:t>
            </w:r>
            <w:r>
              <w:rPr>
                <w:rFonts w:hint="eastAsia"/>
                <w:b/>
                <w:color w:val="auto"/>
                <w:sz w:val="24"/>
              </w:rPr>
              <w:t>项目采购需求</w:t>
            </w:r>
            <w:r>
              <w:rPr>
                <w:b/>
                <w:color w:val="auto"/>
                <w:sz w:val="24"/>
              </w:rPr>
              <w:t>的偏离情况（请进行勾选）：</w:t>
            </w:r>
          </w:p>
          <w:p w14:paraId="4AFCEFA5">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如无偏离，仅勾选无偏离即可</w:t>
            </w:r>
            <w:r>
              <w:rPr>
                <w:color w:val="auto"/>
                <w:sz w:val="24"/>
              </w:rPr>
              <w:t>）</w:t>
            </w:r>
          </w:p>
          <w:p w14:paraId="585CA27E">
            <w:pPr>
              <w:adjustRightInd w:val="0"/>
              <w:snapToGrid w:val="0"/>
              <w:rPr>
                <w:color w:val="auto"/>
                <w:sz w:val="24"/>
              </w:rPr>
            </w:pPr>
            <w:r>
              <w:rPr>
                <w:b/>
                <w:color w:val="auto"/>
                <w:sz w:val="24"/>
              </w:rPr>
              <w:t>□有偏离</w:t>
            </w:r>
            <w:r>
              <w:rPr>
                <w:color w:val="auto"/>
                <w:sz w:val="24"/>
              </w:rPr>
              <w:t>（</w:t>
            </w:r>
            <w:r>
              <w:rPr>
                <w:color w:val="auto"/>
                <w:sz w:val="24"/>
                <w:szCs w:val="21"/>
              </w:rPr>
              <w:t>如有偏离，</w:t>
            </w:r>
            <w:r>
              <w:rPr>
                <w:color w:val="auto"/>
                <w:sz w:val="24"/>
              </w:rPr>
              <w:t>则</w:t>
            </w:r>
            <w:r>
              <w:rPr>
                <w:rFonts w:hint="eastAsia"/>
                <w:color w:val="auto"/>
                <w:sz w:val="24"/>
              </w:rPr>
              <w:t>应</w:t>
            </w:r>
            <w:r>
              <w:rPr>
                <w:color w:val="auto"/>
                <w:sz w:val="24"/>
              </w:rPr>
              <w:t>在本表中对偏离项逐一列明）</w:t>
            </w:r>
          </w:p>
        </w:tc>
      </w:tr>
      <w:tr w14:paraId="1829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908B54E">
            <w:pPr>
              <w:adjustRightInd w:val="0"/>
              <w:snapToGrid w:val="0"/>
              <w:jc w:val="center"/>
              <w:rPr>
                <w:color w:val="auto"/>
                <w:sz w:val="24"/>
              </w:rPr>
            </w:pPr>
            <w:r>
              <w:rPr>
                <w:color w:val="auto"/>
                <w:sz w:val="24"/>
              </w:rPr>
              <w:t>序号</w:t>
            </w:r>
          </w:p>
        </w:tc>
        <w:tc>
          <w:tcPr>
            <w:tcW w:w="1482" w:type="dxa"/>
            <w:vAlign w:val="center"/>
          </w:tcPr>
          <w:p w14:paraId="2674DEDC">
            <w:pPr>
              <w:adjustRightInd w:val="0"/>
              <w:snapToGrid w:val="0"/>
              <w:jc w:val="center"/>
              <w:rPr>
                <w:color w:val="auto"/>
                <w:sz w:val="24"/>
              </w:rPr>
            </w:pPr>
            <w:r>
              <w:rPr>
                <w:color w:val="auto"/>
                <w:sz w:val="24"/>
              </w:rPr>
              <w:t>招标文件条目号(页码)</w:t>
            </w:r>
          </w:p>
        </w:tc>
        <w:tc>
          <w:tcPr>
            <w:tcW w:w="2384" w:type="dxa"/>
            <w:vAlign w:val="center"/>
          </w:tcPr>
          <w:p w14:paraId="51082173">
            <w:pPr>
              <w:adjustRightInd w:val="0"/>
              <w:snapToGrid w:val="0"/>
              <w:jc w:val="center"/>
              <w:rPr>
                <w:color w:val="auto"/>
                <w:sz w:val="24"/>
              </w:rPr>
            </w:pPr>
            <w:r>
              <w:rPr>
                <w:color w:val="auto"/>
                <w:sz w:val="24"/>
              </w:rPr>
              <w:t>招标文件要求</w:t>
            </w:r>
          </w:p>
        </w:tc>
        <w:tc>
          <w:tcPr>
            <w:tcW w:w="2126" w:type="dxa"/>
            <w:vAlign w:val="center"/>
          </w:tcPr>
          <w:p w14:paraId="183E4D38">
            <w:pPr>
              <w:adjustRightInd w:val="0"/>
              <w:snapToGrid w:val="0"/>
              <w:jc w:val="center"/>
              <w:rPr>
                <w:color w:val="auto"/>
                <w:sz w:val="24"/>
              </w:rPr>
            </w:pPr>
            <w:r>
              <w:rPr>
                <w:color w:val="auto"/>
                <w:sz w:val="24"/>
              </w:rPr>
              <w:t>投标响应内容</w:t>
            </w:r>
          </w:p>
        </w:tc>
        <w:tc>
          <w:tcPr>
            <w:tcW w:w="1875" w:type="dxa"/>
            <w:vAlign w:val="center"/>
          </w:tcPr>
          <w:p w14:paraId="654FF531">
            <w:pPr>
              <w:adjustRightInd w:val="0"/>
              <w:snapToGrid w:val="0"/>
              <w:jc w:val="center"/>
              <w:rPr>
                <w:color w:val="auto"/>
                <w:sz w:val="24"/>
              </w:rPr>
            </w:pPr>
            <w:r>
              <w:rPr>
                <w:color w:val="auto"/>
                <w:sz w:val="24"/>
              </w:rPr>
              <w:t>偏离情况</w:t>
            </w:r>
          </w:p>
        </w:tc>
        <w:tc>
          <w:tcPr>
            <w:tcW w:w="1009" w:type="dxa"/>
            <w:vAlign w:val="center"/>
          </w:tcPr>
          <w:p w14:paraId="19C02A5D">
            <w:pPr>
              <w:adjustRightInd w:val="0"/>
              <w:snapToGrid w:val="0"/>
              <w:jc w:val="center"/>
              <w:rPr>
                <w:color w:val="auto"/>
                <w:sz w:val="24"/>
              </w:rPr>
            </w:pPr>
            <w:r>
              <w:rPr>
                <w:color w:val="auto"/>
                <w:sz w:val="24"/>
              </w:rPr>
              <w:t>说明</w:t>
            </w:r>
          </w:p>
        </w:tc>
      </w:tr>
      <w:tr w14:paraId="03FF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0465CB">
            <w:pPr>
              <w:adjustRightInd w:val="0"/>
              <w:snapToGrid w:val="0"/>
              <w:jc w:val="center"/>
              <w:rPr>
                <w:color w:val="auto"/>
                <w:sz w:val="24"/>
              </w:rPr>
            </w:pPr>
          </w:p>
        </w:tc>
        <w:tc>
          <w:tcPr>
            <w:tcW w:w="1482" w:type="dxa"/>
            <w:vAlign w:val="center"/>
          </w:tcPr>
          <w:p w14:paraId="31BD66AA">
            <w:pPr>
              <w:adjustRightInd w:val="0"/>
              <w:snapToGrid w:val="0"/>
              <w:jc w:val="center"/>
              <w:rPr>
                <w:color w:val="auto"/>
                <w:sz w:val="24"/>
              </w:rPr>
            </w:pPr>
          </w:p>
        </w:tc>
        <w:tc>
          <w:tcPr>
            <w:tcW w:w="2384" w:type="dxa"/>
            <w:vAlign w:val="center"/>
          </w:tcPr>
          <w:p w14:paraId="519EF40A">
            <w:pPr>
              <w:adjustRightInd w:val="0"/>
              <w:snapToGrid w:val="0"/>
              <w:jc w:val="center"/>
              <w:rPr>
                <w:color w:val="auto"/>
                <w:sz w:val="24"/>
              </w:rPr>
            </w:pPr>
          </w:p>
        </w:tc>
        <w:tc>
          <w:tcPr>
            <w:tcW w:w="2126" w:type="dxa"/>
            <w:vAlign w:val="center"/>
          </w:tcPr>
          <w:p w14:paraId="065AE8B9">
            <w:pPr>
              <w:adjustRightInd w:val="0"/>
              <w:snapToGrid w:val="0"/>
              <w:jc w:val="center"/>
              <w:rPr>
                <w:color w:val="auto"/>
                <w:sz w:val="24"/>
              </w:rPr>
            </w:pPr>
          </w:p>
        </w:tc>
        <w:tc>
          <w:tcPr>
            <w:tcW w:w="1875" w:type="dxa"/>
            <w:vAlign w:val="center"/>
          </w:tcPr>
          <w:p w14:paraId="341D24CE">
            <w:pPr>
              <w:adjustRightInd w:val="0"/>
              <w:snapToGrid w:val="0"/>
              <w:jc w:val="center"/>
              <w:rPr>
                <w:color w:val="auto"/>
                <w:sz w:val="24"/>
              </w:rPr>
            </w:pPr>
          </w:p>
        </w:tc>
        <w:tc>
          <w:tcPr>
            <w:tcW w:w="1009" w:type="dxa"/>
            <w:vAlign w:val="center"/>
          </w:tcPr>
          <w:p w14:paraId="3718AF01">
            <w:pPr>
              <w:adjustRightInd w:val="0"/>
              <w:snapToGrid w:val="0"/>
              <w:jc w:val="center"/>
              <w:rPr>
                <w:color w:val="auto"/>
                <w:sz w:val="24"/>
              </w:rPr>
            </w:pPr>
          </w:p>
        </w:tc>
      </w:tr>
      <w:tr w14:paraId="2C35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03DBD4">
            <w:pPr>
              <w:adjustRightInd w:val="0"/>
              <w:snapToGrid w:val="0"/>
              <w:jc w:val="center"/>
              <w:rPr>
                <w:color w:val="auto"/>
                <w:sz w:val="24"/>
              </w:rPr>
            </w:pPr>
          </w:p>
        </w:tc>
        <w:tc>
          <w:tcPr>
            <w:tcW w:w="1482" w:type="dxa"/>
            <w:vAlign w:val="center"/>
          </w:tcPr>
          <w:p w14:paraId="6DB6767E">
            <w:pPr>
              <w:adjustRightInd w:val="0"/>
              <w:snapToGrid w:val="0"/>
              <w:jc w:val="center"/>
              <w:rPr>
                <w:color w:val="auto"/>
                <w:sz w:val="24"/>
              </w:rPr>
            </w:pPr>
          </w:p>
        </w:tc>
        <w:tc>
          <w:tcPr>
            <w:tcW w:w="2384" w:type="dxa"/>
            <w:vAlign w:val="center"/>
          </w:tcPr>
          <w:p w14:paraId="449F1AE2">
            <w:pPr>
              <w:adjustRightInd w:val="0"/>
              <w:snapToGrid w:val="0"/>
              <w:jc w:val="center"/>
              <w:rPr>
                <w:color w:val="auto"/>
                <w:sz w:val="24"/>
              </w:rPr>
            </w:pPr>
          </w:p>
        </w:tc>
        <w:tc>
          <w:tcPr>
            <w:tcW w:w="2126" w:type="dxa"/>
            <w:vAlign w:val="center"/>
          </w:tcPr>
          <w:p w14:paraId="624BBA08">
            <w:pPr>
              <w:adjustRightInd w:val="0"/>
              <w:snapToGrid w:val="0"/>
              <w:jc w:val="center"/>
              <w:rPr>
                <w:color w:val="auto"/>
                <w:sz w:val="24"/>
              </w:rPr>
            </w:pPr>
          </w:p>
        </w:tc>
        <w:tc>
          <w:tcPr>
            <w:tcW w:w="1875" w:type="dxa"/>
            <w:vAlign w:val="center"/>
          </w:tcPr>
          <w:p w14:paraId="0BF64B88">
            <w:pPr>
              <w:adjustRightInd w:val="0"/>
              <w:snapToGrid w:val="0"/>
              <w:jc w:val="center"/>
              <w:rPr>
                <w:color w:val="auto"/>
                <w:sz w:val="24"/>
              </w:rPr>
            </w:pPr>
          </w:p>
        </w:tc>
        <w:tc>
          <w:tcPr>
            <w:tcW w:w="1009" w:type="dxa"/>
            <w:vAlign w:val="center"/>
          </w:tcPr>
          <w:p w14:paraId="1B32A338">
            <w:pPr>
              <w:adjustRightInd w:val="0"/>
              <w:snapToGrid w:val="0"/>
              <w:jc w:val="center"/>
              <w:rPr>
                <w:color w:val="auto"/>
                <w:sz w:val="24"/>
              </w:rPr>
            </w:pPr>
          </w:p>
        </w:tc>
      </w:tr>
      <w:tr w14:paraId="0F6F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43A5C2">
            <w:pPr>
              <w:adjustRightInd w:val="0"/>
              <w:snapToGrid w:val="0"/>
              <w:jc w:val="center"/>
              <w:rPr>
                <w:color w:val="auto"/>
                <w:sz w:val="24"/>
              </w:rPr>
            </w:pPr>
          </w:p>
        </w:tc>
        <w:tc>
          <w:tcPr>
            <w:tcW w:w="1482" w:type="dxa"/>
            <w:vAlign w:val="center"/>
          </w:tcPr>
          <w:p w14:paraId="75425AAF">
            <w:pPr>
              <w:adjustRightInd w:val="0"/>
              <w:snapToGrid w:val="0"/>
              <w:jc w:val="center"/>
              <w:rPr>
                <w:color w:val="auto"/>
                <w:sz w:val="24"/>
              </w:rPr>
            </w:pPr>
          </w:p>
        </w:tc>
        <w:tc>
          <w:tcPr>
            <w:tcW w:w="2384" w:type="dxa"/>
            <w:vAlign w:val="center"/>
          </w:tcPr>
          <w:p w14:paraId="68153CDA">
            <w:pPr>
              <w:adjustRightInd w:val="0"/>
              <w:snapToGrid w:val="0"/>
              <w:jc w:val="center"/>
              <w:rPr>
                <w:color w:val="auto"/>
                <w:sz w:val="24"/>
              </w:rPr>
            </w:pPr>
          </w:p>
        </w:tc>
        <w:tc>
          <w:tcPr>
            <w:tcW w:w="2126" w:type="dxa"/>
            <w:vAlign w:val="center"/>
          </w:tcPr>
          <w:p w14:paraId="2AD6EF0D">
            <w:pPr>
              <w:adjustRightInd w:val="0"/>
              <w:snapToGrid w:val="0"/>
              <w:jc w:val="center"/>
              <w:rPr>
                <w:color w:val="auto"/>
                <w:sz w:val="24"/>
              </w:rPr>
            </w:pPr>
          </w:p>
        </w:tc>
        <w:tc>
          <w:tcPr>
            <w:tcW w:w="1875" w:type="dxa"/>
            <w:vAlign w:val="center"/>
          </w:tcPr>
          <w:p w14:paraId="39E1E95C">
            <w:pPr>
              <w:adjustRightInd w:val="0"/>
              <w:snapToGrid w:val="0"/>
              <w:jc w:val="center"/>
              <w:rPr>
                <w:color w:val="auto"/>
                <w:sz w:val="24"/>
              </w:rPr>
            </w:pPr>
          </w:p>
        </w:tc>
        <w:tc>
          <w:tcPr>
            <w:tcW w:w="1009" w:type="dxa"/>
            <w:vAlign w:val="center"/>
          </w:tcPr>
          <w:p w14:paraId="4310E499">
            <w:pPr>
              <w:adjustRightInd w:val="0"/>
              <w:snapToGrid w:val="0"/>
              <w:jc w:val="center"/>
              <w:rPr>
                <w:color w:val="auto"/>
                <w:sz w:val="24"/>
              </w:rPr>
            </w:pPr>
          </w:p>
        </w:tc>
      </w:tr>
      <w:tr w14:paraId="4EED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524EC8">
            <w:pPr>
              <w:adjustRightInd w:val="0"/>
              <w:snapToGrid w:val="0"/>
              <w:jc w:val="center"/>
              <w:rPr>
                <w:color w:val="auto"/>
                <w:sz w:val="24"/>
              </w:rPr>
            </w:pPr>
          </w:p>
        </w:tc>
        <w:tc>
          <w:tcPr>
            <w:tcW w:w="1482" w:type="dxa"/>
            <w:vAlign w:val="center"/>
          </w:tcPr>
          <w:p w14:paraId="77EFEBCE">
            <w:pPr>
              <w:adjustRightInd w:val="0"/>
              <w:snapToGrid w:val="0"/>
              <w:jc w:val="center"/>
              <w:rPr>
                <w:color w:val="auto"/>
                <w:sz w:val="24"/>
              </w:rPr>
            </w:pPr>
          </w:p>
        </w:tc>
        <w:tc>
          <w:tcPr>
            <w:tcW w:w="2384" w:type="dxa"/>
            <w:vAlign w:val="center"/>
          </w:tcPr>
          <w:p w14:paraId="6EAB8D7E">
            <w:pPr>
              <w:adjustRightInd w:val="0"/>
              <w:snapToGrid w:val="0"/>
              <w:jc w:val="center"/>
              <w:rPr>
                <w:color w:val="auto"/>
                <w:sz w:val="24"/>
              </w:rPr>
            </w:pPr>
          </w:p>
        </w:tc>
        <w:tc>
          <w:tcPr>
            <w:tcW w:w="2126" w:type="dxa"/>
            <w:vAlign w:val="center"/>
          </w:tcPr>
          <w:p w14:paraId="525F49F4">
            <w:pPr>
              <w:adjustRightInd w:val="0"/>
              <w:snapToGrid w:val="0"/>
              <w:jc w:val="center"/>
              <w:rPr>
                <w:color w:val="auto"/>
                <w:sz w:val="24"/>
              </w:rPr>
            </w:pPr>
          </w:p>
        </w:tc>
        <w:tc>
          <w:tcPr>
            <w:tcW w:w="1875" w:type="dxa"/>
            <w:vAlign w:val="center"/>
          </w:tcPr>
          <w:p w14:paraId="7FF03ACD">
            <w:pPr>
              <w:adjustRightInd w:val="0"/>
              <w:snapToGrid w:val="0"/>
              <w:jc w:val="center"/>
              <w:rPr>
                <w:color w:val="auto"/>
                <w:sz w:val="24"/>
              </w:rPr>
            </w:pPr>
          </w:p>
        </w:tc>
        <w:tc>
          <w:tcPr>
            <w:tcW w:w="1009" w:type="dxa"/>
            <w:vAlign w:val="center"/>
          </w:tcPr>
          <w:p w14:paraId="330ACAF7">
            <w:pPr>
              <w:adjustRightInd w:val="0"/>
              <w:snapToGrid w:val="0"/>
              <w:jc w:val="center"/>
              <w:rPr>
                <w:color w:val="auto"/>
                <w:sz w:val="24"/>
              </w:rPr>
            </w:pPr>
          </w:p>
        </w:tc>
      </w:tr>
      <w:tr w14:paraId="5385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188B51">
            <w:pPr>
              <w:adjustRightInd w:val="0"/>
              <w:snapToGrid w:val="0"/>
              <w:jc w:val="center"/>
              <w:rPr>
                <w:color w:val="auto"/>
                <w:sz w:val="24"/>
              </w:rPr>
            </w:pPr>
          </w:p>
        </w:tc>
        <w:tc>
          <w:tcPr>
            <w:tcW w:w="1482" w:type="dxa"/>
            <w:vAlign w:val="center"/>
          </w:tcPr>
          <w:p w14:paraId="3982D606">
            <w:pPr>
              <w:adjustRightInd w:val="0"/>
              <w:snapToGrid w:val="0"/>
              <w:jc w:val="center"/>
              <w:rPr>
                <w:color w:val="auto"/>
                <w:sz w:val="24"/>
              </w:rPr>
            </w:pPr>
          </w:p>
        </w:tc>
        <w:tc>
          <w:tcPr>
            <w:tcW w:w="2384" w:type="dxa"/>
            <w:vAlign w:val="center"/>
          </w:tcPr>
          <w:p w14:paraId="46FFFB7B">
            <w:pPr>
              <w:adjustRightInd w:val="0"/>
              <w:snapToGrid w:val="0"/>
              <w:jc w:val="center"/>
              <w:rPr>
                <w:color w:val="auto"/>
                <w:sz w:val="24"/>
              </w:rPr>
            </w:pPr>
          </w:p>
        </w:tc>
        <w:tc>
          <w:tcPr>
            <w:tcW w:w="2126" w:type="dxa"/>
            <w:vAlign w:val="center"/>
          </w:tcPr>
          <w:p w14:paraId="7A080886">
            <w:pPr>
              <w:adjustRightInd w:val="0"/>
              <w:snapToGrid w:val="0"/>
              <w:jc w:val="center"/>
              <w:rPr>
                <w:color w:val="auto"/>
                <w:sz w:val="24"/>
              </w:rPr>
            </w:pPr>
          </w:p>
        </w:tc>
        <w:tc>
          <w:tcPr>
            <w:tcW w:w="1875" w:type="dxa"/>
            <w:vAlign w:val="center"/>
          </w:tcPr>
          <w:p w14:paraId="3656C373">
            <w:pPr>
              <w:adjustRightInd w:val="0"/>
              <w:snapToGrid w:val="0"/>
              <w:jc w:val="center"/>
              <w:rPr>
                <w:color w:val="auto"/>
                <w:sz w:val="24"/>
              </w:rPr>
            </w:pPr>
          </w:p>
        </w:tc>
        <w:tc>
          <w:tcPr>
            <w:tcW w:w="1009" w:type="dxa"/>
            <w:vAlign w:val="center"/>
          </w:tcPr>
          <w:p w14:paraId="007D67FC">
            <w:pPr>
              <w:adjustRightInd w:val="0"/>
              <w:snapToGrid w:val="0"/>
              <w:jc w:val="center"/>
              <w:rPr>
                <w:color w:val="auto"/>
                <w:sz w:val="24"/>
              </w:rPr>
            </w:pPr>
          </w:p>
        </w:tc>
      </w:tr>
      <w:tr w14:paraId="18C1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FE240F">
            <w:pPr>
              <w:adjustRightInd w:val="0"/>
              <w:snapToGrid w:val="0"/>
              <w:jc w:val="center"/>
              <w:rPr>
                <w:color w:val="auto"/>
                <w:sz w:val="24"/>
              </w:rPr>
            </w:pPr>
          </w:p>
        </w:tc>
        <w:tc>
          <w:tcPr>
            <w:tcW w:w="1482" w:type="dxa"/>
            <w:vAlign w:val="center"/>
          </w:tcPr>
          <w:p w14:paraId="5EF0A3BC">
            <w:pPr>
              <w:adjustRightInd w:val="0"/>
              <w:snapToGrid w:val="0"/>
              <w:jc w:val="center"/>
              <w:rPr>
                <w:color w:val="auto"/>
                <w:sz w:val="24"/>
              </w:rPr>
            </w:pPr>
          </w:p>
        </w:tc>
        <w:tc>
          <w:tcPr>
            <w:tcW w:w="2384" w:type="dxa"/>
            <w:vAlign w:val="center"/>
          </w:tcPr>
          <w:p w14:paraId="5D11D46E">
            <w:pPr>
              <w:adjustRightInd w:val="0"/>
              <w:snapToGrid w:val="0"/>
              <w:jc w:val="center"/>
              <w:rPr>
                <w:color w:val="auto"/>
                <w:sz w:val="24"/>
              </w:rPr>
            </w:pPr>
          </w:p>
        </w:tc>
        <w:tc>
          <w:tcPr>
            <w:tcW w:w="2126" w:type="dxa"/>
            <w:vAlign w:val="center"/>
          </w:tcPr>
          <w:p w14:paraId="33EC3B58">
            <w:pPr>
              <w:adjustRightInd w:val="0"/>
              <w:snapToGrid w:val="0"/>
              <w:jc w:val="center"/>
              <w:rPr>
                <w:color w:val="auto"/>
                <w:sz w:val="24"/>
              </w:rPr>
            </w:pPr>
          </w:p>
        </w:tc>
        <w:tc>
          <w:tcPr>
            <w:tcW w:w="1875" w:type="dxa"/>
            <w:vAlign w:val="center"/>
          </w:tcPr>
          <w:p w14:paraId="037CF620">
            <w:pPr>
              <w:adjustRightInd w:val="0"/>
              <w:snapToGrid w:val="0"/>
              <w:jc w:val="center"/>
              <w:rPr>
                <w:color w:val="auto"/>
                <w:sz w:val="24"/>
              </w:rPr>
            </w:pPr>
          </w:p>
        </w:tc>
        <w:tc>
          <w:tcPr>
            <w:tcW w:w="1009" w:type="dxa"/>
            <w:vAlign w:val="center"/>
          </w:tcPr>
          <w:p w14:paraId="3E7E4050">
            <w:pPr>
              <w:adjustRightInd w:val="0"/>
              <w:snapToGrid w:val="0"/>
              <w:jc w:val="center"/>
              <w:rPr>
                <w:color w:val="auto"/>
                <w:sz w:val="24"/>
              </w:rPr>
            </w:pPr>
          </w:p>
        </w:tc>
      </w:tr>
    </w:tbl>
    <w:p w14:paraId="723BEC30">
      <w:pPr>
        <w:tabs>
          <w:tab w:val="left" w:pos="1800"/>
          <w:tab w:val="left" w:pos="5580"/>
        </w:tabs>
        <w:jc w:val="left"/>
        <w:rPr>
          <w:color w:val="auto"/>
          <w:sz w:val="24"/>
        </w:rPr>
      </w:pPr>
      <w:r>
        <w:rPr>
          <w:color w:val="auto"/>
          <w:sz w:val="24"/>
        </w:rPr>
        <w:t>注：</w:t>
      </w:r>
    </w:p>
    <w:p w14:paraId="4FC790C2">
      <w:pPr>
        <w:tabs>
          <w:tab w:val="left" w:pos="1800"/>
          <w:tab w:val="left" w:pos="5580"/>
        </w:tabs>
        <w:jc w:val="left"/>
        <w:rPr>
          <w:color w:val="auto"/>
          <w:sz w:val="24"/>
        </w:rPr>
      </w:pPr>
      <w:r>
        <w:rPr>
          <w:rFonts w:hint="eastAsia"/>
          <w:color w:val="auto"/>
          <w:sz w:val="24"/>
        </w:rPr>
        <w:t>1</w:t>
      </w:r>
      <w:r>
        <w:rPr>
          <w:color w:val="auto"/>
          <w:sz w:val="24"/>
        </w:rPr>
        <w:t>. 对</w:t>
      </w:r>
      <w:r>
        <w:rPr>
          <w:rFonts w:hint="eastAsia"/>
          <w:color w:val="auto"/>
          <w:sz w:val="24"/>
        </w:rPr>
        <w:t>采购需求</w:t>
      </w:r>
      <w:r>
        <w:rPr>
          <w:color w:val="auto"/>
          <w:sz w:val="24"/>
        </w:rPr>
        <w:t>中的所有要求，除本表所列明的所有偏离外，均视作供应商已对之理解和</w:t>
      </w:r>
      <w:r>
        <w:rPr>
          <w:rFonts w:hint="eastAsia"/>
          <w:color w:val="auto"/>
          <w:sz w:val="24"/>
        </w:rPr>
        <w:t>响应</w:t>
      </w:r>
      <w:r>
        <w:rPr>
          <w:color w:val="auto"/>
          <w:sz w:val="24"/>
        </w:rPr>
        <w:t>。</w:t>
      </w:r>
    </w:p>
    <w:p w14:paraId="32C71BDE">
      <w:pPr>
        <w:tabs>
          <w:tab w:val="left" w:pos="1800"/>
          <w:tab w:val="left" w:pos="5580"/>
        </w:tabs>
        <w:jc w:val="left"/>
        <w:rPr>
          <w:color w:val="auto"/>
          <w:sz w:val="24"/>
          <w:szCs w:val="20"/>
        </w:rPr>
      </w:pPr>
      <w:r>
        <w:rPr>
          <w:rFonts w:hint="eastAsia"/>
          <w:color w:val="auto"/>
          <w:sz w:val="24"/>
        </w:rPr>
        <w:t>2</w:t>
      </w:r>
      <w:r>
        <w:rPr>
          <w:color w:val="auto"/>
          <w:sz w:val="24"/>
        </w:rPr>
        <w:t xml:space="preserve">. </w:t>
      </w:r>
      <w:r>
        <w:rPr>
          <w:rFonts w:hint="eastAsia"/>
          <w:color w:val="auto"/>
          <w:sz w:val="24"/>
        </w:rPr>
        <w:t>“偏离情况”列应</w:t>
      </w:r>
      <w:r>
        <w:rPr>
          <w:color w:val="auto"/>
          <w:sz w:val="24"/>
        </w:rPr>
        <w:t>据实</w:t>
      </w:r>
      <w:r>
        <w:rPr>
          <w:rFonts w:hint="eastAsia"/>
          <w:color w:val="auto"/>
          <w:sz w:val="24"/>
        </w:rPr>
        <w:t>填写“正偏离”或“负偏离”。</w:t>
      </w:r>
    </w:p>
    <w:p w14:paraId="7A920D15">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697C1593">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084BBCE5">
      <w:pPr>
        <w:autoSpaceDE w:val="0"/>
        <w:autoSpaceDN w:val="0"/>
        <w:adjustRightInd w:val="0"/>
        <w:snapToGrid w:val="0"/>
        <w:spacing w:before="25" w:after="25" w:line="360" w:lineRule="auto"/>
        <w:rPr>
          <w:color w:val="auto"/>
          <w:sz w:val="24"/>
          <w:szCs w:val="20"/>
        </w:rPr>
        <w:sectPr>
          <w:pgSz w:w="11907" w:h="16840"/>
          <w:pgMar w:top="1418" w:right="1134" w:bottom="1418" w:left="1701" w:header="851" w:footer="851" w:gutter="0"/>
          <w:pgNumType w:fmt="decimal"/>
          <w:cols w:space="720" w:num="1"/>
          <w:docGrid w:linePitch="462" w:charSpace="0"/>
        </w:sectPr>
      </w:pPr>
      <w:r>
        <w:rPr>
          <w:color w:val="auto"/>
          <w:sz w:val="24"/>
          <w:szCs w:val="20"/>
        </w:rPr>
        <w:t xml:space="preserve">日期：_____年______月______日   </w:t>
      </w:r>
    </w:p>
    <w:p w14:paraId="18D95242">
      <w:pPr>
        <w:autoSpaceDE w:val="0"/>
        <w:autoSpaceDN w:val="0"/>
        <w:adjustRightInd w:val="0"/>
        <w:snapToGrid w:val="0"/>
        <w:spacing w:before="25" w:after="25" w:line="360" w:lineRule="auto"/>
        <w:rPr>
          <w:color w:val="auto"/>
          <w:sz w:val="24"/>
          <w:lang w:val="zh-CN"/>
        </w:rPr>
      </w:pPr>
    </w:p>
    <w:p w14:paraId="5DC2FDBF">
      <w:pPr>
        <w:spacing w:line="360" w:lineRule="auto"/>
        <w:outlineLvl w:val="2"/>
        <w:rPr>
          <w:color w:val="auto"/>
          <w:sz w:val="24"/>
          <w:szCs w:val="20"/>
        </w:rPr>
      </w:pPr>
      <w:bookmarkStart w:id="914" w:name="_Toc13409"/>
      <w:r>
        <w:rPr>
          <w:rFonts w:hint="eastAsia"/>
          <w:color w:val="auto"/>
          <w:sz w:val="24"/>
          <w:szCs w:val="20"/>
        </w:rPr>
        <w:t>7  业绩证明文件</w:t>
      </w:r>
      <w:bookmarkEnd w:id="914"/>
      <w:r>
        <w:rPr>
          <w:color w:val="auto"/>
          <w:sz w:val="24"/>
          <w:szCs w:val="20"/>
        </w:rPr>
        <w:t>（非实质性格式）</w:t>
      </w:r>
    </w:p>
    <w:p w14:paraId="77D75DDA">
      <w:pPr>
        <w:pStyle w:val="69"/>
        <w:ind w:firstLine="210"/>
        <w:rPr>
          <w:rFonts w:hint="eastAsia"/>
          <w:color w:val="auto"/>
        </w:rPr>
      </w:pPr>
    </w:p>
    <w:p w14:paraId="235DBD73">
      <w:pPr>
        <w:pStyle w:val="69"/>
        <w:ind w:firstLine="360"/>
        <w:jc w:val="center"/>
        <w:rPr>
          <w:rFonts w:hint="eastAsia"/>
          <w:b/>
          <w:bCs/>
          <w:color w:val="auto"/>
          <w:sz w:val="36"/>
          <w:szCs w:val="36"/>
        </w:rPr>
      </w:pPr>
      <w:r>
        <w:rPr>
          <w:rFonts w:hint="eastAsia"/>
          <w:b/>
          <w:bCs/>
          <w:color w:val="auto"/>
          <w:sz w:val="36"/>
          <w:szCs w:val="36"/>
        </w:rPr>
        <w:t>《业绩证明》</w:t>
      </w:r>
    </w:p>
    <w:tbl>
      <w:tblPr>
        <w:tblStyle w:val="36"/>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53"/>
        <w:gridCol w:w="2108"/>
        <w:gridCol w:w="1559"/>
        <w:gridCol w:w="1625"/>
      </w:tblGrid>
      <w:tr w14:paraId="2597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74" w:type="dxa"/>
            <w:vAlign w:val="center"/>
          </w:tcPr>
          <w:p w14:paraId="4A8923E4">
            <w:pPr>
              <w:spacing w:line="480" w:lineRule="exact"/>
              <w:jc w:val="center"/>
              <w:rPr>
                <w:color w:val="auto"/>
                <w:sz w:val="24"/>
              </w:rPr>
            </w:pPr>
            <w:r>
              <w:rPr>
                <w:color w:val="auto"/>
                <w:sz w:val="24"/>
              </w:rPr>
              <w:t>序号</w:t>
            </w:r>
          </w:p>
        </w:tc>
        <w:tc>
          <w:tcPr>
            <w:tcW w:w="2853" w:type="dxa"/>
            <w:vAlign w:val="center"/>
          </w:tcPr>
          <w:p w14:paraId="0880D38A">
            <w:pPr>
              <w:spacing w:line="480" w:lineRule="exact"/>
              <w:jc w:val="center"/>
              <w:rPr>
                <w:color w:val="auto"/>
                <w:sz w:val="24"/>
              </w:rPr>
            </w:pPr>
            <w:r>
              <w:rPr>
                <w:color w:val="auto"/>
                <w:sz w:val="24"/>
              </w:rPr>
              <w:t>项目名称</w:t>
            </w:r>
          </w:p>
        </w:tc>
        <w:tc>
          <w:tcPr>
            <w:tcW w:w="2108" w:type="dxa"/>
            <w:vAlign w:val="center"/>
          </w:tcPr>
          <w:p w14:paraId="78511491">
            <w:pPr>
              <w:spacing w:line="480" w:lineRule="exact"/>
              <w:jc w:val="center"/>
              <w:rPr>
                <w:color w:val="auto"/>
                <w:sz w:val="24"/>
              </w:rPr>
            </w:pPr>
            <w:r>
              <w:rPr>
                <w:color w:val="auto"/>
                <w:sz w:val="24"/>
              </w:rPr>
              <w:t>合同主要内容</w:t>
            </w:r>
          </w:p>
        </w:tc>
        <w:tc>
          <w:tcPr>
            <w:tcW w:w="1559" w:type="dxa"/>
            <w:vAlign w:val="center"/>
          </w:tcPr>
          <w:p w14:paraId="4B4F08C0">
            <w:pPr>
              <w:spacing w:line="480" w:lineRule="exact"/>
              <w:jc w:val="center"/>
              <w:rPr>
                <w:color w:val="auto"/>
                <w:sz w:val="24"/>
              </w:rPr>
            </w:pPr>
            <w:r>
              <w:rPr>
                <w:rFonts w:hint="eastAsia"/>
                <w:color w:val="auto"/>
                <w:sz w:val="24"/>
              </w:rPr>
              <w:t>用户名称</w:t>
            </w:r>
          </w:p>
        </w:tc>
        <w:tc>
          <w:tcPr>
            <w:tcW w:w="1625" w:type="dxa"/>
            <w:vAlign w:val="center"/>
          </w:tcPr>
          <w:p w14:paraId="50CC1ACC">
            <w:pPr>
              <w:spacing w:line="480" w:lineRule="exact"/>
              <w:jc w:val="center"/>
              <w:rPr>
                <w:color w:val="auto"/>
                <w:sz w:val="24"/>
              </w:rPr>
            </w:pPr>
            <w:r>
              <w:rPr>
                <w:rFonts w:hint="eastAsia"/>
                <w:color w:val="auto"/>
                <w:sz w:val="24"/>
              </w:rPr>
              <w:t>合同</w:t>
            </w:r>
            <w:r>
              <w:rPr>
                <w:color w:val="auto"/>
                <w:sz w:val="24"/>
              </w:rPr>
              <w:t>金额</w:t>
            </w:r>
          </w:p>
        </w:tc>
      </w:tr>
      <w:tr w14:paraId="7D6C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4" w:type="dxa"/>
            <w:vAlign w:val="center"/>
          </w:tcPr>
          <w:p w14:paraId="71530344">
            <w:pPr>
              <w:spacing w:line="480" w:lineRule="exact"/>
              <w:jc w:val="center"/>
              <w:rPr>
                <w:rFonts w:hint="eastAsia" w:ascii="宋体" w:hAnsi="宋体"/>
                <w:color w:val="auto"/>
                <w:szCs w:val="21"/>
              </w:rPr>
            </w:pPr>
          </w:p>
        </w:tc>
        <w:tc>
          <w:tcPr>
            <w:tcW w:w="2853" w:type="dxa"/>
            <w:vAlign w:val="center"/>
          </w:tcPr>
          <w:p w14:paraId="61E2569A">
            <w:pPr>
              <w:spacing w:line="480" w:lineRule="exact"/>
              <w:rPr>
                <w:rFonts w:hint="eastAsia" w:ascii="宋体" w:hAnsi="宋体"/>
                <w:color w:val="auto"/>
                <w:szCs w:val="21"/>
              </w:rPr>
            </w:pPr>
          </w:p>
        </w:tc>
        <w:tc>
          <w:tcPr>
            <w:tcW w:w="2108" w:type="dxa"/>
            <w:vAlign w:val="center"/>
          </w:tcPr>
          <w:p w14:paraId="7DD5A37C">
            <w:pPr>
              <w:spacing w:line="480" w:lineRule="exact"/>
              <w:rPr>
                <w:rFonts w:hint="eastAsia" w:ascii="宋体" w:hAnsi="宋体"/>
                <w:color w:val="auto"/>
                <w:szCs w:val="21"/>
              </w:rPr>
            </w:pPr>
          </w:p>
        </w:tc>
        <w:tc>
          <w:tcPr>
            <w:tcW w:w="1559" w:type="dxa"/>
            <w:vAlign w:val="center"/>
          </w:tcPr>
          <w:p w14:paraId="62E6B459">
            <w:pPr>
              <w:spacing w:line="480" w:lineRule="exact"/>
              <w:rPr>
                <w:rFonts w:hint="eastAsia" w:ascii="宋体" w:hAnsi="宋体"/>
                <w:color w:val="auto"/>
                <w:szCs w:val="21"/>
              </w:rPr>
            </w:pPr>
          </w:p>
        </w:tc>
        <w:tc>
          <w:tcPr>
            <w:tcW w:w="1625" w:type="dxa"/>
            <w:vAlign w:val="center"/>
          </w:tcPr>
          <w:p w14:paraId="41CE6544">
            <w:pPr>
              <w:spacing w:line="480" w:lineRule="exact"/>
              <w:rPr>
                <w:rFonts w:hint="eastAsia" w:ascii="宋体" w:hAnsi="宋体"/>
                <w:color w:val="auto"/>
                <w:szCs w:val="21"/>
              </w:rPr>
            </w:pPr>
          </w:p>
        </w:tc>
      </w:tr>
      <w:tr w14:paraId="5D31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49980541">
            <w:pPr>
              <w:spacing w:line="480" w:lineRule="exact"/>
              <w:jc w:val="center"/>
              <w:rPr>
                <w:rFonts w:hint="eastAsia" w:ascii="宋体" w:hAnsi="宋体"/>
                <w:color w:val="auto"/>
                <w:szCs w:val="21"/>
              </w:rPr>
            </w:pPr>
          </w:p>
        </w:tc>
        <w:tc>
          <w:tcPr>
            <w:tcW w:w="2853" w:type="dxa"/>
            <w:vAlign w:val="center"/>
          </w:tcPr>
          <w:p w14:paraId="35B8E621">
            <w:pPr>
              <w:spacing w:line="480" w:lineRule="exact"/>
              <w:rPr>
                <w:rFonts w:hint="eastAsia" w:ascii="宋体" w:hAnsi="宋体"/>
                <w:color w:val="auto"/>
                <w:szCs w:val="21"/>
              </w:rPr>
            </w:pPr>
          </w:p>
        </w:tc>
        <w:tc>
          <w:tcPr>
            <w:tcW w:w="2108" w:type="dxa"/>
            <w:vAlign w:val="center"/>
          </w:tcPr>
          <w:p w14:paraId="5AD65F25">
            <w:pPr>
              <w:spacing w:line="480" w:lineRule="exact"/>
              <w:rPr>
                <w:rFonts w:hint="eastAsia" w:ascii="宋体" w:hAnsi="宋体"/>
                <w:color w:val="auto"/>
                <w:szCs w:val="21"/>
              </w:rPr>
            </w:pPr>
          </w:p>
        </w:tc>
        <w:tc>
          <w:tcPr>
            <w:tcW w:w="1559" w:type="dxa"/>
            <w:vAlign w:val="center"/>
          </w:tcPr>
          <w:p w14:paraId="35904488">
            <w:pPr>
              <w:spacing w:line="480" w:lineRule="exact"/>
              <w:rPr>
                <w:rFonts w:hint="eastAsia" w:ascii="宋体" w:hAnsi="宋体"/>
                <w:color w:val="auto"/>
                <w:szCs w:val="21"/>
              </w:rPr>
            </w:pPr>
          </w:p>
        </w:tc>
        <w:tc>
          <w:tcPr>
            <w:tcW w:w="1625" w:type="dxa"/>
            <w:vAlign w:val="center"/>
          </w:tcPr>
          <w:p w14:paraId="527222DE">
            <w:pPr>
              <w:spacing w:line="480" w:lineRule="exact"/>
              <w:rPr>
                <w:rFonts w:hint="eastAsia" w:ascii="宋体" w:hAnsi="宋体"/>
                <w:color w:val="auto"/>
                <w:szCs w:val="21"/>
              </w:rPr>
            </w:pPr>
          </w:p>
        </w:tc>
      </w:tr>
      <w:tr w14:paraId="1BC3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08B36BFA">
            <w:pPr>
              <w:spacing w:line="480" w:lineRule="exact"/>
              <w:jc w:val="center"/>
              <w:rPr>
                <w:rFonts w:hint="eastAsia" w:ascii="宋体" w:hAnsi="宋体"/>
                <w:color w:val="auto"/>
                <w:szCs w:val="21"/>
              </w:rPr>
            </w:pPr>
          </w:p>
        </w:tc>
        <w:tc>
          <w:tcPr>
            <w:tcW w:w="2853" w:type="dxa"/>
            <w:vAlign w:val="center"/>
          </w:tcPr>
          <w:p w14:paraId="396B7240">
            <w:pPr>
              <w:spacing w:line="480" w:lineRule="exact"/>
              <w:rPr>
                <w:rFonts w:hint="eastAsia" w:ascii="宋体" w:hAnsi="宋体"/>
                <w:color w:val="auto"/>
                <w:szCs w:val="21"/>
              </w:rPr>
            </w:pPr>
          </w:p>
        </w:tc>
        <w:tc>
          <w:tcPr>
            <w:tcW w:w="2108" w:type="dxa"/>
            <w:vAlign w:val="center"/>
          </w:tcPr>
          <w:p w14:paraId="639F48A6">
            <w:pPr>
              <w:spacing w:line="480" w:lineRule="exact"/>
              <w:rPr>
                <w:rFonts w:hint="eastAsia" w:ascii="宋体" w:hAnsi="宋体"/>
                <w:color w:val="auto"/>
                <w:szCs w:val="21"/>
              </w:rPr>
            </w:pPr>
          </w:p>
        </w:tc>
        <w:tc>
          <w:tcPr>
            <w:tcW w:w="1559" w:type="dxa"/>
            <w:vAlign w:val="center"/>
          </w:tcPr>
          <w:p w14:paraId="3157EA6B">
            <w:pPr>
              <w:spacing w:line="480" w:lineRule="exact"/>
              <w:rPr>
                <w:rFonts w:hint="eastAsia" w:ascii="宋体" w:hAnsi="宋体"/>
                <w:color w:val="auto"/>
                <w:szCs w:val="21"/>
              </w:rPr>
            </w:pPr>
          </w:p>
        </w:tc>
        <w:tc>
          <w:tcPr>
            <w:tcW w:w="1625" w:type="dxa"/>
            <w:vAlign w:val="center"/>
          </w:tcPr>
          <w:p w14:paraId="4878136B">
            <w:pPr>
              <w:spacing w:line="480" w:lineRule="exact"/>
              <w:rPr>
                <w:rFonts w:hint="eastAsia" w:ascii="宋体" w:hAnsi="宋体"/>
                <w:color w:val="auto"/>
                <w:szCs w:val="21"/>
              </w:rPr>
            </w:pPr>
          </w:p>
        </w:tc>
      </w:tr>
      <w:tr w14:paraId="6339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7229EC2B">
            <w:pPr>
              <w:spacing w:line="480" w:lineRule="exact"/>
              <w:jc w:val="center"/>
              <w:rPr>
                <w:rFonts w:hint="eastAsia" w:ascii="宋体" w:hAnsi="宋体"/>
                <w:color w:val="auto"/>
                <w:szCs w:val="21"/>
              </w:rPr>
            </w:pPr>
          </w:p>
        </w:tc>
        <w:tc>
          <w:tcPr>
            <w:tcW w:w="2853" w:type="dxa"/>
            <w:vAlign w:val="center"/>
          </w:tcPr>
          <w:p w14:paraId="38FE3F32">
            <w:pPr>
              <w:spacing w:line="480" w:lineRule="exact"/>
              <w:rPr>
                <w:rFonts w:hint="eastAsia" w:ascii="宋体" w:hAnsi="宋体"/>
                <w:color w:val="auto"/>
                <w:szCs w:val="21"/>
              </w:rPr>
            </w:pPr>
          </w:p>
        </w:tc>
        <w:tc>
          <w:tcPr>
            <w:tcW w:w="2108" w:type="dxa"/>
            <w:vAlign w:val="center"/>
          </w:tcPr>
          <w:p w14:paraId="3D90AB8F">
            <w:pPr>
              <w:spacing w:line="480" w:lineRule="exact"/>
              <w:rPr>
                <w:rFonts w:hint="eastAsia" w:ascii="宋体" w:hAnsi="宋体"/>
                <w:color w:val="auto"/>
                <w:szCs w:val="21"/>
              </w:rPr>
            </w:pPr>
          </w:p>
        </w:tc>
        <w:tc>
          <w:tcPr>
            <w:tcW w:w="1559" w:type="dxa"/>
            <w:vAlign w:val="center"/>
          </w:tcPr>
          <w:p w14:paraId="02E6AB0B">
            <w:pPr>
              <w:spacing w:line="480" w:lineRule="exact"/>
              <w:rPr>
                <w:rFonts w:hint="eastAsia" w:ascii="宋体" w:hAnsi="宋体"/>
                <w:color w:val="auto"/>
                <w:szCs w:val="21"/>
              </w:rPr>
            </w:pPr>
          </w:p>
        </w:tc>
        <w:tc>
          <w:tcPr>
            <w:tcW w:w="1625" w:type="dxa"/>
            <w:vAlign w:val="center"/>
          </w:tcPr>
          <w:p w14:paraId="41999318">
            <w:pPr>
              <w:spacing w:line="480" w:lineRule="exact"/>
              <w:rPr>
                <w:rFonts w:hint="eastAsia" w:ascii="宋体" w:hAnsi="宋体"/>
                <w:color w:val="auto"/>
                <w:szCs w:val="21"/>
              </w:rPr>
            </w:pPr>
          </w:p>
        </w:tc>
      </w:tr>
      <w:tr w14:paraId="65B7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4" w:type="dxa"/>
            <w:vAlign w:val="center"/>
          </w:tcPr>
          <w:p w14:paraId="5AC1D4E7">
            <w:pPr>
              <w:spacing w:line="480" w:lineRule="exact"/>
              <w:jc w:val="center"/>
              <w:rPr>
                <w:rFonts w:hint="eastAsia" w:ascii="宋体" w:hAnsi="宋体"/>
                <w:color w:val="auto"/>
                <w:szCs w:val="21"/>
              </w:rPr>
            </w:pPr>
          </w:p>
        </w:tc>
        <w:tc>
          <w:tcPr>
            <w:tcW w:w="2853" w:type="dxa"/>
            <w:vAlign w:val="center"/>
          </w:tcPr>
          <w:p w14:paraId="5BF1B281">
            <w:pPr>
              <w:spacing w:line="480" w:lineRule="exact"/>
              <w:rPr>
                <w:rFonts w:hint="eastAsia" w:ascii="宋体" w:hAnsi="宋体"/>
                <w:color w:val="auto"/>
                <w:szCs w:val="21"/>
              </w:rPr>
            </w:pPr>
          </w:p>
        </w:tc>
        <w:tc>
          <w:tcPr>
            <w:tcW w:w="2108" w:type="dxa"/>
            <w:vAlign w:val="center"/>
          </w:tcPr>
          <w:p w14:paraId="3B0180C9">
            <w:pPr>
              <w:spacing w:line="480" w:lineRule="exact"/>
              <w:rPr>
                <w:rFonts w:hint="eastAsia" w:ascii="宋体" w:hAnsi="宋体"/>
                <w:color w:val="auto"/>
                <w:szCs w:val="21"/>
              </w:rPr>
            </w:pPr>
          </w:p>
        </w:tc>
        <w:tc>
          <w:tcPr>
            <w:tcW w:w="1559" w:type="dxa"/>
            <w:vAlign w:val="center"/>
          </w:tcPr>
          <w:p w14:paraId="01176A6D">
            <w:pPr>
              <w:spacing w:line="480" w:lineRule="exact"/>
              <w:rPr>
                <w:rFonts w:hint="eastAsia" w:ascii="宋体" w:hAnsi="宋体"/>
                <w:color w:val="auto"/>
                <w:szCs w:val="21"/>
              </w:rPr>
            </w:pPr>
          </w:p>
        </w:tc>
        <w:tc>
          <w:tcPr>
            <w:tcW w:w="1625" w:type="dxa"/>
            <w:vAlign w:val="center"/>
          </w:tcPr>
          <w:p w14:paraId="5D404ED1">
            <w:pPr>
              <w:spacing w:line="480" w:lineRule="exact"/>
              <w:rPr>
                <w:rFonts w:hint="eastAsia" w:ascii="宋体" w:hAnsi="宋体"/>
                <w:color w:val="auto"/>
                <w:szCs w:val="21"/>
              </w:rPr>
            </w:pPr>
          </w:p>
        </w:tc>
      </w:tr>
    </w:tbl>
    <w:p w14:paraId="29743343">
      <w:pPr>
        <w:adjustRightInd w:val="0"/>
        <w:snapToGrid w:val="0"/>
        <w:spacing w:line="360" w:lineRule="auto"/>
        <w:jc w:val="left"/>
        <w:rPr>
          <w:rFonts w:hint="eastAsia" w:ascii="宋体" w:hAnsi="宋体" w:cs="宋体"/>
          <w:color w:val="auto"/>
          <w:szCs w:val="21"/>
        </w:rPr>
      </w:pPr>
    </w:p>
    <w:p w14:paraId="2BA8DE92">
      <w:pPr>
        <w:adjustRightInd w:val="0"/>
        <w:snapToGrid w:val="0"/>
        <w:spacing w:line="360" w:lineRule="auto"/>
        <w:ind w:firstLine="204" w:firstLineChars="85"/>
        <w:jc w:val="left"/>
        <w:rPr>
          <w:color w:val="auto"/>
          <w:sz w:val="24"/>
          <w:szCs w:val="20"/>
        </w:rPr>
      </w:pPr>
      <w:r>
        <w:rPr>
          <w:rFonts w:hint="eastAsia"/>
          <w:color w:val="auto"/>
          <w:sz w:val="24"/>
          <w:szCs w:val="20"/>
        </w:rPr>
        <w:t>说明：</w:t>
      </w:r>
    </w:p>
    <w:p w14:paraId="6260E21B">
      <w:pPr>
        <w:adjustRightInd w:val="0"/>
        <w:snapToGrid w:val="0"/>
        <w:spacing w:line="360" w:lineRule="auto"/>
        <w:ind w:firstLine="612" w:firstLineChars="255"/>
        <w:jc w:val="left"/>
        <w:rPr>
          <w:color w:val="auto"/>
          <w:sz w:val="24"/>
          <w:szCs w:val="20"/>
        </w:rPr>
      </w:pPr>
      <w:r>
        <w:rPr>
          <w:rFonts w:hint="eastAsia"/>
          <w:color w:val="auto"/>
          <w:sz w:val="24"/>
          <w:szCs w:val="20"/>
        </w:rPr>
        <w:t>1、供应商需要提供能够证明上述业绩真实性的合同复印件，合同复印件中必须至少包括合同的甲乙双方、合同详细标的和双方签章及生效时间；供应商应在不涉及商业秘密的前提下尽可能提供详细的合同复印件内容。</w:t>
      </w:r>
    </w:p>
    <w:p w14:paraId="7E7277A4">
      <w:pPr>
        <w:adjustRightInd w:val="0"/>
        <w:snapToGrid w:val="0"/>
        <w:spacing w:line="360" w:lineRule="auto"/>
        <w:ind w:firstLine="612" w:firstLineChars="255"/>
        <w:jc w:val="left"/>
        <w:rPr>
          <w:color w:val="auto"/>
          <w:sz w:val="24"/>
          <w:szCs w:val="20"/>
        </w:rPr>
      </w:pPr>
      <w:r>
        <w:rPr>
          <w:rFonts w:hint="eastAsia"/>
          <w:color w:val="auto"/>
          <w:sz w:val="24"/>
          <w:szCs w:val="20"/>
        </w:rPr>
        <w:t xml:space="preserve">2、所有合同复印件应清晰，并由供应商加盖单位公章。 </w:t>
      </w:r>
    </w:p>
    <w:p w14:paraId="6421FB11">
      <w:pPr>
        <w:adjustRightInd w:val="0"/>
        <w:snapToGrid w:val="0"/>
        <w:spacing w:line="360" w:lineRule="auto"/>
        <w:ind w:firstLine="612" w:firstLineChars="255"/>
        <w:jc w:val="left"/>
        <w:rPr>
          <w:color w:val="auto"/>
          <w:sz w:val="24"/>
          <w:szCs w:val="20"/>
        </w:rPr>
      </w:pPr>
    </w:p>
    <w:p w14:paraId="14891141">
      <w:pPr>
        <w:pStyle w:val="31"/>
        <w:spacing w:line="360" w:lineRule="auto"/>
        <w:ind w:firstLine="420" w:firstLineChars="200"/>
        <w:jc w:val="right"/>
        <w:rPr>
          <w:rFonts w:hint="eastAsia" w:ascii="宋体" w:hAnsi="宋体" w:cs="宋体"/>
          <w:color w:val="auto"/>
        </w:rPr>
      </w:pPr>
    </w:p>
    <w:p w14:paraId="64FA387B">
      <w:pPr>
        <w:pStyle w:val="31"/>
        <w:spacing w:line="360" w:lineRule="auto"/>
        <w:ind w:firstLine="420" w:firstLineChars="200"/>
        <w:jc w:val="right"/>
        <w:rPr>
          <w:rFonts w:hint="eastAsia" w:ascii="宋体" w:hAnsi="宋体" w:cs="宋体"/>
          <w:color w:val="auto"/>
        </w:rPr>
      </w:pPr>
    </w:p>
    <w:p w14:paraId="5ABE187D">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0031387A">
      <w:pPr>
        <w:pStyle w:val="21"/>
        <w:spacing w:line="360" w:lineRule="auto"/>
        <w:ind w:right="840"/>
        <w:rPr>
          <w:rFonts w:hint="eastAsia" w:hAnsi="宋体" w:cs="宋体"/>
          <w:color w:val="auto"/>
          <w:szCs w:val="21"/>
        </w:rPr>
      </w:pPr>
      <w:r>
        <w:rPr>
          <w:color w:val="auto"/>
          <w:sz w:val="24"/>
        </w:rPr>
        <w:t>日期：_____年______月______日</w:t>
      </w:r>
    </w:p>
    <w:p w14:paraId="24D8BB7C">
      <w:pPr>
        <w:widowControl/>
        <w:jc w:val="left"/>
        <w:rPr>
          <w:rFonts w:hint="eastAsia" w:ascii="宋体" w:hAnsi="宋体" w:cs="宋体"/>
          <w:b/>
          <w:color w:val="auto"/>
          <w:sz w:val="24"/>
        </w:rPr>
      </w:pPr>
      <w:r>
        <w:rPr>
          <w:rFonts w:ascii="宋体" w:hAnsi="宋体" w:cs="宋体"/>
          <w:b/>
          <w:color w:val="auto"/>
          <w:sz w:val="24"/>
        </w:rPr>
        <w:br w:type="page"/>
      </w:r>
    </w:p>
    <w:p w14:paraId="133F174F">
      <w:pPr>
        <w:spacing w:line="360" w:lineRule="auto"/>
        <w:outlineLvl w:val="2"/>
        <w:rPr>
          <w:color w:val="auto"/>
          <w:sz w:val="24"/>
          <w:szCs w:val="20"/>
        </w:rPr>
        <w:sectPr>
          <w:pgSz w:w="11907" w:h="16840"/>
          <w:pgMar w:top="1418" w:right="1134" w:bottom="1418" w:left="1701" w:header="851" w:footer="851" w:gutter="0"/>
          <w:pgNumType w:fmt="decimal"/>
          <w:cols w:space="720" w:num="1"/>
          <w:docGrid w:linePitch="462" w:charSpace="0"/>
        </w:sectPr>
      </w:pPr>
      <w:r>
        <w:rPr>
          <w:color w:val="auto"/>
          <w:sz w:val="24"/>
          <w:szCs w:val="20"/>
        </w:rPr>
        <w:t>8招标文件要求提供或投标人认为应附的其他材料</w:t>
      </w:r>
    </w:p>
    <w:p w14:paraId="625FB521">
      <w:pPr>
        <w:spacing w:line="360" w:lineRule="auto"/>
        <w:outlineLvl w:val="2"/>
        <w:rPr>
          <w:color w:val="auto"/>
          <w:sz w:val="24"/>
          <w:szCs w:val="20"/>
        </w:rPr>
      </w:pPr>
      <w:r>
        <w:rPr>
          <w:color w:val="auto"/>
          <w:sz w:val="24"/>
          <w:szCs w:val="20"/>
        </w:rPr>
        <w:t>9</w:t>
      </w:r>
      <w:r>
        <w:rPr>
          <w:rFonts w:hint="eastAsia"/>
          <w:color w:val="auto"/>
          <w:sz w:val="24"/>
          <w:szCs w:val="20"/>
        </w:rPr>
        <w:t>、技术方案（格式自拟）</w:t>
      </w:r>
    </w:p>
    <w:p w14:paraId="565C3633">
      <w:pPr>
        <w:spacing w:line="360" w:lineRule="auto"/>
        <w:outlineLvl w:val="2"/>
        <w:rPr>
          <w:color w:val="auto"/>
          <w:sz w:val="24"/>
          <w:szCs w:val="20"/>
        </w:rPr>
      </w:pPr>
    </w:p>
    <w:p w14:paraId="2EF24F73">
      <w:pPr>
        <w:rPr>
          <w:color w:val="auto"/>
        </w:rPr>
      </w:pPr>
    </w:p>
    <w:sectPr>
      <w:pgSz w:w="11907" w:h="16840"/>
      <w:pgMar w:top="1418" w:right="1134" w:bottom="1418" w:left="1701" w:header="851" w:footer="851" w:gutter="0"/>
      <w:pgNumType w:fmt="decimal"/>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方正仿宋_GBK">
    <w:panose1 w:val="02000000000000000000"/>
    <w:charset w:val="86"/>
    <w:family w:val="script"/>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086F7">
    <w:pPr>
      <w:pStyle w:val="25"/>
      <w:framePr w:wrap="around" w:vAnchor="text" w:hAnchor="margin" w:y="1"/>
      <w:ind w:right="360"/>
      <w:rPr>
        <w:rStyle w:val="41"/>
      </w:rPr>
    </w:pPr>
  </w:p>
  <w:p w14:paraId="1BF4311D">
    <w:pPr>
      <w:pStyle w:val="2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E039">
    <w:pPr>
      <w:pStyle w:val="25"/>
      <w:framePr w:wrap="around" w:vAnchor="text" w:hAnchor="margin" w:xAlign="center" w:y="1"/>
      <w:rPr>
        <w:rStyle w:val="41"/>
      </w:rPr>
    </w:pPr>
    <w:r>
      <w:fldChar w:fldCharType="begin"/>
    </w:r>
    <w:r>
      <w:rPr>
        <w:rStyle w:val="41"/>
      </w:rPr>
      <w:instrText xml:space="preserve">PAGE  </w:instrText>
    </w:r>
    <w:r>
      <w:fldChar w:fldCharType="end"/>
    </w:r>
  </w:p>
  <w:p w14:paraId="2A074225">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73AB">
    <w:pPr>
      <w:pStyle w:val="25"/>
      <w:framePr w:wrap="around" w:vAnchor="text" w:hAnchor="margin" w:xAlign="right" w:y="1"/>
      <w:rPr>
        <w:rStyle w:val="41"/>
      </w:rPr>
    </w:pPr>
  </w:p>
  <w:p w14:paraId="0795CDC7">
    <w:pPr>
      <w:pStyle w:val="2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87A2">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FF130">
                          <w:pPr>
                            <w:pStyle w:val="25"/>
                            <w:jc w:val="center"/>
                          </w:pPr>
                          <w:r>
                            <w:fldChar w:fldCharType="begin"/>
                          </w:r>
                          <w:r>
                            <w:instrText xml:space="preserve">PAGE   \* MERGEFORMAT</w:instrText>
                          </w:r>
                          <w:r>
                            <w:fldChar w:fldCharType="separate"/>
                          </w:r>
                          <w:r>
                            <w:rPr>
                              <w:lang w:val="zh-CN"/>
                            </w:rP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4FF130">
                    <w:pPr>
                      <w:pStyle w:val="25"/>
                      <w:jc w:val="center"/>
                    </w:pPr>
                    <w:r>
                      <w:fldChar w:fldCharType="begin"/>
                    </w:r>
                    <w:r>
                      <w:instrText xml:space="preserve">PAGE   \* MERGEFORMAT</w:instrText>
                    </w:r>
                    <w:r>
                      <w:fldChar w:fldCharType="separate"/>
                    </w:r>
                    <w:r>
                      <w:rPr>
                        <w:lang w:val="zh-CN"/>
                      </w:rPr>
                      <w:t>29</w:t>
                    </w:r>
                    <w:r>
                      <w:fldChar w:fldCharType="end"/>
                    </w:r>
                  </w:p>
                </w:txbxContent>
              </v:textbox>
            </v:shape>
          </w:pict>
        </mc:Fallback>
      </mc:AlternateContent>
    </w:r>
  </w:p>
  <w:p w14:paraId="3407EA2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8780">
    <w:pPr>
      <w:pStyle w:val="25"/>
      <w:tabs>
        <w:tab w:val="left" w:pos="3012"/>
        <w:tab w:val="clear" w:pos="4153"/>
      </w:tabs>
      <w:rPr>
        <w:rFonts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DF84E">
                          <w:pPr>
                            <w:pStyle w:val="25"/>
                          </w:pPr>
                          <w:r>
                            <w:fldChar w:fldCharType="begin"/>
                          </w:r>
                          <w:r>
                            <w:instrText xml:space="preserve"> PAGE  \* MERGEFORMAT </w:instrText>
                          </w:r>
                          <w:r>
                            <w:fldChar w:fldCharType="separate"/>
                          </w:r>
                          <w:r>
                            <w:t>51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3CBDF84E">
                    <w:pPr>
                      <w:pStyle w:val="25"/>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ascii="宋体" w:hAnsi="宋体" w:cs="宋体"/>
        <w:sz w:val="21"/>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0D19">
    <w:pPr>
      <w:pStyle w:val="25"/>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14:paraId="2DDADC21">
    <w:pPr>
      <w:pStyle w:val="25"/>
      <w:ind w:right="360"/>
    </w:pPr>
  </w:p>
  <w:p w14:paraId="34F6DB1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B4DA">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4753A">
    <w:pPr>
      <w:pStyle w:val="26"/>
      <w:jc w:val="right"/>
      <w:rPr>
        <w:rFonts w:hint="eastAsia"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C8BAA">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26E6">
    <w:pPr>
      <w:rPr>
        <w:rFonts w:hint="eastAsia" w:eastAsia="宋体"/>
        <w:lang w:eastAsia="zh-CN"/>
      </w:rPr>
    </w:pP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613D">
    <w:pPr>
      <w:pStyle w:val="16"/>
      <w:pBdr>
        <w:bottom w:val="single" w:color="auto" w:sz="4" w:space="0"/>
      </w:pBdr>
      <w:spacing w:line="219" w:lineRule="auto"/>
      <w:ind w:firstLine="0" w:firstLineChars="0"/>
      <w:jc w:val="right"/>
      <w:rPr>
        <w:sz w:val="18"/>
        <w:szCs w:val="18"/>
        <w:lang w:eastAsia="zh-CN"/>
      </w:rPr>
    </w:pPr>
    <w:r>
      <w:rPr>
        <w:spacing w:val="-1"/>
        <w:sz w:val="18"/>
        <w:szCs w:val="18"/>
        <w:lang w:eastAsia="zh-CN"/>
      </w:rPr>
      <w:t>北京市政府采购项目竞争性磋商文件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1EB0B">
    <w:pPr>
      <w:pStyle w:val="26"/>
    </w:pPr>
  </w:p>
  <w:p w14:paraId="3533511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B56C9">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F59C8"/>
    <w:multiLevelType w:val="singleLevel"/>
    <w:tmpl w:val="CB0F59C8"/>
    <w:lvl w:ilvl="0" w:tentative="0">
      <w:start w:val="1"/>
      <w:numFmt w:val="chineseCounting"/>
      <w:suff w:val="nothing"/>
      <w:lvlText w:val="%1、"/>
      <w:lvlJc w:val="left"/>
      <w:pPr>
        <w:ind w:left="480" w:firstLine="0"/>
      </w:pPr>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0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7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2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3006"/>
        </w:tabs>
        <w:ind w:left="2885"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28"/>
      <w:lvlText w:val="%1"/>
      <w:lvlJc w:val="left"/>
      <w:pPr>
        <w:ind w:left="680" w:hanging="680"/>
      </w:pPr>
      <w:rPr>
        <w:rFonts w:hint="eastAsia" w:ascii="宋体" w:hAnsi="宋体" w:eastAsia="宋体"/>
      </w:rPr>
    </w:lvl>
    <w:lvl w:ilvl="1" w:tentative="0">
      <w:start w:val="1"/>
      <w:numFmt w:val="decimal"/>
      <w:pStyle w:val="229"/>
      <w:lvlText w:val="%1.%2"/>
      <w:lvlJc w:val="left"/>
      <w:pPr>
        <w:ind w:left="851" w:hanging="851"/>
      </w:pPr>
      <w:rPr>
        <w:rFonts w:hint="eastAsia" w:ascii="宋体" w:hAnsi="宋体" w:eastAsia="宋体"/>
        <w:color w:val="auto"/>
      </w:rPr>
    </w:lvl>
    <w:lvl w:ilvl="2" w:tentative="0">
      <w:start w:val="1"/>
      <w:numFmt w:val="decimal"/>
      <w:pStyle w:val="23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2"/>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69"/>
    <w:rsid w:val="0002182F"/>
    <w:rsid w:val="0003239B"/>
    <w:rsid w:val="00052FD8"/>
    <w:rsid w:val="00073CC7"/>
    <w:rsid w:val="00074478"/>
    <w:rsid w:val="00084CAC"/>
    <w:rsid w:val="000D441B"/>
    <w:rsid w:val="001C61A1"/>
    <w:rsid w:val="00205493"/>
    <w:rsid w:val="002B2D34"/>
    <w:rsid w:val="002D16BB"/>
    <w:rsid w:val="002D77FA"/>
    <w:rsid w:val="00377721"/>
    <w:rsid w:val="003A3A4F"/>
    <w:rsid w:val="003A7772"/>
    <w:rsid w:val="003B2D49"/>
    <w:rsid w:val="003E5810"/>
    <w:rsid w:val="003F68A7"/>
    <w:rsid w:val="00431145"/>
    <w:rsid w:val="00494E2E"/>
    <w:rsid w:val="004C565D"/>
    <w:rsid w:val="00503E6F"/>
    <w:rsid w:val="0052663C"/>
    <w:rsid w:val="005B3D34"/>
    <w:rsid w:val="005F5FD2"/>
    <w:rsid w:val="00617CA4"/>
    <w:rsid w:val="00661DAF"/>
    <w:rsid w:val="006C356A"/>
    <w:rsid w:val="00745C16"/>
    <w:rsid w:val="00752BEB"/>
    <w:rsid w:val="00764ABD"/>
    <w:rsid w:val="00772BBC"/>
    <w:rsid w:val="007B48E8"/>
    <w:rsid w:val="007C3669"/>
    <w:rsid w:val="007E4447"/>
    <w:rsid w:val="008418D7"/>
    <w:rsid w:val="008C2B7E"/>
    <w:rsid w:val="008C72AA"/>
    <w:rsid w:val="008D777B"/>
    <w:rsid w:val="00920107"/>
    <w:rsid w:val="00992721"/>
    <w:rsid w:val="009F7AE6"/>
    <w:rsid w:val="00A01ED5"/>
    <w:rsid w:val="00A27C47"/>
    <w:rsid w:val="00A65835"/>
    <w:rsid w:val="00AB417B"/>
    <w:rsid w:val="00AB5294"/>
    <w:rsid w:val="00B23D6D"/>
    <w:rsid w:val="00B34425"/>
    <w:rsid w:val="00B619C9"/>
    <w:rsid w:val="00B67262"/>
    <w:rsid w:val="00B756D8"/>
    <w:rsid w:val="00B95191"/>
    <w:rsid w:val="00C07628"/>
    <w:rsid w:val="00C9377A"/>
    <w:rsid w:val="00D04AC2"/>
    <w:rsid w:val="00D62C63"/>
    <w:rsid w:val="00D75876"/>
    <w:rsid w:val="00DA1A04"/>
    <w:rsid w:val="00DE080C"/>
    <w:rsid w:val="00E6484C"/>
    <w:rsid w:val="00EE2EE6"/>
    <w:rsid w:val="00F01961"/>
    <w:rsid w:val="00FA62D1"/>
    <w:rsid w:val="04602B3A"/>
    <w:rsid w:val="04770EA0"/>
    <w:rsid w:val="07AF00B6"/>
    <w:rsid w:val="07FF1E7E"/>
    <w:rsid w:val="0A6F38B0"/>
    <w:rsid w:val="0CC71781"/>
    <w:rsid w:val="0D8D2BF5"/>
    <w:rsid w:val="0F887D43"/>
    <w:rsid w:val="10A34A6C"/>
    <w:rsid w:val="12910332"/>
    <w:rsid w:val="12CE5D16"/>
    <w:rsid w:val="1562473D"/>
    <w:rsid w:val="15D372A6"/>
    <w:rsid w:val="187119DB"/>
    <w:rsid w:val="194427E8"/>
    <w:rsid w:val="1B73527D"/>
    <w:rsid w:val="1BAA299A"/>
    <w:rsid w:val="1D497CCE"/>
    <w:rsid w:val="1E0C16EA"/>
    <w:rsid w:val="244E1C93"/>
    <w:rsid w:val="2C73362B"/>
    <w:rsid w:val="2C7B4236"/>
    <w:rsid w:val="2FC80521"/>
    <w:rsid w:val="2FE0788D"/>
    <w:rsid w:val="30AC5855"/>
    <w:rsid w:val="326E6078"/>
    <w:rsid w:val="34627E5E"/>
    <w:rsid w:val="356F70A7"/>
    <w:rsid w:val="376F34FD"/>
    <w:rsid w:val="396B4158"/>
    <w:rsid w:val="3BCF6FE9"/>
    <w:rsid w:val="3E9F50CC"/>
    <w:rsid w:val="43CA50D8"/>
    <w:rsid w:val="45596713"/>
    <w:rsid w:val="45C95752"/>
    <w:rsid w:val="46327C84"/>
    <w:rsid w:val="4A0B2811"/>
    <w:rsid w:val="4A2C784C"/>
    <w:rsid w:val="4C44412C"/>
    <w:rsid w:val="4F845943"/>
    <w:rsid w:val="502E3AB0"/>
    <w:rsid w:val="507F3412"/>
    <w:rsid w:val="508504AA"/>
    <w:rsid w:val="514711E7"/>
    <w:rsid w:val="5266048A"/>
    <w:rsid w:val="54413DF2"/>
    <w:rsid w:val="554747DA"/>
    <w:rsid w:val="55D23E73"/>
    <w:rsid w:val="57151371"/>
    <w:rsid w:val="593B1EE8"/>
    <w:rsid w:val="5A257C3E"/>
    <w:rsid w:val="5A463421"/>
    <w:rsid w:val="5C2A09B2"/>
    <w:rsid w:val="5CE05446"/>
    <w:rsid w:val="5DEF7F34"/>
    <w:rsid w:val="61AB691E"/>
    <w:rsid w:val="6489785C"/>
    <w:rsid w:val="648E7738"/>
    <w:rsid w:val="67D43D2A"/>
    <w:rsid w:val="698060B5"/>
    <w:rsid w:val="6B4849B1"/>
    <w:rsid w:val="6E8F3BC0"/>
    <w:rsid w:val="6FF65040"/>
    <w:rsid w:val="71C9673F"/>
    <w:rsid w:val="78B33DB1"/>
    <w:rsid w:val="78F21ADB"/>
    <w:rsid w:val="79257CDD"/>
    <w:rsid w:val="7F6324AC"/>
    <w:rsid w:val="BF66FE90"/>
    <w:rsid w:val="BFD6563F"/>
    <w:rsid w:val="EBF73B1B"/>
    <w:rsid w:val="F7BDA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iPriority="67"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9">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61"/>
    <w:qFormat/>
    <w:uiPriority w:val="0"/>
    <w:pPr>
      <w:autoSpaceDE w:val="0"/>
      <w:autoSpaceDN w:val="0"/>
      <w:adjustRightInd w:val="0"/>
      <w:ind w:firstLine="420"/>
      <w:jc w:val="left"/>
    </w:pPr>
    <w:rPr>
      <w:rFonts w:ascii="宋体"/>
      <w:sz w:val="24"/>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Document Map"/>
    <w:basedOn w:val="1"/>
    <w:link w:val="71"/>
    <w:qFormat/>
    <w:uiPriority w:val="0"/>
    <w:pPr>
      <w:shd w:val="clear" w:color="auto" w:fill="000080"/>
    </w:pPr>
  </w:style>
  <w:style w:type="paragraph" w:styleId="14">
    <w:name w:val="annotation text"/>
    <w:basedOn w:val="1"/>
    <w:link w:val="73"/>
    <w:qFormat/>
    <w:uiPriority w:val="99"/>
    <w:pPr>
      <w:jc w:val="left"/>
    </w:pPr>
  </w:style>
  <w:style w:type="paragraph" w:styleId="15">
    <w:name w:val="Body Text 3"/>
    <w:basedOn w:val="1"/>
    <w:link w:val="75"/>
    <w:qFormat/>
    <w:uiPriority w:val="0"/>
    <w:pPr>
      <w:spacing w:after="120"/>
    </w:pPr>
    <w:rPr>
      <w:sz w:val="16"/>
      <w:szCs w:val="16"/>
    </w:rPr>
  </w:style>
  <w:style w:type="paragraph" w:styleId="16">
    <w:name w:val="Body Text"/>
    <w:basedOn w:val="1"/>
    <w:next w:val="17"/>
    <w:link w:val="77"/>
    <w:qFormat/>
    <w:uiPriority w:val="0"/>
    <w:pPr>
      <w:tabs>
        <w:tab w:val="left" w:pos="567"/>
      </w:tabs>
      <w:spacing w:before="120" w:line="22" w:lineRule="atLeast"/>
    </w:pPr>
    <w:rPr>
      <w:rFonts w:ascii="宋体" w:hAnsi="宋体"/>
      <w:sz w:val="24"/>
    </w:rPr>
  </w:style>
  <w:style w:type="paragraph" w:styleId="17">
    <w:name w:val="toc 2"/>
    <w:basedOn w:val="1"/>
    <w:next w:val="1"/>
    <w:qFormat/>
    <w:uiPriority w:val="39"/>
    <w:pPr>
      <w:tabs>
        <w:tab w:val="right" w:leader="dot" w:pos="8937"/>
      </w:tabs>
      <w:spacing w:line="312" w:lineRule="auto"/>
      <w:ind w:left="420" w:leftChars="200"/>
    </w:pPr>
  </w:style>
  <w:style w:type="paragraph" w:styleId="18">
    <w:name w:val="Body Text Indent"/>
    <w:basedOn w:val="1"/>
    <w:link w:val="7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Plain Text"/>
    <w:basedOn w:val="1"/>
    <w:link w:val="81"/>
    <w:qFormat/>
    <w:uiPriority w:val="0"/>
    <w:rPr>
      <w:rFonts w:ascii="宋体" w:hAnsi="Courier New"/>
      <w:szCs w:val="20"/>
    </w:rPr>
  </w:style>
  <w:style w:type="paragraph" w:styleId="22">
    <w:name w:val="Date"/>
    <w:basedOn w:val="1"/>
    <w:next w:val="1"/>
    <w:link w:val="83"/>
    <w:qFormat/>
    <w:uiPriority w:val="0"/>
    <w:pPr>
      <w:ind w:left="100" w:leftChars="2500"/>
    </w:pPr>
    <w:rPr>
      <w:rFonts w:ascii="仿宋_GB2312" w:hAnsi="宋体" w:eastAsia="仿宋_GB2312"/>
      <w:color w:val="000000"/>
      <w:sz w:val="24"/>
    </w:rPr>
  </w:style>
  <w:style w:type="paragraph" w:styleId="23">
    <w:name w:val="Body Text Indent 2"/>
    <w:basedOn w:val="1"/>
    <w:link w:val="85"/>
    <w:qFormat/>
    <w:uiPriority w:val="0"/>
    <w:pPr>
      <w:ind w:firstLine="480" w:firstLineChars="200"/>
    </w:pPr>
    <w:rPr>
      <w:rFonts w:ascii="仿宋_GB2312" w:eastAsia="仿宋_GB2312"/>
      <w:sz w:val="24"/>
    </w:rPr>
  </w:style>
  <w:style w:type="paragraph" w:styleId="24">
    <w:name w:val="Balloon Text"/>
    <w:basedOn w:val="1"/>
    <w:link w:val="87"/>
    <w:qFormat/>
    <w:uiPriority w:val="0"/>
    <w:rPr>
      <w:sz w:val="18"/>
      <w:szCs w:val="18"/>
    </w:rPr>
  </w:style>
  <w:style w:type="paragraph" w:styleId="25">
    <w:name w:val="footer"/>
    <w:basedOn w:val="1"/>
    <w:link w:val="49"/>
    <w:unhideWhenUsed/>
    <w:qFormat/>
    <w:uiPriority w:val="99"/>
    <w:pPr>
      <w:tabs>
        <w:tab w:val="center" w:pos="4153"/>
        <w:tab w:val="right" w:pos="8306"/>
      </w:tabs>
      <w:snapToGrid w:val="0"/>
      <w:jc w:val="left"/>
    </w:pPr>
    <w:rPr>
      <w:sz w:val="18"/>
      <w:szCs w:val="18"/>
    </w:rPr>
  </w:style>
  <w:style w:type="paragraph" w:styleId="26">
    <w:name w:val="header"/>
    <w:basedOn w:val="1"/>
    <w:next w:val="16"/>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style>
  <w:style w:type="paragraph" w:styleId="28">
    <w:name w:val="Body Text Indent 3"/>
    <w:basedOn w:val="1"/>
    <w:link w:val="9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1">
    <w:name w:val="index 1"/>
    <w:basedOn w:val="1"/>
    <w:next w:val="1"/>
    <w:qFormat/>
    <w:uiPriority w:val="0"/>
    <w:rPr>
      <w:szCs w:val="20"/>
    </w:rPr>
  </w:style>
  <w:style w:type="paragraph" w:styleId="32">
    <w:name w:val="Title"/>
    <w:basedOn w:val="1"/>
    <w:link w:val="95"/>
    <w:qFormat/>
    <w:uiPriority w:val="0"/>
    <w:pPr>
      <w:jc w:val="center"/>
      <w:outlineLvl w:val="0"/>
    </w:pPr>
    <w:rPr>
      <w:b/>
      <w:sz w:val="32"/>
      <w:szCs w:val="20"/>
    </w:rPr>
  </w:style>
  <w:style w:type="paragraph" w:styleId="33">
    <w:name w:val="annotation subject"/>
    <w:basedOn w:val="14"/>
    <w:next w:val="14"/>
    <w:link w:val="97"/>
    <w:qFormat/>
    <w:uiPriority w:val="0"/>
    <w:rPr>
      <w:b/>
      <w:bCs/>
    </w:rPr>
  </w:style>
  <w:style w:type="paragraph" w:styleId="34">
    <w:name w:val="Body Text First Indent"/>
    <w:basedOn w:val="16"/>
    <w:link w:val="271"/>
    <w:semiHidden/>
    <w:unhideWhenUsed/>
    <w:qFormat/>
    <w:uiPriority w:val="99"/>
    <w:pPr>
      <w:tabs>
        <w:tab w:val="clear" w:pos="567"/>
      </w:tabs>
      <w:spacing w:before="0" w:after="120" w:line="240" w:lineRule="auto"/>
      <w:ind w:firstLine="420" w:firstLineChars="100"/>
    </w:pPr>
    <w:rPr>
      <w:rFonts w:ascii="Times New Roman" w:hAnsi="Times New Roman"/>
      <w:sz w:val="21"/>
    </w:rPr>
  </w:style>
  <w:style w:type="paragraph" w:styleId="35">
    <w:name w:val="Body Text First Indent 2"/>
    <w:basedOn w:val="18"/>
    <w:link w:val="270"/>
    <w:semiHidden/>
    <w:unhideWhenUsed/>
    <w:qFormat/>
    <w:uiPriority w:val="99"/>
    <w:pPr>
      <w:spacing w:after="120" w:line="240" w:lineRule="auto"/>
      <w:ind w:left="420" w:leftChars="200" w:firstLine="420" w:firstLineChars="200"/>
    </w:pPr>
    <w:rPr>
      <w:sz w:val="21"/>
    </w:rPr>
  </w:style>
  <w:style w:type="table" w:styleId="37">
    <w:name w:val="Table Grid"/>
    <w:basedOn w:val="36"/>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
    <w:name w:val="Medium Grid 1 Accent 2"/>
    <w:basedOn w:val="36"/>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40">
    <w:name w:val="Strong"/>
    <w:qFormat/>
    <w:uiPriority w:val="22"/>
    <w:rPr>
      <w:b/>
      <w:bCs/>
    </w:rPr>
  </w:style>
  <w:style w:type="character" w:styleId="41">
    <w:name w:val="page number"/>
    <w:qFormat/>
    <w:uiPriority w:val="0"/>
  </w:style>
  <w:style w:type="character" w:styleId="42">
    <w:name w:val="FollowedHyperlink"/>
    <w:qFormat/>
    <w:uiPriority w:val="0"/>
    <w:rPr>
      <w:color w:val="800080"/>
      <w:u w:val="single"/>
    </w:rPr>
  </w:style>
  <w:style w:type="character" w:styleId="43">
    <w:name w:val="Emphasis"/>
    <w:qFormat/>
    <w:uiPriority w:val="0"/>
    <w:rPr>
      <w:color w:val="CC0033"/>
    </w:rPr>
  </w:style>
  <w:style w:type="character" w:styleId="44">
    <w:name w:val="Hyperlink"/>
    <w:qFormat/>
    <w:uiPriority w:val="99"/>
    <w:rPr>
      <w:color w:val="0000FF"/>
      <w:u w:val="single"/>
    </w:rPr>
  </w:style>
  <w:style w:type="character" w:styleId="45">
    <w:name w:val="annotation reference"/>
    <w:qFormat/>
    <w:uiPriority w:val="99"/>
    <w:rPr>
      <w:sz w:val="21"/>
      <w:szCs w:val="21"/>
    </w:rPr>
  </w:style>
  <w:style w:type="character" w:styleId="46">
    <w:name w:val="HTML Cite"/>
    <w:qFormat/>
    <w:uiPriority w:val="0"/>
    <w:rPr>
      <w:i/>
      <w:iCs/>
    </w:rPr>
  </w:style>
  <w:style w:type="paragraph" w:customStyle="1" w:styleId="47">
    <w:name w:val="正文首行缩进 21"/>
    <w:basedOn w:val="18"/>
    <w:qFormat/>
    <w:uiPriority w:val="0"/>
    <w:pPr>
      <w:tabs>
        <w:tab w:val="left" w:pos="5580"/>
      </w:tabs>
      <w:spacing w:line="400" w:lineRule="exact"/>
      <w:ind w:left="1050" w:leftChars="150" w:firstLine="420" w:firstLineChars="200"/>
    </w:pPr>
  </w:style>
  <w:style w:type="character" w:customStyle="1" w:styleId="48">
    <w:name w:val="页眉 字符"/>
    <w:basedOn w:val="39"/>
    <w:link w:val="26"/>
    <w:qFormat/>
    <w:uiPriority w:val="99"/>
    <w:rPr>
      <w:sz w:val="18"/>
      <w:szCs w:val="18"/>
    </w:rPr>
  </w:style>
  <w:style w:type="character" w:customStyle="1" w:styleId="49">
    <w:name w:val="页脚 字符"/>
    <w:basedOn w:val="39"/>
    <w:link w:val="25"/>
    <w:qFormat/>
    <w:uiPriority w:val="99"/>
    <w:rPr>
      <w:sz w:val="18"/>
      <w:szCs w:val="18"/>
    </w:rPr>
  </w:style>
  <w:style w:type="character" w:customStyle="1" w:styleId="50">
    <w:name w:val="标题 1 字符"/>
    <w:basedOn w:val="39"/>
    <w:qFormat/>
    <w:uiPriority w:val="9"/>
    <w:rPr>
      <w:rFonts w:ascii="Times New Roman" w:hAnsi="Times New Roman" w:eastAsia="宋体" w:cs="Times New Roman"/>
      <w:b/>
      <w:bCs/>
      <w:kern w:val="44"/>
      <w:sz w:val="44"/>
      <w:szCs w:val="44"/>
    </w:rPr>
  </w:style>
  <w:style w:type="character" w:customStyle="1" w:styleId="51">
    <w:name w:val="标题 2 字符"/>
    <w:basedOn w:val="39"/>
    <w:semiHidden/>
    <w:qFormat/>
    <w:uiPriority w:val="9"/>
    <w:rPr>
      <w:rFonts w:asciiTheme="majorHAnsi" w:hAnsiTheme="majorHAnsi" w:eastAsiaTheme="majorEastAsia" w:cstheme="majorBidi"/>
      <w:b/>
      <w:bCs/>
      <w:sz w:val="32"/>
      <w:szCs w:val="32"/>
    </w:rPr>
  </w:style>
  <w:style w:type="character" w:customStyle="1" w:styleId="52">
    <w:name w:val="标题 3 字符"/>
    <w:basedOn w:val="39"/>
    <w:semiHidden/>
    <w:qFormat/>
    <w:uiPriority w:val="9"/>
    <w:rPr>
      <w:rFonts w:ascii="Times New Roman" w:hAnsi="Times New Roman" w:eastAsia="宋体" w:cs="Times New Roman"/>
      <w:b/>
      <w:bCs/>
      <w:sz w:val="32"/>
      <w:szCs w:val="32"/>
    </w:rPr>
  </w:style>
  <w:style w:type="character" w:customStyle="1" w:styleId="53">
    <w:name w:val="标题 4 字符"/>
    <w:basedOn w:val="39"/>
    <w:semiHidden/>
    <w:qFormat/>
    <w:uiPriority w:val="9"/>
    <w:rPr>
      <w:rFonts w:asciiTheme="majorHAnsi" w:hAnsiTheme="majorHAnsi" w:eastAsiaTheme="majorEastAsia" w:cstheme="majorBidi"/>
      <w:b/>
      <w:bCs/>
      <w:sz w:val="28"/>
      <w:szCs w:val="28"/>
    </w:rPr>
  </w:style>
  <w:style w:type="character" w:customStyle="1" w:styleId="54">
    <w:name w:val="标题 5 字符"/>
    <w:basedOn w:val="39"/>
    <w:semiHidden/>
    <w:qFormat/>
    <w:uiPriority w:val="9"/>
    <w:rPr>
      <w:rFonts w:ascii="Times New Roman" w:hAnsi="Times New Roman" w:eastAsia="宋体" w:cs="Times New Roman"/>
      <w:b/>
      <w:bCs/>
      <w:sz w:val="28"/>
      <w:szCs w:val="28"/>
    </w:rPr>
  </w:style>
  <w:style w:type="character" w:customStyle="1" w:styleId="55">
    <w:name w:val="标题 6 字符"/>
    <w:basedOn w:val="39"/>
    <w:semiHidden/>
    <w:qFormat/>
    <w:uiPriority w:val="9"/>
    <w:rPr>
      <w:rFonts w:asciiTheme="majorHAnsi" w:hAnsiTheme="majorHAnsi" w:eastAsiaTheme="majorEastAsia" w:cstheme="majorBidi"/>
      <w:b/>
      <w:bCs/>
      <w:sz w:val="24"/>
      <w:szCs w:val="24"/>
    </w:rPr>
  </w:style>
  <w:style w:type="character" w:customStyle="1" w:styleId="56">
    <w:name w:val="标题 7 字符"/>
    <w:basedOn w:val="39"/>
    <w:semiHidden/>
    <w:qFormat/>
    <w:uiPriority w:val="9"/>
    <w:rPr>
      <w:rFonts w:ascii="Times New Roman" w:hAnsi="Times New Roman" w:eastAsia="宋体" w:cs="Times New Roman"/>
      <w:b/>
      <w:bCs/>
      <w:sz w:val="24"/>
      <w:szCs w:val="24"/>
    </w:rPr>
  </w:style>
  <w:style w:type="character" w:customStyle="1" w:styleId="57">
    <w:name w:val="标题 8 字符"/>
    <w:basedOn w:val="39"/>
    <w:semiHidden/>
    <w:qFormat/>
    <w:uiPriority w:val="9"/>
    <w:rPr>
      <w:rFonts w:asciiTheme="majorHAnsi" w:hAnsiTheme="majorHAnsi" w:eastAsiaTheme="majorEastAsia" w:cstheme="majorBidi"/>
      <w:sz w:val="24"/>
      <w:szCs w:val="24"/>
    </w:rPr>
  </w:style>
  <w:style w:type="character" w:customStyle="1" w:styleId="58">
    <w:name w:val="标题 9 字符"/>
    <w:basedOn w:val="39"/>
    <w:semiHidden/>
    <w:qFormat/>
    <w:uiPriority w:val="9"/>
    <w:rPr>
      <w:rFonts w:asciiTheme="majorHAnsi" w:hAnsiTheme="majorHAnsi" w:eastAsiaTheme="majorEastAsia" w:cstheme="majorBidi"/>
      <w:szCs w:val="21"/>
    </w:rPr>
  </w:style>
  <w:style w:type="character" w:customStyle="1" w:styleId="59">
    <w:name w:val="标题 1 字符1"/>
    <w:link w:val="2"/>
    <w:qFormat/>
    <w:uiPriority w:val="0"/>
    <w:rPr>
      <w:rFonts w:ascii="宋体" w:hAnsi="Times New Roman" w:eastAsia="宋体" w:cs="Times New Roman"/>
      <w:b/>
      <w:kern w:val="44"/>
      <w:sz w:val="32"/>
      <w:szCs w:val="20"/>
    </w:rPr>
  </w:style>
  <w:style w:type="character" w:customStyle="1" w:styleId="60">
    <w:name w:val="标题 2 字符1"/>
    <w:link w:val="3"/>
    <w:qFormat/>
    <w:uiPriority w:val="0"/>
    <w:rPr>
      <w:rFonts w:ascii="Arial" w:hAnsi="Arial" w:eastAsia="黑体" w:cs="Times New Roman"/>
      <w:b/>
      <w:kern w:val="0"/>
      <w:sz w:val="30"/>
      <w:szCs w:val="20"/>
    </w:rPr>
  </w:style>
  <w:style w:type="character" w:customStyle="1" w:styleId="61">
    <w:name w:val="正文缩进 字符"/>
    <w:link w:val="5"/>
    <w:qFormat/>
    <w:uiPriority w:val="0"/>
    <w:rPr>
      <w:rFonts w:ascii="宋体" w:hAnsi="Times New Roman" w:eastAsia="宋体" w:cs="Times New Roman"/>
      <w:sz w:val="24"/>
      <w:szCs w:val="24"/>
    </w:rPr>
  </w:style>
  <w:style w:type="character" w:customStyle="1" w:styleId="62">
    <w:name w:val="标题 3 字符1"/>
    <w:link w:val="4"/>
    <w:qFormat/>
    <w:uiPriority w:val="0"/>
    <w:rPr>
      <w:rFonts w:ascii="宋体" w:hAnsi="Times New Roman" w:eastAsia="宋体" w:cs="Times New Roman"/>
      <w:b/>
      <w:kern w:val="0"/>
      <w:sz w:val="24"/>
      <w:szCs w:val="20"/>
      <w:u w:val="single"/>
    </w:rPr>
  </w:style>
  <w:style w:type="character" w:customStyle="1" w:styleId="63">
    <w:name w:val="标题 4 字符1"/>
    <w:link w:val="6"/>
    <w:qFormat/>
    <w:uiPriority w:val="0"/>
    <w:rPr>
      <w:rFonts w:ascii="Arial" w:hAnsi="Arial" w:eastAsia="黑体" w:cs="Times New Roman"/>
      <w:b/>
      <w:kern w:val="0"/>
      <w:sz w:val="28"/>
      <w:szCs w:val="20"/>
    </w:rPr>
  </w:style>
  <w:style w:type="character" w:customStyle="1" w:styleId="64">
    <w:name w:val="标题 5 字符1"/>
    <w:link w:val="7"/>
    <w:qFormat/>
    <w:uiPriority w:val="0"/>
    <w:rPr>
      <w:rFonts w:ascii="Times New Roman" w:hAnsi="Times New Roman" w:eastAsia="宋体" w:cs="Times New Roman"/>
      <w:b/>
      <w:kern w:val="0"/>
      <w:sz w:val="28"/>
      <w:szCs w:val="20"/>
    </w:rPr>
  </w:style>
  <w:style w:type="character" w:customStyle="1" w:styleId="65">
    <w:name w:val="标题 6 字符1"/>
    <w:link w:val="8"/>
    <w:qFormat/>
    <w:uiPriority w:val="0"/>
    <w:rPr>
      <w:rFonts w:ascii="Arial" w:hAnsi="Arial" w:eastAsia="黑体" w:cs="Times New Roman"/>
      <w:b/>
      <w:kern w:val="0"/>
      <w:sz w:val="24"/>
      <w:szCs w:val="20"/>
    </w:rPr>
  </w:style>
  <w:style w:type="character" w:customStyle="1" w:styleId="66">
    <w:name w:val="标题 7 字符1"/>
    <w:link w:val="9"/>
    <w:qFormat/>
    <w:uiPriority w:val="0"/>
    <w:rPr>
      <w:rFonts w:ascii="Times New Roman" w:hAnsi="Times New Roman" w:eastAsia="宋体" w:cs="Times New Roman"/>
      <w:b/>
      <w:kern w:val="0"/>
      <w:sz w:val="24"/>
      <w:szCs w:val="20"/>
    </w:rPr>
  </w:style>
  <w:style w:type="character" w:customStyle="1" w:styleId="67">
    <w:name w:val="标题 8 字符1"/>
    <w:link w:val="10"/>
    <w:qFormat/>
    <w:uiPriority w:val="0"/>
    <w:rPr>
      <w:rFonts w:ascii="Arial" w:hAnsi="Arial" w:eastAsia="黑体" w:cs="Times New Roman"/>
      <w:kern w:val="0"/>
      <w:sz w:val="24"/>
      <w:szCs w:val="20"/>
    </w:rPr>
  </w:style>
  <w:style w:type="character" w:customStyle="1" w:styleId="68">
    <w:name w:val="标题 9 字符1"/>
    <w:link w:val="11"/>
    <w:qFormat/>
    <w:uiPriority w:val="0"/>
    <w:rPr>
      <w:rFonts w:ascii="Arial" w:hAnsi="Arial" w:eastAsia="黑体" w:cs="Times New Roman"/>
      <w:kern w:val="0"/>
      <w:szCs w:val="20"/>
    </w:rPr>
  </w:style>
  <w:style w:type="paragraph" w:customStyle="1" w:styleId="69">
    <w:name w:val="_Style 36"/>
    <w:basedOn w:val="16"/>
    <w:next w:val="34"/>
    <w:link w:val="267"/>
    <w:qFormat/>
    <w:uiPriority w:val="0"/>
    <w:pPr>
      <w:tabs>
        <w:tab w:val="clear" w:pos="567"/>
      </w:tabs>
      <w:spacing w:before="0" w:after="120" w:line="240" w:lineRule="auto"/>
      <w:ind w:firstLine="420" w:firstLineChars="100"/>
    </w:pPr>
    <w:rPr>
      <w:rFonts w:eastAsiaTheme="minorEastAsia" w:cstheme="minorBidi"/>
      <w:sz w:val="21"/>
    </w:rPr>
  </w:style>
  <w:style w:type="character" w:customStyle="1" w:styleId="70">
    <w:name w:val="文档结构图 字符"/>
    <w:basedOn w:val="39"/>
    <w:semiHidden/>
    <w:qFormat/>
    <w:uiPriority w:val="99"/>
    <w:rPr>
      <w:rFonts w:ascii="Microsoft YaHei UI" w:hAnsi="Times New Roman" w:eastAsia="Microsoft YaHei UI" w:cs="Times New Roman"/>
      <w:sz w:val="18"/>
      <w:szCs w:val="18"/>
    </w:rPr>
  </w:style>
  <w:style w:type="character" w:customStyle="1" w:styleId="71">
    <w:name w:val="文档结构图 字符1"/>
    <w:link w:val="13"/>
    <w:qFormat/>
    <w:uiPriority w:val="0"/>
    <w:rPr>
      <w:rFonts w:ascii="Times New Roman" w:hAnsi="Times New Roman" w:eastAsia="宋体" w:cs="Times New Roman"/>
      <w:szCs w:val="24"/>
      <w:shd w:val="clear" w:color="auto" w:fill="000080"/>
    </w:rPr>
  </w:style>
  <w:style w:type="character" w:customStyle="1" w:styleId="72">
    <w:name w:val="批注文字 字符"/>
    <w:basedOn w:val="39"/>
    <w:qFormat/>
    <w:uiPriority w:val="99"/>
    <w:rPr>
      <w:rFonts w:ascii="Times New Roman" w:hAnsi="Times New Roman" w:eastAsia="宋体" w:cs="Times New Roman"/>
      <w:szCs w:val="24"/>
    </w:rPr>
  </w:style>
  <w:style w:type="character" w:customStyle="1" w:styleId="73">
    <w:name w:val="批注文字 字符1"/>
    <w:link w:val="14"/>
    <w:qFormat/>
    <w:uiPriority w:val="99"/>
    <w:rPr>
      <w:rFonts w:ascii="Times New Roman" w:hAnsi="Times New Roman" w:eastAsia="宋体" w:cs="Times New Roman"/>
      <w:szCs w:val="24"/>
    </w:rPr>
  </w:style>
  <w:style w:type="character" w:customStyle="1" w:styleId="74">
    <w:name w:val="正文文本 3 字符"/>
    <w:basedOn w:val="39"/>
    <w:semiHidden/>
    <w:qFormat/>
    <w:uiPriority w:val="99"/>
    <w:rPr>
      <w:rFonts w:ascii="Times New Roman" w:hAnsi="Times New Roman" w:eastAsia="宋体" w:cs="Times New Roman"/>
      <w:sz w:val="16"/>
      <w:szCs w:val="16"/>
    </w:rPr>
  </w:style>
  <w:style w:type="character" w:customStyle="1" w:styleId="75">
    <w:name w:val="正文文本 3 字符1"/>
    <w:link w:val="15"/>
    <w:qFormat/>
    <w:uiPriority w:val="0"/>
    <w:rPr>
      <w:rFonts w:ascii="Times New Roman" w:hAnsi="Times New Roman" w:eastAsia="宋体" w:cs="Times New Roman"/>
      <w:sz w:val="16"/>
      <w:szCs w:val="16"/>
    </w:rPr>
  </w:style>
  <w:style w:type="character" w:customStyle="1" w:styleId="76">
    <w:name w:val="正文文本 字符"/>
    <w:basedOn w:val="39"/>
    <w:semiHidden/>
    <w:qFormat/>
    <w:uiPriority w:val="99"/>
    <w:rPr>
      <w:rFonts w:ascii="Times New Roman" w:hAnsi="Times New Roman" w:eastAsia="宋体" w:cs="Times New Roman"/>
      <w:szCs w:val="24"/>
    </w:rPr>
  </w:style>
  <w:style w:type="character" w:customStyle="1" w:styleId="77">
    <w:name w:val="正文文本 字符1"/>
    <w:link w:val="16"/>
    <w:qFormat/>
    <w:uiPriority w:val="0"/>
    <w:rPr>
      <w:rFonts w:ascii="宋体" w:hAnsi="宋体" w:eastAsia="宋体" w:cs="Times New Roman"/>
      <w:sz w:val="24"/>
      <w:szCs w:val="24"/>
    </w:rPr>
  </w:style>
  <w:style w:type="character" w:customStyle="1" w:styleId="78">
    <w:name w:val="正文文本缩进 字符"/>
    <w:basedOn w:val="39"/>
    <w:semiHidden/>
    <w:qFormat/>
    <w:uiPriority w:val="99"/>
    <w:rPr>
      <w:rFonts w:ascii="Times New Roman" w:hAnsi="Times New Roman" w:eastAsia="宋体" w:cs="Times New Roman"/>
      <w:szCs w:val="24"/>
    </w:rPr>
  </w:style>
  <w:style w:type="character" w:customStyle="1" w:styleId="79">
    <w:name w:val="正文文本缩进 字符1"/>
    <w:link w:val="18"/>
    <w:qFormat/>
    <w:uiPriority w:val="0"/>
    <w:rPr>
      <w:rFonts w:ascii="Times New Roman" w:hAnsi="Times New Roman" w:eastAsia="宋体" w:cs="Times New Roman"/>
      <w:sz w:val="24"/>
      <w:szCs w:val="24"/>
    </w:rPr>
  </w:style>
  <w:style w:type="character" w:customStyle="1" w:styleId="80">
    <w:name w:val="纯文本 字符"/>
    <w:basedOn w:val="39"/>
    <w:qFormat/>
    <w:uiPriority w:val="99"/>
    <w:rPr>
      <w:rFonts w:hAnsi="Courier New" w:cs="Courier New" w:asciiTheme="minorEastAsia"/>
      <w:szCs w:val="24"/>
    </w:rPr>
  </w:style>
  <w:style w:type="character" w:customStyle="1" w:styleId="81">
    <w:name w:val="纯文本 字符2"/>
    <w:link w:val="21"/>
    <w:qFormat/>
    <w:uiPriority w:val="0"/>
    <w:rPr>
      <w:rFonts w:ascii="宋体" w:hAnsi="Courier New" w:eastAsia="宋体" w:cs="Times New Roman"/>
      <w:szCs w:val="20"/>
    </w:rPr>
  </w:style>
  <w:style w:type="character" w:customStyle="1" w:styleId="82">
    <w:name w:val="日期 字符"/>
    <w:basedOn w:val="39"/>
    <w:semiHidden/>
    <w:qFormat/>
    <w:uiPriority w:val="99"/>
    <w:rPr>
      <w:rFonts w:ascii="Times New Roman" w:hAnsi="Times New Roman" w:eastAsia="宋体" w:cs="Times New Roman"/>
      <w:szCs w:val="24"/>
    </w:rPr>
  </w:style>
  <w:style w:type="character" w:customStyle="1" w:styleId="83">
    <w:name w:val="日期 字符1"/>
    <w:link w:val="22"/>
    <w:qFormat/>
    <w:uiPriority w:val="0"/>
    <w:rPr>
      <w:rFonts w:ascii="仿宋_GB2312" w:hAnsi="宋体" w:eastAsia="仿宋_GB2312" w:cs="Times New Roman"/>
      <w:color w:val="000000"/>
      <w:sz w:val="24"/>
      <w:szCs w:val="24"/>
    </w:rPr>
  </w:style>
  <w:style w:type="character" w:customStyle="1" w:styleId="84">
    <w:name w:val="正文文本缩进 2 字符"/>
    <w:basedOn w:val="39"/>
    <w:semiHidden/>
    <w:qFormat/>
    <w:uiPriority w:val="99"/>
    <w:rPr>
      <w:rFonts w:ascii="Times New Roman" w:hAnsi="Times New Roman" w:eastAsia="宋体" w:cs="Times New Roman"/>
      <w:szCs w:val="24"/>
    </w:rPr>
  </w:style>
  <w:style w:type="character" w:customStyle="1" w:styleId="85">
    <w:name w:val="正文文本缩进 2 字符1"/>
    <w:link w:val="23"/>
    <w:qFormat/>
    <w:uiPriority w:val="0"/>
    <w:rPr>
      <w:rFonts w:ascii="仿宋_GB2312" w:hAnsi="Times New Roman" w:eastAsia="仿宋_GB2312" w:cs="Times New Roman"/>
      <w:sz w:val="24"/>
      <w:szCs w:val="24"/>
    </w:rPr>
  </w:style>
  <w:style w:type="character" w:customStyle="1" w:styleId="86">
    <w:name w:val="批注框文本 字符"/>
    <w:basedOn w:val="39"/>
    <w:semiHidden/>
    <w:qFormat/>
    <w:uiPriority w:val="99"/>
    <w:rPr>
      <w:rFonts w:ascii="Times New Roman" w:hAnsi="Times New Roman" w:eastAsia="宋体" w:cs="Times New Roman"/>
      <w:sz w:val="18"/>
      <w:szCs w:val="18"/>
    </w:rPr>
  </w:style>
  <w:style w:type="character" w:customStyle="1" w:styleId="87">
    <w:name w:val="批注框文本 字符1"/>
    <w:link w:val="24"/>
    <w:qFormat/>
    <w:uiPriority w:val="0"/>
    <w:rPr>
      <w:rFonts w:ascii="Times New Roman" w:hAnsi="Times New Roman" w:eastAsia="宋体" w:cs="Times New Roman"/>
      <w:sz w:val="18"/>
      <w:szCs w:val="18"/>
    </w:rPr>
  </w:style>
  <w:style w:type="character" w:customStyle="1" w:styleId="88">
    <w:name w:val="页脚 Char1"/>
    <w:qFormat/>
    <w:uiPriority w:val="99"/>
    <w:rPr>
      <w:rFonts w:ascii="宋体" w:eastAsia="宋体"/>
      <w:sz w:val="18"/>
      <w:lang w:val="en-US" w:eastAsia="zh-CN" w:bidi="ar-SA"/>
    </w:rPr>
  </w:style>
  <w:style w:type="character" w:customStyle="1" w:styleId="89">
    <w:name w:val="页眉 Char1"/>
    <w:qFormat/>
    <w:uiPriority w:val="0"/>
    <w:rPr>
      <w:rFonts w:eastAsia="宋体"/>
      <w:kern w:val="2"/>
      <w:sz w:val="18"/>
      <w:szCs w:val="18"/>
      <w:lang w:val="en-US" w:eastAsia="zh-CN" w:bidi="ar-SA"/>
    </w:rPr>
  </w:style>
  <w:style w:type="character" w:customStyle="1" w:styleId="90">
    <w:name w:val="正文文本缩进 3 字符"/>
    <w:basedOn w:val="39"/>
    <w:semiHidden/>
    <w:qFormat/>
    <w:uiPriority w:val="99"/>
    <w:rPr>
      <w:rFonts w:ascii="Times New Roman" w:hAnsi="Times New Roman" w:eastAsia="宋体" w:cs="Times New Roman"/>
      <w:sz w:val="16"/>
      <w:szCs w:val="16"/>
    </w:rPr>
  </w:style>
  <w:style w:type="character" w:customStyle="1" w:styleId="91">
    <w:name w:val="正文文本缩进 3 字符1"/>
    <w:link w:val="28"/>
    <w:qFormat/>
    <w:uiPriority w:val="0"/>
    <w:rPr>
      <w:rFonts w:ascii="宋体" w:hAnsi="Times New Roman" w:eastAsia="宋体" w:cs="Times New Roman"/>
      <w:kern w:val="0"/>
      <w:sz w:val="24"/>
      <w:szCs w:val="20"/>
    </w:rPr>
  </w:style>
  <w:style w:type="character" w:customStyle="1" w:styleId="92">
    <w:name w:val="HTML 预设格式 字符"/>
    <w:basedOn w:val="39"/>
    <w:semiHidden/>
    <w:qFormat/>
    <w:uiPriority w:val="99"/>
    <w:rPr>
      <w:rFonts w:ascii="Courier New" w:hAnsi="Courier New" w:eastAsia="宋体" w:cs="Courier New"/>
      <w:sz w:val="20"/>
      <w:szCs w:val="20"/>
    </w:rPr>
  </w:style>
  <w:style w:type="character" w:customStyle="1" w:styleId="93">
    <w:name w:val="HTML 预设格式 字符1"/>
    <w:link w:val="29"/>
    <w:qFormat/>
    <w:uiPriority w:val="0"/>
    <w:rPr>
      <w:rFonts w:ascii="宋体" w:hAnsi="宋体" w:eastAsia="宋体" w:cs="宋体"/>
      <w:kern w:val="0"/>
      <w:sz w:val="24"/>
      <w:szCs w:val="24"/>
    </w:rPr>
  </w:style>
  <w:style w:type="character" w:customStyle="1" w:styleId="94">
    <w:name w:val="标题 字符"/>
    <w:basedOn w:val="39"/>
    <w:qFormat/>
    <w:uiPriority w:val="10"/>
    <w:rPr>
      <w:rFonts w:asciiTheme="majorHAnsi" w:hAnsiTheme="majorHAnsi" w:eastAsiaTheme="majorEastAsia" w:cstheme="majorBidi"/>
      <w:b/>
      <w:bCs/>
      <w:sz w:val="32"/>
      <w:szCs w:val="32"/>
    </w:rPr>
  </w:style>
  <w:style w:type="character" w:customStyle="1" w:styleId="95">
    <w:name w:val="标题 字符1"/>
    <w:link w:val="32"/>
    <w:qFormat/>
    <w:uiPriority w:val="0"/>
    <w:rPr>
      <w:rFonts w:ascii="Times New Roman" w:hAnsi="Times New Roman" w:eastAsia="宋体" w:cs="Times New Roman"/>
      <w:b/>
      <w:sz w:val="32"/>
      <w:szCs w:val="20"/>
    </w:rPr>
  </w:style>
  <w:style w:type="character" w:customStyle="1" w:styleId="96">
    <w:name w:val="批注主题 字符"/>
    <w:basedOn w:val="72"/>
    <w:semiHidden/>
    <w:qFormat/>
    <w:uiPriority w:val="99"/>
    <w:rPr>
      <w:rFonts w:ascii="Times New Roman" w:hAnsi="Times New Roman" w:eastAsia="宋体" w:cs="Times New Roman"/>
      <w:b/>
      <w:bCs/>
      <w:szCs w:val="24"/>
    </w:rPr>
  </w:style>
  <w:style w:type="character" w:customStyle="1" w:styleId="97">
    <w:name w:val="批注主题 字符1"/>
    <w:link w:val="33"/>
    <w:qFormat/>
    <w:uiPriority w:val="0"/>
    <w:rPr>
      <w:rFonts w:ascii="Times New Roman" w:hAnsi="Times New Roman" w:eastAsia="宋体" w:cs="Times New Roman"/>
      <w:b/>
      <w:bCs/>
      <w:szCs w:val="24"/>
    </w:rPr>
  </w:style>
  <w:style w:type="character" w:customStyle="1" w:styleId="98">
    <w:name w:val="正文首行缩进 2 Char"/>
    <w:qFormat/>
    <w:uiPriority w:val="0"/>
    <w:rPr>
      <w:rFonts w:eastAsia="宋体"/>
      <w:kern w:val="2"/>
      <w:sz w:val="24"/>
      <w:szCs w:val="24"/>
      <w:lang w:val="en-US" w:eastAsia="zh-CN" w:bidi="ar-SA"/>
    </w:rPr>
  </w:style>
  <w:style w:type="character" w:customStyle="1" w:styleId="99">
    <w:name w:val="c21"/>
    <w:qFormat/>
    <w:uiPriority w:val="0"/>
    <w:rPr>
      <w:rFonts w:hint="default" w:ascii="ˎ̥" w:hAnsi="ˎ̥"/>
      <w:color w:val="000000"/>
      <w:sz w:val="20"/>
      <w:szCs w:val="20"/>
      <w:u w:val="none"/>
    </w:rPr>
  </w:style>
  <w:style w:type="character" w:customStyle="1" w:styleId="100">
    <w:name w:val="title4"/>
    <w:qFormat/>
    <w:uiPriority w:val="0"/>
    <w:rPr>
      <w:b/>
      <w:bCs/>
      <w:color w:val="1D87B3"/>
      <w:sz w:val="15"/>
      <w:szCs w:val="15"/>
    </w:rPr>
  </w:style>
  <w:style w:type="character" w:customStyle="1" w:styleId="101">
    <w:name w:val="标题 2 Char Char"/>
    <w:qFormat/>
    <w:uiPriority w:val="0"/>
    <w:rPr>
      <w:rFonts w:ascii="Arial" w:hAnsi="Arial" w:eastAsia="黑体"/>
      <w:b/>
      <w:bCs/>
      <w:kern w:val="2"/>
      <w:sz w:val="32"/>
      <w:szCs w:val="32"/>
      <w:lang w:val="en-US" w:eastAsia="zh-CN" w:bidi="ar-SA"/>
    </w:rPr>
  </w:style>
  <w:style w:type="character" w:customStyle="1" w:styleId="102">
    <w:name w:val="black1"/>
    <w:qFormat/>
    <w:uiPriority w:val="0"/>
    <w:rPr>
      <w:color w:val="000000"/>
    </w:rPr>
  </w:style>
  <w:style w:type="character" w:customStyle="1" w:styleId="103">
    <w:name w:val="street-address"/>
    <w:qFormat/>
    <w:uiPriority w:val="0"/>
  </w:style>
  <w:style w:type="character" w:customStyle="1" w:styleId="104">
    <w:name w:val="locality"/>
    <w:qFormat/>
    <w:uiPriority w:val="0"/>
  </w:style>
  <w:style w:type="character" w:customStyle="1" w:styleId="105">
    <w:name w:val="正文文本缩进 Char1"/>
    <w:link w:val="106"/>
    <w:qFormat/>
    <w:uiPriority w:val="0"/>
    <w:rPr>
      <w:rFonts w:ascii="宋体" w:hAnsi="宋体" w:eastAsia="宋体"/>
      <w:sz w:val="24"/>
      <w:szCs w:val="24"/>
    </w:rPr>
  </w:style>
  <w:style w:type="paragraph" w:customStyle="1" w:styleId="106">
    <w:name w:val="正文文本缩进1"/>
    <w:basedOn w:val="1"/>
    <w:link w:val="105"/>
    <w:qFormat/>
    <w:uiPriority w:val="0"/>
    <w:pPr>
      <w:spacing w:line="480" w:lineRule="exact"/>
      <w:ind w:firstLine="480" w:firstLineChars="200"/>
    </w:pPr>
    <w:rPr>
      <w:rFonts w:ascii="宋体" w:hAnsi="宋体" w:cstheme="minorBidi"/>
      <w:sz w:val="24"/>
    </w:rPr>
  </w:style>
  <w:style w:type="character" w:customStyle="1" w:styleId="107">
    <w:name w:val="Char Char11"/>
    <w:qFormat/>
    <w:uiPriority w:val="0"/>
    <w:rPr>
      <w:rFonts w:ascii="宋体" w:eastAsia="宋体"/>
      <w:b/>
      <w:sz w:val="24"/>
      <w:u w:val="single"/>
      <w:lang w:val="en-US" w:eastAsia="zh-CN" w:bidi="ar-SA"/>
    </w:rPr>
  </w:style>
  <w:style w:type="character" w:customStyle="1" w:styleId="108">
    <w:name w:val="txt"/>
    <w:qFormat/>
    <w:uiPriority w:val="0"/>
  </w:style>
  <w:style w:type="character" w:customStyle="1" w:styleId="109">
    <w:name w:val="正文缩进 Char Char"/>
    <w:link w:val="110"/>
    <w:qFormat/>
    <w:uiPriority w:val="0"/>
    <w:rPr>
      <w:rFonts w:ascii="宋体" w:eastAsia="宋体"/>
      <w:snapToGrid w:val="0"/>
      <w:color w:val="000000"/>
      <w:kern w:val="28"/>
      <w:sz w:val="28"/>
    </w:rPr>
  </w:style>
  <w:style w:type="paragraph" w:customStyle="1" w:styleId="110">
    <w:name w:val="正文缩进1"/>
    <w:basedOn w:val="1"/>
    <w:link w:val="109"/>
    <w:qFormat/>
    <w:uiPriority w:val="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11">
    <w:name w:val="普通文字1 Char1"/>
    <w:qFormat/>
    <w:uiPriority w:val="0"/>
    <w:rPr>
      <w:rFonts w:ascii="宋体" w:hAnsi="Courier New" w:eastAsia="宋体"/>
      <w:kern w:val="2"/>
      <w:sz w:val="21"/>
      <w:lang w:val="en-US" w:eastAsia="zh-CN" w:bidi="ar-SA"/>
    </w:rPr>
  </w:style>
  <w:style w:type="character" w:customStyle="1" w:styleId="112">
    <w:name w:val="chanpin1"/>
    <w:qFormat/>
    <w:uiPriority w:val="0"/>
    <w:rPr>
      <w:rFonts w:hint="default" w:ascii="ˎ̥" w:hAnsi="ˎ̥"/>
      <w:color w:val="000000"/>
      <w:sz w:val="20"/>
      <w:szCs w:val="20"/>
      <w:u w:val="none"/>
    </w:rPr>
  </w:style>
  <w:style w:type="character" w:customStyle="1" w:styleId="113">
    <w:name w:val="列表段落 字符"/>
    <w:link w:val="114"/>
    <w:qFormat/>
    <w:uiPriority w:val="34"/>
    <w:rPr>
      <w:rFonts w:ascii="Calibri" w:hAnsi="Calibri" w:eastAsia="宋体"/>
      <w:kern w:val="2"/>
      <w:sz w:val="21"/>
      <w:szCs w:val="22"/>
      <w:lang w:val="en-US" w:eastAsia="zh-CN" w:bidi="ar-SA"/>
    </w:rPr>
  </w:style>
  <w:style w:type="paragraph" w:styleId="114">
    <w:name w:val="List Paragraph"/>
    <w:basedOn w:val="1"/>
    <w:link w:val="113"/>
    <w:qFormat/>
    <w:uiPriority w:val="34"/>
    <w:pPr>
      <w:ind w:firstLine="420" w:firstLineChars="200"/>
    </w:pPr>
    <w:rPr>
      <w:rFonts w:ascii="Calibri" w:hAnsi="Calibri" w:cstheme="minorBidi"/>
      <w:szCs w:val="22"/>
    </w:rPr>
  </w:style>
  <w:style w:type="character" w:customStyle="1" w:styleId="115">
    <w:name w:val="标题 3 Char Char"/>
    <w:qFormat/>
    <w:uiPriority w:val="0"/>
    <w:rPr>
      <w:rFonts w:eastAsia="宋体"/>
      <w:b/>
      <w:bCs/>
      <w:kern w:val="2"/>
      <w:sz w:val="32"/>
      <w:szCs w:val="32"/>
      <w:lang w:val="en-US" w:eastAsia="zh-CN" w:bidi="ar-SA"/>
    </w:rPr>
  </w:style>
  <w:style w:type="character" w:customStyle="1" w:styleId="116">
    <w:name w:val="段1 Char"/>
    <w:qFormat/>
    <w:uiPriority w:val="0"/>
    <w:rPr>
      <w:rFonts w:ascii="宋体" w:eastAsia="宋体"/>
      <w:sz w:val="24"/>
      <w:lang w:val="en-US" w:eastAsia="zh-CN" w:bidi="ar-SA"/>
    </w:rPr>
  </w:style>
  <w:style w:type="character" w:customStyle="1" w:styleId="117">
    <w:name w:val="chanpin拷贝"/>
    <w:qFormat/>
    <w:uiPriority w:val="0"/>
  </w:style>
  <w:style w:type="character" w:customStyle="1" w:styleId="118">
    <w:name w:val="纯文本 Char1"/>
    <w:qFormat/>
    <w:uiPriority w:val="0"/>
    <w:rPr>
      <w:rFonts w:ascii="宋体" w:hAnsi="Courier New" w:eastAsia="宋体"/>
      <w:kern w:val="2"/>
      <w:sz w:val="21"/>
      <w:lang w:val="en-US" w:eastAsia="zh-CN" w:bidi="ar-SA"/>
    </w:rPr>
  </w:style>
  <w:style w:type="character" w:customStyle="1" w:styleId="119">
    <w:name w:val="apple-style-span"/>
    <w:qFormat/>
    <w:uiPriority w:val="0"/>
    <w:rPr>
      <w:rFonts w:cs="Times New Roman"/>
    </w:rPr>
  </w:style>
  <w:style w:type="paragraph" w:customStyle="1" w:styleId="120">
    <w:name w:val="二级条标题"/>
    <w:basedOn w:val="12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21">
    <w:name w:val="一级条标题"/>
    <w:basedOn w:val="122"/>
    <w:next w:val="1"/>
    <w:qFormat/>
    <w:uiPriority w:val="0"/>
    <w:pPr>
      <w:numPr>
        <w:ilvl w:val="1"/>
      </w:numPr>
      <w:tabs>
        <w:tab w:val="left" w:pos="360"/>
        <w:tab w:val="left" w:pos="840"/>
      </w:tabs>
      <w:ind w:left="0" w:hanging="840"/>
      <w:outlineLvl w:val="1"/>
    </w:pPr>
  </w:style>
  <w:style w:type="paragraph" w:customStyle="1" w:styleId="12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4">
    <w:name w:val="字元 字元"/>
    <w:basedOn w:val="1"/>
    <w:qFormat/>
    <w:uiPriority w:val="0"/>
    <w:rPr>
      <w:rFonts w:ascii="Tahoma" w:hAnsi="Tahoma"/>
      <w:sz w:val="24"/>
      <w:szCs w:val="20"/>
    </w:rPr>
  </w:style>
  <w:style w:type="paragraph" w:customStyle="1" w:styleId="125">
    <w:name w:val="Char3 Char Char Char"/>
    <w:basedOn w:val="1"/>
    <w:qFormat/>
    <w:uiPriority w:val="0"/>
    <w:rPr>
      <w:rFonts w:ascii="Tahoma" w:hAnsi="Tahoma"/>
      <w:sz w:val="24"/>
      <w:szCs w:val="20"/>
    </w:rPr>
  </w:style>
  <w:style w:type="paragraph" w:customStyle="1" w:styleId="12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7">
    <w:name w:val="项目编号2"/>
    <w:basedOn w:val="128"/>
    <w:qFormat/>
    <w:uiPriority w:val="0"/>
    <w:pPr>
      <w:numPr>
        <w:numId w:val="2"/>
      </w:numPr>
    </w:pPr>
  </w:style>
  <w:style w:type="paragraph" w:customStyle="1" w:styleId="12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9">
    <w:name w:val="图中文字"/>
    <w:basedOn w:val="1"/>
    <w:qFormat/>
    <w:uiPriority w:val="0"/>
    <w:pPr>
      <w:adjustRightInd w:val="0"/>
      <w:snapToGrid w:val="0"/>
      <w:spacing w:line="0" w:lineRule="atLeast"/>
      <w:jc w:val="center"/>
    </w:pPr>
    <w:rPr>
      <w:sz w:val="24"/>
      <w:szCs w:val="20"/>
    </w:rPr>
  </w:style>
  <w:style w:type="paragraph" w:customStyle="1" w:styleId="13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2">
    <w:name w:val="Char2"/>
    <w:basedOn w:val="1"/>
    <w:qFormat/>
    <w:uiPriority w:val="0"/>
    <w:rPr>
      <w:rFonts w:ascii="Tahoma" w:hAnsi="Tahoma"/>
      <w:sz w:val="24"/>
      <w:szCs w:val="20"/>
    </w:rPr>
  </w:style>
  <w:style w:type="paragraph" w:customStyle="1" w:styleId="13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6">
    <w:name w:val="font8"/>
    <w:basedOn w:val="1"/>
    <w:qFormat/>
    <w:uiPriority w:val="0"/>
    <w:pPr>
      <w:widowControl/>
      <w:spacing w:before="100" w:beforeAutospacing="1" w:after="100" w:afterAutospacing="1"/>
      <w:jc w:val="left"/>
    </w:pPr>
    <w:rPr>
      <w:kern w:val="0"/>
      <w:sz w:val="36"/>
      <w:szCs w:val="36"/>
    </w:rPr>
  </w:style>
  <w:style w:type="paragraph" w:customStyle="1" w:styleId="147">
    <w:name w:val="Char"/>
    <w:basedOn w:val="1"/>
    <w:qFormat/>
    <w:uiPriority w:val="0"/>
    <w:pPr>
      <w:tabs>
        <w:tab w:val="left" w:pos="360"/>
      </w:tabs>
    </w:pPr>
    <w:rPr>
      <w:sz w:val="24"/>
    </w:rPr>
  </w:style>
  <w:style w:type="paragraph" w:customStyle="1" w:styleId="148">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4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51">
    <w:name w:val="Char Char1"/>
    <w:basedOn w:val="13"/>
    <w:qFormat/>
    <w:uiPriority w:val="0"/>
    <w:rPr>
      <w:rFonts w:ascii="Tahoma" w:hAnsi="Tahoma"/>
      <w:sz w:val="24"/>
    </w:rPr>
  </w:style>
  <w:style w:type="paragraph" w:customStyle="1" w:styleId="1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6">
    <w:name w:val="Char1 Char Char Char1"/>
    <w:basedOn w:val="1"/>
    <w:qFormat/>
    <w:uiPriority w:val="0"/>
    <w:rPr>
      <w:rFonts w:ascii="Tahoma" w:hAnsi="Tahoma" w:cs="仿宋_GB2312"/>
      <w:sz w:val="24"/>
      <w:szCs w:val="28"/>
    </w:rPr>
  </w:style>
  <w:style w:type="paragraph" w:customStyle="1" w:styleId="157">
    <w:name w:val="四级条标题"/>
    <w:basedOn w:val="158"/>
    <w:next w:val="1"/>
    <w:qFormat/>
    <w:uiPriority w:val="0"/>
    <w:pPr>
      <w:numPr>
        <w:ilvl w:val="4"/>
      </w:numPr>
      <w:tabs>
        <w:tab w:val="left" w:pos="360"/>
        <w:tab w:val="left" w:pos="840"/>
      </w:tabs>
      <w:ind w:left="0" w:hanging="840"/>
      <w:outlineLvl w:val="4"/>
    </w:pPr>
  </w:style>
  <w:style w:type="paragraph" w:customStyle="1" w:styleId="158">
    <w:name w:val="三级条标题"/>
    <w:basedOn w:val="120"/>
    <w:next w:val="1"/>
    <w:qFormat/>
    <w:uiPriority w:val="0"/>
    <w:pPr>
      <w:numPr>
        <w:ilvl w:val="3"/>
        <w:numId w:val="1"/>
      </w:numPr>
      <w:ind w:left="0" w:hanging="840"/>
      <w:outlineLvl w:val="3"/>
    </w:pPr>
  </w:style>
  <w:style w:type="paragraph" w:customStyle="1" w:styleId="159">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6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项目符号1"/>
    <w:basedOn w:val="163"/>
    <w:qFormat/>
    <w:uiPriority w:val="0"/>
    <w:pPr>
      <w:ind w:left="-25" w:firstLine="0"/>
    </w:pPr>
  </w:style>
  <w:style w:type="paragraph" w:customStyle="1" w:styleId="163">
    <w:name w:val="正文文本样式"/>
    <w:basedOn w:val="1"/>
    <w:qFormat/>
    <w:uiPriority w:val="0"/>
    <w:pPr>
      <w:spacing w:line="360" w:lineRule="auto"/>
      <w:ind w:firstLine="482"/>
    </w:pPr>
    <w:rPr>
      <w:rFonts w:cs="宋体"/>
      <w:sz w:val="24"/>
      <w:szCs w:val="20"/>
    </w:rPr>
  </w:style>
  <w:style w:type="paragraph" w:customStyle="1" w:styleId="16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五级条标题"/>
    <w:basedOn w:val="157"/>
    <w:next w:val="1"/>
    <w:qFormat/>
    <w:uiPriority w:val="0"/>
    <w:pPr>
      <w:numPr>
        <w:ilvl w:val="5"/>
      </w:numPr>
      <w:ind w:left="0" w:hanging="840"/>
      <w:outlineLvl w:val="5"/>
    </w:pPr>
  </w:style>
  <w:style w:type="paragraph" w:customStyle="1" w:styleId="16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8">
    <w:name w:val="文档正文"/>
    <w:basedOn w:val="1"/>
    <w:qFormat/>
    <w:uiPriority w:val="0"/>
    <w:pPr>
      <w:snapToGrid w:val="0"/>
      <w:spacing w:before="120" w:after="120" w:line="180" w:lineRule="auto"/>
    </w:pPr>
    <w:rPr>
      <w:rFonts w:ascii="Arial" w:hAnsi="Arial"/>
      <w:szCs w:val="20"/>
    </w:rPr>
  </w:style>
  <w:style w:type="paragraph" w:customStyle="1" w:styleId="16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1">
    <w:name w:val="Char Char Char1 Char"/>
    <w:basedOn w:val="1"/>
    <w:qFormat/>
    <w:uiPriority w:val="0"/>
    <w:rPr>
      <w:rFonts w:ascii="Tahoma" w:hAnsi="Tahoma"/>
      <w:sz w:val="24"/>
      <w:szCs w:val="20"/>
    </w:rPr>
  </w:style>
  <w:style w:type="paragraph" w:customStyle="1" w:styleId="17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3">
    <w:name w:val="1名"/>
    <w:basedOn w:val="1"/>
    <w:qFormat/>
    <w:uiPriority w:val="0"/>
    <w:pPr>
      <w:numPr>
        <w:ilvl w:val="0"/>
        <w:numId w:val="5"/>
      </w:numPr>
      <w:spacing w:before="120"/>
    </w:pPr>
    <w:rPr>
      <w:rFonts w:ascii="宋体"/>
      <w:sz w:val="28"/>
      <w:szCs w:val="20"/>
    </w:rPr>
  </w:style>
  <w:style w:type="paragraph" w:customStyle="1" w:styleId="17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5">
    <w:name w:val="Char Char Char1 Char1"/>
    <w:basedOn w:val="1"/>
    <w:qFormat/>
    <w:uiPriority w:val="0"/>
    <w:rPr>
      <w:rFonts w:ascii="Tahoma" w:hAnsi="Tahoma"/>
      <w:sz w:val="24"/>
      <w:szCs w:val="20"/>
    </w:rPr>
  </w:style>
  <w:style w:type="paragraph" w:customStyle="1" w:styleId="176">
    <w:name w:val="Char Char Char Char Char Char Char Char Char Char"/>
    <w:basedOn w:val="1"/>
    <w:qFormat/>
    <w:uiPriority w:val="0"/>
  </w:style>
  <w:style w:type="paragraph" w:customStyle="1" w:styleId="177">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78">
    <w:name w:val="Char1"/>
    <w:basedOn w:val="1"/>
    <w:qFormat/>
    <w:uiPriority w:val="0"/>
    <w:pPr>
      <w:tabs>
        <w:tab w:val="left" w:pos="360"/>
      </w:tabs>
    </w:pPr>
    <w:rPr>
      <w:sz w:val="24"/>
    </w:rPr>
  </w:style>
  <w:style w:type="paragraph" w:customStyle="1" w:styleId="17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默认段落字体 Para Char Char Char Char"/>
    <w:basedOn w:val="1"/>
    <w:qFormat/>
    <w:uiPriority w:val="0"/>
    <w:rPr>
      <w:rFonts w:ascii="Arial" w:hAnsi="Arial" w:cs="Arial"/>
      <w:szCs w:val="21"/>
    </w:rPr>
  </w:style>
  <w:style w:type="paragraph" w:customStyle="1" w:styleId="18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6">
    <w:name w:val="Char Char Char"/>
    <w:basedOn w:val="1"/>
    <w:qFormat/>
    <w:uiPriority w:val="0"/>
    <w:rPr>
      <w:rFonts w:ascii="Tahoma" w:hAnsi="Tahoma"/>
      <w:sz w:val="24"/>
      <w:szCs w:val="20"/>
    </w:rPr>
  </w:style>
  <w:style w:type="paragraph" w:customStyle="1" w:styleId="18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8">
    <w:name w:val="缺省文本"/>
    <w:basedOn w:val="1"/>
    <w:qFormat/>
    <w:uiPriority w:val="0"/>
    <w:pPr>
      <w:autoSpaceDE w:val="0"/>
      <w:autoSpaceDN w:val="0"/>
      <w:adjustRightInd w:val="0"/>
      <w:jc w:val="left"/>
    </w:pPr>
    <w:rPr>
      <w:kern w:val="0"/>
      <w:sz w:val="24"/>
    </w:rPr>
  </w:style>
  <w:style w:type="paragraph" w:customStyle="1" w:styleId="189">
    <w:name w:val="Char Char Char1"/>
    <w:basedOn w:val="1"/>
    <w:qFormat/>
    <w:uiPriority w:val="0"/>
    <w:rPr>
      <w:rFonts w:ascii="Tahoma" w:hAnsi="Tahoma"/>
      <w:sz w:val="24"/>
      <w:szCs w:val="20"/>
    </w:rPr>
  </w:style>
  <w:style w:type="paragraph" w:customStyle="1" w:styleId="19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2">
    <w:name w:val="样式2"/>
    <w:basedOn w:val="31"/>
    <w:qFormat/>
    <w:uiPriority w:val="0"/>
    <w:pPr>
      <w:spacing w:line="360" w:lineRule="auto"/>
      <w:jc w:val="center"/>
    </w:pPr>
    <w:rPr>
      <w:sz w:val="24"/>
    </w:rPr>
  </w:style>
  <w:style w:type="paragraph" w:customStyle="1" w:styleId="1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5">
    <w:name w:val="正文 + 楷体_GB2312"/>
    <w:basedOn w:val="1"/>
    <w:qFormat/>
    <w:uiPriority w:val="0"/>
    <w:pPr>
      <w:widowControl/>
      <w:jc w:val="left"/>
    </w:pPr>
    <w:rPr>
      <w:rFonts w:ascii="楷体_GB2312" w:eastAsia="楷体_GB2312" w:cs="Arial"/>
      <w:kern w:val="0"/>
      <w:sz w:val="24"/>
    </w:rPr>
  </w:style>
  <w:style w:type="paragraph" w:customStyle="1" w:styleId="1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7">
    <w:name w:val="1 Char Char Char Char"/>
    <w:basedOn w:val="1"/>
    <w:qFormat/>
    <w:uiPriority w:val="0"/>
    <w:rPr>
      <w:rFonts w:ascii="Tahoma" w:hAnsi="Tahoma"/>
      <w:sz w:val="24"/>
      <w:szCs w:val="20"/>
    </w:rPr>
  </w:style>
  <w:style w:type="paragraph" w:customStyle="1" w:styleId="198">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99">
    <w:name w:val="列出段落1"/>
    <w:basedOn w:val="1"/>
    <w:qFormat/>
    <w:uiPriority w:val="0"/>
    <w:pPr>
      <w:ind w:firstLine="420" w:firstLineChars="200"/>
    </w:pPr>
    <w:rPr>
      <w:rFonts w:ascii="Calibri" w:hAnsi="Calibri"/>
      <w:szCs w:val="22"/>
    </w:rPr>
  </w:style>
  <w:style w:type="paragraph" w:customStyle="1" w:styleId="20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字元 字元1"/>
    <w:basedOn w:val="1"/>
    <w:qFormat/>
    <w:uiPriority w:val="0"/>
    <w:rPr>
      <w:rFonts w:ascii="Tahoma" w:hAnsi="Tahoma"/>
      <w:sz w:val="24"/>
      <w:szCs w:val="20"/>
    </w:rPr>
  </w:style>
  <w:style w:type="paragraph" w:customStyle="1" w:styleId="202">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03">
    <w:name w:val="项目编号3"/>
    <w:basedOn w:val="163"/>
    <w:qFormat/>
    <w:uiPriority w:val="0"/>
    <w:pPr>
      <w:numPr>
        <w:ilvl w:val="0"/>
        <w:numId w:val="6"/>
      </w:numPr>
    </w:pPr>
  </w:style>
  <w:style w:type="paragraph" w:customStyle="1" w:styleId="204">
    <w:name w:val="Char21"/>
    <w:basedOn w:val="1"/>
    <w:qFormat/>
    <w:uiPriority w:val="0"/>
    <w:rPr>
      <w:rFonts w:ascii="Tahoma" w:hAnsi="Tahoma"/>
      <w:sz w:val="24"/>
      <w:szCs w:val="20"/>
    </w:rPr>
  </w:style>
  <w:style w:type="paragraph" w:customStyle="1" w:styleId="20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206">
    <w:name w:val="Char Char Char Char Char Char Char Char Char Char1"/>
    <w:basedOn w:val="1"/>
    <w:qFormat/>
    <w:uiPriority w:val="0"/>
    <w:rPr>
      <w:rFonts w:ascii="宋体" w:hAnsi="宋体" w:cs="Courier New"/>
      <w:sz w:val="32"/>
      <w:szCs w:val="32"/>
    </w:rPr>
  </w:style>
  <w:style w:type="paragraph" w:customStyle="1" w:styleId="207">
    <w:name w:val="正文文本样式 加粗"/>
    <w:basedOn w:val="163"/>
    <w:qFormat/>
    <w:uiPriority w:val="0"/>
    <w:rPr>
      <w:b/>
    </w:rPr>
  </w:style>
  <w:style w:type="paragraph" w:customStyle="1" w:styleId="208">
    <w:name w:val="Char2 Char Char Char Char Char Char"/>
    <w:basedOn w:val="1"/>
    <w:qFormat/>
    <w:uiPriority w:val="0"/>
    <w:pPr>
      <w:widowControl/>
      <w:spacing w:line="400" w:lineRule="exact"/>
      <w:jc w:val="center"/>
    </w:pPr>
  </w:style>
  <w:style w:type="paragraph" w:customStyle="1" w:styleId="209">
    <w:name w:val="Char Char4"/>
    <w:basedOn w:val="1"/>
    <w:qFormat/>
    <w:uiPriority w:val="0"/>
    <w:pPr>
      <w:widowControl/>
      <w:spacing w:line="400" w:lineRule="exact"/>
      <w:jc w:val="center"/>
    </w:pPr>
  </w:style>
  <w:style w:type="paragraph" w:customStyle="1" w:styleId="210">
    <w:name w:val="Char3 Char Char Char1"/>
    <w:basedOn w:val="1"/>
    <w:qFormat/>
    <w:uiPriority w:val="0"/>
    <w:rPr>
      <w:rFonts w:ascii="Tahoma" w:hAnsi="Tahoma"/>
      <w:sz w:val="24"/>
      <w:szCs w:val="20"/>
    </w:rPr>
  </w:style>
  <w:style w:type="paragraph" w:styleId="211">
    <w:name w:val="No Spacing"/>
    <w:link w:val="268"/>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3">
    <w:name w:val="中等深浅网格 1 - 强调文字颜色 2 Char"/>
    <w:link w:val="214"/>
    <w:qFormat/>
    <w:uiPriority w:val="0"/>
    <w:rPr>
      <w:szCs w:val="24"/>
      <w:lang w:val="zh-CN"/>
    </w:rPr>
  </w:style>
  <w:style w:type="paragraph" w:customStyle="1" w:styleId="214">
    <w:name w:val="1"/>
    <w:link w:val="213"/>
    <w:qFormat/>
    <w:uiPriority w:val="0"/>
    <w:pPr>
      <w:spacing w:after="160" w:line="278" w:lineRule="auto"/>
    </w:pPr>
    <w:rPr>
      <w:rFonts w:asciiTheme="minorHAnsi" w:hAnsiTheme="minorHAnsi" w:eastAsiaTheme="minorEastAsia" w:cstheme="minorBidi"/>
      <w:kern w:val="2"/>
      <w:sz w:val="21"/>
      <w:szCs w:val="24"/>
      <w:lang w:val="zh-CN" w:eastAsia="zh-CN" w:bidi="ar-SA"/>
    </w:rPr>
  </w:style>
  <w:style w:type="paragraph" w:customStyle="1" w:styleId="215">
    <w:name w:val="图文"/>
    <w:basedOn w:val="1"/>
    <w:qFormat/>
    <w:uiPriority w:val="0"/>
    <w:pPr>
      <w:adjustRightInd w:val="0"/>
      <w:snapToGrid w:val="0"/>
      <w:spacing w:after="50" w:line="360" w:lineRule="auto"/>
    </w:pPr>
    <w:rPr>
      <w:sz w:val="24"/>
    </w:rPr>
  </w:style>
  <w:style w:type="paragraph" w:customStyle="1" w:styleId="21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7">
    <w:name w:val="正文表格"/>
    <w:basedOn w:val="1"/>
    <w:link w:val="218"/>
    <w:qFormat/>
    <w:uiPriority w:val="0"/>
    <w:pPr>
      <w:adjustRightInd w:val="0"/>
      <w:snapToGrid w:val="0"/>
      <w:jc w:val="left"/>
    </w:pPr>
    <w:rPr>
      <w:rFonts w:ascii="宋体" w:hAnsi="宋体"/>
      <w:color w:val="000000"/>
      <w:szCs w:val="21"/>
    </w:rPr>
  </w:style>
  <w:style w:type="character" w:customStyle="1" w:styleId="218">
    <w:name w:val="正文表格 Char"/>
    <w:link w:val="217"/>
    <w:qFormat/>
    <w:uiPriority w:val="0"/>
    <w:rPr>
      <w:rFonts w:ascii="宋体" w:hAnsi="宋体" w:eastAsia="宋体" w:cs="Times New Roman"/>
      <w:color w:val="000000"/>
      <w:szCs w:val="21"/>
    </w:rPr>
  </w:style>
  <w:style w:type="paragraph" w:customStyle="1" w:styleId="219">
    <w:name w:val="正文重点"/>
    <w:basedOn w:val="1"/>
    <w:link w:val="220"/>
    <w:qFormat/>
    <w:uiPriority w:val="0"/>
    <w:pPr>
      <w:adjustRightInd w:val="0"/>
      <w:spacing w:line="360" w:lineRule="auto"/>
      <w:ind w:firstLine="482" w:firstLineChars="200"/>
      <w:jc w:val="left"/>
      <w:textAlignment w:val="baseline"/>
    </w:pPr>
    <w:rPr>
      <w:b/>
      <w:kern w:val="0"/>
      <w:sz w:val="24"/>
      <w:szCs w:val="20"/>
    </w:rPr>
  </w:style>
  <w:style w:type="character" w:customStyle="1" w:styleId="220">
    <w:name w:val="正文重点 Char"/>
    <w:link w:val="219"/>
    <w:qFormat/>
    <w:uiPriority w:val="0"/>
    <w:rPr>
      <w:rFonts w:ascii="Times New Roman" w:hAnsi="Times New Roman" w:eastAsia="宋体" w:cs="Times New Roman"/>
      <w:b/>
      <w:kern w:val="0"/>
      <w:sz w:val="24"/>
      <w:szCs w:val="20"/>
    </w:rPr>
  </w:style>
  <w:style w:type="paragraph" w:customStyle="1" w:styleId="221">
    <w:name w:val="标题1-附件"/>
    <w:basedOn w:val="2"/>
    <w:qFormat/>
    <w:uiPriority w:val="0"/>
    <w:pPr>
      <w:jc w:val="left"/>
    </w:pPr>
    <w:rPr>
      <w:sz w:val="24"/>
      <w:szCs w:val="24"/>
    </w:rPr>
  </w:style>
  <w:style w:type="paragraph" w:customStyle="1" w:styleId="222">
    <w:name w:val="正文小标题"/>
    <w:basedOn w:val="1"/>
    <w:next w:val="5"/>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3">
    <w:name w:val="正文小标题 Char"/>
    <w:link w:val="222"/>
    <w:qFormat/>
    <w:uiPriority w:val="0"/>
    <w:rPr>
      <w:rFonts w:ascii="宋体" w:hAnsi="宋体" w:eastAsia="宋体" w:cs="Times New Roman"/>
      <w:b/>
      <w:i/>
      <w:color w:val="FF0000"/>
      <w:sz w:val="24"/>
      <w:szCs w:val="20"/>
    </w:rPr>
  </w:style>
  <w:style w:type="paragraph" w:customStyle="1" w:styleId="224">
    <w:name w:val="正文大标题"/>
    <w:basedOn w:val="222"/>
    <w:next w:val="5"/>
    <w:link w:val="225"/>
    <w:qFormat/>
    <w:uiPriority w:val="0"/>
    <w:pPr>
      <w:jc w:val="center"/>
    </w:pPr>
    <w:rPr>
      <w:i w:val="0"/>
      <w:color w:val="000000"/>
      <w:sz w:val="28"/>
      <w:szCs w:val="21"/>
    </w:rPr>
  </w:style>
  <w:style w:type="character" w:customStyle="1" w:styleId="225">
    <w:name w:val="正文大标题 Char"/>
    <w:link w:val="224"/>
    <w:qFormat/>
    <w:uiPriority w:val="0"/>
    <w:rPr>
      <w:rFonts w:ascii="宋体" w:hAnsi="宋体" w:eastAsia="宋体" w:cs="Times New Roman"/>
      <w:b/>
      <w:color w:val="000000"/>
      <w:sz w:val="28"/>
      <w:szCs w:val="21"/>
    </w:rPr>
  </w:style>
  <w:style w:type="paragraph" w:customStyle="1" w:styleId="226">
    <w:name w:val="注释"/>
    <w:basedOn w:val="1"/>
    <w:link w:val="227"/>
    <w:qFormat/>
    <w:uiPriority w:val="0"/>
    <w:pPr>
      <w:adjustRightInd w:val="0"/>
      <w:snapToGrid w:val="0"/>
      <w:ind w:left="420" w:hanging="420" w:hangingChars="200"/>
      <w:jc w:val="left"/>
    </w:pPr>
    <w:rPr>
      <w:rFonts w:ascii="宋体" w:hAnsi="宋体"/>
      <w:szCs w:val="21"/>
    </w:rPr>
  </w:style>
  <w:style w:type="character" w:customStyle="1" w:styleId="227">
    <w:name w:val="注释 Char"/>
    <w:link w:val="226"/>
    <w:qFormat/>
    <w:uiPriority w:val="0"/>
    <w:rPr>
      <w:rFonts w:ascii="宋体" w:hAnsi="宋体" w:eastAsia="宋体" w:cs="Times New Roman"/>
      <w:szCs w:val="21"/>
    </w:rPr>
  </w:style>
  <w:style w:type="paragraph" w:customStyle="1" w:styleId="22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3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31">
    <w:name w:val="表格1"/>
    <w:basedOn w:val="1"/>
    <w:qFormat/>
    <w:uiPriority w:val="0"/>
    <w:pPr>
      <w:ind w:firstLine="480" w:firstLineChars="200"/>
      <w:jc w:val="center"/>
    </w:pPr>
    <w:rPr>
      <w:sz w:val="24"/>
      <w:szCs w:val="20"/>
    </w:rPr>
  </w:style>
  <w:style w:type="character" w:customStyle="1" w:styleId="232">
    <w:name w:val="纯文本 字符1"/>
    <w:qFormat/>
    <w:uiPriority w:val="0"/>
    <w:rPr>
      <w:rFonts w:ascii="宋体" w:hAnsi="Courier New"/>
    </w:rPr>
  </w:style>
  <w:style w:type="character" w:customStyle="1" w:styleId="233">
    <w:name w:val="bjh-p"/>
    <w:qFormat/>
    <w:uiPriority w:val="0"/>
  </w:style>
  <w:style w:type="paragraph" w:customStyle="1" w:styleId="234">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35">
    <w:name w:val="正文格式 Char"/>
    <w:link w:val="236"/>
    <w:qFormat/>
    <w:locked/>
    <w:uiPriority w:val="0"/>
    <w:rPr>
      <w:rFonts w:ascii="宋体" w:hAnsi="宋体"/>
      <w:sz w:val="24"/>
      <w:szCs w:val="24"/>
      <w:lang w:val="en-GB"/>
    </w:rPr>
  </w:style>
  <w:style w:type="paragraph" w:customStyle="1" w:styleId="236">
    <w:name w:val="正文格式"/>
    <w:basedOn w:val="1"/>
    <w:link w:val="235"/>
    <w:qFormat/>
    <w:uiPriority w:val="0"/>
    <w:pPr>
      <w:spacing w:beforeLines="50" w:line="360" w:lineRule="auto"/>
      <w:ind w:firstLine="480" w:firstLineChars="200"/>
    </w:pPr>
    <w:rPr>
      <w:rFonts w:ascii="宋体" w:hAnsi="宋体" w:eastAsiaTheme="minorEastAsia" w:cstheme="minorBidi"/>
      <w:sz w:val="24"/>
      <w:lang w:val="en-GB"/>
    </w:rPr>
  </w:style>
  <w:style w:type="character" w:customStyle="1" w:styleId="237">
    <w:name w:val="标题 3 Char"/>
    <w:qFormat/>
    <w:uiPriority w:val="0"/>
    <w:rPr>
      <w:rFonts w:ascii="宋体" w:eastAsia="宋体"/>
      <w:b/>
      <w:sz w:val="24"/>
      <w:u w:val="single"/>
      <w:lang w:val="en-US" w:eastAsia="zh-CN" w:bidi="ar-SA"/>
    </w:rPr>
  </w:style>
  <w:style w:type="character" w:customStyle="1" w:styleId="238">
    <w:name w:val="正文缩进 Char"/>
    <w:qFormat/>
    <w:uiPriority w:val="0"/>
    <w:rPr>
      <w:rFonts w:ascii="宋体" w:eastAsia="宋体"/>
      <w:kern w:val="2"/>
      <w:sz w:val="24"/>
      <w:szCs w:val="24"/>
      <w:lang w:val="en-US" w:eastAsia="zh-CN" w:bidi="ar-SA"/>
    </w:rPr>
  </w:style>
  <w:style w:type="character" w:customStyle="1" w:styleId="239">
    <w:name w:val="Char Char111"/>
    <w:qFormat/>
    <w:uiPriority w:val="0"/>
    <w:rPr>
      <w:rFonts w:ascii="宋体" w:eastAsia="宋体"/>
      <w:b/>
      <w:sz w:val="24"/>
      <w:u w:val="single"/>
      <w:lang w:val="en-US" w:eastAsia="zh-CN" w:bidi="ar-SA"/>
    </w:rPr>
  </w:style>
  <w:style w:type="character" w:customStyle="1" w:styleId="240">
    <w:name w:val="正文文本缩进 Char"/>
    <w:qFormat/>
    <w:uiPriority w:val="0"/>
    <w:rPr>
      <w:rFonts w:eastAsia="宋体"/>
      <w:kern w:val="2"/>
      <w:sz w:val="24"/>
      <w:szCs w:val="24"/>
      <w:lang w:val="en-US" w:eastAsia="zh-CN" w:bidi="ar-SA"/>
    </w:rPr>
  </w:style>
  <w:style w:type="character" w:customStyle="1" w:styleId="241">
    <w:name w:val="列出段落 Char"/>
    <w:link w:val="242"/>
    <w:qFormat/>
    <w:uiPriority w:val="34"/>
    <w:rPr>
      <w:rFonts w:ascii="Calibri" w:hAnsi="Calibri" w:eastAsia="宋体"/>
      <w:kern w:val="2"/>
      <w:sz w:val="21"/>
      <w:szCs w:val="22"/>
      <w:lang w:val="en-US" w:eastAsia="zh-CN" w:bidi="ar-SA"/>
    </w:rPr>
  </w:style>
  <w:style w:type="paragraph" w:customStyle="1" w:styleId="242">
    <w:name w:val="列表段落1"/>
    <w:basedOn w:val="1"/>
    <w:link w:val="241"/>
    <w:qFormat/>
    <w:uiPriority w:val="34"/>
    <w:pPr>
      <w:ind w:firstLine="420" w:firstLineChars="200"/>
    </w:pPr>
    <w:rPr>
      <w:rFonts w:ascii="Calibri" w:hAnsi="Calibri" w:cstheme="minorBidi"/>
      <w:szCs w:val="22"/>
    </w:rPr>
  </w:style>
  <w:style w:type="character" w:customStyle="1" w:styleId="243">
    <w:name w:val="页眉 Char"/>
    <w:qFormat/>
    <w:uiPriority w:val="0"/>
    <w:rPr>
      <w:rFonts w:eastAsia="宋体"/>
      <w:kern w:val="2"/>
      <w:sz w:val="18"/>
      <w:szCs w:val="18"/>
      <w:lang w:val="en-US" w:eastAsia="zh-CN" w:bidi="ar-SA"/>
    </w:rPr>
  </w:style>
  <w:style w:type="character" w:customStyle="1" w:styleId="244">
    <w:name w:val="标题 2 Char"/>
    <w:qFormat/>
    <w:uiPriority w:val="0"/>
    <w:rPr>
      <w:rFonts w:ascii="Arial" w:hAnsi="Arial" w:eastAsia="黑体"/>
      <w:b/>
      <w:sz w:val="30"/>
      <w:lang w:val="en-US" w:eastAsia="zh-CN" w:bidi="ar-SA"/>
    </w:rPr>
  </w:style>
  <w:style w:type="paragraph" w:customStyle="1" w:styleId="245">
    <w:name w:val="字元 字元2"/>
    <w:basedOn w:val="1"/>
    <w:qFormat/>
    <w:uiPriority w:val="0"/>
    <w:rPr>
      <w:rFonts w:ascii="Tahoma" w:hAnsi="Tahoma"/>
      <w:sz w:val="24"/>
      <w:szCs w:val="20"/>
    </w:rPr>
  </w:style>
  <w:style w:type="paragraph" w:customStyle="1" w:styleId="246">
    <w:name w:val="Char3 Char Char Char2"/>
    <w:basedOn w:val="1"/>
    <w:qFormat/>
    <w:uiPriority w:val="0"/>
    <w:rPr>
      <w:rFonts w:ascii="Tahoma" w:hAnsi="Tahoma"/>
      <w:sz w:val="24"/>
      <w:szCs w:val="20"/>
    </w:rPr>
  </w:style>
  <w:style w:type="paragraph" w:customStyle="1" w:styleId="24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8">
    <w:name w:val="Char3"/>
    <w:basedOn w:val="1"/>
    <w:qFormat/>
    <w:uiPriority w:val="0"/>
    <w:pPr>
      <w:tabs>
        <w:tab w:val="left" w:pos="360"/>
      </w:tabs>
    </w:pPr>
    <w:rPr>
      <w:sz w:val="24"/>
    </w:rPr>
  </w:style>
  <w:style w:type="paragraph" w:customStyle="1" w:styleId="249">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50">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Char Char Char1 Char2"/>
    <w:basedOn w:val="1"/>
    <w:qFormat/>
    <w:uiPriority w:val="0"/>
    <w:rPr>
      <w:rFonts w:ascii="Tahoma" w:hAnsi="Tahoma"/>
      <w:sz w:val="24"/>
      <w:szCs w:val="20"/>
    </w:rPr>
  </w:style>
  <w:style w:type="paragraph" w:customStyle="1" w:styleId="253">
    <w:name w:val="Char Char Char2"/>
    <w:basedOn w:val="1"/>
    <w:qFormat/>
    <w:uiPriority w:val="0"/>
    <w:rPr>
      <w:rFonts w:ascii="Tahoma" w:hAnsi="Tahoma"/>
      <w:sz w:val="24"/>
      <w:szCs w:val="20"/>
    </w:rPr>
  </w:style>
  <w:style w:type="paragraph" w:customStyle="1" w:styleId="25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6">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Char22"/>
    <w:basedOn w:val="1"/>
    <w:qFormat/>
    <w:uiPriority w:val="0"/>
    <w:rPr>
      <w:rFonts w:ascii="Tahoma" w:hAnsi="Tahoma"/>
      <w:sz w:val="24"/>
      <w:szCs w:val="20"/>
    </w:rPr>
  </w:style>
  <w:style w:type="paragraph" w:customStyle="1" w:styleId="258">
    <w:name w:val="Char Char Char Char Char Char Char Char Char Char2"/>
    <w:basedOn w:val="1"/>
    <w:qFormat/>
    <w:uiPriority w:val="0"/>
    <w:rPr>
      <w:rFonts w:ascii="宋体" w:hAnsi="宋体" w:cs="Courier New"/>
      <w:sz w:val="32"/>
      <w:szCs w:val="32"/>
    </w:rPr>
  </w:style>
  <w:style w:type="paragraph" w:customStyle="1" w:styleId="259">
    <w:name w:val="Char2 Char Char Char Char Char Char1"/>
    <w:basedOn w:val="1"/>
    <w:qFormat/>
    <w:uiPriority w:val="0"/>
    <w:pPr>
      <w:widowControl/>
      <w:spacing w:line="400" w:lineRule="exact"/>
      <w:jc w:val="center"/>
    </w:pPr>
  </w:style>
  <w:style w:type="character" w:customStyle="1" w:styleId="260">
    <w:name w:val="页脚 Char"/>
    <w:qFormat/>
    <w:uiPriority w:val="0"/>
    <w:rPr>
      <w:rFonts w:ascii="宋体" w:eastAsia="宋体"/>
      <w:sz w:val="18"/>
      <w:lang w:val="en-US" w:eastAsia="zh-CN" w:bidi="ar-SA"/>
    </w:rPr>
  </w:style>
  <w:style w:type="paragraph" w:customStyle="1" w:styleId="261">
    <w:name w:val="Char Char41"/>
    <w:basedOn w:val="1"/>
    <w:qFormat/>
    <w:uiPriority w:val="0"/>
    <w:pPr>
      <w:widowControl/>
      <w:spacing w:line="400" w:lineRule="exact"/>
      <w:jc w:val="center"/>
    </w:pPr>
  </w:style>
  <w:style w:type="character" w:customStyle="1" w:styleId="262">
    <w:name w:val="批注文字 Char"/>
    <w:qFormat/>
    <w:uiPriority w:val="99"/>
    <w:rPr>
      <w:kern w:val="2"/>
      <w:sz w:val="21"/>
      <w:szCs w:val="24"/>
    </w:rPr>
  </w:style>
  <w:style w:type="character" w:customStyle="1" w:styleId="263">
    <w:name w:val="标题 Char"/>
    <w:qFormat/>
    <w:uiPriority w:val="0"/>
    <w:rPr>
      <w:b/>
      <w:kern w:val="2"/>
      <w:sz w:val="32"/>
    </w:rPr>
  </w:style>
  <w:style w:type="paragraph" w:customStyle="1" w:styleId="264">
    <w:name w:val="图例"/>
    <w:basedOn w:val="1"/>
    <w:qFormat/>
    <w:uiPriority w:val="0"/>
    <w:pPr>
      <w:spacing w:before="120" w:after="120" w:line="360" w:lineRule="auto"/>
      <w:jc w:val="center"/>
    </w:pPr>
    <w:rPr>
      <w:rFonts w:eastAsia="仿宋_GB2312"/>
      <w:b/>
      <w:sz w:val="24"/>
      <w:szCs w:val="20"/>
    </w:rPr>
  </w:style>
  <w:style w:type="table" w:customStyle="1" w:styleId="265">
    <w:name w:val="Table Normal"/>
    <w:unhideWhenUsed/>
    <w:qFormat/>
    <w:uiPriority w:val="2"/>
    <w:pPr>
      <w:widowControl w:val="0"/>
      <w:autoSpaceDE w:val="0"/>
      <w:autoSpaceDN w:val="0"/>
    </w:pPr>
    <w:rPr>
      <w:rFonts w:ascii="Calibri" w:hAnsi="Calibri" w:eastAsia="宋体" w:cs="Times New Roman"/>
      <w:sz w:val="22"/>
      <w:lang w:eastAsia="en-US"/>
    </w:rPr>
    <w:tblPr>
      <w:tblCellMar>
        <w:top w:w="0" w:type="dxa"/>
        <w:left w:w="0" w:type="dxa"/>
        <w:bottom w:w="0" w:type="dxa"/>
        <w:right w:w="0" w:type="dxa"/>
      </w:tblCellMar>
    </w:tblPr>
  </w:style>
  <w:style w:type="paragraph" w:customStyle="1" w:styleId="266">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67">
    <w:name w:val="正文首行缩进 Char"/>
    <w:link w:val="69"/>
    <w:qFormat/>
    <w:uiPriority w:val="0"/>
    <w:rPr>
      <w:rFonts w:ascii="宋体" w:hAnsi="宋体"/>
      <w:szCs w:val="24"/>
    </w:rPr>
  </w:style>
  <w:style w:type="character" w:customStyle="1" w:styleId="268">
    <w:name w:val="无间隔 字符"/>
    <w:link w:val="211"/>
    <w:qFormat/>
    <w:locked/>
    <w:uiPriority w:val="1"/>
    <w:rPr>
      <w:rFonts w:ascii="Times New Roman" w:hAnsi="Times New Roman" w:eastAsia="宋体" w:cs="Times New Roman"/>
      <w:szCs w:val="24"/>
    </w:rPr>
  </w:style>
  <w:style w:type="character" w:customStyle="1" w:styleId="269">
    <w:name w:val="未处理的提及1"/>
    <w:semiHidden/>
    <w:unhideWhenUsed/>
    <w:qFormat/>
    <w:uiPriority w:val="99"/>
    <w:rPr>
      <w:color w:val="605E5C"/>
      <w:shd w:val="clear" w:color="auto" w:fill="E1DFDD"/>
    </w:rPr>
  </w:style>
  <w:style w:type="character" w:customStyle="1" w:styleId="270">
    <w:name w:val="正文文本首行缩进 2 字符"/>
    <w:basedOn w:val="79"/>
    <w:link w:val="35"/>
    <w:semiHidden/>
    <w:qFormat/>
    <w:uiPriority w:val="99"/>
    <w:rPr>
      <w:rFonts w:ascii="Times New Roman" w:hAnsi="Times New Roman" w:eastAsia="宋体" w:cs="Times New Roman"/>
      <w:sz w:val="24"/>
      <w:szCs w:val="24"/>
    </w:rPr>
  </w:style>
  <w:style w:type="character" w:customStyle="1" w:styleId="271">
    <w:name w:val="正文文本首行缩进 字符"/>
    <w:basedOn w:val="77"/>
    <w:link w:val="34"/>
    <w:semiHidden/>
    <w:qFormat/>
    <w:uiPriority w:val="99"/>
    <w:rPr>
      <w:rFonts w:ascii="Times New Roman" w:hAnsi="Times New Roman" w:eastAsia="宋体" w:cs="Times New Roman"/>
      <w:sz w:val="24"/>
      <w:szCs w:val="24"/>
    </w:rPr>
  </w:style>
  <w:style w:type="paragraph" w:customStyle="1" w:styleId="272">
    <w:name w:val="2"/>
    <w:basedOn w:val="16"/>
    <w:next w:val="34"/>
    <w:qFormat/>
    <w:uiPriority w:val="0"/>
    <w:pPr>
      <w:tabs>
        <w:tab w:val="clear" w:pos="567"/>
      </w:tabs>
      <w:spacing w:before="0" w:after="120" w:line="240" w:lineRule="auto"/>
      <w:ind w:firstLine="420" w:firstLineChars="100"/>
    </w:pPr>
    <w:rPr>
      <w:rFonts w:eastAsiaTheme="minorEastAsia" w:cstheme="minorBidi"/>
      <w:sz w:val="21"/>
    </w:rPr>
  </w:style>
  <w:style w:type="paragraph" w:customStyle="1" w:styleId="273">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74">
    <w:name w:val="font01"/>
    <w:qFormat/>
    <w:uiPriority w:val="0"/>
    <w:rPr>
      <w:rFonts w:hint="eastAsia" w:ascii="宋体" w:hAnsi="宋体" w:eastAsia="宋体" w:cs="宋体"/>
      <w:b/>
      <w:color w:val="000000"/>
      <w:sz w:val="22"/>
      <w:szCs w:val="22"/>
      <w:u w:val="none"/>
      <w:vertAlign w:val="superscript"/>
    </w:rPr>
  </w:style>
  <w:style w:type="character" w:customStyle="1" w:styleId="275">
    <w:name w:val="font21"/>
    <w:qFormat/>
    <w:uiPriority w:val="0"/>
    <w:rPr>
      <w:rFonts w:hint="eastAsia" w:ascii="宋体" w:hAnsi="宋体" w:eastAsia="宋体" w:cs="宋体"/>
      <w:b/>
      <w:color w:val="000000"/>
      <w:sz w:val="22"/>
      <w:szCs w:val="22"/>
      <w:u w:val="none"/>
    </w:rPr>
  </w:style>
  <w:style w:type="paragraph" w:customStyle="1" w:styleId="276">
    <w:name w:val="段"/>
    <w:next w:val="1"/>
    <w:qFormat/>
    <w:uiPriority w:val="99"/>
    <w:pPr>
      <w:tabs>
        <w:tab w:val="left" w:pos="1395"/>
      </w:tabs>
      <w:autoSpaceDE w:val="0"/>
      <w:autoSpaceDN w:val="0"/>
      <w:spacing w:after="160" w:line="278" w:lineRule="auto"/>
      <w:ind w:firstLine="425"/>
      <w:jc w:val="both"/>
    </w:pPr>
    <w:rPr>
      <w:rFonts w:ascii="宋体" w:hAnsi="Times New Roman" w:eastAsia="宋体" w:cs="Times New Roman"/>
      <w:sz w:val="21"/>
      <w:lang w:val="en-US" w:eastAsia="zh-CN" w:bidi="ar-SA"/>
    </w:rPr>
  </w:style>
  <w:style w:type="paragraph" w:customStyle="1" w:styleId="277">
    <w:name w:val="Char1 Char Char Char"/>
    <w:basedOn w:val="1"/>
    <w:qFormat/>
    <w:uiPriority w:val="0"/>
    <w:rPr>
      <w:rFonts w:ascii="Tahoma" w:hAnsi="Tahoma"/>
    </w:rPr>
  </w:style>
  <w:style w:type="paragraph" w:customStyle="1" w:styleId="278">
    <w:name w:val="正文 缩进2字符"/>
    <w:basedOn w:val="1"/>
    <w:qFormat/>
    <w:uiPriority w:val="0"/>
    <w:pPr>
      <w:spacing w:line="288" w:lineRule="auto"/>
    </w:pPr>
    <w:rPr>
      <w:rFonts w:ascii="宋体" w:hAnsi="宋体"/>
      <w:sz w:val="28"/>
      <w:szCs w:val="28"/>
    </w:rPr>
  </w:style>
  <w:style w:type="paragraph" w:customStyle="1" w:styleId="279">
    <w:name w:val="Table Text"/>
    <w:basedOn w:val="1"/>
    <w:semiHidden/>
    <w:qFormat/>
    <w:uiPriority w:val="0"/>
    <w:rPr>
      <w:rFonts w:eastAsia="Arial"/>
      <w:sz w:val="21"/>
    </w:rPr>
  </w:style>
  <w:style w:type="paragraph" w:customStyle="1" w:styleId="28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81">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82">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83">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84">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85">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286">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87">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88">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89">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90">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91">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92">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93">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94">
    <w:name w:val="样式 31 10 磅"/>
    <w:next w:val="1"/>
    <w:qFormat/>
    <w:uiPriority w:val="0"/>
    <w:pPr>
      <w:widowControl w:val="0"/>
      <w:jc w:val="both"/>
    </w:pPr>
    <w:rPr>
      <w:rFonts w:ascii="Calibri" w:hAnsi="Times New Roman"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19134</Words>
  <Characters>19911</Characters>
  <Lines>250</Lines>
  <Paragraphs>70</Paragraphs>
  <TotalTime>4</TotalTime>
  <ScaleCrop>false</ScaleCrop>
  <LinksUpToDate>false</LinksUpToDate>
  <CharactersWithSpaces>20041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2022-05-07T08:14:00Z</dcterms:created>
  <dc:creator>DELL</dc:creator>
  <cp:lastModifiedBy>D</cp:lastModifiedBy>
  <cp:lastPrinted>2025-03-08T07:54:00Z</cp:lastPrinted>
  <dcterms:modified xsi:type="dcterms:W3CDTF">2025-07-18T02:31:09Z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eyJoZGlkIjoiMjgyZWQwZDgxMmY5ZTc2YzBhNTg5NWUwZDVlNWE0YjYiLCJ1c2VySWQiOiIyMjA0MDc2ODUifQ==</vt:lpwstr>
  </property>
  <property fmtid="{D5CDD505-2E9C-101B-9397-08002B2CF9AE}" pid="4" name="ICV">
    <vt:lpwstr>B7A6BCA1AB074DD1B991B8167CFAE97C_13</vt:lpwstr>
  </property>
</Properties>
</file>