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</w:rPr>
        <w:t>中国—葡语国家经贸博览会（澳门）北京展区项目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934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中国—葡语国家经贸博览会（澳门）北京展区项目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EFD02D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北京毅诚国际展览有限公司</w:t>
      </w:r>
    </w:p>
    <w:p w14:paraId="0B850B2B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供应商地址：北京市大兴区团结路19号院23号楼3层3单元303</w:t>
      </w:r>
    </w:p>
    <w:p w14:paraId="42B8E35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</w:p>
    <w:p w14:paraId="5F349FCC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人民币大写：叁拾叁万元整</w:t>
      </w:r>
    </w:p>
    <w:p w14:paraId="484ABA53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人民币小写：￥330000.00</w:t>
      </w:r>
    </w:p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DD63F6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中国—葡语国家经贸博览会（澳门）北京展区项目</w:t>
            </w:r>
          </w:p>
          <w:p w14:paraId="7038975C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根据采购人需求，为第二届中国—葡语国家经贸博览会（澳门）-北京展区组织开展全案策划搭建，把控各个筹展环节，及时做好参展企业和展会主办方之间的沟通和对接工作，确保筹展工作顺利开展，并在展会现场为参展企业做好服务，提升北京市企业的参展体验和效果。（具体要求详见招标文件）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  <w:p w14:paraId="0B6433E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eastAsia" w:ascii="Times New Roman" w:hAnsi="Times New Roman" w:eastAsia="宋体"/>
          <w:sz w:val="24"/>
          <w:szCs w:val="24"/>
          <w:highlight w:val="yellow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李成伦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白炜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吴昊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隋斌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常宇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1.00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  <w:highlight w:val="none"/>
        </w:rPr>
        <w:t>招标文件</w:t>
      </w:r>
      <w:r>
        <w:rPr>
          <w:rFonts w:ascii="Times New Roman" w:hAnsi="Times New Roman" w:eastAsia="宋体"/>
          <w:sz w:val="24"/>
          <w:szCs w:val="24"/>
          <w:highlight w:val="none"/>
        </w:rPr>
        <w:t>）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934</w:t>
      </w:r>
      <w:bookmarkStart w:id="6" w:name="_GoBack"/>
      <w:bookmarkEnd w:id="6"/>
    </w:p>
    <w:p w14:paraId="2737DBE8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8.3中标/成交供应商的评审总得分为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84.40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。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28359023"/>
      <w:bookmarkStart w:id="3" w:name="_Toc35393641"/>
      <w:bookmarkStart w:id="4" w:name="_Toc28359100"/>
      <w:bookmarkStart w:id="5" w:name="_Toc35393810"/>
    </w:p>
    <w:bookmarkEnd w:id="2"/>
    <w:bookmarkEnd w:id="3"/>
    <w:bookmarkEnd w:id="4"/>
    <w:bookmarkEnd w:id="5"/>
    <w:p w14:paraId="239ECED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5BA57047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北京市商务局</w:t>
      </w:r>
    </w:p>
    <w:p w14:paraId="410B432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地址：北京市通州区运河东大街57号院5号楼</w:t>
      </w:r>
    </w:p>
    <w:p w14:paraId="13DF185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联系方式：赵老师，010-55579511</w:t>
      </w:r>
    </w:p>
    <w:p w14:paraId="494FD53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0D7DDB3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82A19A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1501D3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联系方式：庞妍、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涂瑞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，010-65915614、65913057、65244576</w:t>
      </w:r>
    </w:p>
    <w:p w14:paraId="32FA96E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1C90836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项目联系人：庞妍、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涂瑞</w:t>
      </w:r>
    </w:p>
    <w:p w14:paraId="0F54BA7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电话：010-65915614、65913057、65244576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AA12C2"/>
    <w:rsid w:val="086509EE"/>
    <w:rsid w:val="0CB52FD7"/>
    <w:rsid w:val="0D474A66"/>
    <w:rsid w:val="0E653000"/>
    <w:rsid w:val="0F026464"/>
    <w:rsid w:val="0FD361F2"/>
    <w:rsid w:val="190B1D5D"/>
    <w:rsid w:val="1C7A627F"/>
    <w:rsid w:val="1E2021A1"/>
    <w:rsid w:val="1E530D63"/>
    <w:rsid w:val="20ED7034"/>
    <w:rsid w:val="21C439D7"/>
    <w:rsid w:val="23B11E58"/>
    <w:rsid w:val="23D1633F"/>
    <w:rsid w:val="241F24F1"/>
    <w:rsid w:val="251972CD"/>
    <w:rsid w:val="27714C28"/>
    <w:rsid w:val="27E35043"/>
    <w:rsid w:val="29BA425A"/>
    <w:rsid w:val="2C370F78"/>
    <w:rsid w:val="2D5262DB"/>
    <w:rsid w:val="31C115D3"/>
    <w:rsid w:val="345259BC"/>
    <w:rsid w:val="351A24E7"/>
    <w:rsid w:val="373F7FE3"/>
    <w:rsid w:val="38AB4E4E"/>
    <w:rsid w:val="3AC10AFB"/>
    <w:rsid w:val="3AFA37B9"/>
    <w:rsid w:val="3D2830EB"/>
    <w:rsid w:val="41685BD9"/>
    <w:rsid w:val="428A2CEC"/>
    <w:rsid w:val="447C5A84"/>
    <w:rsid w:val="4484172B"/>
    <w:rsid w:val="46E42B45"/>
    <w:rsid w:val="4EDF5E6B"/>
    <w:rsid w:val="51714D12"/>
    <w:rsid w:val="51FF51C4"/>
    <w:rsid w:val="53735C2D"/>
    <w:rsid w:val="546B750E"/>
    <w:rsid w:val="57966DD2"/>
    <w:rsid w:val="597818E8"/>
    <w:rsid w:val="59CA21A6"/>
    <w:rsid w:val="5B856852"/>
    <w:rsid w:val="5C293495"/>
    <w:rsid w:val="5C6057F2"/>
    <w:rsid w:val="5C787ACA"/>
    <w:rsid w:val="5CB219E1"/>
    <w:rsid w:val="62F8428B"/>
    <w:rsid w:val="667A0209"/>
    <w:rsid w:val="667A21AA"/>
    <w:rsid w:val="676F546D"/>
    <w:rsid w:val="6EA674BF"/>
    <w:rsid w:val="708C1EF2"/>
    <w:rsid w:val="721E03DD"/>
    <w:rsid w:val="77D77194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678</Words>
  <Characters>845</Characters>
  <Lines>6</Lines>
  <Paragraphs>1</Paragraphs>
  <TotalTime>0</TotalTime>
  <ScaleCrop>false</ScaleCrop>
  <LinksUpToDate>false</LinksUpToDate>
  <CharactersWithSpaces>847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代理</cp:lastModifiedBy>
  <cp:lastPrinted>2021-09-17T04:12:00Z</cp:lastPrinted>
  <dcterms:modified xsi:type="dcterms:W3CDTF">2025-09-05T03:29:06Z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eyJoZGlkIjoiYjlhMmY1N2NkYmU0MjRjNWFhZTJiZThhYWRkMDAzNjciLCJ1c2VySWQiOiI0MTQ1OTQ5MTUifQ==</vt:lpwstr>
  </property>
</Properties>
</file>