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53001AE">
      <w:pPr>
        <w:spacing w:before="195" w:line="219" w:lineRule="auto"/>
        <w:ind w:left="1775"/>
        <w:outlineLvl w:val="9"/>
        <w:rPr>
          <w:rFonts w:ascii="宋体" w:hAnsi="宋体" w:eastAsia="宋体" w:cs="宋体"/>
          <w:spacing w:val="-2"/>
          <w:sz w:val="60"/>
          <w:szCs w:val="60"/>
          <w:highlight w:val="none"/>
        </w:rPr>
      </w:pPr>
    </w:p>
    <w:p w14:paraId="582B45F5">
      <w:pPr>
        <w:spacing w:before="195" w:line="219" w:lineRule="auto"/>
        <w:ind w:left="1775"/>
        <w:outlineLvl w:val="9"/>
        <w:rPr>
          <w:rFonts w:ascii="宋体" w:hAnsi="宋体" w:eastAsia="宋体" w:cs="宋体"/>
          <w:spacing w:val="-2"/>
          <w:sz w:val="60"/>
          <w:szCs w:val="60"/>
          <w:highlight w:val="none"/>
        </w:rPr>
      </w:pPr>
    </w:p>
    <w:p w14:paraId="5894FDBB">
      <w:pPr>
        <w:spacing w:before="195" w:line="219" w:lineRule="auto"/>
        <w:ind w:left="1775"/>
        <w:outlineLvl w:val="9"/>
        <w:rPr>
          <w:rFonts w:ascii="宋体" w:hAnsi="宋体" w:eastAsia="宋体" w:cs="宋体"/>
          <w:spacing w:val="-2"/>
          <w:sz w:val="60"/>
          <w:szCs w:val="60"/>
          <w:highlight w:val="none"/>
        </w:rPr>
      </w:pPr>
    </w:p>
    <w:p w14:paraId="3A2A28DA">
      <w:pPr>
        <w:spacing w:before="195" w:line="219" w:lineRule="auto"/>
        <w:ind w:left="1775"/>
        <w:outlineLvl w:val="9"/>
        <w:rPr>
          <w:rFonts w:ascii="宋体" w:hAnsi="宋体" w:eastAsia="宋体" w:cs="宋体"/>
          <w:sz w:val="60"/>
          <w:szCs w:val="60"/>
          <w:highlight w:val="none"/>
        </w:rPr>
      </w:pPr>
      <w:bookmarkStart w:id="0" w:name="_Toc229"/>
      <w:r>
        <w:rPr>
          <w:rFonts w:ascii="宋体" w:hAnsi="宋体" w:eastAsia="宋体" w:cs="宋体"/>
          <w:spacing w:val="-2"/>
          <w:sz w:val="60"/>
          <w:szCs w:val="60"/>
          <w:highlight w:val="none"/>
        </w:rPr>
        <w:t>北京市政府采购项目</w:t>
      </w:r>
      <w:bookmarkEnd w:id="0"/>
    </w:p>
    <w:p w14:paraId="4C0E729E">
      <w:pPr>
        <w:spacing w:before="65" w:line="219" w:lineRule="auto"/>
        <w:ind w:left="1170" w:firstLine="1196" w:firstLineChars="200"/>
        <w:rPr>
          <w:rFonts w:ascii="宋体" w:hAnsi="宋体" w:eastAsia="宋体" w:cs="宋体"/>
          <w:sz w:val="60"/>
          <w:szCs w:val="60"/>
          <w:highlight w:val="none"/>
        </w:rPr>
      </w:pPr>
      <w:r>
        <w:rPr>
          <w:rFonts w:ascii="宋体" w:hAnsi="宋体" w:eastAsia="宋体" w:cs="宋体"/>
          <w:spacing w:val="-1"/>
          <w:sz w:val="60"/>
          <w:szCs w:val="60"/>
          <w:highlight w:val="none"/>
        </w:rPr>
        <w:t>竞争性磋商文件</w:t>
      </w:r>
    </w:p>
    <w:p w14:paraId="02F5ADD6">
      <w:pPr>
        <w:spacing w:line="248" w:lineRule="auto"/>
        <w:rPr>
          <w:rFonts w:ascii="Arial"/>
          <w:sz w:val="21"/>
          <w:highlight w:val="none"/>
        </w:rPr>
      </w:pPr>
    </w:p>
    <w:p w14:paraId="5EFB5CCC">
      <w:pPr>
        <w:spacing w:line="248" w:lineRule="auto"/>
        <w:rPr>
          <w:rFonts w:ascii="Arial"/>
          <w:sz w:val="21"/>
          <w:highlight w:val="none"/>
        </w:rPr>
      </w:pPr>
    </w:p>
    <w:p w14:paraId="1D610A4B">
      <w:pPr>
        <w:spacing w:line="248" w:lineRule="auto"/>
        <w:rPr>
          <w:rFonts w:ascii="Arial"/>
          <w:sz w:val="21"/>
          <w:highlight w:val="none"/>
        </w:rPr>
      </w:pPr>
    </w:p>
    <w:p w14:paraId="4FF33A4B">
      <w:pPr>
        <w:spacing w:line="249" w:lineRule="auto"/>
        <w:rPr>
          <w:rFonts w:ascii="Arial"/>
          <w:sz w:val="21"/>
          <w:highlight w:val="none"/>
        </w:rPr>
      </w:pPr>
    </w:p>
    <w:p w14:paraId="1F29BCC0">
      <w:pPr>
        <w:spacing w:line="249" w:lineRule="auto"/>
        <w:rPr>
          <w:rFonts w:ascii="Arial"/>
          <w:sz w:val="21"/>
          <w:highlight w:val="none"/>
        </w:rPr>
      </w:pPr>
    </w:p>
    <w:p w14:paraId="00ABE33B">
      <w:pPr>
        <w:spacing w:line="249" w:lineRule="auto"/>
        <w:rPr>
          <w:rFonts w:ascii="Arial"/>
          <w:sz w:val="21"/>
          <w:highlight w:val="none"/>
        </w:rPr>
      </w:pPr>
    </w:p>
    <w:p w14:paraId="3C4ABEAA">
      <w:pPr>
        <w:spacing w:line="249" w:lineRule="auto"/>
        <w:rPr>
          <w:rFonts w:ascii="Arial"/>
          <w:sz w:val="21"/>
          <w:highlight w:val="none"/>
        </w:rPr>
      </w:pPr>
    </w:p>
    <w:p w14:paraId="30B3A2B3">
      <w:pPr>
        <w:spacing w:line="249" w:lineRule="auto"/>
        <w:rPr>
          <w:rFonts w:ascii="Arial"/>
          <w:sz w:val="21"/>
          <w:highlight w:val="none"/>
        </w:rPr>
      </w:pPr>
    </w:p>
    <w:p w14:paraId="509741EC">
      <w:pPr>
        <w:spacing w:line="249" w:lineRule="auto"/>
        <w:rPr>
          <w:rFonts w:ascii="Arial"/>
          <w:sz w:val="21"/>
          <w:highlight w:val="none"/>
        </w:rPr>
      </w:pPr>
    </w:p>
    <w:p w14:paraId="0F4F4FA0">
      <w:pPr>
        <w:spacing w:line="249" w:lineRule="auto"/>
        <w:rPr>
          <w:rFonts w:ascii="Arial"/>
          <w:sz w:val="21"/>
          <w:highlight w:val="none"/>
        </w:rPr>
      </w:pPr>
    </w:p>
    <w:p w14:paraId="4DED9FA8">
      <w:pPr>
        <w:keepNext w:val="0"/>
        <w:keepLines w:val="0"/>
        <w:pageBreakBefore w:val="0"/>
        <w:widowControl w:val="0"/>
        <w:kinsoku/>
        <w:wordWrap/>
        <w:overflowPunct/>
        <w:topLinePunct w:val="0"/>
        <w:autoSpaceDE/>
        <w:autoSpaceDN/>
        <w:bidi w:val="0"/>
        <w:adjustRightInd/>
        <w:snapToGrid/>
        <w:spacing w:before="117" w:line="360" w:lineRule="auto"/>
        <w:ind w:left="867"/>
        <w:textAlignment w:val="auto"/>
        <w:rPr>
          <w:rFonts w:ascii="宋体" w:hAnsi="宋体" w:eastAsia="宋体" w:cs="宋体"/>
          <w:spacing w:val="-17"/>
          <w:sz w:val="36"/>
          <w:szCs w:val="36"/>
        </w:rPr>
      </w:pPr>
    </w:p>
    <w:p w14:paraId="686377A6">
      <w:pPr>
        <w:keepNext w:val="0"/>
        <w:keepLines w:val="0"/>
        <w:pageBreakBefore w:val="0"/>
        <w:widowControl w:val="0"/>
        <w:kinsoku/>
        <w:wordWrap/>
        <w:overflowPunct/>
        <w:topLinePunct w:val="0"/>
        <w:autoSpaceDE/>
        <w:autoSpaceDN/>
        <w:bidi w:val="0"/>
        <w:adjustRightInd/>
        <w:snapToGrid/>
        <w:spacing w:before="117" w:line="360" w:lineRule="auto"/>
        <w:ind w:left="867"/>
        <w:textAlignment w:val="auto"/>
        <w:rPr>
          <w:rFonts w:hint="eastAsia" w:ascii="宋体" w:hAnsi="宋体" w:eastAsia="宋体" w:cs="宋体"/>
          <w:spacing w:val="-17"/>
          <w:sz w:val="36"/>
          <w:szCs w:val="36"/>
          <w:lang w:val="en-US" w:eastAsia="zh-CN"/>
        </w:rPr>
      </w:pPr>
      <w:bookmarkStart w:id="1" w:name="OLE_LINK1"/>
      <w:r>
        <w:rPr>
          <w:rFonts w:hint="eastAsia" w:ascii="宋体" w:hAnsi="宋体" w:eastAsia="宋体" w:cs="宋体"/>
          <w:spacing w:val="-17"/>
          <w:sz w:val="36"/>
          <w:szCs w:val="36"/>
        </w:rPr>
        <w:t>项</w:t>
      </w:r>
      <w:r>
        <w:rPr>
          <w:rFonts w:hint="eastAsia" w:ascii="宋体" w:hAnsi="宋体" w:eastAsia="宋体" w:cs="宋体"/>
          <w:spacing w:val="-17"/>
          <w:sz w:val="36"/>
          <w:szCs w:val="36"/>
          <w:lang w:val="en-US" w:eastAsia="zh-CN"/>
        </w:rPr>
        <w:t xml:space="preserve">  </w:t>
      </w:r>
      <w:r>
        <w:rPr>
          <w:rFonts w:hint="eastAsia" w:ascii="宋体" w:hAnsi="宋体" w:eastAsia="宋体" w:cs="宋体"/>
          <w:spacing w:val="-17"/>
          <w:sz w:val="36"/>
          <w:szCs w:val="36"/>
        </w:rPr>
        <w:t>目</w:t>
      </w:r>
      <w:r>
        <w:rPr>
          <w:rFonts w:hint="eastAsia" w:ascii="宋体" w:hAnsi="宋体" w:eastAsia="宋体" w:cs="宋体"/>
          <w:spacing w:val="-17"/>
          <w:sz w:val="36"/>
          <w:szCs w:val="36"/>
          <w:lang w:val="en-US" w:eastAsia="zh-CN"/>
        </w:rPr>
        <w:t xml:space="preserve">  </w:t>
      </w:r>
      <w:r>
        <w:rPr>
          <w:rFonts w:hint="eastAsia" w:ascii="宋体" w:hAnsi="宋体" w:eastAsia="宋体" w:cs="宋体"/>
          <w:spacing w:val="-17"/>
          <w:sz w:val="36"/>
          <w:szCs w:val="36"/>
        </w:rPr>
        <w:t>名</w:t>
      </w:r>
      <w:r>
        <w:rPr>
          <w:rFonts w:hint="eastAsia" w:ascii="宋体" w:hAnsi="宋体" w:eastAsia="宋体" w:cs="宋体"/>
          <w:spacing w:val="-17"/>
          <w:sz w:val="36"/>
          <w:szCs w:val="36"/>
          <w:lang w:val="en-US" w:eastAsia="zh-CN"/>
        </w:rPr>
        <w:t xml:space="preserve">  </w:t>
      </w:r>
      <w:r>
        <w:rPr>
          <w:rFonts w:hint="eastAsia" w:ascii="宋体" w:hAnsi="宋体" w:eastAsia="宋体" w:cs="宋体"/>
          <w:spacing w:val="-17"/>
          <w:sz w:val="36"/>
          <w:szCs w:val="36"/>
        </w:rPr>
        <w:t>称：</w:t>
      </w:r>
      <w:r>
        <w:rPr>
          <w:rFonts w:hint="eastAsia" w:ascii="宋体" w:hAnsi="宋体" w:eastAsia="宋体" w:cs="宋体"/>
          <w:spacing w:val="-17"/>
          <w:sz w:val="36"/>
          <w:szCs w:val="36"/>
          <w:lang w:val="en-US" w:eastAsia="zh-CN"/>
        </w:rPr>
        <w:t>公交375场站优化提升改造项目—北京北站落客区建设工程总承包（EPC）</w:t>
      </w:r>
    </w:p>
    <w:p w14:paraId="31390B1B">
      <w:pPr>
        <w:keepNext w:val="0"/>
        <w:keepLines w:val="0"/>
        <w:pageBreakBefore w:val="0"/>
        <w:widowControl w:val="0"/>
        <w:kinsoku/>
        <w:wordWrap/>
        <w:overflowPunct/>
        <w:topLinePunct w:val="0"/>
        <w:autoSpaceDE/>
        <w:autoSpaceDN/>
        <w:bidi w:val="0"/>
        <w:adjustRightInd/>
        <w:snapToGrid/>
        <w:spacing w:before="117" w:line="360" w:lineRule="auto"/>
        <w:ind w:left="867"/>
        <w:textAlignment w:val="auto"/>
        <w:rPr>
          <w:rFonts w:hint="eastAsia" w:ascii="宋体" w:hAnsi="宋体" w:eastAsia="宋体" w:cs="宋体"/>
          <w:spacing w:val="-17"/>
          <w:sz w:val="36"/>
          <w:szCs w:val="36"/>
          <w:lang w:val="en-US" w:eastAsia="zh-CN"/>
        </w:rPr>
      </w:pPr>
      <w:r>
        <w:rPr>
          <w:rFonts w:hint="eastAsia" w:ascii="宋体" w:hAnsi="宋体" w:eastAsia="宋体" w:cs="宋体"/>
          <w:spacing w:val="-17"/>
          <w:sz w:val="36"/>
          <w:szCs w:val="36"/>
        </w:rPr>
        <w:t>项目编号/包号：</w:t>
      </w:r>
      <w:r>
        <w:rPr>
          <w:rFonts w:hint="eastAsia" w:ascii="宋体" w:hAnsi="宋体" w:eastAsia="宋体" w:cs="宋体"/>
          <w:spacing w:val="-17"/>
          <w:sz w:val="36"/>
          <w:szCs w:val="36"/>
          <w:lang w:eastAsia="zh-CN"/>
        </w:rPr>
        <w:t>BIECC-25CG10429</w:t>
      </w:r>
    </w:p>
    <w:p w14:paraId="60255D1E">
      <w:pPr>
        <w:keepNext w:val="0"/>
        <w:keepLines w:val="0"/>
        <w:pageBreakBefore w:val="0"/>
        <w:widowControl w:val="0"/>
        <w:kinsoku/>
        <w:wordWrap/>
        <w:overflowPunct/>
        <w:topLinePunct w:val="0"/>
        <w:autoSpaceDE/>
        <w:autoSpaceDN/>
        <w:bidi w:val="0"/>
        <w:adjustRightInd/>
        <w:snapToGrid/>
        <w:spacing w:before="117" w:line="360" w:lineRule="auto"/>
        <w:ind w:left="867"/>
        <w:textAlignment w:val="auto"/>
        <w:rPr>
          <w:rFonts w:hint="eastAsia" w:ascii="宋体" w:hAnsi="宋体" w:eastAsia="宋体" w:cs="宋体"/>
          <w:spacing w:val="-17"/>
          <w:sz w:val="36"/>
          <w:szCs w:val="36"/>
          <w:lang w:eastAsia="zh-CN"/>
        </w:rPr>
      </w:pPr>
      <w:r>
        <w:rPr>
          <w:rFonts w:hint="eastAsia" w:ascii="宋体" w:hAnsi="宋体" w:eastAsia="宋体" w:cs="宋体"/>
          <w:spacing w:val="-17"/>
          <w:sz w:val="36"/>
          <w:szCs w:val="36"/>
        </w:rPr>
        <w:t>采</w:t>
      </w:r>
      <w:r>
        <w:rPr>
          <w:rFonts w:hint="eastAsia" w:ascii="宋体" w:hAnsi="宋体" w:eastAsia="宋体" w:cs="宋体"/>
          <w:spacing w:val="-17"/>
          <w:sz w:val="36"/>
          <w:szCs w:val="36"/>
          <w:lang w:val="en-US" w:eastAsia="zh-CN"/>
        </w:rPr>
        <w:t xml:space="preserve"> </w:t>
      </w:r>
      <w:r>
        <w:rPr>
          <w:rFonts w:hint="eastAsia" w:ascii="宋体" w:hAnsi="宋体" w:eastAsia="宋体" w:cs="宋体"/>
          <w:spacing w:val="-17"/>
          <w:sz w:val="36"/>
          <w:szCs w:val="36"/>
        </w:rPr>
        <w:t xml:space="preserve"> </w:t>
      </w:r>
      <w:r>
        <w:rPr>
          <w:rFonts w:hint="eastAsia" w:ascii="宋体" w:hAnsi="宋体" w:eastAsia="宋体" w:cs="宋体"/>
          <w:spacing w:val="-17"/>
          <w:sz w:val="36"/>
          <w:szCs w:val="36"/>
          <w:lang w:val="en-US" w:eastAsia="zh-CN"/>
        </w:rPr>
        <w:t xml:space="preserve"> </w:t>
      </w:r>
      <w:r>
        <w:rPr>
          <w:rFonts w:hint="eastAsia" w:ascii="宋体" w:hAnsi="宋体" w:eastAsia="宋体" w:cs="宋体"/>
          <w:spacing w:val="-17"/>
          <w:sz w:val="36"/>
          <w:szCs w:val="36"/>
        </w:rPr>
        <w:t xml:space="preserve">购 </w:t>
      </w:r>
      <w:r>
        <w:rPr>
          <w:rFonts w:hint="eastAsia" w:ascii="宋体" w:hAnsi="宋体" w:eastAsia="宋体" w:cs="宋体"/>
          <w:spacing w:val="-17"/>
          <w:sz w:val="36"/>
          <w:szCs w:val="36"/>
          <w:lang w:val="en-US" w:eastAsia="zh-CN"/>
        </w:rPr>
        <w:t xml:space="preserve">  </w:t>
      </w:r>
      <w:r>
        <w:rPr>
          <w:rFonts w:hint="eastAsia" w:ascii="宋体" w:hAnsi="宋体" w:eastAsia="宋体" w:cs="宋体"/>
          <w:spacing w:val="-17"/>
          <w:sz w:val="36"/>
          <w:szCs w:val="36"/>
        </w:rPr>
        <w:t>人：</w:t>
      </w:r>
      <w:r>
        <w:rPr>
          <w:rFonts w:hint="eastAsia" w:ascii="宋体" w:hAnsi="宋体" w:eastAsia="宋体" w:cs="宋体"/>
          <w:spacing w:val="-17"/>
          <w:sz w:val="36"/>
          <w:szCs w:val="36"/>
          <w:lang w:eastAsia="zh-CN"/>
        </w:rPr>
        <w:t>北京市重点站区管理委员会</w:t>
      </w:r>
    </w:p>
    <w:p w14:paraId="1360EA2B">
      <w:pPr>
        <w:keepNext w:val="0"/>
        <w:keepLines w:val="0"/>
        <w:pageBreakBefore w:val="0"/>
        <w:widowControl w:val="0"/>
        <w:kinsoku/>
        <w:wordWrap/>
        <w:overflowPunct/>
        <w:topLinePunct w:val="0"/>
        <w:autoSpaceDE/>
        <w:autoSpaceDN/>
        <w:bidi w:val="0"/>
        <w:adjustRightInd/>
        <w:snapToGrid/>
        <w:spacing w:before="117" w:line="360" w:lineRule="auto"/>
        <w:ind w:left="867"/>
        <w:textAlignment w:val="auto"/>
        <w:rPr>
          <w:rFonts w:hint="eastAsia" w:ascii="宋体" w:hAnsi="宋体" w:eastAsia="宋体" w:cs="宋体"/>
          <w:spacing w:val="-17"/>
          <w:sz w:val="36"/>
          <w:szCs w:val="36"/>
        </w:rPr>
      </w:pPr>
      <w:r>
        <w:rPr>
          <w:rFonts w:hint="eastAsia" w:ascii="宋体" w:hAnsi="宋体" w:eastAsia="宋体" w:cs="宋体"/>
          <w:spacing w:val="-17"/>
          <w:sz w:val="36"/>
          <w:szCs w:val="36"/>
        </w:rPr>
        <w:t>采购代理机构：北京国际工程咨询有限公司</w:t>
      </w:r>
    </w:p>
    <w:p w14:paraId="3F5B0BBB">
      <w:pPr>
        <w:keepNext w:val="0"/>
        <w:keepLines w:val="0"/>
        <w:pageBreakBefore w:val="0"/>
        <w:widowControl w:val="0"/>
        <w:kinsoku/>
        <w:wordWrap/>
        <w:overflowPunct/>
        <w:topLinePunct w:val="0"/>
        <w:autoSpaceDE/>
        <w:autoSpaceDN/>
        <w:bidi w:val="0"/>
        <w:adjustRightInd/>
        <w:snapToGrid/>
        <w:spacing w:before="117" w:line="360" w:lineRule="auto"/>
        <w:ind w:left="867"/>
        <w:textAlignment w:val="auto"/>
        <w:rPr>
          <w:rFonts w:hint="eastAsia" w:ascii="宋体" w:hAnsi="宋体" w:eastAsia="宋体" w:cs="宋体"/>
          <w:spacing w:val="-17"/>
          <w:sz w:val="36"/>
          <w:szCs w:val="36"/>
        </w:rPr>
        <w:sectPr>
          <w:headerReference r:id="rId4" w:type="first"/>
          <w:footerReference r:id="rId7" w:type="first"/>
          <w:headerReference r:id="rId3" w:type="default"/>
          <w:footerReference r:id="rId5" w:type="default"/>
          <w:footerReference r:id="rId6" w:type="even"/>
          <w:pgSz w:w="11907" w:h="16840"/>
          <w:pgMar w:top="1418" w:right="1134" w:bottom="1418" w:left="1701" w:header="851" w:footer="851" w:gutter="0"/>
          <w:pgNumType w:fmt="decimal" w:start="1"/>
          <w:cols w:space="720" w:num="1"/>
          <w:docGrid w:linePitch="462" w:charSpace="0"/>
        </w:sectPr>
      </w:pPr>
    </w:p>
    <w:bookmarkEnd w:id="1"/>
    <w:p w14:paraId="5A8D090E">
      <w:pPr>
        <w:widowControl/>
        <w:jc w:val="left"/>
        <w:rPr>
          <w:rFonts w:eastAsia="宋体"/>
          <w:color w:val="000000"/>
          <w:kern w:val="0"/>
          <w:sz w:val="24"/>
          <w:highlight w:val="none"/>
        </w:rPr>
      </w:pPr>
    </w:p>
    <w:p w14:paraId="34BF5DC4">
      <w:pPr>
        <w:pStyle w:val="182"/>
        <w:spacing w:line="360" w:lineRule="auto"/>
        <w:rPr>
          <w:rFonts w:ascii="Times New Roman" w:hAnsi="Times New Roman" w:eastAsia="宋体" w:cs="Times New Roman"/>
          <w:highlight w:val="none"/>
        </w:rPr>
      </w:pPr>
    </w:p>
    <w:p w14:paraId="0AE69800">
      <w:pPr>
        <w:spacing w:line="360" w:lineRule="auto"/>
        <w:jc w:val="center"/>
        <w:outlineLvl w:val="0"/>
        <w:rPr>
          <w:rFonts w:eastAsia="宋体"/>
          <w:b/>
          <w:sz w:val="36"/>
          <w:szCs w:val="36"/>
          <w:highlight w:val="none"/>
        </w:rPr>
      </w:pPr>
      <w:bookmarkStart w:id="2" w:name="_Toc30301"/>
      <w:bookmarkStart w:id="3" w:name="_Toc19432"/>
      <w:r>
        <w:rPr>
          <w:rFonts w:hint="eastAsia" w:eastAsia="宋体"/>
          <w:b/>
          <w:sz w:val="36"/>
          <w:szCs w:val="36"/>
          <w:highlight w:val="none"/>
        </w:rPr>
        <w:t>目</w:t>
      </w:r>
      <w:r>
        <w:rPr>
          <w:rFonts w:eastAsia="宋体"/>
          <w:b/>
          <w:sz w:val="36"/>
          <w:szCs w:val="36"/>
          <w:highlight w:val="none"/>
        </w:rPr>
        <w:t xml:space="preserve">      </w:t>
      </w:r>
      <w:r>
        <w:rPr>
          <w:rFonts w:hint="eastAsia" w:eastAsia="宋体"/>
          <w:b/>
          <w:sz w:val="36"/>
          <w:szCs w:val="36"/>
          <w:highlight w:val="none"/>
        </w:rPr>
        <w:t>录</w:t>
      </w:r>
      <w:bookmarkEnd w:id="2"/>
      <w:bookmarkEnd w:id="3"/>
    </w:p>
    <w:p w14:paraId="15018603">
      <w:pPr>
        <w:rPr>
          <w:rFonts w:eastAsia="宋体"/>
          <w:highlight w:val="none"/>
        </w:rPr>
      </w:pPr>
    </w:p>
    <w:p w14:paraId="504C7785">
      <w:pPr>
        <w:rPr>
          <w:rFonts w:eastAsia="宋体"/>
          <w:highlight w:val="none"/>
        </w:rPr>
      </w:pPr>
    </w:p>
    <w:p w14:paraId="0A2AFAC6">
      <w:pPr>
        <w:rPr>
          <w:rFonts w:eastAsia="宋体"/>
          <w:highlight w:val="none"/>
        </w:rPr>
      </w:pPr>
    </w:p>
    <w:p w14:paraId="78757D1A">
      <w:pPr>
        <w:rPr>
          <w:rFonts w:eastAsia="宋体"/>
          <w:highlight w:val="none"/>
        </w:rPr>
      </w:pPr>
    </w:p>
    <w:p w14:paraId="29E3C6E1">
      <w:pPr>
        <w:pStyle w:val="31"/>
        <w:keepNext w:val="0"/>
        <w:keepLines w:val="0"/>
        <w:pageBreakBefore w:val="0"/>
        <w:widowControl w:val="0"/>
        <w:tabs>
          <w:tab w:val="right" w:leader="dot" w:pos="9072"/>
          <w:tab w:val="clear" w:pos="1050"/>
          <w:tab w:val="clear" w:pos="8937"/>
        </w:tabs>
        <w:kinsoku/>
        <w:wordWrap/>
        <w:overflowPunct/>
        <w:topLinePunct w:val="0"/>
        <w:autoSpaceDE/>
        <w:autoSpaceDN/>
        <w:bidi w:val="0"/>
        <w:adjustRightInd/>
        <w:snapToGrid/>
        <w:spacing w:line="360" w:lineRule="auto"/>
        <w:textAlignment w:val="auto"/>
        <w:rPr>
          <w:sz w:val="28"/>
          <w:szCs w:val="28"/>
        </w:rPr>
      </w:pPr>
      <w:r>
        <w:rPr>
          <w:rFonts w:ascii="Times New Roman" w:hAnsi="Times New Roman" w:eastAsia="宋体"/>
          <w:b w:val="0"/>
          <w:sz w:val="28"/>
          <w:szCs w:val="28"/>
          <w:highlight w:val="none"/>
        </w:rPr>
        <w:fldChar w:fldCharType="begin"/>
      </w:r>
      <w:r>
        <w:rPr>
          <w:rFonts w:ascii="Times New Roman" w:hAnsi="Times New Roman" w:eastAsia="宋体"/>
          <w:b w:val="0"/>
          <w:sz w:val="28"/>
          <w:szCs w:val="28"/>
          <w:highlight w:val="none"/>
        </w:rPr>
        <w:instrText xml:space="preserve"> TOC \o "1-1" \h \z \u </w:instrText>
      </w:r>
      <w:r>
        <w:rPr>
          <w:rFonts w:ascii="Times New Roman" w:hAnsi="Times New Roman" w:eastAsia="宋体"/>
          <w:b w:val="0"/>
          <w:sz w:val="28"/>
          <w:szCs w:val="28"/>
          <w:highlight w:val="none"/>
        </w:rPr>
        <w:fldChar w:fldCharType="separate"/>
      </w:r>
      <w:r>
        <w:rPr>
          <w:rFonts w:ascii="Times New Roman" w:hAnsi="Times New Roman" w:eastAsia="宋体"/>
          <w:sz w:val="28"/>
          <w:szCs w:val="28"/>
          <w:highlight w:val="none"/>
        </w:rPr>
        <w:fldChar w:fldCharType="begin"/>
      </w:r>
      <w:r>
        <w:rPr>
          <w:rFonts w:ascii="Times New Roman" w:hAnsi="Times New Roman" w:eastAsia="宋体"/>
          <w:sz w:val="28"/>
          <w:szCs w:val="28"/>
          <w:highlight w:val="none"/>
        </w:rPr>
        <w:instrText xml:space="preserve"> HYPERLINK \l _Toc13995 </w:instrText>
      </w:r>
      <w:r>
        <w:rPr>
          <w:rFonts w:ascii="Times New Roman" w:hAnsi="Times New Roman" w:eastAsia="宋体"/>
          <w:sz w:val="28"/>
          <w:szCs w:val="28"/>
          <w:highlight w:val="none"/>
        </w:rPr>
        <w:fldChar w:fldCharType="separate"/>
      </w:r>
      <w:r>
        <w:rPr>
          <w:rFonts w:eastAsia="宋体"/>
          <w:sz w:val="28"/>
          <w:szCs w:val="40"/>
          <w:highlight w:val="none"/>
        </w:rPr>
        <w:t>第一章   采购邀请</w:t>
      </w:r>
      <w:r>
        <w:rPr>
          <w:sz w:val="28"/>
          <w:szCs w:val="28"/>
        </w:rPr>
        <w:tab/>
      </w:r>
      <w:r>
        <w:rPr>
          <w:sz w:val="28"/>
          <w:szCs w:val="28"/>
        </w:rPr>
        <w:fldChar w:fldCharType="begin"/>
      </w:r>
      <w:r>
        <w:rPr>
          <w:sz w:val="28"/>
          <w:szCs w:val="28"/>
        </w:rPr>
        <w:instrText xml:space="preserve"> PAGEREF _Toc13995 \h </w:instrText>
      </w:r>
      <w:r>
        <w:rPr>
          <w:sz w:val="28"/>
          <w:szCs w:val="28"/>
        </w:rPr>
        <w:fldChar w:fldCharType="separate"/>
      </w:r>
      <w:r>
        <w:rPr>
          <w:sz w:val="28"/>
          <w:szCs w:val="28"/>
        </w:rPr>
        <w:t>2</w:t>
      </w:r>
      <w:r>
        <w:rPr>
          <w:sz w:val="28"/>
          <w:szCs w:val="28"/>
        </w:rPr>
        <w:fldChar w:fldCharType="end"/>
      </w:r>
      <w:r>
        <w:rPr>
          <w:rFonts w:ascii="Times New Roman" w:hAnsi="Times New Roman" w:eastAsia="宋体"/>
          <w:sz w:val="28"/>
          <w:szCs w:val="28"/>
          <w:highlight w:val="none"/>
        </w:rPr>
        <w:fldChar w:fldCharType="end"/>
      </w:r>
    </w:p>
    <w:p w14:paraId="38FB9037">
      <w:pPr>
        <w:pStyle w:val="31"/>
        <w:keepNext w:val="0"/>
        <w:keepLines w:val="0"/>
        <w:pageBreakBefore w:val="0"/>
        <w:widowControl w:val="0"/>
        <w:tabs>
          <w:tab w:val="right" w:leader="dot" w:pos="9072"/>
          <w:tab w:val="clear" w:pos="1050"/>
          <w:tab w:val="clear" w:pos="8937"/>
        </w:tabs>
        <w:kinsoku/>
        <w:wordWrap/>
        <w:overflowPunct/>
        <w:topLinePunct w:val="0"/>
        <w:autoSpaceDE/>
        <w:autoSpaceDN/>
        <w:bidi w:val="0"/>
        <w:adjustRightInd/>
        <w:snapToGrid/>
        <w:spacing w:line="360" w:lineRule="auto"/>
        <w:textAlignment w:val="auto"/>
        <w:rPr>
          <w:sz w:val="28"/>
          <w:szCs w:val="28"/>
        </w:rPr>
      </w:pPr>
      <w:r>
        <w:rPr>
          <w:rFonts w:ascii="Times New Roman" w:hAnsi="Times New Roman" w:eastAsia="宋体"/>
          <w:sz w:val="28"/>
          <w:szCs w:val="28"/>
          <w:highlight w:val="none"/>
        </w:rPr>
        <w:fldChar w:fldCharType="begin"/>
      </w:r>
      <w:r>
        <w:rPr>
          <w:rFonts w:ascii="Times New Roman" w:hAnsi="Times New Roman" w:eastAsia="宋体"/>
          <w:sz w:val="28"/>
          <w:szCs w:val="28"/>
          <w:highlight w:val="none"/>
        </w:rPr>
        <w:instrText xml:space="preserve"> HYPERLINK \l _Toc24559 </w:instrText>
      </w:r>
      <w:r>
        <w:rPr>
          <w:rFonts w:ascii="Times New Roman" w:hAnsi="Times New Roman" w:eastAsia="宋体"/>
          <w:sz w:val="28"/>
          <w:szCs w:val="28"/>
          <w:highlight w:val="none"/>
        </w:rPr>
        <w:fldChar w:fldCharType="separate"/>
      </w:r>
      <w:r>
        <w:rPr>
          <w:rFonts w:eastAsia="宋体"/>
          <w:sz w:val="28"/>
          <w:szCs w:val="40"/>
          <w:highlight w:val="none"/>
        </w:rPr>
        <w:t>第二章   供应商须知</w:t>
      </w:r>
      <w:r>
        <w:rPr>
          <w:sz w:val="28"/>
          <w:szCs w:val="28"/>
        </w:rPr>
        <w:tab/>
      </w:r>
      <w:r>
        <w:rPr>
          <w:sz w:val="28"/>
          <w:szCs w:val="28"/>
        </w:rPr>
        <w:fldChar w:fldCharType="begin"/>
      </w:r>
      <w:r>
        <w:rPr>
          <w:sz w:val="28"/>
          <w:szCs w:val="28"/>
        </w:rPr>
        <w:instrText xml:space="preserve"> PAGEREF _Toc24559 \h </w:instrText>
      </w:r>
      <w:r>
        <w:rPr>
          <w:sz w:val="28"/>
          <w:szCs w:val="28"/>
        </w:rPr>
        <w:fldChar w:fldCharType="separate"/>
      </w:r>
      <w:r>
        <w:rPr>
          <w:sz w:val="28"/>
          <w:szCs w:val="28"/>
        </w:rPr>
        <w:t>6</w:t>
      </w:r>
      <w:r>
        <w:rPr>
          <w:sz w:val="28"/>
          <w:szCs w:val="28"/>
        </w:rPr>
        <w:fldChar w:fldCharType="end"/>
      </w:r>
      <w:r>
        <w:rPr>
          <w:rFonts w:ascii="Times New Roman" w:hAnsi="Times New Roman" w:eastAsia="宋体"/>
          <w:sz w:val="28"/>
          <w:szCs w:val="28"/>
          <w:highlight w:val="none"/>
        </w:rPr>
        <w:fldChar w:fldCharType="end"/>
      </w:r>
    </w:p>
    <w:p w14:paraId="63254177">
      <w:pPr>
        <w:pStyle w:val="31"/>
        <w:keepNext w:val="0"/>
        <w:keepLines w:val="0"/>
        <w:pageBreakBefore w:val="0"/>
        <w:widowControl w:val="0"/>
        <w:tabs>
          <w:tab w:val="right" w:leader="dot" w:pos="9072"/>
          <w:tab w:val="clear" w:pos="1050"/>
          <w:tab w:val="clear" w:pos="8937"/>
        </w:tabs>
        <w:kinsoku/>
        <w:wordWrap/>
        <w:overflowPunct/>
        <w:topLinePunct w:val="0"/>
        <w:autoSpaceDE/>
        <w:autoSpaceDN/>
        <w:bidi w:val="0"/>
        <w:adjustRightInd/>
        <w:snapToGrid/>
        <w:spacing w:line="360" w:lineRule="auto"/>
        <w:textAlignment w:val="auto"/>
        <w:rPr>
          <w:sz w:val="28"/>
          <w:szCs w:val="28"/>
        </w:rPr>
      </w:pPr>
      <w:r>
        <w:rPr>
          <w:rFonts w:ascii="Times New Roman" w:hAnsi="Times New Roman" w:eastAsia="宋体"/>
          <w:sz w:val="28"/>
          <w:szCs w:val="28"/>
          <w:highlight w:val="none"/>
        </w:rPr>
        <w:fldChar w:fldCharType="begin"/>
      </w:r>
      <w:r>
        <w:rPr>
          <w:rFonts w:ascii="Times New Roman" w:hAnsi="Times New Roman" w:eastAsia="宋体"/>
          <w:sz w:val="28"/>
          <w:szCs w:val="28"/>
          <w:highlight w:val="none"/>
        </w:rPr>
        <w:instrText xml:space="preserve"> HYPERLINK \l _Toc361 </w:instrText>
      </w:r>
      <w:r>
        <w:rPr>
          <w:rFonts w:ascii="Times New Roman" w:hAnsi="Times New Roman" w:eastAsia="宋体"/>
          <w:sz w:val="28"/>
          <w:szCs w:val="28"/>
          <w:highlight w:val="none"/>
        </w:rPr>
        <w:fldChar w:fldCharType="separate"/>
      </w:r>
      <w:r>
        <w:rPr>
          <w:rFonts w:eastAsia="宋体"/>
          <w:sz w:val="28"/>
          <w:szCs w:val="40"/>
          <w:highlight w:val="none"/>
        </w:rPr>
        <w:t>第三章   评审方法和评审标准</w:t>
      </w:r>
      <w:r>
        <w:rPr>
          <w:sz w:val="28"/>
          <w:szCs w:val="28"/>
        </w:rPr>
        <w:tab/>
      </w:r>
      <w:r>
        <w:rPr>
          <w:sz w:val="28"/>
          <w:szCs w:val="28"/>
        </w:rPr>
        <w:fldChar w:fldCharType="begin"/>
      </w:r>
      <w:r>
        <w:rPr>
          <w:sz w:val="28"/>
          <w:szCs w:val="28"/>
        </w:rPr>
        <w:instrText xml:space="preserve"> PAGEREF _Toc361 \h </w:instrText>
      </w:r>
      <w:r>
        <w:rPr>
          <w:sz w:val="28"/>
          <w:szCs w:val="28"/>
        </w:rPr>
        <w:fldChar w:fldCharType="separate"/>
      </w:r>
      <w:r>
        <w:rPr>
          <w:sz w:val="28"/>
          <w:szCs w:val="28"/>
        </w:rPr>
        <w:t>22</w:t>
      </w:r>
      <w:r>
        <w:rPr>
          <w:sz w:val="28"/>
          <w:szCs w:val="28"/>
        </w:rPr>
        <w:fldChar w:fldCharType="end"/>
      </w:r>
      <w:r>
        <w:rPr>
          <w:rFonts w:ascii="Times New Roman" w:hAnsi="Times New Roman" w:eastAsia="宋体"/>
          <w:sz w:val="28"/>
          <w:szCs w:val="28"/>
          <w:highlight w:val="none"/>
        </w:rPr>
        <w:fldChar w:fldCharType="end"/>
      </w:r>
    </w:p>
    <w:p w14:paraId="74FED579">
      <w:pPr>
        <w:pStyle w:val="31"/>
        <w:keepNext w:val="0"/>
        <w:keepLines w:val="0"/>
        <w:pageBreakBefore w:val="0"/>
        <w:widowControl w:val="0"/>
        <w:tabs>
          <w:tab w:val="right" w:leader="dot" w:pos="9072"/>
          <w:tab w:val="clear" w:pos="1050"/>
          <w:tab w:val="clear" w:pos="8937"/>
        </w:tabs>
        <w:kinsoku/>
        <w:wordWrap/>
        <w:overflowPunct/>
        <w:topLinePunct w:val="0"/>
        <w:autoSpaceDE/>
        <w:autoSpaceDN/>
        <w:bidi w:val="0"/>
        <w:adjustRightInd/>
        <w:snapToGrid/>
        <w:spacing w:line="360" w:lineRule="auto"/>
        <w:textAlignment w:val="auto"/>
        <w:rPr>
          <w:sz w:val="28"/>
          <w:szCs w:val="28"/>
        </w:rPr>
      </w:pPr>
      <w:r>
        <w:rPr>
          <w:rFonts w:ascii="Times New Roman" w:hAnsi="Times New Roman" w:eastAsia="宋体"/>
          <w:sz w:val="28"/>
          <w:szCs w:val="28"/>
          <w:highlight w:val="none"/>
        </w:rPr>
        <w:fldChar w:fldCharType="begin"/>
      </w:r>
      <w:r>
        <w:rPr>
          <w:rFonts w:ascii="Times New Roman" w:hAnsi="Times New Roman" w:eastAsia="宋体"/>
          <w:sz w:val="28"/>
          <w:szCs w:val="28"/>
          <w:highlight w:val="none"/>
        </w:rPr>
        <w:instrText xml:space="preserve"> HYPERLINK \l _Toc30550 </w:instrText>
      </w:r>
      <w:r>
        <w:rPr>
          <w:rFonts w:ascii="Times New Roman" w:hAnsi="Times New Roman" w:eastAsia="宋体"/>
          <w:sz w:val="28"/>
          <w:szCs w:val="28"/>
          <w:highlight w:val="none"/>
        </w:rPr>
        <w:fldChar w:fldCharType="separate"/>
      </w:r>
      <w:r>
        <w:rPr>
          <w:rFonts w:hint="eastAsia" w:eastAsia="宋体"/>
          <w:sz w:val="28"/>
          <w:szCs w:val="40"/>
        </w:rPr>
        <w:t xml:space="preserve">第四章 </w:t>
      </w:r>
      <w:r>
        <w:rPr>
          <w:rFonts w:hint="eastAsia"/>
          <w:sz w:val="28"/>
          <w:szCs w:val="40"/>
          <w:lang w:val="en-US" w:eastAsia="zh-CN"/>
        </w:rPr>
        <w:t xml:space="preserve">  </w:t>
      </w:r>
      <w:r>
        <w:rPr>
          <w:rFonts w:eastAsia="宋体"/>
          <w:sz w:val="28"/>
          <w:szCs w:val="40"/>
          <w:highlight w:val="none"/>
        </w:rPr>
        <w:t>采购需求</w:t>
      </w:r>
      <w:r>
        <w:rPr>
          <w:sz w:val="28"/>
          <w:szCs w:val="28"/>
        </w:rPr>
        <w:tab/>
      </w:r>
      <w:r>
        <w:rPr>
          <w:sz w:val="28"/>
          <w:szCs w:val="28"/>
        </w:rPr>
        <w:fldChar w:fldCharType="begin"/>
      </w:r>
      <w:r>
        <w:rPr>
          <w:sz w:val="28"/>
          <w:szCs w:val="28"/>
        </w:rPr>
        <w:instrText xml:space="preserve"> PAGEREF _Toc30550 \h </w:instrText>
      </w:r>
      <w:r>
        <w:rPr>
          <w:sz w:val="28"/>
          <w:szCs w:val="28"/>
        </w:rPr>
        <w:fldChar w:fldCharType="separate"/>
      </w:r>
      <w:r>
        <w:rPr>
          <w:sz w:val="28"/>
          <w:szCs w:val="28"/>
        </w:rPr>
        <w:t>34</w:t>
      </w:r>
      <w:r>
        <w:rPr>
          <w:sz w:val="28"/>
          <w:szCs w:val="28"/>
        </w:rPr>
        <w:fldChar w:fldCharType="end"/>
      </w:r>
      <w:r>
        <w:rPr>
          <w:rFonts w:ascii="Times New Roman" w:hAnsi="Times New Roman" w:eastAsia="宋体"/>
          <w:sz w:val="28"/>
          <w:szCs w:val="28"/>
          <w:highlight w:val="none"/>
        </w:rPr>
        <w:fldChar w:fldCharType="end"/>
      </w:r>
    </w:p>
    <w:p w14:paraId="0BF5DAF1">
      <w:pPr>
        <w:pStyle w:val="31"/>
        <w:keepNext w:val="0"/>
        <w:keepLines w:val="0"/>
        <w:pageBreakBefore w:val="0"/>
        <w:widowControl w:val="0"/>
        <w:tabs>
          <w:tab w:val="right" w:leader="dot" w:pos="9072"/>
          <w:tab w:val="clear" w:pos="1050"/>
          <w:tab w:val="clear" w:pos="8937"/>
        </w:tabs>
        <w:kinsoku/>
        <w:wordWrap/>
        <w:overflowPunct/>
        <w:topLinePunct w:val="0"/>
        <w:autoSpaceDE/>
        <w:autoSpaceDN/>
        <w:bidi w:val="0"/>
        <w:adjustRightInd/>
        <w:snapToGrid/>
        <w:spacing w:line="360" w:lineRule="auto"/>
        <w:textAlignment w:val="auto"/>
        <w:rPr>
          <w:sz w:val="28"/>
          <w:szCs w:val="28"/>
        </w:rPr>
      </w:pPr>
      <w:r>
        <w:rPr>
          <w:rFonts w:ascii="Times New Roman" w:hAnsi="Times New Roman" w:eastAsia="宋体"/>
          <w:sz w:val="28"/>
          <w:szCs w:val="28"/>
          <w:highlight w:val="none"/>
        </w:rPr>
        <w:fldChar w:fldCharType="begin"/>
      </w:r>
      <w:r>
        <w:rPr>
          <w:rFonts w:ascii="Times New Roman" w:hAnsi="Times New Roman" w:eastAsia="宋体"/>
          <w:sz w:val="28"/>
          <w:szCs w:val="28"/>
          <w:highlight w:val="none"/>
        </w:rPr>
        <w:instrText xml:space="preserve"> HYPERLINK \l _Toc12269 </w:instrText>
      </w:r>
      <w:r>
        <w:rPr>
          <w:rFonts w:ascii="Times New Roman" w:hAnsi="Times New Roman" w:eastAsia="宋体"/>
          <w:sz w:val="28"/>
          <w:szCs w:val="28"/>
          <w:highlight w:val="none"/>
        </w:rPr>
        <w:fldChar w:fldCharType="separate"/>
      </w:r>
      <w:r>
        <w:rPr>
          <w:rFonts w:eastAsia="宋体"/>
          <w:sz w:val="28"/>
          <w:szCs w:val="40"/>
          <w:highlight w:val="none"/>
        </w:rPr>
        <w:t>第五章   合同草案条款</w:t>
      </w:r>
      <w:r>
        <w:rPr>
          <w:sz w:val="28"/>
          <w:szCs w:val="28"/>
        </w:rPr>
        <w:tab/>
      </w:r>
      <w:r>
        <w:rPr>
          <w:sz w:val="28"/>
          <w:szCs w:val="28"/>
        </w:rPr>
        <w:fldChar w:fldCharType="begin"/>
      </w:r>
      <w:r>
        <w:rPr>
          <w:sz w:val="28"/>
          <w:szCs w:val="28"/>
        </w:rPr>
        <w:instrText xml:space="preserve"> PAGEREF _Toc12269 \h </w:instrText>
      </w:r>
      <w:r>
        <w:rPr>
          <w:sz w:val="28"/>
          <w:szCs w:val="28"/>
        </w:rPr>
        <w:fldChar w:fldCharType="separate"/>
      </w:r>
      <w:r>
        <w:rPr>
          <w:sz w:val="28"/>
          <w:szCs w:val="28"/>
        </w:rPr>
        <w:t>60</w:t>
      </w:r>
      <w:r>
        <w:rPr>
          <w:sz w:val="28"/>
          <w:szCs w:val="28"/>
        </w:rPr>
        <w:fldChar w:fldCharType="end"/>
      </w:r>
      <w:r>
        <w:rPr>
          <w:rFonts w:ascii="Times New Roman" w:hAnsi="Times New Roman" w:eastAsia="宋体"/>
          <w:sz w:val="28"/>
          <w:szCs w:val="28"/>
          <w:highlight w:val="none"/>
        </w:rPr>
        <w:fldChar w:fldCharType="end"/>
      </w:r>
    </w:p>
    <w:p w14:paraId="12574E15">
      <w:pPr>
        <w:pStyle w:val="31"/>
        <w:keepNext w:val="0"/>
        <w:keepLines w:val="0"/>
        <w:pageBreakBefore w:val="0"/>
        <w:widowControl w:val="0"/>
        <w:tabs>
          <w:tab w:val="right" w:leader="dot" w:pos="9072"/>
          <w:tab w:val="clear" w:pos="1050"/>
          <w:tab w:val="clear" w:pos="8937"/>
        </w:tabs>
        <w:kinsoku/>
        <w:wordWrap/>
        <w:overflowPunct/>
        <w:topLinePunct w:val="0"/>
        <w:autoSpaceDE/>
        <w:autoSpaceDN/>
        <w:bidi w:val="0"/>
        <w:adjustRightInd/>
        <w:snapToGrid/>
        <w:spacing w:line="360" w:lineRule="auto"/>
        <w:textAlignment w:val="auto"/>
        <w:rPr>
          <w:sz w:val="28"/>
          <w:szCs w:val="28"/>
        </w:rPr>
      </w:pPr>
      <w:r>
        <w:rPr>
          <w:rFonts w:ascii="Times New Roman" w:hAnsi="Times New Roman" w:eastAsia="宋体"/>
          <w:sz w:val="28"/>
          <w:szCs w:val="28"/>
          <w:highlight w:val="none"/>
        </w:rPr>
        <w:fldChar w:fldCharType="begin"/>
      </w:r>
      <w:r>
        <w:rPr>
          <w:rFonts w:ascii="Times New Roman" w:hAnsi="Times New Roman" w:eastAsia="宋体"/>
          <w:sz w:val="28"/>
          <w:szCs w:val="28"/>
          <w:highlight w:val="none"/>
        </w:rPr>
        <w:instrText xml:space="preserve"> HYPERLINK \l _Toc31425 </w:instrText>
      </w:r>
      <w:r>
        <w:rPr>
          <w:rFonts w:ascii="Times New Roman" w:hAnsi="Times New Roman" w:eastAsia="宋体"/>
          <w:sz w:val="28"/>
          <w:szCs w:val="28"/>
          <w:highlight w:val="none"/>
        </w:rPr>
        <w:fldChar w:fldCharType="separate"/>
      </w:r>
      <w:r>
        <w:rPr>
          <w:rFonts w:eastAsia="宋体"/>
          <w:sz w:val="28"/>
          <w:szCs w:val="40"/>
          <w:highlight w:val="none"/>
        </w:rPr>
        <w:t>第六章   响应文件格式</w:t>
      </w:r>
      <w:r>
        <w:rPr>
          <w:sz w:val="28"/>
          <w:szCs w:val="28"/>
        </w:rPr>
        <w:tab/>
      </w:r>
      <w:r>
        <w:rPr>
          <w:sz w:val="28"/>
          <w:szCs w:val="28"/>
        </w:rPr>
        <w:fldChar w:fldCharType="begin"/>
      </w:r>
      <w:r>
        <w:rPr>
          <w:sz w:val="28"/>
          <w:szCs w:val="28"/>
        </w:rPr>
        <w:instrText xml:space="preserve"> PAGEREF _Toc31425 \h </w:instrText>
      </w:r>
      <w:r>
        <w:rPr>
          <w:sz w:val="28"/>
          <w:szCs w:val="28"/>
        </w:rPr>
        <w:fldChar w:fldCharType="separate"/>
      </w:r>
      <w:r>
        <w:rPr>
          <w:sz w:val="28"/>
          <w:szCs w:val="28"/>
        </w:rPr>
        <w:t>150</w:t>
      </w:r>
      <w:r>
        <w:rPr>
          <w:sz w:val="28"/>
          <w:szCs w:val="28"/>
        </w:rPr>
        <w:fldChar w:fldCharType="end"/>
      </w:r>
      <w:r>
        <w:rPr>
          <w:rFonts w:ascii="Times New Roman" w:hAnsi="Times New Roman" w:eastAsia="宋体"/>
          <w:sz w:val="28"/>
          <w:szCs w:val="28"/>
          <w:highlight w:val="none"/>
        </w:rPr>
        <w:fldChar w:fldCharType="end"/>
      </w:r>
    </w:p>
    <w:p w14:paraId="50C0CC23">
      <w:pPr>
        <w:pStyle w:val="31"/>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val="0"/>
          <w:highlight w:val="none"/>
        </w:rPr>
      </w:pPr>
      <w:r>
        <w:rPr>
          <w:rFonts w:ascii="Times New Roman" w:hAnsi="Times New Roman" w:eastAsia="宋体"/>
          <w:sz w:val="28"/>
          <w:szCs w:val="28"/>
          <w:highlight w:val="none"/>
        </w:rPr>
        <w:fldChar w:fldCharType="end"/>
      </w:r>
    </w:p>
    <w:p w14:paraId="58ECEC12">
      <w:pPr>
        <w:pStyle w:val="31"/>
        <w:spacing w:line="360" w:lineRule="auto"/>
        <w:rPr>
          <w:rFonts w:eastAsia="宋体"/>
          <w:b w:val="0"/>
          <w:sz w:val="36"/>
          <w:szCs w:val="36"/>
          <w:highlight w:val="none"/>
        </w:rPr>
      </w:pPr>
    </w:p>
    <w:p w14:paraId="7A0B31C6">
      <w:pPr>
        <w:spacing w:line="360" w:lineRule="auto"/>
        <w:jc w:val="center"/>
        <w:outlineLvl w:val="0"/>
        <w:rPr>
          <w:rFonts w:eastAsia="宋体"/>
          <w:b/>
          <w:sz w:val="36"/>
          <w:szCs w:val="36"/>
          <w:highlight w:val="none"/>
        </w:rPr>
        <w:sectPr>
          <w:headerReference r:id="rId9" w:type="first"/>
          <w:footerReference r:id="rId11" w:type="first"/>
          <w:headerReference r:id="rId8" w:type="default"/>
          <w:footerReference r:id="rId10" w:type="default"/>
          <w:pgSz w:w="11907" w:h="16840"/>
          <w:pgMar w:top="1418" w:right="1134" w:bottom="1418" w:left="1701" w:header="851" w:footer="851" w:gutter="0"/>
          <w:pgNumType w:fmt="decimal" w:start="1"/>
          <w:cols w:space="720" w:num="1"/>
          <w:titlePg/>
          <w:docGrid w:linePitch="462" w:charSpace="0"/>
        </w:sectPr>
      </w:pPr>
    </w:p>
    <w:p w14:paraId="414FF3F6">
      <w:pPr>
        <w:spacing w:line="360" w:lineRule="auto"/>
        <w:jc w:val="center"/>
        <w:outlineLvl w:val="0"/>
        <w:rPr>
          <w:rFonts w:eastAsia="宋体"/>
          <w:b/>
          <w:sz w:val="36"/>
          <w:szCs w:val="36"/>
          <w:highlight w:val="none"/>
        </w:rPr>
      </w:pPr>
      <w:bookmarkStart w:id="4" w:name="_Toc13995"/>
      <w:r>
        <w:rPr>
          <w:rFonts w:eastAsia="宋体"/>
          <w:b/>
          <w:sz w:val="36"/>
          <w:szCs w:val="36"/>
          <w:highlight w:val="none"/>
        </w:rPr>
        <w:t>第一章   采购邀请</w:t>
      </w:r>
      <w:bookmarkEnd w:id="4"/>
      <w:bookmarkStart w:id="5" w:name="_Toc28359002"/>
      <w:bookmarkStart w:id="6" w:name="_Toc35393790"/>
      <w:bookmarkStart w:id="7" w:name="_Toc28359079"/>
      <w:bookmarkStart w:id="8" w:name="_Hlk24379207"/>
      <w:bookmarkStart w:id="9" w:name="_Toc35393621"/>
    </w:p>
    <w:p w14:paraId="560CC991">
      <w:pPr>
        <w:spacing w:line="360" w:lineRule="auto"/>
        <w:ind w:firstLine="480" w:firstLineChars="200"/>
        <w:rPr>
          <w:rFonts w:eastAsia="宋体"/>
          <w:sz w:val="24"/>
          <w:highlight w:val="none"/>
        </w:rPr>
      </w:pPr>
    </w:p>
    <w:p w14:paraId="745B20F5">
      <w:pPr>
        <w:pStyle w:val="3"/>
        <w:spacing w:before="0" w:line="360" w:lineRule="auto"/>
        <w:jc w:val="left"/>
        <w:rPr>
          <w:rFonts w:ascii="Times New Roman" w:hAnsi="Times New Roman" w:eastAsia="宋体"/>
          <w:sz w:val="24"/>
          <w:szCs w:val="24"/>
          <w:highlight w:val="none"/>
        </w:rPr>
      </w:pPr>
      <w:r>
        <w:rPr>
          <w:rFonts w:ascii="Times New Roman" w:hAnsi="Times New Roman" w:eastAsia="宋体"/>
          <w:sz w:val="24"/>
          <w:szCs w:val="24"/>
          <w:highlight w:val="none"/>
        </w:rPr>
        <w:t>一、</w:t>
      </w:r>
      <w:bookmarkEnd w:id="5"/>
      <w:bookmarkEnd w:id="6"/>
      <w:bookmarkEnd w:id="7"/>
      <w:bookmarkEnd w:id="8"/>
      <w:bookmarkEnd w:id="9"/>
      <w:bookmarkStart w:id="10" w:name="_Toc28359081"/>
      <w:bookmarkStart w:id="11" w:name="_Toc28359004"/>
      <w:r>
        <w:rPr>
          <w:rFonts w:ascii="Times New Roman" w:hAnsi="Times New Roman" w:eastAsia="宋体"/>
          <w:sz w:val="24"/>
          <w:szCs w:val="24"/>
          <w:highlight w:val="none"/>
        </w:rPr>
        <w:t>项目基本情况</w:t>
      </w:r>
    </w:p>
    <w:p w14:paraId="180FB3F1">
      <w:pPr>
        <w:spacing w:line="360" w:lineRule="auto"/>
        <w:ind w:firstLine="480" w:firstLineChars="200"/>
        <w:rPr>
          <w:sz w:val="24"/>
          <w:highlight w:val="none"/>
        </w:rPr>
      </w:pPr>
      <w:r>
        <w:rPr>
          <w:sz w:val="24"/>
          <w:highlight w:val="none"/>
        </w:rPr>
        <w:t>1.项目编号：</w:t>
      </w:r>
      <w:r>
        <w:rPr>
          <w:rFonts w:hint="eastAsia" w:ascii="宋体" w:hAnsi="宋体" w:cs="宋体"/>
          <w:sz w:val="24"/>
          <w:highlight w:val="none"/>
          <w:u w:val="single"/>
          <w:lang w:eastAsia="zh-CN"/>
        </w:rPr>
        <w:t>BIECC-25CG10429</w:t>
      </w:r>
      <w:r>
        <w:rPr>
          <w:rFonts w:hint="eastAsia" w:ascii="宋体" w:hAnsi="宋体" w:cs="宋体"/>
          <w:sz w:val="24"/>
          <w:highlight w:val="none"/>
        </w:rPr>
        <w:t xml:space="preserve"> </w:t>
      </w:r>
    </w:p>
    <w:p w14:paraId="32FAFC52">
      <w:pPr>
        <w:spacing w:line="360" w:lineRule="auto"/>
        <w:ind w:firstLine="480" w:firstLineChars="200"/>
        <w:rPr>
          <w:rFonts w:hint="eastAsia" w:ascii="宋体" w:hAnsi="宋体" w:eastAsia="宋体" w:cs="宋体"/>
          <w:bCs/>
          <w:sz w:val="24"/>
          <w:highlight w:val="none"/>
          <w:u w:val="single"/>
          <w:lang w:eastAsia="zh-CN"/>
        </w:rPr>
      </w:pPr>
      <w:r>
        <w:rPr>
          <w:sz w:val="24"/>
          <w:highlight w:val="none"/>
        </w:rPr>
        <w:t>2.项目名称：</w:t>
      </w:r>
      <w:r>
        <w:rPr>
          <w:rFonts w:hint="eastAsia" w:ascii="宋体" w:hAnsi="宋体" w:cs="宋体"/>
          <w:bCs/>
          <w:sz w:val="24"/>
          <w:highlight w:val="none"/>
          <w:u w:val="single"/>
          <w:lang w:eastAsia="zh-CN"/>
        </w:rPr>
        <w:t>公交375场站优化提升改造项目—北京北站落客区建设工程总承包（EPC）</w:t>
      </w:r>
    </w:p>
    <w:p w14:paraId="674AFF5B">
      <w:pPr>
        <w:spacing w:line="360" w:lineRule="auto"/>
        <w:ind w:firstLine="480" w:firstLineChars="200"/>
        <w:rPr>
          <w:rFonts w:eastAsia="宋体"/>
          <w:sz w:val="24"/>
          <w:highlight w:val="none"/>
        </w:rPr>
      </w:pPr>
      <w:r>
        <w:rPr>
          <w:rFonts w:eastAsia="宋体"/>
          <w:sz w:val="24"/>
          <w:highlight w:val="none"/>
        </w:rPr>
        <w:t>3.采购方式：</w:t>
      </w:r>
      <w:r>
        <w:rPr>
          <w:rFonts w:eastAsia="宋体"/>
          <w:sz w:val="24"/>
          <w:highlight w:val="none"/>
          <w:u w:val="single"/>
        </w:rPr>
        <w:t>竞争性磋商</w:t>
      </w:r>
    </w:p>
    <w:p w14:paraId="4A12F91F">
      <w:pPr>
        <w:spacing w:line="360" w:lineRule="auto"/>
        <w:ind w:firstLine="480" w:firstLineChars="200"/>
        <w:rPr>
          <w:rFonts w:hint="eastAsia" w:ascii="宋体" w:hAnsi="宋体" w:eastAsia="宋体" w:cs="宋体"/>
          <w:sz w:val="24"/>
          <w:szCs w:val="24"/>
          <w:u w:val="none"/>
          <w:lang w:val="en-US" w:eastAsia="zh-CN"/>
        </w:rPr>
      </w:pPr>
      <w:r>
        <w:rPr>
          <w:rFonts w:hint="eastAsia" w:ascii="宋体" w:hAnsi="宋体" w:eastAsia="宋体" w:cs="宋体"/>
          <w:sz w:val="24"/>
          <w:szCs w:val="24"/>
        </w:rPr>
        <w:t>4.项目预算金额：</w:t>
      </w:r>
      <w:r>
        <w:rPr>
          <w:rFonts w:hint="eastAsia" w:ascii="宋体" w:hAnsi="宋体" w:eastAsia="宋体" w:cs="宋体"/>
          <w:sz w:val="24"/>
          <w:szCs w:val="24"/>
          <w:u w:val="single"/>
        </w:rPr>
        <w:t>595.933452</w:t>
      </w:r>
      <w:r>
        <w:rPr>
          <w:rFonts w:hint="eastAsia" w:ascii="宋体" w:hAnsi="宋体" w:eastAsia="宋体" w:cs="宋体"/>
          <w:sz w:val="24"/>
          <w:szCs w:val="24"/>
        </w:rPr>
        <w:t>万元、项目最高限价（如有）：</w:t>
      </w:r>
      <w:r>
        <w:rPr>
          <w:rFonts w:hint="eastAsia" w:ascii="宋体" w:hAnsi="宋体" w:eastAsia="宋体" w:cs="宋体"/>
          <w:sz w:val="24"/>
          <w:szCs w:val="24"/>
          <w:u w:val="single"/>
        </w:rPr>
        <w:t>595.933452</w:t>
      </w:r>
      <w:r>
        <w:rPr>
          <w:rFonts w:hint="eastAsia" w:ascii="宋体" w:hAnsi="宋体" w:eastAsia="宋体" w:cs="宋体"/>
          <w:sz w:val="24"/>
          <w:szCs w:val="24"/>
        </w:rPr>
        <w:t>万元</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其中勘察费：</w:t>
      </w:r>
      <w:r>
        <w:rPr>
          <w:rFonts w:hint="eastAsia" w:ascii="宋体" w:hAnsi="宋体" w:eastAsia="宋体" w:cs="宋体"/>
          <w:sz w:val="24"/>
          <w:szCs w:val="24"/>
          <w:u w:val="single"/>
          <w:lang w:val="en-US" w:eastAsia="zh-CN"/>
        </w:rPr>
        <w:t>5.969143</w:t>
      </w:r>
      <w:r>
        <w:rPr>
          <w:rFonts w:hint="eastAsia" w:ascii="宋体" w:hAnsi="宋体" w:eastAsia="宋体" w:cs="宋体"/>
          <w:sz w:val="24"/>
          <w:szCs w:val="24"/>
          <w:u w:val="none"/>
          <w:lang w:val="en-US" w:eastAsia="zh-CN"/>
        </w:rPr>
        <w:t>万元，设计费：</w:t>
      </w:r>
      <w:r>
        <w:rPr>
          <w:rFonts w:hint="eastAsia" w:ascii="宋体" w:hAnsi="宋体" w:eastAsia="宋体" w:cs="宋体"/>
          <w:sz w:val="24"/>
          <w:szCs w:val="24"/>
          <w:u w:val="single"/>
          <w:lang w:val="en-US" w:eastAsia="zh-CN"/>
        </w:rPr>
        <w:t>19.897144</w:t>
      </w:r>
      <w:r>
        <w:rPr>
          <w:rFonts w:hint="eastAsia" w:ascii="宋体" w:hAnsi="宋体" w:eastAsia="宋体" w:cs="宋体"/>
          <w:sz w:val="24"/>
          <w:szCs w:val="24"/>
          <w:u w:val="none"/>
          <w:lang w:val="en-US" w:eastAsia="zh-CN"/>
        </w:rPr>
        <w:t>万元，工程费：</w:t>
      </w:r>
      <w:r>
        <w:rPr>
          <w:rFonts w:hint="eastAsia" w:ascii="宋体" w:hAnsi="宋体" w:eastAsia="宋体" w:cs="宋体"/>
          <w:sz w:val="24"/>
          <w:szCs w:val="24"/>
          <w:u w:val="single"/>
          <w:lang w:val="en-US" w:eastAsia="zh-CN"/>
        </w:rPr>
        <w:t>570.067165</w:t>
      </w:r>
      <w:r>
        <w:rPr>
          <w:rFonts w:hint="eastAsia" w:ascii="宋体" w:hAnsi="宋体" w:eastAsia="宋体" w:cs="宋体"/>
          <w:sz w:val="24"/>
          <w:szCs w:val="24"/>
          <w:u w:val="none"/>
          <w:lang w:val="en-US" w:eastAsia="zh-CN"/>
        </w:rPr>
        <w:t>万元。</w:t>
      </w:r>
    </w:p>
    <w:p w14:paraId="118E0E7B">
      <w:pPr>
        <w:spacing w:line="360" w:lineRule="auto"/>
        <w:ind w:firstLine="482" w:firstLineChars="200"/>
        <w:rPr>
          <w:rFonts w:hint="eastAsia" w:ascii="宋体" w:hAnsi="宋体" w:eastAsia="宋体" w:cs="宋体"/>
          <w:b/>
          <w:bCs/>
          <w:sz w:val="24"/>
          <w:szCs w:val="24"/>
          <w:u w:val="none"/>
          <w:lang w:val="en-US" w:eastAsia="zh-CN"/>
        </w:rPr>
      </w:pPr>
      <w:r>
        <w:rPr>
          <w:rFonts w:hint="eastAsia" w:ascii="宋体" w:hAnsi="宋体" w:eastAsia="宋体" w:cs="宋体"/>
          <w:b/>
          <w:bCs/>
          <w:sz w:val="24"/>
          <w:szCs w:val="24"/>
          <w:u w:val="none"/>
          <w:lang w:val="en-US" w:eastAsia="zh-CN"/>
        </w:rPr>
        <w:t>供应商响应报价总价及勘察费、设计费、工程费分项报价均不得超过最高限价，否则响应无效。</w:t>
      </w:r>
    </w:p>
    <w:p w14:paraId="1252372D">
      <w:pPr>
        <w:spacing w:line="360" w:lineRule="auto"/>
        <w:ind w:firstLine="480" w:firstLineChars="200"/>
        <w:rPr>
          <w:sz w:val="24"/>
          <w:highlight w:val="none"/>
        </w:rPr>
      </w:pPr>
      <w:r>
        <w:rPr>
          <w:sz w:val="24"/>
          <w:highlight w:val="none"/>
        </w:rPr>
        <w:t>5.采购需求：</w:t>
      </w:r>
    </w:p>
    <w:tbl>
      <w:tblPr>
        <w:tblStyle w:val="44"/>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558"/>
        <w:gridCol w:w="1702"/>
        <w:gridCol w:w="998"/>
        <w:gridCol w:w="4276"/>
      </w:tblGrid>
      <w:tr w14:paraId="5D33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0" w:type="pct"/>
            <w:noWrap w:val="0"/>
            <w:vAlign w:val="center"/>
          </w:tcPr>
          <w:p w14:paraId="643AB70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包号</w:t>
            </w:r>
          </w:p>
        </w:tc>
        <w:tc>
          <w:tcPr>
            <w:tcW w:w="843" w:type="pct"/>
            <w:noWrap w:val="0"/>
            <w:vAlign w:val="center"/>
          </w:tcPr>
          <w:p w14:paraId="6B10AB2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标的名称</w:t>
            </w:r>
          </w:p>
        </w:tc>
        <w:tc>
          <w:tcPr>
            <w:tcW w:w="921" w:type="pct"/>
            <w:noWrap w:val="0"/>
            <w:vAlign w:val="center"/>
          </w:tcPr>
          <w:p w14:paraId="7493D2C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采购包预算金额</w:t>
            </w:r>
          </w:p>
          <w:p w14:paraId="2326D745">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（万元）</w:t>
            </w:r>
          </w:p>
        </w:tc>
        <w:tc>
          <w:tcPr>
            <w:tcW w:w="540" w:type="pct"/>
            <w:noWrap w:val="0"/>
            <w:vAlign w:val="center"/>
          </w:tcPr>
          <w:p w14:paraId="5F5233D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数量</w:t>
            </w:r>
          </w:p>
        </w:tc>
        <w:tc>
          <w:tcPr>
            <w:tcW w:w="2314" w:type="pct"/>
            <w:noWrap w:val="0"/>
            <w:vAlign w:val="center"/>
          </w:tcPr>
          <w:p w14:paraId="0127D24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简要技术需求或服务要求</w:t>
            </w:r>
          </w:p>
        </w:tc>
      </w:tr>
      <w:tr w14:paraId="7AB4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0" w:type="pct"/>
            <w:noWrap w:val="0"/>
            <w:vAlign w:val="center"/>
          </w:tcPr>
          <w:p w14:paraId="50D2BC0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01</w:t>
            </w:r>
          </w:p>
        </w:tc>
        <w:tc>
          <w:tcPr>
            <w:tcW w:w="843" w:type="pct"/>
            <w:noWrap w:val="0"/>
            <w:vAlign w:val="center"/>
          </w:tcPr>
          <w:p w14:paraId="602F8C11">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lang w:eastAsia="zh-CN"/>
              </w:rPr>
            </w:pPr>
            <w:r>
              <w:rPr>
                <w:rFonts w:hint="eastAsia" w:ascii="Times New Roman" w:hAnsi="Times New Roman" w:eastAsia="宋体" w:cs="Times New Roman"/>
                <w:bCs/>
                <w:szCs w:val="21"/>
              </w:rPr>
              <w:t>公交375场站优化提升改造项目—北</w:t>
            </w:r>
            <w:r>
              <w:rPr>
                <w:rFonts w:hint="eastAsia" w:ascii="Times New Roman" w:hAnsi="Times New Roman" w:eastAsia="宋体" w:cs="Times New Roman"/>
                <w:bCs/>
                <w:szCs w:val="21"/>
                <w:lang w:eastAsia="zh-CN"/>
              </w:rPr>
              <w:t>京北站落客区建设工程总承包（EPC）</w:t>
            </w:r>
          </w:p>
        </w:tc>
        <w:tc>
          <w:tcPr>
            <w:tcW w:w="921" w:type="pct"/>
            <w:noWrap w:val="0"/>
            <w:vAlign w:val="center"/>
          </w:tcPr>
          <w:p w14:paraId="05FC6A7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cs="Times New Roman"/>
                <w:bCs/>
                <w:szCs w:val="21"/>
                <w:lang w:eastAsia="zh-CN"/>
              </w:rPr>
              <w:t>595.933452</w:t>
            </w:r>
          </w:p>
        </w:tc>
        <w:tc>
          <w:tcPr>
            <w:tcW w:w="540" w:type="pct"/>
            <w:noWrap w:val="0"/>
            <w:vAlign w:val="center"/>
          </w:tcPr>
          <w:p w14:paraId="14B7DB5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1项</w:t>
            </w:r>
          </w:p>
        </w:tc>
        <w:tc>
          <w:tcPr>
            <w:tcW w:w="2314" w:type="pct"/>
            <w:noWrap w:val="0"/>
            <w:vAlign w:val="center"/>
          </w:tcPr>
          <w:p w14:paraId="15F91A40">
            <w:pPr>
              <w:keepNext w:val="0"/>
              <w:keepLines w:val="0"/>
              <w:suppressLineNumbers w:val="0"/>
              <w:spacing w:before="0" w:beforeAutospacing="0" w:after="0" w:afterAutospacing="0"/>
              <w:ind w:left="0" w:right="0"/>
              <w:jc w:val="both"/>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highlight w:val="none"/>
              </w:rPr>
              <w:t>本项目为北京北站375公交场站改建即停即走落客区项目，整个场站占地面积约4962.7平方米，场站改造落客区涉及道路长度约200米，拆除场内公交场站岗亭，拆除后对场地内区域进行合理利用，设计与建设即停即走落客区，消除旅客车辆停在西直门北大街与二环辅路上对道路交通的影响，港湾内配备车行道、人行道及入口管理岗亭等设施。</w:t>
            </w:r>
            <w:r>
              <w:rPr>
                <w:rFonts w:hint="eastAsia" w:ascii="Times New Roman" w:hAnsi="Times New Roman" w:eastAsia="宋体" w:cs="Times New Roman"/>
                <w:kern w:val="0"/>
                <w:szCs w:val="21"/>
                <w:highlight w:val="none"/>
                <w:lang w:val="en-US" w:eastAsia="zh-CN"/>
              </w:rPr>
              <w:t>具体内容详见第四章采购需求。</w:t>
            </w:r>
          </w:p>
        </w:tc>
      </w:tr>
    </w:tbl>
    <w:p w14:paraId="471A4468">
      <w:pPr>
        <w:numPr>
          <w:ilvl w:val="0"/>
          <w:numId w:val="12"/>
        </w:numPr>
        <w:spacing w:line="360" w:lineRule="auto"/>
        <w:ind w:firstLine="480" w:firstLineChars="200"/>
        <w:rPr>
          <w:rFonts w:hint="eastAsia"/>
          <w:sz w:val="24"/>
          <w:highlight w:val="none"/>
        </w:rPr>
      </w:pPr>
      <w:r>
        <w:rPr>
          <w:rFonts w:hint="eastAsia"/>
          <w:sz w:val="24"/>
          <w:highlight w:val="none"/>
        </w:rPr>
        <w:t>合同履行期限：</w:t>
      </w:r>
      <w:r>
        <w:rPr>
          <w:rFonts w:hint="eastAsia"/>
          <w:sz w:val="24"/>
          <w:highlight w:val="none"/>
          <w:u w:val="single"/>
        </w:rPr>
        <w:t>60日历天，其中勘察设计周期15日历天，施工周期45日历天。实际开工时间以采购人发出的开工通知中载明的开工日期为准</w:t>
      </w:r>
      <w:r>
        <w:rPr>
          <w:rFonts w:hint="eastAsia"/>
          <w:sz w:val="24"/>
          <w:highlight w:val="none"/>
        </w:rPr>
        <w:t>。</w:t>
      </w:r>
    </w:p>
    <w:p w14:paraId="33946318">
      <w:pPr>
        <w:numPr>
          <w:ilvl w:val="0"/>
          <w:numId w:val="12"/>
        </w:numPr>
        <w:spacing w:line="360" w:lineRule="auto"/>
        <w:ind w:firstLine="480" w:firstLineChars="200"/>
        <w:rPr>
          <w:sz w:val="24"/>
          <w:highlight w:val="none"/>
        </w:rPr>
      </w:pPr>
      <w:r>
        <w:rPr>
          <w:sz w:val="24"/>
          <w:highlight w:val="none"/>
        </w:rPr>
        <w:t>本项目是否接受联合体：</w:t>
      </w:r>
      <w:r>
        <w:rPr>
          <w:rFonts w:hint="eastAsia"/>
          <w:sz w:val="24"/>
          <w:highlight w:val="none"/>
        </w:rPr>
        <w:t>■</w:t>
      </w:r>
      <w:r>
        <w:rPr>
          <w:sz w:val="24"/>
          <w:highlight w:val="none"/>
        </w:rPr>
        <w:t xml:space="preserve">是  </w:t>
      </w:r>
      <w:r>
        <w:rPr>
          <w:rFonts w:hint="eastAsia" w:ascii="宋体" w:hAnsi="宋体"/>
          <w:sz w:val="24"/>
          <w:highlight w:val="none"/>
        </w:rPr>
        <w:t>□</w:t>
      </w:r>
      <w:r>
        <w:rPr>
          <w:sz w:val="24"/>
          <w:highlight w:val="none"/>
        </w:rPr>
        <w:t>否。</w:t>
      </w:r>
    </w:p>
    <w:p w14:paraId="494DD64D">
      <w:pPr>
        <w:spacing w:line="360" w:lineRule="auto"/>
        <w:ind w:firstLine="480" w:firstLineChars="200"/>
        <w:rPr>
          <w:rFonts w:eastAsia="宋体"/>
          <w:sz w:val="24"/>
          <w:highlight w:val="none"/>
        </w:rPr>
      </w:pPr>
    </w:p>
    <w:p w14:paraId="733C8C51">
      <w:pPr>
        <w:pStyle w:val="3"/>
        <w:spacing w:before="0" w:line="360" w:lineRule="auto"/>
        <w:jc w:val="left"/>
        <w:rPr>
          <w:rFonts w:ascii="Times New Roman" w:hAnsi="Times New Roman" w:eastAsia="宋体"/>
          <w:sz w:val="24"/>
          <w:szCs w:val="24"/>
          <w:highlight w:val="none"/>
        </w:rPr>
      </w:pPr>
      <w:bookmarkStart w:id="12" w:name="_Toc35393622"/>
      <w:bookmarkStart w:id="13" w:name="_Toc35393791"/>
      <w:bookmarkStart w:id="14" w:name="_Toc28359080"/>
      <w:bookmarkStart w:id="15" w:name="_Toc28359003"/>
      <w:r>
        <w:rPr>
          <w:rFonts w:ascii="Times New Roman" w:hAnsi="Times New Roman" w:eastAsia="宋体"/>
          <w:sz w:val="24"/>
          <w:szCs w:val="24"/>
          <w:highlight w:val="none"/>
        </w:rPr>
        <w:t>二、申请人的资格要求（须同时满足）</w:t>
      </w:r>
      <w:bookmarkEnd w:id="12"/>
      <w:bookmarkEnd w:id="13"/>
      <w:bookmarkEnd w:id="14"/>
      <w:bookmarkEnd w:id="15"/>
    </w:p>
    <w:p w14:paraId="0915D41E">
      <w:pPr>
        <w:spacing w:line="360" w:lineRule="auto"/>
        <w:ind w:firstLine="480" w:firstLineChars="200"/>
        <w:rPr>
          <w:rFonts w:eastAsia="宋体"/>
          <w:sz w:val="24"/>
          <w:highlight w:val="none"/>
        </w:rPr>
      </w:pPr>
      <w:r>
        <w:rPr>
          <w:rFonts w:eastAsia="宋体"/>
          <w:sz w:val="24"/>
          <w:highlight w:val="none"/>
        </w:rPr>
        <w:t>1.满足《中华人民共和国政府采购法》第二十二条规定；</w:t>
      </w:r>
    </w:p>
    <w:p w14:paraId="5FB33C5E">
      <w:pPr>
        <w:spacing w:line="360" w:lineRule="auto"/>
        <w:ind w:firstLine="480" w:firstLineChars="200"/>
        <w:rPr>
          <w:rFonts w:eastAsia="宋体"/>
          <w:sz w:val="24"/>
          <w:highlight w:val="none"/>
        </w:rPr>
      </w:pPr>
      <w:r>
        <w:rPr>
          <w:rFonts w:eastAsia="宋体"/>
          <w:sz w:val="24"/>
          <w:highlight w:val="none"/>
        </w:rPr>
        <w:t>2.落实政府采购政策需满足的资格要求：</w:t>
      </w:r>
    </w:p>
    <w:p w14:paraId="4E45A607">
      <w:pPr>
        <w:spacing w:line="360" w:lineRule="auto"/>
        <w:ind w:firstLine="480" w:firstLineChars="200"/>
        <w:rPr>
          <w:rFonts w:eastAsia="宋体"/>
          <w:sz w:val="24"/>
          <w:highlight w:val="none"/>
        </w:rPr>
      </w:pPr>
      <w:r>
        <w:rPr>
          <w:rFonts w:eastAsia="宋体"/>
          <w:sz w:val="24"/>
          <w:highlight w:val="none"/>
        </w:rPr>
        <w:t>2.1 中小企业政策</w:t>
      </w:r>
    </w:p>
    <w:p w14:paraId="140F481E">
      <w:pPr>
        <w:spacing w:line="360" w:lineRule="auto"/>
        <w:ind w:firstLine="480" w:firstLineChars="200"/>
        <w:rPr>
          <w:rFonts w:eastAsia="宋体"/>
          <w:sz w:val="24"/>
          <w:highlight w:val="none"/>
        </w:rPr>
      </w:pPr>
      <w:r>
        <w:rPr>
          <w:rFonts w:ascii="宋体" w:hAnsi="宋体"/>
          <w:sz w:val="24"/>
          <w:highlight w:val="none"/>
        </w:rPr>
        <w:t>■</w:t>
      </w:r>
      <w:r>
        <w:rPr>
          <w:rFonts w:eastAsia="宋体"/>
          <w:sz w:val="24"/>
          <w:highlight w:val="none"/>
        </w:rPr>
        <w:t>本项目不专门面向中小企业预留采购份额。</w:t>
      </w:r>
    </w:p>
    <w:p w14:paraId="1795965E">
      <w:pPr>
        <w:spacing w:line="360" w:lineRule="auto"/>
        <w:ind w:firstLine="420" w:firstLineChars="200"/>
        <w:rPr>
          <w:rFonts w:eastAsia="宋体"/>
          <w:sz w:val="24"/>
          <w:highlight w:val="none"/>
        </w:rPr>
      </w:pPr>
      <w:r>
        <w:rPr>
          <w:rFonts w:eastAsia="宋体"/>
          <w:highlight w:val="none"/>
        </w:rPr>
        <w:t>□</w:t>
      </w:r>
      <w:r>
        <w:rPr>
          <w:rFonts w:eastAsia="宋体"/>
          <w:sz w:val="24"/>
          <w:highlight w:val="none"/>
        </w:rPr>
        <w:t xml:space="preserve">本项目专门面向  </w:t>
      </w:r>
      <w:r>
        <w:rPr>
          <w:rFonts w:eastAsia="宋体"/>
          <w:highlight w:val="none"/>
        </w:rPr>
        <w:t>□</w:t>
      </w:r>
      <w:r>
        <w:rPr>
          <w:rFonts w:eastAsia="宋体"/>
          <w:sz w:val="24"/>
          <w:highlight w:val="none"/>
        </w:rPr>
        <w:t xml:space="preserve">中小 </w:t>
      </w:r>
      <w:r>
        <w:rPr>
          <w:rFonts w:eastAsia="宋体"/>
          <w:highlight w:val="none"/>
        </w:rPr>
        <w:t>□</w:t>
      </w:r>
      <w:r>
        <w:rPr>
          <w:rFonts w:eastAsia="宋体"/>
          <w:sz w:val="24"/>
          <w:highlight w:val="none"/>
        </w:rPr>
        <w:t>小微企业  采购。即：提供的货物全部由符合政策要求的中小/小微企业制造、服务全部由符合政策要求的中小/小微企业承接。</w:t>
      </w:r>
    </w:p>
    <w:p w14:paraId="085BB19C">
      <w:pPr>
        <w:spacing w:line="360" w:lineRule="auto"/>
        <w:ind w:firstLine="420" w:firstLineChars="200"/>
        <w:rPr>
          <w:rFonts w:eastAsia="宋体"/>
          <w:sz w:val="24"/>
          <w:highlight w:val="none"/>
        </w:rPr>
      </w:pPr>
      <w:r>
        <w:rPr>
          <w:rFonts w:eastAsia="宋体"/>
          <w:highlight w:val="none"/>
        </w:rPr>
        <w:t>□</w:t>
      </w:r>
      <w:r>
        <w:rPr>
          <w:rFonts w:eastAsia="宋体"/>
          <w:sz w:val="24"/>
          <w:highlight w:val="none"/>
        </w:rPr>
        <w:t>本项目预留部分采购项目预算专门面向中小企业采购。对于预留份额，提供的货物由符合政策要求的中小企业制造、服务由符合政策要求的中小企业承接。预留份额通过以下措施进行：_____</w:t>
      </w:r>
      <w:r>
        <w:rPr>
          <w:rFonts w:hint="eastAsia"/>
          <w:sz w:val="24"/>
          <w:highlight w:val="none"/>
          <w:lang w:val="en-US" w:eastAsia="zh-CN"/>
        </w:rPr>
        <w:t>/</w:t>
      </w:r>
      <w:r>
        <w:rPr>
          <w:rFonts w:eastAsia="宋体"/>
          <w:sz w:val="24"/>
          <w:highlight w:val="none"/>
        </w:rPr>
        <w:t>______</w:t>
      </w:r>
      <w:r>
        <w:rPr>
          <w:rFonts w:hint="eastAsia" w:eastAsia="宋体"/>
          <w:sz w:val="24"/>
          <w:highlight w:val="none"/>
        </w:rPr>
        <w:t>。</w:t>
      </w:r>
    </w:p>
    <w:p w14:paraId="110203F8">
      <w:pPr>
        <w:spacing w:line="360" w:lineRule="auto"/>
        <w:ind w:firstLine="480" w:firstLineChars="200"/>
        <w:rPr>
          <w:rFonts w:eastAsia="宋体"/>
          <w:sz w:val="24"/>
          <w:highlight w:val="none"/>
        </w:rPr>
      </w:pPr>
      <w:r>
        <w:rPr>
          <w:rFonts w:eastAsia="宋体"/>
          <w:sz w:val="24"/>
          <w:highlight w:val="none"/>
        </w:rPr>
        <w:t>2.2 其它落实政府采购政策的资格要求（如有）：</w:t>
      </w:r>
      <w:r>
        <w:rPr>
          <w:rFonts w:hint="eastAsia"/>
          <w:sz w:val="24"/>
          <w:highlight w:val="none"/>
          <w:u w:val="single"/>
          <w:lang w:val="en-US" w:eastAsia="zh-CN"/>
        </w:rPr>
        <w:t xml:space="preserve"> / </w:t>
      </w:r>
      <w:r>
        <w:rPr>
          <w:rFonts w:hint="eastAsia" w:eastAsia="宋体"/>
          <w:sz w:val="24"/>
          <w:highlight w:val="none"/>
        </w:rPr>
        <w:t>。</w:t>
      </w:r>
    </w:p>
    <w:p w14:paraId="35C38FB6">
      <w:pPr>
        <w:spacing w:line="360" w:lineRule="auto"/>
        <w:ind w:firstLine="480" w:firstLineChars="200"/>
        <w:rPr>
          <w:rFonts w:eastAsia="宋体"/>
          <w:i/>
          <w:iCs/>
          <w:sz w:val="24"/>
          <w:highlight w:val="none"/>
          <w:u w:val="single"/>
        </w:rPr>
      </w:pPr>
      <w:r>
        <w:rPr>
          <w:rFonts w:eastAsia="宋体"/>
          <w:sz w:val="24"/>
          <w:highlight w:val="none"/>
        </w:rPr>
        <w:t>3.本项目的特定资格要求：</w:t>
      </w:r>
    </w:p>
    <w:p w14:paraId="456BE104">
      <w:pPr>
        <w:tabs>
          <w:tab w:val="left" w:pos="900"/>
          <w:tab w:val="left" w:pos="1134"/>
          <w:tab w:val="left" w:pos="1589"/>
          <w:tab w:val="left" w:pos="5521"/>
        </w:tabs>
        <w:snapToGrid w:val="0"/>
        <w:spacing w:line="360" w:lineRule="auto"/>
        <w:ind w:firstLine="480" w:firstLineChars="200"/>
        <w:rPr>
          <w:rFonts w:eastAsia="宋体"/>
          <w:sz w:val="24"/>
          <w:highlight w:val="none"/>
        </w:rPr>
      </w:pPr>
      <w:r>
        <w:rPr>
          <w:rFonts w:eastAsia="宋体"/>
          <w:sz w:val="24"/>
          <w:highlight w:val="none"/>
        </w:rPr>
        <w:t>3.1本项目是否属于政府购买服务：</w:t>
      </w:r>
    </w:p>
    <w:p w14:paraId="276430BD">
      <w:pPr>
        <w:tabs>
          <w:tab w:val="left" w:pos="900"/>
          <w:tab w:val="left" w:pos="1134"/>
          <w:tab w:val="left" w:pos="1589"/>
          <w:tab w:val="left" w:pos="5521"/>
        </w:tabs>
        <w:snapToGrid w:val="0"/>
        <w:spacing w:line="360" w:lineRule="auto"/>
        <w:ind w:left="991" w:leftChars="472" w:firstLine="2"/>
        <w:rPr>
          <w:rFonts w:eastAsia="宋体"/>
          <w:sz w:val="24"/>
          <w:highlight w:val="none"/>
        </w:rPr>
      </w:pPr>
      <w:r>
        <w:rPr>
          <w:rFonts w:ascii="宋体" w:hAnsi="宋体"/>
          <w:sz w:val="24"/>
          <w:highlight w:val="none"/>
        </w:rPr>
        <w:t>■</w:t>
      </w:r>
      <w:r>
        <w:rPr>
          <w:rFonts w:eastAsia="宋体"/>
          <w:sz w:val="24"/>
          <w:highlight w:val="none"/>
        </w:rPr>
        <w:t>否</w:t>
      </w:r>
    </w:p>
    <w:p w14:paraId="32BB069E">
      <w:pPr>
        <w:tabs>
          <w:tab w:val="left" w:pos="900"/>
          <w:tab w:val="left" w:pos="1134"/>
          <w:tab w:val="left" w:pos="1589"/>
          <w:tab w:val="left" w:pos="5521"/>
        </w:tabs>
        <w:snapToGrid w:val="0"/>
        <w:spacing w:line="360" w:lineRule="auto"/>
        <w:ind w:left="991" w:leftChars="472" w:firstLine="2"/>
        <w:rPr>
          <w:rFonts w:eastAsia="宋体"/>
          <w:sz w:val="24"/>
          <w:highlight w:val="none"/>
        </w:rPr>
      </w:pPr>
      <w:r>
        <w:rPr>
          <w:rFonts w:eastAsia="宋体"/>
          <w:highlight w:val="none"/>
        </w:rPr>
        <w:t>□</w:t>
      </w:r>
      <w:r>
        <w:rPr>
          <w:rFonts w:eastAsia="宋体"/>
          <w:sz w:val="24"/>
          <w:highlight w:val="none"/>
        </w:rPr>
        <w:t>是，公益一类事业单位、使用事业编制且由财政拨款保障的群团组织，不得作为承接主体；</w:t>
      </w:r>
    </w:p>
    <w:p w14:paraId="64285EE8">
      <w:pPr>
        <w:tabs>
          <w:tab w:val="left" w:pos="900"/>
          <w:tab w:val="left" w:pos="1134"/>
          <w:tab w:val="left" w:pos="1589"/>
          <w:tab w:val="left" w:pos="5521"/>
        </w:tabs>
        <w:snapToGrid w:val="0"/>
        <w:spacing w:line="360" w:lineRule="auto"/>
        <w:ind w:firstLine="480" w:firstLineChars="200"/>
        <w:rPr>
          <w:rFonts w:eastAsia="宋体"/>
          <w:sz w:val="24"/>
          <w:highlight w:val="none"/>
        </w:rPr>
      </w:pPr>
      <w:r>
        <w:rPr>
          <w:rFonts w:eastAsia="宋体"/>
          <w:sz w:val="24"/>
          <w:highlight w:val="none"/>
        </w:rPr>
        <w:t>3.</w:t>
      </w:r>
      <w:r>
        <w:rPr>
          <w:rFonts w:hint="eastAsia"/>
          <w:sz w:val="24"/>
          <w:highlight w:val="none"/>
          <w:lang w:val="en-US" w:eastAsia="zh-CN"/>
        </w:rPr>
        <w:t>2</w:t>
      </w:r>
      <w:r>
        <w:rPr>
          <w:rFonts w:eastAsia="宋体"/>
          <w:sz w:val="24"/>
          <w:highlight w:val="none"/>
        </w:rPr>
        <w:t>其他特定资格要求：</w:t>
      </w:r>
    </w:p>
    <w:p w14:paraId="7AD000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3.2.1</w:t>
      </w:r>
      <w:r>
        <w:rPr>
          <w:rFonts w:hint="eastAsia" w:ascii="Times New Roman" w:hAnsi="Times New Roman" w:eastAsia="宋体" w:cs="Times New Roman"/>
          <w:sz w:val="24"/>
        </w:rPr>
        <w:t xml:space="preserve">企业资格要求： </w:t>
      </w:r>
    </w:p>
    <w:p w14:paraId="49ED4D4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sz w:val="24"/>
          <w:u w:val="single"/>
        </w:rPr>
      </w:pPr>
      <w:r>
        <w:rPr>
          <w:rFonts w:hint="eastAsia" w:ascii="Times New Roman" w:hAnsi="Times New Roman" w:eastAsia="宋体" w:cs="Times New Roman"/>
          <w:b/>
          <w:bCs/>
          <w:sz w:val="24"/>
          <w:u w:val="single"/>
        </w:rPr>
        <w:t>供应商应同时具备以下资质：</w:t>
      </w:r>
    </w:p>
    <w:p w14:paraId="2ADAE6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u w:val="single"/>
        </w:rPr>
      </w:pPr>
      <w:r>
        <w:rPr>
          <w:rFonts w:hint="eastAsia" w:ascii="Times New Roman" w:hAnsi="Times New Roman" w:eastAsia="宋体" w:cs="Times New Roman"/>
          <w:sz w:val="24"/>
          <w:u w:val="single"/>
        </w:rPr>
        <w:t>（1）建设主管部门核发的工程勘察专业类（岩土工程）丙级及以上资质；</w:t>
      </w:r>
    </w:p>
    <w:p w14:paraId="4EA26B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u w:val="single"/>
        </w:rPr>
      </w:pPr>
      <w:r>
        <w:rPr>
          <w:rFonts w:hint="eastAsia" w:ascii="Times New Roman" w:hAnsi="Times New Roman" w:eastAsia="宋体" w:cs="Times New Roman"/>
          <w:sz w:val="24"/>
          <w:u w:val="single"/>
        </w:rPr>
        <w:t>（2）建设主管部门核发的市政行业(道路工程)专业设计丙级及以上资质；</w:t>
      </w:r>
    </w:p>
    <w:p w14:paraId="4B4665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u w:val="single"/>
        </w:rPr>
      </w:pPr>
      <w:r>
        <w:rPr>
          <w:rFonts w:hint="eastAsia" w:ascii="Times New Roman" w:hAnsi="Times New Roman" w:eastAsia="宋体" w:cs="Times New Roman"/>
          <w:sz w:val="24"/>
          <w:u w:val="single"/>
        </w:rPr>
        <w:t>（3）建设主管部门核发的市政公用工程施工总承包叁级及以上资质</w:t>
      </w:r>
      <w:r>
        <w:rPr>
          <w:rFonts w:hint="eastAsia" w:ascii="Times New Roman" w:hAnsi="Times New Roman" w:eastAsia="宋体" w:cs="Times New Roman"/>
          <w:sz w:val="24"/>
          <w:u w:val="single"/>
          <w:lang w:val="en-US" w:eastAsia="zh-CN"/>
        </w:rPr>
        <w:t>以及合格有效的</w:t>
      </w:r>
      <w:r>
        <w:rPr>
          <w:rFonts w:hint="eastAsia" w:ascii="Times New Roman" w:hAnsi="Times New Roman" w:eastAsia="宋体" w:cs="Times New Roman"/>
          <w:sz w:val="24"/>
          <w:u w:val="single"/>
        </w:rPr>
        <w:t>安全生产许可证</w:t>
      </w:r>
      <w:r>
        <w:rPr>
          <w:rFonts w:hint="eastAsia" w:ascii="Times New Roman" w:hAnsi="Times New Roman" w:eastAsia="宋体" w:cs="Times New Roman"/>
          <w:sz w:val="24"/>
          <w:u w:val="single"/>
          <w:lang w:eastAsia="zh-CN"/>
        </w:rPr>
        <w:t>。</w:t>
      </w:r>
      <w:r>
        <w:rPr>
          <w:rFonts w:hint="eastAsia" w:ascii="Times New Roman" w:hAnsi="Times New Roman" w:eastAsia="宋体" w:cs="Times New Roman"/>
          <w:sz w:val="24"/>
          <w:u w:val="single"/>
        </w:rPr>
        <w:t xml:space="preserve"> </w:t>
      </w:r>
    </w:p>
    <w:p w14:paraId="66E7EA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 xml:space="preserve">3.2.2 </w:t>
      </w:r>
      <w:r>
        <w:rPr>
          <w:rFonts w:hint="eastAsia" w:ascii="Times New Roman" w:hAnsi="Times New Roman" w:eastAsia="宋体" w:cs="Times New Roman"/>
          <w:sz w:val="24"/>
        </w:rPr>
        <w:t>拟派主要负责人员要求：</w:t>
      </w:r>
    </w:p>
    <w:p w14:paraId="4097722B">
      <w:pPr>
        <w:spacing w:line="360" w:lineRule="auto"/>
        <w:ind w:firstLine="480" w:firstLineChars="200"/>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rPr>
        <w:t>供应商拟派的</w:t>
      </w:r>
      <w:r>
        <w:rPr>
          <w:rFonts w:hint="eastAsia" w:ascii="Times New Roman" w:hAnsi="Times New Roman" w:eastAsia="宋体" w:cs="Times New Roman"/>
          <w:b/>
          <w:bCs/>
          <w:sz w:val="24"/>
        </w:rPr>
        <w:t>总承包项目经理</w:t>
      </w:r>
      <w:r>
        <w:rPr>
          <w:rFonts w:hint="eastAsia" w:ascii="Times New Roman" w:hAnsi="Times New Roman" w:eastAsia="宋体" w:cs="Times New Roman"/>
          <w:sz w:val="24"/>
        </w:rPr>
        <w:t>具有</w:t>
      </w:r>
      <w:r>
        <w:rPr>
          <w:rFonts w:hint="eastAsia" w:ascii="Times New Roman" w:hAnsi="Times New Roman" w:eastAsia="宋体" w:cs="Times New Roman"/>
          <w:sz w:val="24"/>
          <w:u w:val="single"/>
        </w:rPr>
        <w:t>二级及以上市政公用工程专业注册建造师</w:t>
      </w:r>
      <w:r>
        <w:rPr>
          <w:rFonts w:hint="eastAsia" w:ascii="Times New Roman" w:hAnsi="Times New Roman" w:eastAsia="宋体" w:cs="Times New Roman"/>
          <w:sz w:val="24"/>
        </w:rPr>
        <w:t>执业资格，具备有效的</w:t>
      </w:r>
      <w:r>
        <w:rPr>
          <w:rFonts w:hint="eastAsia" w:ascii="Times New Roman" w:hAnsi="Times New Roman" w:eastAsia="宋体" w:cs="Times New Roman"/>
          <w:sz w:val="24"/>
          <w:u w:val="single"/>
        </w:rPr>
        <w:t>安全生产考核合格证书（B证）</w:t>
      </w:r>
      <w:r>
        <w:rPr>
          <w:rFonts w:hint="eastAsia" w:ascii="Times New Roman" w:hAnsi="Times New Roman" w:eastAsia="宋体" w:cs="Times New Roman"/>
          <w:sz w:val="24"/>
        </w:rPr>
        <w:t>，提供无在建项目承诺声明，总承包项目经理可以兼任施工负责人，不能与设计负责人同时兼任</w:t>
      </w:r>
      <w:r>
        <w:rPr>
          <w:rFonts w:hint="eastAsia" w:ascii="Times New Roman" w:hAnsi="Times New Roman" w:eastAsia="宋体" w:cs="Times New Roman"/>
          <w:sz w:val="24"/>
          <w:lang w:eastAsia="zh-CN"/>
        </w:rPr>
        <w:t>；</w:t>
      </w:r>
    </w:p>
    <w:p w14:paraId="106647CD">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hint="eastAsia" w:ascii="Times New Roman" w:hAnsi="Times New Roman" w:eastAsia="宋体" w:cs="Times New Roman"/>
          <w:b/>
          <w:bCs/>
          <w:sz w:val="24"/>
        </w:rPr>
        <w:t>设计负责人</w:t>
      </w:r>
      <w:r>
        <w:rPr>
          <w:rFonts w:hint="eastAsia" w:ascii="Times New Roman" w:hAnsi="Times New Roman" w:eastAsia="宋体" w:cs="Times New Roman"/>
          <w:sz w:val="24"/>
        </w:rPr>
        <w:t>具有</w:t>
      </w:r>
      <w:r>
        <w:rPr>
          <w:rFonts w:hint="eastAsia" w:ascii="Times New Roman" w:hAnsi="Times New Roman" w:eastAsia="宋体" w:cs="Times New Roman"/>
          <w:sz w:val="24"/>
          <w:u w:val="single"/>
        </w:rPr>
        <w:t>二级及以上注册建筑师执业资格或相关市政公用工程类中级及以上职称</w:t>
      </w:r>
      <w:r>
        <w:rPr>
          <w:rFonts w:hint="eastAsia" w:ascii="Times New Roman" w:hAnsi="Times New Roman" w:eastAsia="宋体" w:cs="Times New Roman"/>
          <w:sz w:val="24"/>
        </w:rPr>
        <w:t>；</w:t>
      </w:r>
    </w:p>
    <w:p w14:paraId="775BAD2D">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hint="eastAsia" w:ascii="Times New Roman" w:hAnsi="Times New Roman" w:eastAsia="宋体" w:cs="Times New Roman"/>
          <w:b/>
          <w:bCs/>
          <w:sz w:val="24"/>
        </w:rPr>
        <w:t>施工负责人</w:t>
      </w:r>
      <w:r>
        <w:rPr>
          <w:rFonts w:hint="eastAsia" w:ascii="Times New Roman" w:hAnsi="Times New Roman" w:eastAsia="宋体" w:cs="Times New Roman"/>
          <w:sz w:val="24"/>
        </w:rPr>
        <w:t>具有</w:t>
      </w:r>
      <w:r>
        <w:rPr>
          <w:rFonts w:hint="eastAsia" w:ascii="Times New Roman" w:hAnsi="Times New Roman" w:eastAsia="宋体" w:cs="Times New Roman"/>
          <w:sz w:val="24"/>
          <w:u w:val="single"/>
        </w:rPr>
        <w:t>二级及以上市政公用工程专业注册建造师执业资格</w:t>
      </w:r>
      <w:r>
        <w:rPr>
          <w:rFonts w:hint="eastAsia" w:ascii="Times New Roman" w:hAnsi="Times New Roman" w:eastAsia="宋体" w:cs="Times New Roman"/>
          <w:sz w:val="24"/>
        </w:rPr>
        <w:t>、有效的</w:t>
      </w:r>
      <w:r>
        <w:rPr>
          <w:rFonts w:hint="eastAsia" w:ascii="Times New Roman" w:hAnsi="Times New Roman" w:eastAsia="宋体" w:cs="Times New Roman"/>
          <w:sz w:val="24"/>
          <w:u w:val="single"/>
        </w:rPr>
        <w:t>安全生产考核合格证书（B证）</w:t>
      </w:r>
      <w:r>
        <w:rPr>
          <w:rFonts w:hint="eastAsia" w:ascii="Times New Roman" w:hAnsi="Times New Roman" w:eastAsia="宋体" w:cs="Times New Roman"/>
          <w:sz w:val="24"/>
        </w:rPr>
        <w:t>，并提供无在建项目承诺声明；</w:t>
      </w:r>
    </w:p>
    <w:p w14:paraId="6AE82D74">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4）</w:t>
      </w:r>
      <w:r>
        <w:rPr>
          <w:rFonts w:hint="eastAsia" w:ascii="Times New Roman" w:hAnsi="Times New Roman" w:eastAsia="宋体" w:cs="Times New Roman"/>
          <w:sz w:val="24"/>
        </w:rPr>
        <w:t>上述人员须为本公司在册人员，且提供近半年任意一个月的社保证明。</w:t>
      </w:r>
    </w:p>
    <w:p w14:paraId="0069660A">
      <w:pPr>
        <w:spacing w:line="360" w:lineRule="auto"/>
        <w:ind w:firstLine="480" w:firstLineChars="200"/>
        <w:rPr>
          <w:rFonts w:eastAsia="宋体"/>
          <w:i/>
          <w:iCs/>
          <w:sz w:val="24"/>
          <w:highlight w:val="none"/>
          <w:u w:val="single"/>
        </w:rPr>
      </w:pPr>
    </w:p>
    <w:bookmarkEnd w:id="10"/>
    <w:bookmarkEnd w:id="11"/>
    <w:p w14:paraId="28E8BA73">
      <w:pPr>
        <w:pStyle w:val="3"/>
        <w:widowControl/>
        <w:spacing w:before="0" w:line="360" w:lineRule="auto"/>
        <w:jc w:val="left"/>
        <w:rPr>
          <w:rFonts w:ascii="Times New Roman" w:hAnsi="Times New Roman" w:eastAsia="宋体"/>
          <w:sz w:val="24"/>
          <w:szCs w:val="24"/>
          <w:highlight w:val="none"/>
        </w:rPr>
      </w:pPr>
      <w:bookmarkStart w:id="16" w:name="_Toc35393623"/>
      <w:bookmarkStart w:id="17" w:name="_Toc35393792"/>
      <w:r>
        <w:rPr>
          <w:rFonts w:ascii="Times New Roman" w:hAnsi="Times New Roman" w:eastAsia="宋体"/>
          <w:sz w:val="24"/>
          <w:szCs w:val="24"/>
          <w:highlight w:val="none"/>
        </w:rPr>
        <w:t>三、</w:t>
      </w:r>
      <w:bookmarkEnd w:id="16"/>
      <w:bookmarkEnd w:id="17"/>
      <w:r>
        <w:rPr>
          <w:rFonts w:ascii="Times New Roman" w:hAnsi="Times New Roman" w:eastAsia="宋体"/>
          <w:sz w:val="24"/>
          <w:szCs w:val="24"/>
          <w:highlight w:val="none"/>
        </w:rPr>
        <w:t>获取采购文件</w:t>
      </w:r>
    </w:p>
    <w:p w14:paraId="00292D2A">
      <w:pPr>
        <w:adjustRightInd w:val="0"/>
        <w:snapToGrid w:val="0"/>
        <w:spacing w:line="360" w:lineRule="auto"/>
        <w:ind w:firstLine="480" w:firstLineChars="200"/>
        <w:rPr>
          <w:rFonts w:eastAsia="宋体"/>
          <w:sz w:val="24"/>
          <w:highlight w:val="none"/>
          <w:lang w:bidi="ar"/>
        </w:rPr>
      </w:pPr>
      <w:r>
        <w:rPr>
          <w:rFonts w:eastAsia="宋体"/>
          <w:sz w:val="24"/>
          <w:highlight w:val="none"/>
          <w:lang w:bidi="ar"/>
        </w:rPr>
        <w:t>1.时间：</w:t>
      </w:r>
      <w:r>
        <w:rPr>
          <w:rFonts w:hint="eastAsia"/>
          <w:sz w:val="24"/>
          <w:highlight w:val="none"/>
          <w:lang w:val="en-US" w:eastAsia="zh-CN"/>
        </w:rPr>
        <w:t>2025</w:t>
      </w:r>
      <w:r>
        <w:rPr>
          <w:rFonts w:eastAsia="宋体"/>
          <w:sz w:val="24"/>
          <w:highlight w:val="none"/>
          <w:lang w:bidi="ar"/>
        </w:rPr>
        <w:t>年</w:t>
      </w:r>
      <w:r>
        <w:rPr>
          <w:rFonts w:hint="eastAsia"/>
          <w:sz w:val="24"/>
          <w:highlight w:val="none"/>
          <w:lang w:val="en-US" w:eastAsia="zh-CN"/>
        </w:rPr>
        <w:t>09月16日</w:t>
      </w:r>
      <w:r>
        <w:rPr>
          <w:rFonts w:eastAsia="宋体"/>
          <w:sz w:val="24"/>
          <w:highlight w:val="none"/>
          <w:lang w:bidi="ar"/>
        </w:rPr>
        <w:t>至</w:t>
      </w:r>
      <w:r>
        <w:rPr>
          <w:rFonts w:hint="eastAsia"/>
          <w:sz w:val="24"/>
          <w:highlight w:val="none"/>
          <w:lang w:val="en-US" w:eastAsia="zh-CN"/>
        </w:rPr>
        <w:t>2025</w:t>
      </w:r>
      <w:r>
        <w:rPr>
          <w:rFonts w:eastAsia="宋体"/>
          <w:sz w:val="24"/>
          <w:highlight w:val="none"/>
          <w:lang w:bidi="ar"/>
        </w:rPr>
        <w:t>年</w:t>
      </w:r>
      <w:r>
        <w:rPr>
          <w:rFonts w:hint="eastAsia"/>
          <w:sz w:val="24"/>
          <w:highlight w:val="none"/>
          <w:lang w:val="en-US" w:eastAsia="zh-CN" w:bidi="ar"/>
        </w:rPr>
        <w:t>09月23日</w:t>
      </w:r>
      <w:r>
        <w:rPr>
          <w:rFonts w:eastAsia="宋体"/>
          <w:sz w:val="24"/>
          <w:highlight w:val="none"/>
          <w:lang w:bidi="ar"/>
        </w:rPr>
        <w:t>，</w:t>
      </w:r>
      <w:r>
        <w:rPr>
          <w:rFonts w:ascii="宋体" w:hAnsi="宋体" w:eastAsia="宋体"/>
          <w:sz w:val="24"/>
          <w:highlight w:val="none"/>
        </w:rPr>
        <w:t>每天上午</w:t>
      </w:r>
      <w:r>
        <w:rPr>
          <w:rFonts w:hint="eastAsia" w:ascii="宋体" w:hAnsi="宋体" w:eastAsia="宋体"/>
          <w:sz w:val="24"/>
          <w:highlight w:val="none"/>
        </w:rPr>
        <w:t>9时30分</w:t>
      </w:r>
      <w:r>
        <w:rPr>
          <w:rFonts w:ascii="宋体" w:hAnsi="宋体" w:eastAsia="宋体"/>
          <w:sz w:val="24"/>
          <w:highlight w:val="none"/>
        </w:rPr>
        <w:t>至</w:t>
      </w:r>
      <w:r>
        <w:rPr>
          <w:rFonts w:hint="eastAsia" w:ascii="宋体" w:hAnsi="宋体" w:eastAsia="宋体"/>
          <w:sz w:val="24"/>
          <w:highlight w:val="none"/>
        </w:rPr>
        <w:t>11时30分</w:t>
      </w:r>
      <w:r>
        <w:rPr>
          <w:rFonts w:ascii="宋体" w:hAnsi="宋体" w:eastAsia="宋体"/>
          <w:sz w:val="24"/>
          <w:highlight w:val="none"/>
        </w:rPr>
        <w:t>，下午</w:t>
      </w:r>
      <w:r>
        <w:rPr>
          <w:rFonts w:hint="eastAsia" w:ascii="宋体" w:hAnsi="宋体" w:eastAsia="宋体"/>
          <w:sz w:val="24"/>
          <w:highlight w:val="none"/>
        </w:rPr>
        <w:t>13时30分至16时30分</w:t>
      </w:r>
      <w:r>
        <w:rPr>
          <w:rFonts w:eastAsia="宋体"/>
          <w:sz w:val="24"/>
          <w:highlight w:val="none"/>
          <w:lang w:bidi="ar"/>
        </w:rPr>
        <w:t>（北京时间，法定节假日除外）。</w:t>
      </w:r>
    </w:p>
    <w:p w14:paraId="23924A55">
      <w:pPr>
        <w:adjustRightInd w:val="0"/>
        <w:snapToGrid w:val="0"/>
        <w:spacing w:line="360" w:lineRule="auto"/>
        <w:ind w:firstLine="480" w:firstLineChars="200"/>
        <w:rPr>
          <w:rFonts w:hint="eastAsia" w:eastAsia="宋体"/>
          <w:sz w:val="24"/>
          <w:highlight w:val="none"/>
          <w:lang w:val="en-US" w:eastAsia="zh-CN"/>
        </w:rPr>
      </w:pPr>
      <w:r>
        <w:rPr>
          <w:rFonts w:eastAsia="宋体"/>
          <w:sz w:val="24"/>
          <w:highlight w:val="none"/>
          <w:lang w:bidi="ar"/>
        </w:rPr>
        <w:t>2.地点：</w:t>
      </w:r>
      <w:r>
        <w:rPr>
          <w:rFonts w:hint="eastAsia" w:ascii="宋体" w:hAnsi="宋体" w:eastAsia="宋体"/>
          <w:sz w:val="24"/>
          <w:highlight w:val="none"/>
          <w:lang w:bidi="ar"/>
        </w:rPr>
        <w:t>北京市西城区广安门外大街甲275号6层6</w:t>
      </w:r>
      <w:r>
        <w:rPr>
          <w:rFonts w:ascii="宋体" w:hAnsi="宋体" w:eastAsia="宋体"/>
          <w:sz w:val="24"/>
          <w:highlight w:val="none"/>
          <w:lang w:bidi="ar"/>
        </w:rPr>
        <w:t>0</w:t>
      </w:r>
      <w:r>
        <w:rPr>
          <w:rFonts w:hint="eastAsia" w:ascii="宋体" w:hAnsi="宋体"/>
          <w:sz w:val="24"/>
          <w:highlight w:val="none"/>
          <w:lang w:val="en-US" w:eastAsia="zh-CN" w:bidi="ar"/>
        </w:rPr>
        <w:t>5</w:t>
      </w:r>
      <w:r>
        <w:rPr>
          <w:rFonts w:hint="eastAsia" w:ascii="宋体" w:hAnsi="宋体" w:eastAsia="宋体"/>
          <w:sz w:val="24"/>
          <w:highlight w:val="none"/>
          <w:lang w:bidi="ar"/>
        </w:rPr>
        <w:t>会议室</w:t>
      </w:r>
      <w:r>
        <w:rPr>
          <w:rFonts w:hint="eastAsia" w:ascii="宋体" w:hAnsi="宋体"/>
          <w:sz w:val="24"/>
          <w:highlight w:val="none"/>
          <w:lang w:eastAsia="zh-CN" w:bidi="ar"/>
        </w:rPr>
        <w:t>。</w:t>
      </w:r>
    </w:p>
    <w:p w14:paraId="3B9CD78D">
      <w:pPr>
        <w:spacing w:line="360" w:lineRule="auto"/>
        <w:ind w:left="0" w:leftChars="0" w:right="-197" w:rightChars="-94" w:firstLine="420" w:firstLineChars="0"/>
        <w:rPr>
          <w:rFonts w:eastAsia="宋体"/>
          <w:sz w:val="24"/>
          <w:highlight w:val="none"/>
          <w:lang w:bidi="ar"/>
        </w:rPr>
      </w:pPr>
      <w:r>
        <w:rPr>
          <w:rFonts w:eastAsia="宋体"/>
          <w:sz w:val="24"/>
          <w:highlight w:val="none"/>
          <w:lang w:bidi="ar"/>
        </w:rPr>
        <w:t>3.</w:t>
      </w:r>
      <w:r>
        <w:rPr>
          <w:rFonts w:hint="eastAsia" w:ascii="宋体" w:hAnsi="宋体"/>
          <w:sz w:val="24"/>
          <w:highlight w:val="none"/>
          <w:lang w:val="en-US" w:eastAsia="zh-CN"/>
        </w:rPr>
        <w:t>报名方式</w:t>
      </w:r>
      <w:r>
        <w:rPr>
          <w:rFonts w:eastAsia="宋体"/>
          <w:sz w:val="24"/>
          <w:highlight w:val="none"/>
          <w:lang w:bidi="ar"/>
        </w:rPr>
        <w:t>：</w:t>
      </w:r>
      <w:r>
        <w:rPr>
          <w:rFonts w:hint="eastAsia"/>
          <w:sz w:val="24"/>
          <w:highlight w:val="none"/>
          <w:lang w:bidi="ar"/>
        </w:rPr>
        <w:t>（不收取报名费）</w:t>
      </w:r>
    </w:p>
    <w:p w14:paraId="7810F138">
      <w:pPr>
        <w:spacing w:line="360" w:lineRule="auto"/>
        <w:ind w:firstLine="480" w:firstLineChars="200"/>
        <w:rPr>
          <w:rFonts w:ascii="宋体" w:hAnsi="宋体" w:eastAsia="宋体"/>
          <w:sz w:val="24"/>
          <w:highlight w:val="none"/>
        </w:rPr>
      </w:pPr>
      <w:r>
        <w:rPr>
          <w:rFonts w:hint="eastAsia" w:ascii="宋体" w:hAnsi="宋体" w:eastAsia="宋体"/>
          <w:sz w:val="24"/>
          <w:highlight w:val="none"/>
        </w:rPr>
        <w:t>1）现场</w:t>
      </w:r>
      <w:r>
        <w:rPr>
          <w:rFonts w:hint="eastAsia" w:ascii="宋体" w:hAnsi="宋体"/>
          <w:sz w:val="24"/>
          <w:highlight w:val="none"/>
          <w:lang w:val="en-US" w:eastAsia="zh-CN"/>
        </w:rPr>
        <w:t>报名</w:t>
      </w:r>
      <w:r>
        <w:rPr>
          <w:rFonts w:hint="eastAsia" w:ascii="宋体" w:hAnsi="宋体" w:eastAsia="宋体"/>
          <w:sz w:val="24"/>
          <w:highlight w:val="none"/>
        </w:rPr>
        <w:t>：</w:t>
      </w:r>
    </w:p>
    <w:p w14:paraId="5CC3B37A">
      <w:pPr>
        <w:spacing w:line="360" w:lineRule="auto"/>
        <w:ind w:firstLine="480" w:firstLineChars="200"/>
        <w:rPr>
          <w:rFonts w:ascii="宋体" w:hAnsi="宋体" w:eastAsia="宋体"/>
          <w:sz w:val="24"/>
          <w:highlight w:val="none"/>
        </w:rPr>
      </w:pPr>
      <w:r>
        <w:rPr>
          <w:rFonts w:hint="eastAsia" w:ascii="宋体" w:hAnsi="宋体" w:eastAsia="宋体"/>
          <w:sz w:val="24"/>
          <w:highlight w:val="none"/>
        </w:rPr>
        <w:t>2）线上</w:t>
      </w:r>
      <w:r>
        <w:rPr>
          <w:rFonts w:hint="eastAsia" w:ascii="宋体" w:hAnsi="宋体"/>
          <w:sz w:val="24"/>
          <w:highlight w:val="none"/>
          <w:lang w:val="en-US" w:eastAsia="zh-CN"/>
        </w:rPr>
        <w:t>报名</w:t>
      </w:r>
      <w:r>
        <w:rPr>
          <w:rFonts w:hint="eastAsia" w:ascii="宋体" w:hAnsi="宋体" w:eastAsia="宋体"/>
          <w:sz w:val="24"/>
          <w:highlight w:val="none"/>
        </w:rPr>
        <w:t>：</w:t>
      </w:r>
      <w:r>
        <w:rPr>
          <w:highlight w:val="none"/>
        </w:rPr>
        <w:fldChar w:fldCharType="begin"/>
      </w:r>
      <w:r>
        <w:rPr>
          <w:highlight w:val="none"/>
        </w:rPr>
        <w:instrText xml:space="preserve"> HYPERLINK "mailto:请将电汇底单及以下表格发邮件至jowena@163.com" </w:instrText>
      </w:r>
      <w:r>
        <w:rPr>
          <w:highlight w:val="none"/>
        </w:rPr>
        <w:fldChar w:fldCharType="separate"/>
      </w:r>
      <w:r>
        <w:rPr>
          <w:rFonts w:ascii="宋体" w:hAnsi="宋体"/>
          <w:sz w:val="24"/>
          <w:highlight w:val="none"/>
        </w:rPr>
        <w:t>请将以下表格发邮件至</w:t>
      </w:r>
      <w:r>
        <w:rPr>
          <w:rFonts w:ascii="宋体" w:hAnsi="宋体"/>
          <w:sz w:val="24"/>
          <w:highlight w:val="none"/>
        </w:rPr>
        <w:fldChar w:fldCharType="end"/>
      </w:r>
      <w:r>
        <w:rPr>
          <w:rFonts w:hint="eastAsia" w:ascii="宋体" w:hAnsi="宋体"/>
          <w:sz w:val="24"/>
          <w:highlight w:val="none"/>
          <w:lang w:val="en-US" w:eastAsia="zh-CN"/>
        </w:rPr>
        <w:t>wangsiyu@biecc.com.cn</w:t>
      </w:r>
      <w:r>
        <w:rPr>
          <w:rFonts w:ascii="宋体" w:hAnsi="宋体" w:eastAsia="宋体"/>
          <w:sz w:val="24"/>
          <w:highlight w:val="none"/>
        </w:rPr>
        <w:t>，邮件主题请</w:t>
      </w:r>
      <w:r>
        <w:rPr>
          <w:rFonts w:hint="eastAsia" w:ascii="宋体" w:hAnsi="宋体" w:eastAsia="宋体"/>
          <w:sz w:val="24"/>
          <w:highlight w:val="none"/>
        </w:rPr>
        <w:t>务必</w:t>
      </w:r>
      <w:r>
        <w:rPr>
          <w:rFonts w:ascii="宋体" w:hAnsi="宋体" w:eastAsia="宋体"/>
          <w:sz w:val="24"/>
          <w:highlight w:val="none"/>
        </w:rPr>
        <w:t>填写：项目编号</w:t>
      </w:r>
      <w:r>
        <w:rPr>
          <w:rFonts w:hint="eastAsia" w:ascii="宋体" w:hAnsi="宋体" w:eastAsia="宋体"/>
          <w:sz w:val="24"/>
          <w:highlight w:val="none"/>
        </w:rPr>
        <w:t>+</w:t>
      </w:r>
      <w:r>
        <w:rPr>
          <w:rFonts w:ascii="宋体" w:hAnsi="宋体" w:eastAsia="宋体"/>
          <w:sz w:val="24"/>
          <w:highlight w:val="none"/>
        </w:rPr>
        <w:t>购买标书信息。发完邮件后请打磋商</w:t>
      </w:r>
      <w:r>
        <w:rPr>
          <w:rFonts w:hint="eastAsia" w:ascii="宋体" w:hAnsi="宋体"/>
          <w:sz w:val="24"/>
          <w:highlight w:val="none"/>
          <w:lang w:val="en-US" w:eastAsia="zh-CN"/>
        </w:rPr>
        <w:t>邀请</w:t>
      </w:r>
      <w:r>
        <w:rPr>
          <w:rFonts w:ascii="宋体" w:hAnsi="宋体" w:eastAsia="宋体"/>
          <w:sz w:val="24"/>
          <w:highlight w:val="none"/>
        </w:rPr>
        <w:t>中的电话确认</w:t>
      </w:r>
      <w:r>
        <w:rPr>
          <w:rFonts w:hint="eastAsia" w:ascii="宋体" w:hAnsi="宋体" w:eastAsia="宋体"/>
          <w:sz w:val="24"/>
          <w:highlight w:val="none"/>
        </w:rPr>
        <w:t>，</w:t>
      </w:r>
      <w:r>
        <w:rPr>
          <w:rFonts w:ascii="宋体" w:hAnsi="宋体" w:eastAsia="宋体"/>
          <w:sz w:val="24"/>
          <w:highlight w:val="none"/>
        </w:rPr>
        <w:t>若</w:t>
      </w:r>
      <w:r>
        <w:rPr>
          <w:rFonts w:hint="eastAsia" w:ascii="宋体" w:hAnsi="宋体" w:eastAsia="宋体"/>
          <w:sz w:val="24"/>
          <w:highlight w:val="none"/>
        </w:rPr>
        <w:t>需</w:t>
      </w:r>
      <w:r>
        <w:rPr>
          <w:rFonts w:ascii="宋体" w:hAnsi="宋体" w:eastAsia="宋体"/>
          <w:sz w:val="24"/>
          <w:highlight w:val="none"/>
        </w:rPr>
        <w:t>邮</w:t>
      </w:r>
      <w:r>
        <w:rPr>
          <w:rFonts w:hint="eastAsia" w:ascii="宋体" w:hAnsi="宋体" w:eastAsia="宋体"/>
          <w:sz w:val="24"/>
          <w:highlight w:val="none"/>
        </w:rPr>
        <w:t>寄纸质版磋商文件</w:t>
      </w:r>
      <w:r>
        <w:rPr>
          <w:rFonts w:ascii="宋体" w:hAnsi="宋体" w:eastAsia="宋体"/>
          <w:sz w:val="24"/>
          <w:highlight w:val="none"/>
        </w:rPr>
        <w:t>，须加付</w:t>
      </w:r>
      <w:r>
        <w:rPr>
          <w:rFonts w:hint="eastAsia" w:ascii="宋体" w:hAnsi="宋体" w:eastAsia="宋体"/>
          <w:sz w:val="24"/>
          <w:highlight w:val="none"/>
        </w:rPr>
        <w:t>邮</w:t>
      </w:r>
      <w:r>
        <w:rPr>
          <w:rFonts w:ascii="宋体" w:hAnsi="宋体" w:eastAsia="宋体"/>
          <w:sz w:val="24"/>
          <w:highlight w:val="none"/>
        </w:rPr>
        <w:t>费100元人民币。</w:t>
      </w:r>
    </w:p>
    <w:tbl>
      <w:tblPr>
        <w:tblStyle w:val="44"/>
        <w:tblW w:w="7371"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5103"/>
      </w:tblGrid>
      <w:tr w14:paraId="3FBF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14:paraId="6E393E12">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r>
              <w:rPr>
                <w:rFonts w:hint="default" w:ascii="宋体" w:hAnsi="宋体" w:eastAsia="宋体"/>
                <w:sz w:val="24"/>
                <w:highlight w:val="none"/>
              </w:rPr>
              <w:t>项目编号</w:t>
            </w:r>
          </w:p>
        </w:tc>
        <w:tc>
          <w:tcPr>
            <w:tcW w:w="5103" w:type="dxa"/>
            <w:noWrap w:val="0"/>
            <w:vAlign w:val="center"/>
          </w:tcPr>
          <w:p w14:paraId="0E7D3EBA">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p>
        </w:tc>
      </w:tr>
      <w:tr w14:paraId="7210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14:paraId="1005AD03">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r>
              <w:rPr>
                <w:rFonts w:hint="default" w:ascii="宋体" w:hAnsi="宋体" w:eastAsia="宋体"/>
                <w:sz w:val="24"/>
                <w:highlight w:val="none"/>
              </w:rPr>
              <w:t>包号（有就写）</w:t>
            </w:r>
          </w:p>
        </w:tc>
        <w:tc>
          <w:tcPr>
            <w:tcW w:w="5103" w:type="dxa"/>
            <w:noWrap w:val="0"/>
            <w:vAlign w:val="center"/>
          </w:tcPr>
          <w:p w14:paraId="617E2F82">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p>
        </w:tc>
      </w:tr>
      <w:tr w14:paraId="3431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14:paraId="1ABB8980">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r>
              <w:rPr>
                <w:rFonts w:hint="default" w:ascii="宋体" w:hAnsi="宋体" w:eastAsia="宋体"/>
                <w:sz w:val="24"/>
                <w:highlight w:val="none"/>
              </w:rPr>
              <w:t>公司名称</w:t>
            </w:r>
          </w:p>
        </w:tc>
        <w:tc>
          <w:tcPr>
            <w:tcW w:w="5103" w:type="dxa"/>
            <w:noWrap w:val="0"/>
            <w:vAlign w:val="center"/>
          </w:tcPr>
          <w:p w14:paraId="39C91860">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p>
        </w:tc>
      </w:tr>
      <w:tr w14:paraId="0ABF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14:paraId="0B5175F3">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r>
              <w:rPr>
                <w:rFonts w:hint="default" w:ascii="宋体" w:hAnsi="宋体" w:eastAsia="宋体"/>
                <w:sz w:val="24"/>
                <w:highlight w:val="none"/>
              </w:rPr>
              <w:t>纳税人识别号</w:t>
            </w:r>
          </w:p>
        </w:tc>
        <w:tc>
          <w:tcPr>
            <w:tcW w:w="5103" w:type="dxa"/>
            <w:noWrap w:val="0"/>
            <w:vAlign w:val="center"/>
          </w:tcPr>
          <w:p w14:paraId="26C48141">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p>
        </w:tc>
      </w:tr>
      <w:tr w14:paraId="46C8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14:paraId="5DFD6565">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r>
              <w:rPr>
                <w:rFonts w:hint="default" w:ascii="宋体" w:hAnsi="宋体" w:eastAsia="宋体"/>
                <w:sz w:val="24"/>
                <w:highlight w:val="none"/>
              </w:rPr>
              <w:t>公司地址</w:t>
            </w:r>
          </w:p>
        </w:tc>
        <w:tc>
          <w:tcPr>
            <w:tcW w:w="5103" w:type="dxa"/>
            <w:noWrap w:val="0"/>
            <w:vAlign w:val="center"/>
          </w:tcPr>
          <w:p w14:paraId="2781937D">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p>
        </w:tc>
      </w:tr>
      <w:tr w14:paraId="110C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14:paraId="7E3B6907">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r>
              <w:rPr>
                <w:rFonts w:hint="default" w:ascii="宋体" w:hAnsi="宋体" w:eastAsia="宋体"/>
                <w:sz w:val="24"/>
                <w:highlight w:val="none"/>
              </w:rPr>
              <w:t>联系人</w:t>
            </w:r>
          </w:p>
        </w:tc>
        <w:tc>
          <w:tcPr>
            <w:tcW w:w="5103" w:type="dxa"/>
            <w:noWrap w:val="0"/>
            <w:vAlign w:val="center"/>
          </w:tcPr>
          <w:p w14:paraId="48C4E85F">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p>
        </w:tc>
      </w:tr>
      <w:tr w14:paraId="36C2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14:paraId="62054415">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r>
              <w:rPr>
                <w:rFonts w:hint="default" w:ascii="宋体" w:hAnsi="宋体" w:eastAsia="宋体"/>
                <w:sz w:val="24"/>
                <w:highlight w:val="none"/>
              </w:rPr>
              <w:t>联系电话</w:t>
            </w:r>
          </w:p>
        </w:tc>
        <w:tc>
          <w:tcPr>
            <w:tcW w:w="5103" w:type="dxa"/>
            <w:noWrap w:val="0"/>
            <w:vAlign w:val="center"/>
          </w:tcPr>
          <w:p w14:paraId="43A46041">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p>
        </w:tc>
      </w:tr>
    </w:tbl>
    <w:p w14:paraId="6B06E5F0">
      <w:pPr>
        <w:spacing w:line="360" w:lineRule="auto"/>
        <w:ind w:firstLine="480" w:firstLineChars="200"/>
        <w:rPr>
          <w:rFonts w:ascii="宋体" w:hAnsi="宋体"/>
          <w:sz w:val="24"/>
          <w:highlight w:val="none"/>
        </w:rPr>
      </w:pPr>
      <w:r>
        <w:rPr>
          <w:rFonts w:ascii="宋体" w:hAnsi="宋体"/>
          <w:sz w:val="24"/>
          <w:highlight w:val="none"/>
        </w:rPr>
        <w:t>电子版磋商文件</w:t>
      </w:r>
      <w:r>
        <w:rPr>
          <w:rFonts w:hint="eastAsia" w:ascii="宋体" w:hAnsi="宋体"/>
          <w:sz w:val="24"/>
          <w:highlight w:val="none"/>
          <w:lang w:val="en-US" w:eastAsia="zh-CN"/>
        </w:rPr>
        <w:t>将在报名成功后发送到供应商邮箱</w:t>
      </w:r>
      <w:r>
        <w:rPr>
          <w:rFonts w:ascii="宋体" w:hAnsi="宋体"/>
          <w:sz w:val="24"/>
          <w:highlight w:val="none"/>
        </w:rPr>
        <w:t>。</w:t>
      </w:r>
    </w:p>
    <w:p w14:paraId="51DCCEA0">
      <w:pPr>
        <w:tabs>
          <w:tab w:val="left" w:pos="900"/>
          <w:tab w:val="left" w:pos="1980"/>
        </w:tabs>
        <w:snapToGrid w:val="0"/>
        <w:spacing w:line="360" w:lineRule="auto"/>
        <w:ind w:left="840"/>
        <w:rPr>
          <w:rFonts w:eastAsia="宋体"/>
          <w:sz w:val="24"/>
          <w:highlight w:val="none"/>
        </w:rPr>
      </w:pPr>
    </w:p>
    <w:p w14:paraId="3ABA4A0C">
      <w:pPr>
        <w:pStyle w:val="3"/>
        <w:widowControl/>
        <w:spacing w:before="0" w:line="360" w:lineRule="auto"/>
        <w:jc w:val="left"/>
        <w:rPr>
          <w:rFonts w:ascii="Times New Roman" w:hAnsi="Times New Roman" w:eastAsia="宋体"/>
          <w:sz w:val="24"/>
          <w:szCs w:val="24"/>
          <w:highlight w:val="none"/>
        </w:rPr>
      </w:pPr>
      <w:bookmarkStart w:id="18" w:name="_Toc35393793"/>
      <w:bookmarkStart w:id="19" w:name="_Toc35393624"/>
      <w:bookmarkStart w:id="20" w:name="_Toc28359082"/>
      <w:bookmarkStart w:id="21" w:name="_Toc28359005"/>
      <w:r>
        <w:rPr>
          <w:rFonts w:ascii="Times New Roman" w:hAnsi="Times New Roman" w:eastAsia="宋体"/>
          <w:sz w:val="24"/>
          <w:szCs w:val="24"/>
          <w:highlight w:val="none"/>
        </w:rPr>
        <w:t>四、</w:t>
      </w:r>
      <w:bookmarkEnd w:id="18"/>
      <w:bookmarkEnd w:id="19"/>
      <w:bookmarkEnd w:id="20"/>
      <w:bookmarkEnd w:id="21"/>
      <w:r>
        <w:rPr>
          <w:rFonts w:ascii="Times New Roman" w:hAnsi="Times New Roman" w:eastAsia="宋体"/>
          <w:sz w:val="24"/>
          <w:szCs w:val="24"/>
          <w:highlight w:val="none"/>
        </w:rPr>
        <w:t>响应文件提交</w:t>
      </w:r>
    </w:p>
    <w:p w14:paraId="74DAC41F">
      <w:pPr>
        <w:spacing w:line="360" w:lineRule="auto"/>
        <w:ind w:firstLine="480" w:firstLineChars="200"/>
        <w:rPr>
          <w:rFonts w:eastAsia="宋体"/>
          <w:bCs/>
          <w:sz w:val="24"/>
          <w:highlight w:val="none"/>
          <w:u w:val="single"/>
        </w:rPr>
      </w:pPr>
      <w:r>
        <w:rPr>
          <w:rFonts w:eastAsia="宋体"/>
          <w:sz w:val="24"/>
          <w:highlight w:val="none"/>
          <w:lang w:bidi="ar"/>
        </w:rPr>
        <w:t>截止时间：</w:t>
      </w:r>
      <w:r>
        <w:rPr>
          <w:rFonts w:hint="eastAsia"/>
          <w:sz w:val="24"/>
          <w:highlight w:val="none"/>
          <w:lang w:val="en-US" w:eastAsia="zh-CN"/>
        </w:rPr>
        <w:t>2025</w:t>
      </w:r>
      <w:r>
        <w:rPr>
          <w:rFonts w:eastAsia="宋体"/>
          <w:sz w:val="24"/>
          <w:highlight w:val="none"/>
          <w:lang w:bidi="ar"/>
        </w:rPr>
        <w:t>年</w:t>
      </w:r>
      <w:r>
        <w:rPr>
          <w:rFonts w:hint="eastAsia"/>
          <w:sz w:val="24"/>
          <w:highlight w:val="none"/>
          <w:lang w:val="en-US" w:eastAsia="zh-CN" w:bidi="ar"/>
        </w:rPr>
        <w:t>9月29日上午</w:t>
      </w:r>
      <w:r>
        <w:rPr>
          <w:rFonts w:hint="eastAsia"/>
          <w:sz w:val="24"/>
          <w:highlight w:val="none"/>
          <w:lang w:val="en-US" w:eastAsia="zh-CN"/>
        </w:rPr>
        <w:t>09</w:t>
      </w:r>
      <w:r>
        <w:rPr>
          <w:rFonts w:eastAsia="宋体"/>
          <w:sz w:val="24"/>
          <w:highlight w:val="none"/>
          <w:lang w:bidi="ar"/>
        </w:rPr>
        <w:t>点</w:t>
      </w:r>
      <w:r>
        <w:rPr>
          <w:rFonts w:hint="eastAsia"/>
          <w:sz w:val="24"/>
          <w:highlight w:val="none"/>
          <w:lang w:val="en-US" w:eastAsia="zh-CN"/>
        </w:rPr>
        <w:t>30</w:t>
      </w:r>
      <w:r>
        <w:rPr>
          <w:rFonts w:eastAsia="宋体"/>
          <w:sz w:val="24"/>
          <w:highlight w:val="none"/>
          <w:lang w:bidi="ar"/>
        </w:rPr>
        <w:t>分</w:t>
      </w:r>
      <w:r>
        <w:rPr>
          <w:rFonts w:eastAsia="宋体"/>
          <w:bCs/>
          <w:sz w:val="24"/>
          <w:highlight w:val="none"/>
          <w:lang w:bidi="ar"/>
        </w:rPr>
        <w:t>（北京时间）</w:t>
      </w:r>
      <w:r>
        <w:rPr>
          <w:rFonts w:eastAsia="宋体"/>
          <w:iCs/>
          <w:sz w:val="24"/>
          <w:highlight w:val="none"/>
          <w:lang w:bidi="ar"/>
        </w:rPr>
        <w:t>。</w:t>
      </w:r>
    </w:p>
    <w:p w14:paraId="7BEEDEE2">
      <w:pPr>
        <w:spacing w:line="360" w:lineRule="auto"/>
        <w:ind w:firstLine="480" w:firstLineChars="200"/>
        <w:rPr>
          <w:rFonts w:eastAsia="宋体"/>
          <w:sz w:val="24"/>
          <w:highlight w:val="none"/>
          <w:lang w:val="zh-TW" w:bidi="ar"/>
        </w:rPr>
      </w:pPr>
      <w:r>
        <w:rPr>
          <w:rFonts w:eastAsia="宋体"/>
          <w:sz w:val="24"/>
          <w:highlight w:val="none"/>
          <w:lang w:bidi="ar"/>
        </w:rPr>
        <w:t>地点：</w:t>
      </w:r>
      <w:r>
        <w:rPr>
          <w:rFonts w:hint="eastAsia" w:ascii="宋体" w:hAnsi="宋体" w:eastAsia="宋体"/>
          <w:sz w:val="24"/>
          <w:highlight w:val="none"/>
          <w:lang w:bidi="ar"/>
        </w:rPr>
        <w:t>北京市西城区广安门外大街甲275号</w:t>
      </w:r>
      <w:r>
        <w:rPr>
          <w:rFonts w:hint="eastAsia" w:ascii="宋体" w:hAnsi="宋体"/>
          <w:sz w:val="24"/>
          <w:highlight w:val="none"/>
          <w:lang w:val="en-US" w:eastAsia="zh-CN" w:bidi="ar"/>
        </w:rPr>
        <w:t>5层506会议室</w:t>
      </w:r>
      <w:r>
        <w:rPr>
          <w:rFonts w:ascii="宋体" w:hAnsi="宋体" w:eastAsia="宋体"/>
          <w:sz w:val="24"/>
          <w:highlight w:val="none"/>
          <w:lang w:val="zh-TW"/>
        </w:rPr>
        <w:t>。</w:t>
      </w:r>
    </w:p>
    <w:p w14:paraId="081201E8">
      <w:pPr>
        <w:spacing w:line="360" w:lineRule="auto"/>
        <w:ind w:firstLine="480" w:firstLineChars="200"/>
        <w:rPr>
          <w:rFonts w:eastAsia="宋体"/>
          <w:sz w:val="24"/>
          <w:highlight w:val="none"/>
          <w:lang w:val="zh-TW" w:bidi="ar"/>
        </w:rPr>
      </w:pPr>
    </w:p>
    <w:p w14:paraId="7F245926">
      <w:pPr>
        <w:pStyle w:val="3"/>
        <w:spacing w:before="0" w:line="360" w:lineRule="auto"/>
        <w:jc w:val="left"/>
        <w:rPr>
          <w:rFonts w:ascii="Times New Roman" w:hAnsi="Times New Roman" w:eastAsia="宋体"/>
          <w:sz w:val="24"/>
          <w:szCs w:val="24"/>
          <w:highlight w:val="none"/>
        </w:rPr>
      </w:pPr>
      <w:r>
        <w:rPr>
          <w:rFonts w:ascii="Times New Roman" w:hAnsi="Times New Roman" w:eastAsia="宋体"/>
          <w:sz w:val="24"/>
          <w:szCs w:val="24"/>
          <w:highlight w:val="none"/>
        </w:rPr>
        <w:t>五、开启</w:t>
      </w:r>
    </w:p>
    <w:p w14:paraId="2481E973">
      <w:pPr>
        <w:spacing w:line="360" w:lineRule="auto"/>
        <w:ind w:firstLine="480" w:firstLineChars="200"/>
        <w:rPr>
          <w:rFonts w:eastAsia="宋体"/>
          <w:bCs/>
          <w:sz w:val="24"/>
          <w:highlight w:val="none"/>
          <w:u w:val="single"/>
        </w:rPr>
      </w:pPr>
      <w:r>
        <w:rPr>
          <w:rFonts w:eastAsia="宋体"/>
          <w:sz w:val="24"/>
          <w:highlight w:val="none"/>
          <w:lang w:bidi="ar"/>
        </w:rPr>
        <w:t>时间：</w:t>
      </w:r>
      <w:r>
        <w:rPr>
          <w:rFonts w:hint="eastAsia"/>
          <w:sz w:val="24"/>
          <w:highlight w:val="none"/>
          <w:lang w:val="en-US" w:eastAsia="zh-CN"/>
        </w:rPr>
        <w:t>2025</w:t>
      </w:r>
      <w:r>
        <w:rPr>
          <w:rFonts w:eastAsia="宋体"/>
          <w:sz w:val="24"/>
          <w:highlight w:val="none"/>
          <w:lang w:bidi="ar"/>
        </w:rPr>
        <w:t>年</w:t>
      </w:r>
      <w:r>
        <w:rPr>
          <w:rFonts w:hint="eastAsia"/>
          <w:sz w:val="24"/>
          <w:highlight w:val="none"/>
          <w:lang w:val="en-US" w:eastAsia="zh-CN"/>
        </w:rPr>
        <w:t>9月29日</w:t>
      </w:r>
      <w:r>
        <w:rPr>
          <w:rFonts w:hint="eastAsia"/>
          <w:sz w:val="24"/>
          <w:highlight w:val="none"/>
          <w:lang w:val="en-US" w:eastAsia="zh-CN" w:bidi="ar"/>
        </w:rPr>
        <w:t>上午</w:t>
      </w:r>
      <w:r>
        <w:rPr>
          <w:rFonts w:hint="eastAsia"/>
          <w:sz w:val="24"/>
          <w:highlight w:val="none"/>
          <w:lang w:val="en-US" w:eastAsia="zh-CN"/>
        </w:rPr>
        <w:t>09</w:t>
      </w:r>
      <w:r>
        <w:rPr>
          <w:rFonts w:eastAsia="宋体"/>
          <w:sz w:val="24"/>
          <w:highlight w:val="none"/>
          <w:lang w:bidi="ar"/>
        </w:rPr>
        <w:t>点</w:t>
      </w:r>
      <w:r>
        <w:rPr>
          <w:rFonts w:hint="eastAsia"/>
          <w:sz w:val="24"/>
          <w:highlight w:val="none"/>
          <w:lang w:val="en-US" w:eastAsia="zh-CN"/>
        </w:rPr>
        <w:t>30</w:t>
      </w:r>
      <w:r>
        <w:rPr>
          <w:rFonts w:eastAsia="宋体"/>
          <w:sz w:val="24"/>
          <w:highlight w:val="none"/>
          <w:lang w:bidi="ar"/>
        </w:rPr>
        <w:t>分</w:t>
      </w:r>
      <w:r>
        <w:rPr>
          <w:rFonts w:eastAsia="宋体"/>
          <w:bCs/>
          <w:sz w:val="24"/>
          <w:highlight w:val="none"/>
          <w:lang w:bidi="ar"/>
        </w:rPr>
        <w:t>（北京时间）</w:t>
      </w:r>
      <w:r>
        <w:rPr>
          <w:rFonts w:eastAsia="宋体"/>
          <w:iCs/>
          <w:sz w:val="24"/>
          <w:highlight w:val="none"/>
          <w:lang w:bidi="ar"/>
        </w:rPr>
        <w:t>。</w:t>
      </w:r>
    </w:p>
    <w:p w14:paraId="26093AE3">
      <w:pPr>
        <w:spacing w:line="360" w:lineRule="auto"/>
        <w:ind w:firstLine="480" w:firstLineChars="200"/>
        <w:rPr>
          <w:rFonts w:eastAsia="宋体"/>
          <w:sz w:val="24"/>
          <w:highlight w:val="none"/>
          <w:lang w:val="zh-TW" w:bidi="ar"/>
        </w:rPr>
      </w:pPr>
      <w:r>
        <w:rPr>
          <w:rFonts w:eastAsia="宋体"/>
          <w:sz w:val="24"/>
          <w:highlight w:val="none"/>
          <w:lang w:bidi="ar"/>
        </w:rPr>
        <w:t>地点：</w:t>
      </w:r>
      <w:r>
        <w:rPr>
          <w:rFonts w:hint="eastAsia" w:ascii="宋体" w:hAnsi="宋体" w:eastAsia="宋体"/>
          <w:sz w:val="24"/>
          <w:highlight w:val="none"/>
          <w:lang w:bidi="ar"/>
        </w:rPr>
        <w:t>北京市西城区广安门外大街甲275号</w:t>
      </w:r>
      <w:r>
        <w:rPr>
          <w:rFonts w:hint="eastAsia" w:ascii="宋体" w:hAnsi="宋体"/>
          <w:sz w:val="24"/>
          <w:highlight w:val="none"/>
          <w:lang w:val="en-US" w:eastAsia="zh-CN" w:bidi="ar"/>
        </w:rPr>
        <w:t>5层506会议室</w:t>
      </w:r>
      <w:r>
        <w:rPr>
          <w:rFonts w:ascii="宋体" w:hAnsi="宋体" w:eastAsia="宋体"/>
          <w:sz w:val="24"/>
          <w:highlight w:val="none"/>
          <w:lang w:val="zh-TW"/>
        </w:rPr>
        <w:t>。</w:t>
      </w:r>
    </w:p>
    <w:p w14:paraId="229C8CC7">
      <w:pPr>
        <w:spacing w:line="360" w:lineRule="auto"/>
        <w:rPr>
          <w:rFonts w:eastAsia="宋体"/>
          <w:kern w:val="0"/>
          <w:sz w:val="24"/>
          <w:highlight w:val="none"/>
        </w:rPr>
      </w:pPr>
    </w:p>
    <w:p w14:paraId="54502914">
      <w:pPr>
        <w:pStyle w:val="3"/>
        <w:spacing w:before="0" w:line="360" w:lineRule="auto"/>
        <w:jc w:val="left"/>
        <w:rPr>
          <w:rFonts w:ascii="Times New Roman" w:hAnsi="Times New Roman" w:eastAsia="宋体"/>
          <w:sz w:val="24"/>
          <w:szCs w:val="24"/>
          <w:highlight w:val="none"/>
        </w:rPr>
      </w:pPr>
      <w:bookmarkStart w:id="22" w:name="_Toc35393626"/>
      <w:bookmarkStart w:id="23" w:name="_Toc35393795"/>
      <w:r>
        <w:rPr>
          <w:rFonts w:hint="eastAsia" w:ascii="Times New Roman" w:hAnsi="Times New Roman" w:eastAsia="宋体"/>
          <w:sz w:val="24"/>
          <w:szCs w:val="24"/>
          <w:highlight w:val="none"/>
          <w:lang w:val="en-US" w:eastAsia="zh-CN"/>
        </w:rPr>
        <w:t>六</w:t>
      </w:r>
      <w:r>
        <w:rPr>
          <w:rFonts w:ascii="Times New Roman" w:hAnsi="Times New Roman" w:eastAsia="宋体"/>
          <w:sz w:val="24"/>
          <w:szCs w:val="24"/>
          <w:highlight w:val="none"/>
        </w:rPr>
        <w:t>、其他补充事宜</w:t>
      </w:r>
      <w:bookmarkEnd w:id="22"/>
      <w:bookmarkEnd w:id="23"/>
    </w:p>
    <w:p w14:paraId="75CF9238">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1.本项目需要落实的政府采购政策：</w:t>
      </w:r>
      <w:r>
        <w:rPr>
          <w:rFonts w:hint="eastAsia" w:ascii="宋体" w:hAnsi="宋体" w:eastAsia="宋体" w:cs="宋体"/>
          <w:sz w:val="24"/>
          <w:highlight w:val="none"/>
          <w:u w:val="single"/>
        </w:rPr>
        <w:t>促进中小企业、监狱企业、残疾人福利性单位发展</w:t>
      </w:r>
      <w:r>
        <w:rPr>
          <w:rFonts w:hint="eastAsia" w:ascii="宋体" w:hAnsi="宋体" w:eastAsia="宋体" w:cs="宋体"/>
          <w:sz w:val="24"/>
          <w:highlight w:val="none"/>
        </w:rPr>
        <w:t>。</w:t>
      </w:r>
    </w:p>
    <w:p w14:paraId="63EF08CE">
      <w:pPr>
        <w:spacing w:line="360" w:lineRule="auto"/>
        <w:ind w:firstLine="480" w:firstLineChars="200"/>
        <w:rPr>
          <w:rFonts w:hint="eastAsia" w:ascii="宋体" w:hAnsi="宋体" w:eastAsia="宋体" w:cs="宋体"/>
          <w:sz w:val="24"/>
          <w:highlight w:val="none"/>
        </w:rPr>
      </w:pPr>
      <w:r>
        <w:rPr>
          <w:rFonts w:hint="eastAsia" w:ascii="宋体" w:hAnsi="宋体" w:cs="宋体"/>
          <w:sz w:val="24"/>
          <w:highlight w:val="none"/>
          <w:lang w:val="en-US" w:eastAsia="zh-CN"/>
        </w:rPr>
        <w:t>2</w:t>
      </w:r>
      <w:r>
        <w:rPr>
          <w:rFonts w:hint="eastAsia" w:ascii="宋体" w:hAnsi="宋体" w:eastAsia="宋体" w:cs="宋体"/>
          <w:sz w:val="24"/>
          <w:highlight w:val="none"/>
        </w:rPr>
        <w:t>.本项目评审方法和标准：综合评分法，总分100分。</w:t>
      </w:r>
    </w:p>
    <w:p w14:paraId="6A967A97">
      <w:pPr>
        <w:spacing w:line="360" w:lineRule="auto"/>
        <w:ind w:firstLine="480" w:firstLineChars="200"/>
        <w:rPr>
          <w:rFonts w:ascii="宋体" w:hAnsi="宋体" w:eastAsia="宋体"/>
          <w:sz w:val="24"/>
          <w:highlight w:val="none"/>
        </w:rPr>
      </w:pPr>
      <w:r>
        <w:rPr>
          <w:rFonts w:hint="eastAsia" w:ascii="宋体" w:hAnsi="宋体" w:cs="宋体"/>
          <w:sz w:val="24"/>
          <w:highlight w:val="none"/>
          <w:lang w:val="en-US" w:eastAsia="zh-CN"/>
        </w:rPr>
        <w:t>3</w:t>
      </w:r>
      <w:r>
        <w:rPr>
          <w:rFonts w:hint="eastAsia" w:ascii="宋体" w:hAnsi="宋体" w:eastAsia="宋体" w:cs="宋体"/>
          <w:sz w:val="24"/>
          <w:highlight w:val="none"/>
        </w:rPr>
        <w:t>.响应文件</w:t>
      </w:r>
      <w:r>
        <w:rPr>
          <w:rFonts w:hint="eastAsia" w:ascii="宋体" w:hAnsi="宋体" w:eastAsia="宋体"/>
          <w:sz w:val="24"/>
          <w:highlight w:val="none"/>
        </w:rPr>
        <w:t>请于提交当日（提交响应文件截止时间之前）递交至提交地点，逾期递交的文件恕不接受。</w:t>
      </w:r>
    </w:p>
    <w:p w14:paraId="65668554">
      <w:pPr>
        <w:spacing w:line="360" w:lineRule="auto"/>
        <w:ind w:firstLine="480" w:firstLineChars="200"/>
        <w:rPr>
          <w:rFonts w:ascii="宋体" w:hAnsi="宋体" w:eastAsia="宋体"/>
          <w:sz w:val="24"/>
          <w:highlight w:val="none"/>
        </w:rPr>
      </w:pPr>
      <w:r>
        <w:rPr>
          <w:rFonts w:hint="eastAsia" w:ascii="宋体" w:hAnsi="宋体"/>
          <w:sz w:val="24"/>
          <w:highlight w:val="none"/>
          <w:lang w:val="en-US" w:eastAsia="zh-CN"/>
        </w:rPr>
        <w:t>4</w:t>
      </w:r>
      <w:r>
        <w:rPr>
          <w:rFonts w:hint="eastAsia" w:ascii="宋体" w:hAnsi="宋体" w:eastAsia="宋体"/>
          <w:sz w:val="24"/>
          <w:highlight w:val="none"/>
        </w:rPr>
        <w:t>.届时请供应商派委托代理人参加磋商活动，且需携带本人身份证。</w:t>
      </w:r>
    </w:p>
    <w:p w14:paraId="1691F990">
      <w:pPr>
        <w:spacing w:line="360" w:lineRule="auto"/>
        <w:ind w:firstLine="480" w:firstLineChars="200"/>
        <w:rPr>
          <w:rFonts w:ascii="宋体" w:hAnsi="宋体" w:eastAsia="宋体"/>
          <w:sz w:val="24"/>
          <w:highlight w:val="none"/>
        </w:rPr>
      </w:pPr>
      <w:r>
        <w:rPr>
          <w:rFonts w:hint="eastAsia" w:ascii="宋体" w:hAnsi="宋体"/>
          <w:sz w:val="24"/>
          <w:highlight w:val="none"/>
          <w:lang w:val="en-US" w:eastAsia="zh-CN"/>
        </w:rPr>
        <w:t>5</w:t>
      </w:r>
      <w:r>
        <w:rPr>
          <w:rFonts w:hint="eastAsia" w:ascii="宋体" w:hAnsi="宋体" w:eastAsia="宋体"/>
          <w:sz w:val="24"/>
          <w:highlight w:val="none"/>
        </w:rPr>
        <w:t>.如本</w:t>
      </w:r>
      <w:r>
        <w:rPr>
          <w:rFonts w:hint="eastAsia" w:ascii="宋体" w:hAnsi="宋体"/>
          <w:sz w:val="24"/>
          <w:highlight w:val="none"/>
          <w:lang w:val="en-US" w:eastAsia="zh-CN"/>
        </w:rPr>
        <w:t>邀请</w:t>
      </w:r>
      <w:r>
        <w:rPr>
          <w:rFonts w:hint="eastAsia" w:ascii="宋体" w:hAnsi="宋体" w:eastAsia="宋体"/>
          <w:sz w:val="24"/>
          <w:highlight w:val="none"/>
        </w:rPr>
        <w:t>内容和磋商文件内容不一致，以磋商文件为准。</w:t>
      </w:r>
    </w:p>
    <w:p w14:paraId="786AD64E">
      <w:pPr>
        <w:spacing w:line="360" w:lineRule="auto"/>
        <w:ind w:firstLine="480" w:firstLineChars="200"/>
        <w:rPr>
          <w:rFonts w:ascii="宋体" w:hAnsi="宋体" w:eastAsia="宋体"/>
          <w:sz w:val="24"/>
          <w:highlight w:val="none"/>
        </w:rPr>
      </w:pPr>
      <w:r>
        <w:rPr>
          <w:rFonts w:hint="eastAsia" w:ascii="宋体" w:hAnsi="宋体"/>
          <w:sz w:val="24"/>
          <w:highlight w:val="none"/>
          <w:lang w:val="en-US" w:eastAsia="zh-CN"/>
        </w:rPr>
        <w:t>6</w:t>
      </w:r>
      <w:r>
        <w:rPr>
          <w:rFonts w:hint="eastAsia" w:ascii="宋体" w:hAnsi="宋体" w:eastAsia="宋体"/>
          <w:sz w:val="24"/>
          <w:highlight w:val="none"/>
        </w:rPr>
        <w:t>.最终响应文件提交截止时间和开启时间为同一时间，最终报价提交截止时间和开启时间也为同一时间，由磋商小组根据磋商情况现场确定。最终响应文件和最终报价提交、开启地点同首次响应文件提交、开启地点。</w:t>
      </w:r>
    </w:p>
    <w:p w14:paraId="4C81C33C">
      <w:pPr>
        <w:spacing w:line="360" w:lineRule="auto"/>
        <w:ind w:firstLine="480" w:firstLineChars="200"/>
        <w:rPr>
          <w:rFonts w:ascii="宋体" w:hAnsi="宋体"/>
          <w:sz w:val="24"/>
          <w:highlight w:val="none"/>
        </w:rPr>
      </w:pPr>
      <w:r>
        <w:rPr>
          <w:rFonts w:hint="eastAsia" w:ascii="宋体" w:hAnsi="宋体"/>
          <w:sz w:val="24"/>
          <w:highlight w:val="none"/>
          <w:lang w:val="en-US" w:eastAsia="zh-CN"/>
        </w:rPr>
        <w:t>7</w:t>
      </w:r>
      <w:r>
        <w:rPr>
          <w:rFonts w:ascii="宋体" w:hAnsi="宋体"/>
          <w:sz w:val="24"/>
          <w:highlight w:val="none"/>
        </w:rPr>
        <w:t>.</w:t>
      </w:r>
      <w:r>
        <w:rPr>
          <w:rFonts w:hint="eastAsia"/>
          <w:highlight w:val="none"/>
        </w:rPr>
        <w:t xml:space="preserve"> </w:t>
      </w:r>
      <w:r>
        <w:rPr>
          <w:rFonts w:hint="eastAsia" w:ascii="宋体" w:hAnsi="宋体"/>
          <w:sz w:val="24"/>
          <w:highlight w:val="none"/>
        </w:rPr>
        <w:t>收款单位：北京国际工程咨询有限公司</w:t>
      </w:r>
    </w:p>
    <w:p w14:paraId="6A437B87">
      <w:pPr>
        <w:spacing w:line="360" w:lineRule="auto"/>
        <w:ind w:left="0" w:leftChars="0" w:firstLine="638" w:firstLineChars="266"/>
        <w:rPr>
          <w:rFonts w:ascii="宋体" w:hAnsi="宋体"/>
          <w:sz w:val="24"/>
          <w:highlight w:val="none"/>
        </w:rPr>
      </w:pPr>
      <w:r>
        <w:rPr>
          <w:rFonts w:hint="eastAsia" w:ascii="宋体" w:hAnsi="宋体"/>
          <w:sz w:val="24"/>
          <w:highlight w:val="none"/>
        </w:rPr>
        <w:t xml:space="preserve">  开户行：交通银行北京右安门支行； </w:t>
      </w:r>
    </w:p>
    <w:p w14:paraId="7197CDB7">
      <w:pPr>
        <w:spacing w:line="360" w:lineRule="auto"/>
        <w:ind w:firstLine="960" w:firstLineChars="400"/>
        <w:rPr>
          <w:rFonts w:hint="eastAsia" w:ascii="宋体" w:hAnsi="宋体"/>
          <w:sz w:val="24"/>
          <w:highlight w:val="none"/>
        </w:rPr>
      </w:pPr>
      <w:r>
        <w:rPr>
          <w:rFonts w:hint="eastAsia" w:ascii="宋体" w:hAnsi="宋体"/>
          <w:sz w:val="24"/>
          <w:highlight w:val="none"/>
        </w:rPr>
        <w:t>账号：81100602610130021000001</w:t>
      </w:r>
    </w:p>
    <w:p w14:paraId="6E2DC09B">
      <w:pPr>
        <w:pStyle w:val="43"/>
        <w:numPr>
          <w:ilvl w:val="0"/>
          <w:numId w:val="0"/>
        </w:numPr>
        <w:rPr>
          <w:rFonts w:hint="default"/>
          <w:highlight w:val="none"/>
          <w:lang w:val="en-US" w:eastAsia="zh-CN"/>
        </w:rPr>
      </w:pPr>
    </w:p>
    <w:p w14:paraId="7E0B509C">
      <w:pPr>
        <w:pStyle w:val="3"/>
        <w:spacing w:before="0" w:line="360" w:lineRule="auto"/>
        <w:jc w:val="left"/>
        <w:rPr>
          <w:rFonts w:ascii="Times New Roman" w:hAnsi="Times New Roman" w:eastAsia="宋体"/>
          <w:sz w:val="24"/>
          <w:szCs w:val="24"/>
          <w:highlight w:val="none"/>
        </w:rPr>
      </w:pPr>
      <w:bookmarkStart w:id="24" w:name="_Toc35393627"/>
      <w:bookmarkStart w:id="25" w:name="_Toc35393796"/>
      <w:bookmarkStart w:id="26" w:name="_Toc28359085"/>
      <w:bookmarkStart w:id="27" w:name="_Toc28359008"/>
      <w:r>
        <w:rPr>
          <w:rFonts w:hint="eastAsia" w:ascii="Times New Roman" w:hAnsi="Times New Roman" w:eastAsia="宋体"/>
          <w:sz w:val="24"/>
          <w:szCs w:val="24"/>
          <w:highlight w:val="none"/>
          <w:lang w:val="en-US" w:eastAsia="zh-CN"/>
        </w:rPr>
        <w:t>七</w:t>
      </w:r>
      <w:r>
        <w:rPr>
          <w:rFonts w:ascii="Times New Roman" w:hAnsi="Times New Roman" w:eastAsia="宋体"/>
          <w:sz w:val="24"/>
          <w:szCs w:val="24"/>
          <w:highlight w:val="none"/>
        </w:rPr>
        <w:t>、对本</w:t>
      </w:r>
      <w:r>
        <w:rPr>
          <w:rFonts w:hint="eastAsia" w:ascii="Times New Roman" w:hAnsi="Times New Roman" w:eastAsia="宋体"/>
          <w:sz w:val="24"/>
          <w:szCs w:val="24"/>
          <w:highlight w:val="none"/>
          <w:lang w:val="en-US" w:eastAsia="zh-CN"/>
        </w:rPr>
        <w:t>次采购</w:t>
      </w:r>
      <w:r>
        <w:rPr>
          <w:rFonts w:ascii="Times New Roman" w:hAnsi="Times New Roman" w:eastAsia="宋体"/>
          <w:sz w:val="24"/>
          <w:szCs w:val="24"/>
          <w:highlight w:val="none"/>
        </w:rPr>
        <w:t>提出询问，请按以下方式联系。</w:t>
      </w:r>
      <w:bookmarkEnd w:id="24"/>
      <w:bookmarkEnd w:id="25"/>
      <w:bookmarkEnd w:id="26"/>
      <w:bookmarkEnd w:id="27"/>
    </w:p>
    <w:p w14:paraId="34279C24">
      <w:pPr>
        <w:widowControl/>
        <w:spacing w:line="360" w:lineRule="auto"/>
        <w:jc w:val="left"/>
        <w:rPr>
          <w:b/>
          <w:sz w:val="24"/>
          <w:highlight w:val="none"/>
        </w:rPr>
      </w:pPr>
      <w:r>
        <w:rPr>
          <w:sz w:val="24"/>
          <w:highlight w:val="none"/>
        </w:rPr>
        <w:t>　　　</w:t>
      </w:r>
      <w:r>
        <w:rPr>
          <w:b/>
          <w:sz w:val="24"/>
          <w:highlight w:val="none"/>
        </w:rPr>
        <w:t>1.采购人信息</w:t>
      </w:r>
    </w:p>
    <w:p w14:paraId="233CA23C">
      <w:pPr>
        <w:spacing w:line="360" w:lineRule="auto"/>
        <w:ind w:left="1079" w:leftChars="371" w:hanging="300" w:hangingChars="125"/>
        <w:jc w:val="left"/>
        <w:rPr>
          <w:rFonts w:hint="eastAsia" w:ascii="宋体" w:hAnsi="宋体" w:eastAsia="宋体"/>
          <w:sz w:val="24"/>
          <w:highlight w:val="none"/>
          <w:lang w:eastAsia="zh-CN"/>
        </w:rPr>
      </w:pPr>
      <w:bookmarkStart w:id="28" w:name="_Toc28359086"/>
      <w:bookmarkStart w:id="29" w:name="_Toc28359009"/>
      <w:r>
        <w:rPr>
          <w:rFonts w:ascii="宋体" w:hAnsi="宋体"/>
          <w:sz w:val="24"/>
          <w:highlight w:val="none"/>
        </w:rPr>
        <w:t>名    称：</w:t>
      </w:r>
      <w:r>
        <w:rPr>
          <w:rFonts w:hint="eastAsia" w:ascii="宋体" w:hAnsi="宋体"/>
          <w:sz w:val="24"/>
          <w:highlight w:val="none"/>
          <w:u w:val="single"/>
          <w:lang w:eastAsia="zh-CN"/>
        </w:rPr>
        <w:t>北京市重点站区管理委员会</w:t>
      </w:r>
    </w:p>
    <w:p w14:paraId="4D23E424">
      <w:pPr>
        <w:spacing w:line="360" w:lineRule="auto"/>
        <w:ind w:left="1079" w:leftChars="371" w:hanging="300" w:hangingChars="125"/>
        <w:jc w:val="left"/>
        <w:rPr>
          <w:rFonts w:ascii="Times New Roman" w:hAnsi="Times New Roman" w:eastAsia="宋体" w:cs="Times New Roman"/>
          <w:sz w:val="24"/>
        </w:rPr>
      </w:pPr>
      <w:r>
        <w:rPr>
          <w:rFonts w:ascii="Times New Roman" w:hAnsi="Times New Roman" w:eastAsia="宋体" w:cs="Times New Roman"/>
          <w:sz w:val="24"/>
        </w:rPr>
        <w:t>地    址：</w:t>
      </w:r>
      <w:r>
        <w:rPr>
          <w:rFonts w:hint="eastAsia" w:ascii="Times New Roman" w:hAnsi="Times New Roman" w:eastAsia="宋体" w:cs="Times New Roman"/>
          <w:sz w:val="24"/>
          <w:u w:val="single"/>
        </w:rPr>
        <w:t>北京市西城区莲花池东路102</w:t>
      </w:r>
      <w:r>
        <w:rPr>
          <w:rFonts w:hint="eastAsia" w:ascii="Times New Roman" w:hAnsi="Times New Roman" w:eastAsia="宋体" w:cs="Times New Roman"/>
          <w:sz w:val="24"/>
        </w:rPr>
        <w:t>号</w:t>
      </w:r>
    </w:p>
    <w:p w14:paraId="2DDEEFAA">
      <w:pPr>
        <w:spacing w:line="360" w:lineRule="auto"/>
        <w:ind w:left="1079" w:leftChars="371" w:hanging="300" w:hangingChars="125"/>
        <w:jc w:val="left"/>
        <w:rPr>
          <w:rFonts w:ascii="Times New Roman" w:hAnsi="Times New Roman" w:eastAsia="宋体" w:cs="Times New Roman"/>
          <w:sz w:val="24"/>
          <w:u w:val="single"/>
        </w:rPr>
      </w:pPr>
      <w:r>
        <w:rPr>
          <w:rFonts w:ascii="Times New Roman" w:hAnsi="Times New Roman" w:eastAsia="宋体" w:cs="Times New Roman"/>
          <w:sz w:val="24"/>
        </w:rPr>
        <w:t>联系方式：</w:t>
      </w:r>
      <w:r>
        <w:rPr>
          <w:rFonts w:hint="eastAsia" w:cs="Times New Roman"/>
          <w:sz w:val="24"/>
          <w:u w:val="single"/>
          <w:lang w:val="en-US" w:eastAsia="zh-CN"/>
        </w:rPr>
        <w:t>陶老师 010-68300722</w:t>
      </w:r>
    </w:p>
    <w:p w14:paraId="50BBCA69">
      <w:pPr>
        <w:spacing w:line="360" w:lineRule="auto"/>
        <w:ind w:left="1078" w:leftChars="371" w:hanging="299" w:hangingChars="124"/>
        <w:jc w:val="left"/>
        <w:rPr>
          <w:b/>
          <w:sz w:val="24"/>
          <w:highlight w:val="none"/>
        </w:rPr>
      </w:pPr>
      <w:r>
        <w:rPr>
          <w:b/>
          <w:sz w:val="24"/>
          <w:highlight w:val="none"/>
        </w:rPr>
        <w:t>2.采购代理机构信息</w:t>
      </w:r>
      <w:bookmarkEnd w:id="28"/>
      <w:bookmarkEnd w:id="29"/>
    </w:p>
    <w:p w14:paraId="32E186D4">
      <w:pPr>
        <w:spacing w:line="360" w:lineRule="auto"/>
        <w:ind w:left="1076" w:leftChars="371" w:hanging="297" w:hangingChars="124"/>
        <w:jc w:val="left"/>
        <w:rPr>
          <w:rFonts w:ascii="宋体" w:hAnsi="宋体"/>
          <w:sz w:val="24"/>
          <w:highlight w:val="none"/>
        </w:rPr>
      </w:pPr>
      <w:bookmarkStart w:id="30" w:name="_Toc28359087"/>
      <w:bookmarkStart w:id="31" w:name="_Toc28359010"/>
      <w:r>
        <w:rPr>
          <w:rFonts w:ascii="宋体" w:hAnsi="宋体"/>
          <w:sz w:val="24"/>
          <w:highlight w:val="none"/>
        </w:rPr>
        <w:t>名    称：</w:t>
      </w:r>
      <w:r>
        <w:rPr>
          <w:rFonts w:hint="eastAsia" w:ascii="宋体" w:hAnsi="宋体"/>
          <w:sz w:val="24"/>
          <w:highlight w:val="none"/>
          <w:u w:val="single"/>
        </w:rPr>
        <w:t>北京国际工程咨询有限公司</w:t>
      </w:r>
    </w:p>
    <w:p w14:paraId="0DEB76A2">
      <w:pPr>
        <w:spacing w:line="360" w:lineRule="auto"/>
        <w:ind w:left="1076" w:leftChars="371" w:hanging="297" w:hangingChars="124"/>
        <w:jc w:val="left"/>
        <w:rPr>
          <w:rFonts w:ascii="宋体" w:hAnsi="宋体"/>
          <w:sz w:val="24"/>
          <w:highlight w:val="none"/>
        </w:rPr>
      </w:pPr>
      <w:r>
        <w:rPr>
          <w:rFonts w:ascii="宋体" w:hAnsi="宋体"/>
          <w:sz w:val="24"/>
          <w:highlight w:val="none"/>
        </w:rPr>
        <w:t>地    址：</w:t>
      </w:r>
      <w:r>
        <w:rPr>
          <w:rFonts w:hint="eastAsia" w:ascii="宋体" w:hAnsi="宋体"/>
          <w:sz w:val="24"/>
          <w:highlight w:val="none"/>
          <w:u w:val="single"/>
          <w:lang w:bidi="ar"/>
        </w:rPr>
        <w:t>北京市西城区广安门外大街甲275号</w:t>
      </w:r>
    </w:p>
    <w:p w14:paraId="14F15638">
      <w:pPr>
        <w:spacing w:line="360" w:lineRule="auto"/>
        <w:ind w:left="1076" w:leftChars="371" w:hanging="297" w:hangingChars="124"/>
        <w:rPr>
          <w:rFonts w:hint="eastAsia" w:ascii="宋体" w:hAnsi="宋体" w:eastAsia="宋体"/>
          <w:sz w:val="24"/>
          <w:highlight w:val="none"/>
          <w:lang w:eastAsia="zh-CN"/>
        </w:rPr>
      </w:pPr>
      <w:r>
        <w:rPr>
          <w:rFonts w:ascii="宋体" w:hAnsi="宋体"/>
          <w:sz w:val="24"/>
          <w:highlight w:val="none"/>
        </w:rPr>
        <w:t>联系方式：</w:t>
      </w:r>
      <w:r>
        <w:rPr>
          <w:rFonts w:hint="eastAsia" w:ascii="宋体" w:hAnsi="宋体"/>
          <w:sz w:val="24"/>
          <w:highlight w:val="none"/>
          <w:u w:val="single"/>
        </w:rPr>
        <w:t>王思宇、鲍杜佳</w:t>
      </w:r>
      <w:r>
        <w:rPr>
          <w:rFonts w:hint="eastAsia" w:ascii="宋体" w:hAnsi="宋体"/>
          <w:sz w:val="24"/>
          <w:highlight w:val="none"/>
          <w:u w:val="single"/>
          <w:lang w:eastAsia="zh-CN"/>
        </w:rPr>
        <w:t>、</w:t>
      </w:r>
      <w:r>
        <w:rPr>
          <w:rFonts w:hint="eastAsia" w:ascii="宋体" w:hAnsi="宋体"/>
          <w:sz w:val="24"/>
          <w:highlight w:val="none"/>
          <w:u w:val="single"/>
          <w:lang w:val="en-US" w:eastAsia="zh-CN"/>
        </w:rPr>
        <w:t>崔云龙、安川</w:t>
      </w:r>
      <w:r>
        <w:rPr>
          <w:rFonts w:hint="eastAsia" w:ascii="宋体" w:hAnsi="宋体"/>
          <w:sz w:val="24"/>
          <w:highlight w:val="none"/>
          <w:u w:val="single"/>
        </w:rPr>
        <w:t>010-</w:t>
      </w:r>
      <w:r>
        <w:rPr>
          <w:rFonts w:ascii="宋体" w:hAnsi="宋体"/>
          <w:sz w:val="24"/>
          <w:highlight w:val="none"/>
          <w:u w:val="single"/>
        </w:rPr>
        <w:t>63256361</w:t>
      </w:r>
      <w:r>
        <w:rPr>
          <w:rFonts w:hint="eastAsia" w:ascii="宋体" w:hAnsi="宋体"/>
          <w:sz w:val="24"/>
          <w:highlight w:val="none"/>
          <w:u w:val="single"/>
        </w:rPr>
        <w:t>转</w:t>
      </w:r>
      <w:r>
        <w:rPr>
          <w:rFonts w:hint="eastAsia" w:ascii="宋体" w:hAnsi="宋体"/>
          <w:sz w:val="24"/>
          <w:highlight w:val="none"/>
          <w:u w:val="single"/>
          <w:lang w:eastAsia="zh-CN"/>
        </w:rPr>
        <w:t>617</w:t>
      </w:r>
      <w:r>
        <w:rPr>
          <w:rFonts w:hint="eastAsia" w:ascii="宋体" w:hAnsi="宋体"/>
          <w:sz w:val="24"/>
          <w:highlight w:val="none"/>
          <w:u w:val="single"/>
          <w:lang w:val="en-US" w:eastAsia="zh-CN"/>
        </w:rPr>
        <w:t>7</w:t>
      </w:r>
    </w:p>
    <w:p w14:paraId="24672E45">
      <w:pPr>
        <w:spacing w:line="360" w:lineRule="auto"/>
        <w:ind w:left="1078" w:leftChars="371" w:hanging="299" w:hangingChars="124"/>
        <w:rPr>
          <w:b/>
          <w:sz w:val="24"/>
          <w:highlight w:val="none"/>
          <w:u w:val="single"/>
        </w:rPr>
      </w:pPr>
      <w:r>
        <w:rPr>
          <w:b/>
          <w:sz w:val="24"/>
          <w:highlight w:val="none"/>
        </w:rPr>
        <w:t>3.项目联系方式</w:t>
      </w:r>
      <w:bookmarkEnd w:id="30"/>
      <w:bookmarkEnd w:id="31"/>
    </w:p>
    <w:p w14:paraId="18081946">
      <w:pPr>
        <w:pStyle w:val="24"/>
        <w:spacing w:line="360" w:lineRule="auto"/>
        <w:ind w:left="1076" w:leftChars="371" w:hanging="297" w:hangingChars="124"/>
        <w:rPr>
          <w:rFonts w:hint="eastAsia" w:hAnsi="宋体" w:eastAsia="宋体"/>
          <w:sz w:val="24"/>
          <w:highlight w:val="none"/>
          <w:u w:val="single"/>
          <w:lang w:val="en-US" w:eastAsia="zh-CN"/>
        </w:rPr>
      </w:pPr>
      <w:r>
        <w:rPr>
          <w:rFonts w:hint="default" w:hAnsi="宋体"/>
          <w:sz w:val="24"/>
          <w:szCs w:val="24"/>
          <w:highlight w:val="none"/>
        </w:rPr>
        <w:t>项目联系人：</w:t>
      </w:r>
      <w:r>
        <w:rPr>
          <w:rFonts w:hint="eastAsia" w:hAnsi="宋体"/>
          <w:sz w:val="24"/>
          <w:highlight w:val="none"/>
          <w:u w:val="single"/>
          <w:lang w:eastAsia="zh-CN"/>
        </w:rPr>
        <w:t>王思宇、鲍杜佳、崔云龙、安川</w:t>
      </w:r>
    </w:p>
    <w:p w14:paraId="37456175">
      <w:pPr>
        <w:pStyle w:val="24"/>
        <w:spacing w:line="360" w:lineRule="auto"/>
        <w:ind w:left="1076" w:leftChars="371" w:hanging="297" w:hangingChars="124"/>
        <w:rPr>
          <w:rFonts w:hint="default" w:ascii="Times New Roman" w:hAnsi="Times New Roman"/>
          <w:sz w:val="24"/>
          <w:szCs w:val="24"/>
          <w:highlight w:val="none"/>
        </w:rPr>
      </w:pPr>
      <w:r>
        <w:rPr>
          <w:rFonts w:hint="default" w:hAnsi="宋体"/>
          <w:sz w:val="24"/>
          <w:highlight w:val="none"/>
        </w:rPr>
        <w:t>电      话：</w:t>
      </w:r>
      <w:r>
        <w:rPr>
          <w:rFonts w:hAnsi="宋体"/>
          <w:sz w:val="24"/>
          <w:highlight w:val="none"/>
          <w:u w:val="single"/>
        </w:rPr>
        <w:t>010-63256361转</w:t>
      </w:r>
      <w:r>
        <w:rPr>
          <w:rFonts w:hint="eastAsia" w:hAnsi="宋体"/>
          <w:sz w:val="24"/>
          <w:highlight w:val="none"/>
          <w:u w:val="single"/>
          <w:lang w:eastAsia="zh-CN"/>
        </w:rPr>
        <w:t>617</w:t>
      </w:r>
      <w:r>
        <w:rPr>
          <w:rFonts w:hint="eastAsia" w:hAnsi="宋体"/>
          <w:sz w:val="24"/>
          <w:highlight w:val="none"/>
          <w:u w:val="single"/>
          <w:lang w:val="en-US" w:eastAsia="zh-CN"/>
        </w:rPr>
        <w:t>7</w:t>
      </w:r>
      <w:r>
        <w:rPr>
          <w:rFonts w:hint="default" w:ascii="Times New Roman" w:hAnsi="Times New Roman"/>
          <w:sz w:val="24"/>
          <w:szCs w:val="24"/>
          <w:highlight w:val="none"/>
        </w:rPr>
        <w:t xml:space="preserve"> </w:t>
      </w:r>
    </w:p>
    <w:p w14:paraId="6601BCDF">
      <w:pPr>
        <w:rPr>
          <w:rFonts w:eastAsia="宋体"/>
          <w:b/>
          <w:sz w:val="36"/>
          <w:szCs w:val="36"/>
          <w:highlight w:val="none"/>
        </w:rPr>
      </w:pPr>
      <w:bookmarkStart w:id="32" w:name="_Toc512937850"/>
      <w:bookmarkStart w:id="33" w:name="_Toc150774783"/>
      <w:bookmarkStart w:id="34" w:name="_Toc226965856"/>
      <w:bookmarkStart w:id="35" w:name="_Toc305158928"/>
      <w:bookmarkStart w:id="36" w:name="_Toc264969275"/>
      <w:bookmarkStart w:id="37" w:name="_Toc353825548"/>
      <w:bookmarkStart w:id="38" w:name="_Toc195842950"/>
      <w:bookmarkStart w:id="39" w:name="_Toc353873938"/>
      <w:bookmarkStart w:id="40" w:name="_Toc127151777"/>
      <w:bookmarkStart w:id="41" w:name="_Toc305158854"/>
      <w:bookmarkStart w:id="42" w:name="_Toc127161488"/>
      <w:bookmarkStart w:id="43" w:name="_Toc265228423"/>
      <w:r>
        <w:rPr>
          <w:rFonts w:eastAsia="宋体"/>
          <w:b/>
          <w:sz w:val="36"/>
          <w:szCs w:val="36"/>
          <w:highlight w:val="none"/>
        </w:rPr>
        <w:br w:type="page"/>
      </w:r>
    </w:p>
    <w:p w14:paraId="79599E2C">
      <w:pPr>
        <w:spacing w:line="360" w:lineRule="auto"/>
        <w:jc w:val="center"/>
        <w:outlineLvl w:val="0"/>
        <w:rPr>
          <w:rFonts w:eastAsia="宋体"/>
          <w:b/>
          <w:sz w:val="32"/>
          <w:szCs w:val="32"/>
          <w:highlight w:val="none"/>
        </w:rPr>
      </w:pPr>
      <w:bookmarkStart w:id="44" w:name="_Toc24559"/>
      <w:r>
        <w:rPr>
          <w:rFonts w:eastAsia="宋体"/>
          <w:b/>
          <w:sz w:val="36"/>
          <w:szCs w:val="36"/>
          <w:highlight w:val="none"/>
        </w:rPr>
        <w:t>第二章   供应商须知</w:t>
      </w:r>
      <w:bookmarkEnd w:id="32"/>
      <w:bookmarkEnd w:id="33"/>
      <w:bookmarkEnd w:id="34"/>
      <w:bookmarkEnd w:id="35"/>
      <w:bookmarkEnd w:id="36"/>
      <w:bookmarkEnd w:id="37"/>
      <w:bookmarkEnd w:id="38"/>
      <w:bookmarkEnd w:id="39"/>
      <w:bookmarkEnd w:id="40"/>
      <w:bookmarkEnd w:id="41"/>
      <w:bookmarkEnd w:id="42"/>
      <w:bookmarkEnd w:id="43"/>
      <w:bookmarkEnd w:id="44"/>
    </w:p>
    <w:p w14:paraId="11C843A7">
      <w:pPr>
        <w:pStyle w:val="3"/>
        <w:tabs>
          <w:tab w:val="center" w:pos="4592"/>
          <w:tab w:val="left" w:pos="7860"/>
        </w:tabs>
        <w:spacing w:before="0" w:line="360" w:lineRule="auto"/>
        <w:rPr>
          <w:rFonts w:ascii="Times New Roman" w:hAnsi="Times New Roman" w:eastAsia="宋体"/>
          <w:b w:val="0"/>
          <w:sz w:val="28"/>
          <w:highlight w:val="none"/>
        </w:rPr>
      </w:pPr>
      <w:bookmarkStart w:id="45" w:name="_Toc127161433"/>
      <w:bookmarkStart w:id="46" w:name="_Toc127151720"/>
      <w:bookmarkStart w:id="47" w:name="_Toc127151519"/>
      <w:bookmarkStart w:id="48" w:name="_Toc520356144"/>
      <w:bookmarkStart w:id="49" w:name="_Toc151190146"/>
      <w:bookmarkStart w:id="50" w:name="_Toc164608788"/>
      <w:bookmarkStart w:id="51" w:name="_Toc150509270"/>
      <w:bookmarkStart w:id="52" w:name="_Toc164608633"/>
      <w:bookmarkStart w:id="53" w:name="_Toc195842884"/>
      <w:bookmarkStart w:id="54" w:name="_Toc226965709"/>
      <w:bookmarkStart w:id="55" w:name="_Toc151193761"/>
      <w:bookmarkStart w:id="56" w:name="_Toc151193617"/>
      <w:bookmarkStart w:id="57" w:name="_Toc150774724"/>
      <w:bookmarkStart w:id="58" w:name="_Toc164229214"/>
      <w:bookmarkStart w:id="59" w:name="_Toc226309763"/>
      <w:bookmarkStart w:id="60" w:name="_Toc164229360"/>
      <w:bookmarkStart w:id="61" w:name="_Toc151193689"/>
      <w:bookmarkStart w:id="62" w:name="_Toc150774619"/>
      <w:bookmarkStart w:id="63" w:name="_Toc226337215"/>
      <w:bookmarkStart w:id="64" w:name="_Toc151193833"/>
      <w:bookmarkStart w:id="65" w:name="_Toc226965792"/>
      <w:bookmarkStart w:id="66" w:name="_Toc142311021"/>
      <w:bookmarkStart w:id="67" w:name="_Toc164351613"/>
      <w:bookmarkStart w:id="68" w:name="_Toc149720812"/>
      <w:bookmarkStart w:id="69" w:name="_Toc151193907"/>
      <w:bookmarkStart w:id="70" w:name="_Toc150480757"/>
      <w:r>
        <w:rPr>
          <w:rFonts w:ascii="Times New Roman" w:hAnsi="Times New Roman" w:eastAsia="宋体"/>
          <w:sz w:val="28"/>
          <w:highlight w:val="none"/>
        </w:rPr>
        <w:t>供应商须知资料表</w:t>
      </w:r>
    </w:p>
    <w:p w14:paraId="7FCAEA4B">
      <w:pPr>
        <w:jc w:val="center"/>
        <w:rPr>
          <w:rFonts w:eastAsia="宋体"/>
          <w:b/>
          <w:sz w:val="28"/>
          <w:szCs w:val="28"/>
          <w:highlight w:val="none"/>
        </w:rPr>
      </w:pPr>
    </w:p>
    <w:p w14:paraId="644BEEB1">
      <w:pPr>
        <w:spacing w:line="360" w:lineRule="auto"/>
        <w:ind w:firstLine="480"/>
        <w:rPr>
          <w:rFonts w:eastAsia="宋体"/>
          <w:sz w:val="24"/>
          <w:highlight w:val="none"/>
        </w:rPr>
      </w:pPr>
      <w:r>
        <w:rPr>
          <w:rFonts w:eastAsia="宋体"/>
          <w:sz w:val="24"/>
          <w:highlight w:val="none"/>
        </w:rPr>
        <w:t>本表是对供应商须知的具体补充和修改，如有矛盾，均以本资料表为准。标记</w:t>
      </w:r>
      <w:r>
        <w:rPr>
          <w:rFonts w:eastAsia="宋体"/>
          <w:color w:val="000000"/>
          <w:sz w:val="24"/>
          <w:highlight w:val="none"/>
        </w:rPr>
        <w:t>“</w:t>
      </w:r>
      <w:r>
        <w:rPr>
          <w:rFonts w:eastAsia="宋体"/>
          <w:b/>
          <w:color w:val="000000"/>
          <w:sz w:val="24"/>
          <w:highlight w:val="none"/>
        </w:rPr>
        <w:t>■</w:t>
      </w:r>
      <w:r>
        <w:rPr>
          <w:rFonts w:eastAsia="宋体"/>
          <w:color w:val="000000"/>
          <w:sz w:val="24"/>
          <w:highlight w:val="none"/>
        </w:rPr>
        <w:t>”</w:t>
      </w:r>
      <w:r>
        <w:rPr>
          <w:rFonts w:eastAsia="宋体"/>
          <w:sz w:val="24"/>
          <w:highlight w:val="none"/>
        </w:rPr>
        <w:t>的选项意为适用于本项目，标记“</w:t>
      </w:r>
      <w:r>
        <w:rPr>
          <w:rFonts w:eastAsia="宋体"/>
          <w:highlight w:val="none"/>
        </w:rPr>
        <w:t>□</w:t>
      </w:r>
      <w:r>
        <w:rPr>
          <w:rFonts w:eastAsia="宋体"/>
          <w:sz w:val="24"/>
          <w:highlight w:val="none"/>
        </w:rPr>
        <w:t>”的选项意为不适用于本项目。</w:t>
      </w:r>
    </w:p>
    <w:tbl>
      <w:tblPr>
        <w:tblStyle w:val="44"/>
        <w:tblW w:w="9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6767"/>
      </w:tblGrid>
      <w:tr w14:paraId="7A6C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noWrap w:val="0"/>
            <w:vAlign w:val="center"/>
          </w:tcPr>
          <w:p w14:paraId="233F2FE6">
            <w:pPr>
              <w:keepNext w:val="0"/>
              <w:keepLines w:val="0"/>
              <w:suppressLineNumbers w:val="0"/>
              <w:spacing w:before="0" w:beforeAutospacing="0" w:after="0" w:afterAutospacing="0"/>
              <w:ind w:left="0" w:right="0"/>
              <w:jc w:val="center"/>
              <w:rPr>
                <w:rFonts w:hint="eastAsia" w:ascii="宋体" w:hAnsi="宋体" w:eastAsia="宋体" w:cs="宋体"/>
                <w:b/>
                <w:bCs/>
                <w:sz w:val="24"/>
                <w:szCs w:val="24"/>
                <w:highlight w:val="none"/>
              </w:rPr>
            </w:pPr>
            <w:r>
              <w:rPr>
                <w:rFonts w:hint="eastAsia" w:ascii="宋体" w:hAnsi="宋体" w:eastAsia="宋体" w:cs="宋体"/>
                <w:b/>
                <w:sz w:val="24"/>
                <w:szCs w:val="24"/>
                <w:highlight w:val="none"/>
              </w:rPr>
              <w:t>条款号</w:t>
            </w:r>
          </w:p>
        </w:tc>
        <w:tc>
          <w:tcPr>
            <w:tcW w:w="1701" w:type="dxa"/>
            <w:noWrap w:val="0"/>
            <w:vAlign w:val="center"/>
          </w:tcPr>
          <w:p w14:paraId="394B43D2">
            <w:pPr>
              <w:keepNext w:val="0"/>
              <w:keepLines w:val="0"/>
              <w:suppressLineNumbers w:val="0"/>
              <w:spacing w:before="0" w:beforeAutospacing="0" w:after="0" w:afterAutospacing="0"/>
              <w:ind w:left="0" w:right="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条目</w:t>
            </w:r>
          </w:p>
        </w:tc>
        <w:tc>
          <w:tcPr>
            <w:tcW w:w="6767" w:type="dxa"/>
            <w:noWrap w:val="0"/>
            <w:vAlign w:val="center"/>
          </w:tcPr>
          <w:p w14:paraId="7D8C52E1">
            <w:pPr>
              <w:keepNext w:val="0"/>
              <w:keepLines w:val="0"/>
              <w:suppressLineNumbers w:val="0"/>
              <w:spacing w:before="0" w:beforeAutospacing="0" w:after="0" w:afterAutospacing="0"/>
              <w:ind w:left="0" w:right="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内容</w:t>
            </w:r>
          </w:p>
        </w:tc>
      </w:tr>
      <w:tr w14:paraId="2575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274E2E09">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2.2</w:t>
            </w:r>
          </w:p>
        </w:tc>
        <w:tc>
          <w:tcPr>
            <w:tcW w:w="1701" w:type="dxa"/>
            <w:noWrap w:val="0"/>
            <w:vAlign w:val="center"/>
          </w:tcPr>
          <w:p w14:paraId="02340BF2">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项目属性</w:t>
            </w:r>
          </w:p>
        </w:tc>
        <w:tc>
          <w:tcPr>
            <w:tcW w:w="6767" w:type="dxa"/>
            <w:noWrap w:val="0"/>
            <w:vAlign w:val="center"/>
          </w:tcPr>
          <w:p w14:paraId="74B16241">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项目属性：</w:t>
            </w:r>
          </w:p>
          <w:p w14:paraId="287BED9C">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□服务</w:t>
            </w:r>
          </w:p>
          <w:p w14:paraId="050606B5">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货物</w:t>
            </w:r>
          </w:p>
          <w:p w14:paraId="10CFE701">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工程</w:t>
            </w:r>
          </w:p>
        </w:tc>
      </w:tr>
      <w:tr w14:paraId="419F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3CB315EC">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2.3</w:t>
            </w:r>
          </w:p>
        </w:tc>
        <w:tc>
          <w:tcPr>
            <w:tcW w:w="1701" w:type="dxa"/>
            <w:noWrap w:val="0"/>
            <w:vAlign w:val="center"/>
          </w:tcPr>
          <w:p w14:paraId="73B11904">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科研仪器设备</w:t>
            </w:r>
          </w:p>
        </w:tc>
        <w:tc>
          <w:tcPr>
            <w:tcW w:w="6767" w:type="dxa"/>
            <w:noWrap w:val="0"/>
            <w:vAlign w:val="center"/>
          </w:tcPr>
          <w:p w14:paraId="0719D568">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是否属于科研仪器设备采购项目：</w:t>
            </w:r>
          </w:p>
          <w:p w14:paraId="1AF63C02">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□是</w:t>
            </w:r>
          </w:p>
          <w:p w14:paraId="144B3DA7">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1961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noWrap w:val="0"/>
            <w:vAlign w:val="center"/>
          </w:tcPr>
          <w:p w14:paraId="140FCB5E">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3.1</w:t>
            </w:r>
          </w:p>
        </w:tc>
        <w:tc>
          <w:tcPr>
            <w:tcW w:w="1701" w:type="dxa"/>
            <w:noWrap w:val="0"/>
            <w:vAlign w:val="center"/>
          </w:tcPr>
          <w:p w14:paraId="1F9FEA88">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现场考察</w:t>
            </w:r>
          </w:p>
        </w:tc>
        <w:tc>
          <w:tcPr>
            <w:tcW w:w="6767" w:type="dxa"/>
            <w:noWrap w:val="0"/>
            <w:vAlign w:val="center"/>
          </w:tcPr>
          <w:p w14:paraId="5C1D8DDB">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■不组织</w:t>
            </w:r>
          </w:p>
          <w:p w14:paraId="0F4F6F5B">
            <w:pPr>
              <w:keepNext w:val="0"/>
              <w:keepLines w:val="0"/>
              <w:suppressLineNumbers w:val="0"/>
              <w:spacing w:before="0" w:beforeAutospacing="0" w:after="0" w:afterAutospacing="0"/>
              <w:ind w:left="0" w:right="0"/>
              <w:jc w:val="left"/>
              <w:rPr>
                <w:rFonts w:hint="eastAsia" w:ascii="宋体" w:hAnsi="宋体" w:eastAsia="宋体" w:cs="宋体"/>
                <w:bCs/>
                <w:sz w:val="24"/>
                <w:szCs w:val="24"/>
                <w:highlight w:val="none"/>
              </w:rPr>
            </w:pPr>
            <w:r>
              <w:rPr>
                <w:rFonts w:hint="eastAsia" w:ascii="宋体" w:hAnsi="宋体" w:eastAsia="宋体" w:cs="宋体"/>
                <w:sz w:val="24"/>
                <w:szCs w:val="24"/>
                <w:highlight w:val="none"/>
              </w:rPr>
              <w:t>□组织，考察时间：___</w:t>
            </w:r>
            <w:r>
              <w:rPr>
                <w:rFonts w:hint="eastAsia" w:ascii="宋体" w:hAnsi="宋体" w:eastAsia="宋体" w:cs="宋体"/>
                <w:sz w:val="24"/>
                <w:szCs w:val="24"/>
                <w:highlight w:val="none"/>
                <w:lang w:bidi="ar"/>
              </w:rPr>
              <w:t>年</w:t>
            </w:r>
            <w:r>
              <w:rPr>
                <w:rFonts w:hint="eastAsia" w:ascii="宋体" w:hAnsi="宋体" w:eastAsia="宋体" w:cs="宋体"/>
                <w:sz w:val="24"/>
                <w:szCs w:val="24"/>
                <w:highlight w:val="none"/>
              </w:rPr>
              <w:t>___</w:t>
            </w:r>
            <w:r>
              <w:rPr>
                <w:rFonts w:hint="eastAsia" w:ascii="宋体" w:hAnsi="宋体" w:eastAsia="宋体" w:cs="宋体"/>
                <w:sz w:val="24"/>
                <w:szCs w:val="24"/>
                <w:highlight w:val="none"/>
                <w:lang w:bidi="ar"/>
              </w:rPr>
              <w:t>月</w:t>
            </w:r>
            <w:r>
              <w:rPr>
                <w:rFonts w:hint="eastAsia" w:ascii="宋体" w:hAnsi="宋体" w:eastAsia="宋体" w:cs="宋体"/>
                <w:sz w:val="24"/>
                <w:szCs w:val="24"/>
                <w:highlight w:val="none"/>
              </w:rPr>
              <w:t>___</w:t>
            </w:r>
            <w:r>
              <w:rPr>
                <w:rFonts w:hint="eastAsia" w:ascii="宋体" w:hAnsi="宋体" w:eastAsia="宋体" w:cs="宋体"/>
                <w:sz w:val="24"/>
                <w:szCs w:val="24"/>
                <w:highlight w:val="none"/>
                <w:lang w:bidi="ar"/>
              </w:rPr>
              <w:t>日</w:t>
            </w:r>
            <w:r>
              <w:rPr>
                <w:rFonts w:hint="eastAsia" w:ascii="宋体" w:hAnsi="宋体" w:eastAsia="宋体" w:cs="宋体"/>
                <w:sz w:val="24"/>
                <w:szCs w:val="24"/>
                <w:highlight w:val="none"/>
              </w:rPr>
              <w:t>___</w:t>
            </w:r>
            <w:r>
              <w:rPr>
                <w:rFonts w:hint="eastAsia" w:ascii="宋体" w:hAnsi="宋体" w:eastAsia="宋体" w:cs="宋体"/>
                <w:sz w:val="24"/>
                <w:szCs w:val="24"/>
                <w:highlight w:val="none"/>
                <w:lang w:bidi="ar"/>
              </w:rPr>
              <w:t>点</w:t>
            </w:r>
            <w:r>
              <w:rPr>
                <w:rFonts w:hint="eastAsia" w:ascii="宋体" w:hAnsi="宋体" w:eastAsia="宋体" w:cs="宋体"/>
                <w:sz w:val="24"/>
                <w:szCs w:val="24"/>
                <w:highlight w:val="none"/>
              </w:rPr>
              <w:t>___</w:t>
            </w:r>
            <w:r>
              <w:rPr>
                <w:rFonts w:hint="eastAsia" w:ascii="宋体" w:hAnsi="宋体" w:eastAsia="宋体" w:cs="宋体"/>
                <w:sz w:val="24"/>
                <w:szCs w:val="24"/>
                <w:highlight w:val="none"/>
                <w:lang w:bidi="ar"/>
              </w:rPr>
              <w:t>分</w:t>
            </w:r>
          </w:p>
          <w:p w14:paraId="6203A7B8">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考察地点：___________。</w:t>
            </w:r>
          </w:p>
        </w:tc>
      </w:tr>
      <w:tr w14:paraId="4520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noWrap w:val="0"/>
            <w:vAlign w:val="center"/>
          </w:tcPr>
          <w:p w14:paraId="4BE19C27">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701" w:type="dxa"/>
            <w:noWrap w:val="0"/>
            <w:vAlign w:val="center"/>
          </w:tcPr>
          <w:p w14:paraId="360CED81">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磋商前答疑会</w:t>
            </w:r>
          </w:p>
        </w:tc>
        <w:tc>
          <w:tcPr>
            <w:tcW w:w="6767" w:type="dxa"/>
            <w:noWrap w:val="0"/>
            <w:vAlign w:val="center"/>
          </w:tcPr>
          <w:p w14:paraId="13F1A18C">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■不召开</w:t>
            </w:r>
          </w:p>
          <w:p w14:paraId="571B361F">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□召开，召开时间：___</w:t>
            </w:r>
            <w:r>
              <w:rPr>
                <w:rFonts w:hint="eastAsia" w:ascii="宋体" w:hAnsi="宋体" w:eastAsia="宋体" w:cs="宋体"/>
                <w:sz w:val="24"/>
                <w:szCs w:val="24"/>
                <w:highlight w:val="none"/>
                <w:lang w:bidi="ar"/>
              </w:rPr>
              <w:t>年</w:t>
            </w:r>
            <w:r>
              <w:rPr>
                <w:rFonts w:hint="eastAsia" w:ascii="宋体" w:hAnsi="宋体" w:eastAsia="宋体" w:cs="宋体"/>
                <w:sz w:val="24"/>
                <w:szCs w:val="24"/>
                <w:highlight w:val="none"/>
              </w:rPr>
              <w:t>___</w:t>
            </w:r>
            <w:r>
              <w:rPr>
                <w:rFonts w:hint="eastAsia" w:ascii="宋体" w:hAnsi="宋体" w:eastAsia="宋体" w:cs="宋体"/>
                <w:sz w:val="24"/>
                <w:szCs w:val="24"/>
                <w:highlight w:val="none"/>
                <w:lang w:bidi="ar"/>
              </w:rPr>
              <w:t>月</w:t>
            </w:r>
            <w:r>
              <w:rPr>
                <w:rFonts w:hint="eastAsia" w:ascii="宋体" w:hAnsi="宋体" w:eastAsia="宋体" w:cs="宋体"/>
                <w:sz w:val="24"/>
                <w:szCs w:val="24"/>
                <w:highlight w:val="none"/>
              </w:rPr>
              <w:t>___</w:t>
            </w:r>
            <w:r>
              <w:rPr>
                <w:rFonts w:hint="eastAsia" w:ascii="宋体" w:hAnsi="宋体" w:eastAsia="宋体" w:cs="宋体"/>
                <w:sz w:val="24"/>
                <w:szCs w:val="24"/>
                <w:highlight w:val="none"/>
                <w:lang w:bidi="ar"/>
              </w:rPr>
              <w:t>日</w:t>
            </w:r>
            <w:r>
              <w:rPr>
                <w:rFonts w:hint="eastAsia" w:ascii="宋体" w:hAnsi="宋体" w:eastAsia="宋体" w:cs="宋体"/>
                <w:sz w:val="24"/>
                <w:szCs w:val="24"/>
                <w:highlight w:val="none"/>
              </w:rPr>
              <w:t>___</w:t>
            </w:r>
            <w:r>
              <w:rPr>
                <w:rFonts w:hint="eastAsia" w:ascii="宋体" w:hAnsi="宋体" w:eastAsia="宋体" w:cs="宋体"/>
                <w:sz w:val="24"/>
                <w:szCs w:val="24"/>
                <w:highlight w:val="none"/>
                <w:lang w:bidi="ar"/>
              </w:rPr>
              <w:t>点</w:t>
            </w:r>
            <w:r>
              <w:rPr>
                <w:rFonts w:hint="eastAsia" w:ascii="宋体" w:hAnsi="宋体" w:eastAsia="宋体" w:cs="宋体"/>
                <w:sz w:val="24"/>
                <w:szCs w:val="24"/>
                <w:highlight w:val="none"/>
              </w:rPr>
              <w:t>___</w:t>
            </w:r>
            <w:r>
              <w:rPr>
                <w:rFonts w:hint="eastAsia" w:ascii="宋体" w:hAnsi="宋体" w:eastAsia="宋体" w:cs="宋体"/>
                <w:sz w:val="24"/>
                <w:szCs w:val="24"/>
                <w:highlight w:val="none"/>
                <w:lang w:bidi="ar"/>
              </w:rPr>
              <w:t>分</w:t>
            </w:r>
          </w:p>
          <w:p w14:paraId="463EABDF">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召开地点：___________。</w:t>
            </w:r>
          </w:p>
        </w:tc>
      </w:tr>
      <w:tr w14:paraId="5030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noWrap w:val="0"/>
            <w:vAlign w:val="center"/>
          </w:tcPr>
          <w:p w14:paraId="27A2988A">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4.2.5</w:t>
            </w:r>
          </w:p>
        </w:tc>
        <w:tc>
          <w:tcPr>
            <w:tcW w:w="1701" w:type="dxa"/>
            <w:noWrap w:val="0"/>
            <w:vAlign w:val="center"/>
          </w:tcPr>
          <w:p w14:paraId="3FC0C587">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标的所属行业</w:t>
            </w:r>
          </w:p>
        </w:tc>
        <w:tc>
          <w:tcPr>
            <w:tcW w:w="6767" w:type="dxa"/>
            <w:noWrap w:val="0"/>
            <w:vAlign w:val="center"/>
          </w:tcPr>
          <w:p w14:paraId="104D84C7">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本项目采购标的对应的中小企业划分标准所属行业：</w:t>
            </w:r>
          </w:p>
          <w:tbl>
            <w:tblPr>
              <w:tblStyle w:val="44"/>
              <w:tblW w:w="51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631"/>
              <w:gridCol w:w="3346"/>
            </w:tblGrid>
            <w:tr w14:paraId="36854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1" w:type="pct"/>
                  <w:tcBorders>
                    <w:top w:val="single" w:color="auto" w:sz="4" w:space="0"/>
                    <w:left w:val="single" w:color="auto" w:sz="4" w:space="0"/>
                    <w:bottom w:val="single" w:color="auto" w:sz="4" w:space="0"/>
                    <w:right w:val="single" w:color="auto" w:sz="4" w:space="0"/>
                  </w:tcBorders>
                  <w:vAlign w:val="center"/>
                </w:tcPr>
                <w:p w14:paraId="66602185">
                  <w:pPr>
                    <w:keepNext w:val="0"/>
                    <w:keepLines w:val="0"/>
                    <w:suppressLineNumbers w:val="0"/>
                    <w:spacing w:before="0" w:beforeAutospacing="0" w:after="0" w:afterAutospacing="0"/>
                    <w:ind w:left="0" w:right="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包号</w:t>
                  </w:r>
                </w:p>
              </w:tc>
              <w:tc>
                <w:tcPr>
                  <w:tcW w:w="1962" w:type="pct"/>
                  <w:tcBorders>
                    <w:top w:val="single" w:color="auto" w:sz="4" w:space="0"/>
                    <w:left w:val="single" w:color="auto" w:sz="4" w:space="0"/>
                    <w:bottom w:val="single" w:color="auto" w:sz="4" w:space="0"/>
                    <w:right w:val="single" w:color="auto" w:sz="4" w:space="0"/>
                  </w:tcBorders>
                  <w:vAlign w:val="center"/>
                </w:tcPr>
                <w:p w14:paraId="6347FAA4">
                  <w:pPr>
                    <w:keepNext w:val="0"/>
                    <w:keepLines w:val="0"/>
                    <w:suppressLineNumbers w:val="0"/>
                    <w:spacing w:before="0" w:beforeAutospacing="0" w:after="0" w:afterAutospacing="0"/>
                    <w:ind w:left="0" w:right="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标的名称</w:t>
                  </w:r>
                </w:p>
              </w:tc>
              <w:tc>
                <w:tcPr>
                  <w:tcW w:w="2495" w:type="pct"/>
                  <w:tcBorders>
                    <w:top w:val="single" w:color="auto" w:sz="4" w:space="0"/>
                    <w:left w:val="single" w:color="auto" w:sz="4" w:space="0"/>
                    <w:bottom w:val="single" w:color="auto" w:sz="4" w:space="0"/>
                    <w:right w:val="single" w:color="auto" w:sz="4" w:space="0"/>
                  </w:tcBorders>
                  <w:vAlign w:val="center"/>
                </w:tcPr>
                <w:p w14:paraId="4FFB6395">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中小企业划分标准所属行业</w:t>
                  </w:r>
                </w:p>
              </w:tc>
            </w:tr>
            <w:tr w14:paraId="4884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1" w:type="pct"/>
                  <w:tcBorders>
                    <w:top w:val="single" w:color="auto" w:sz="4" w:space="0"/>
                    <w:left w:val="single" w:color="auto" w:sz="4" w:space="0"/>
                    <w:bottom w:val="single" w:color="auto" w:sz="4" w:space="0"/>
                    <w:right w:val="single" w:color="auto" w:sz="4" w:space="0"/>
                  </w:tcBorders>
                  <w:vAlign w:val="center"/>
                </w:tcPr>
                <w:p w14:paraId="72FE480D">
                  <w:pPr>
                    <w:keepNext w:val="0"/>
                    <w:keepLines w:val="0"/>
                    <w:suppressLineNumbers w:val="0"/>
                    <w:spacing w:before="0" w:beforeAutospacing="0" w:after="0" w:afterAutospacing="0"/>
                    <w:ind w:left="0" w:right="0"/>
                    <w:jc w:val="center"/>
                    <w:rPr>
                      <w:rFonts w:hint="default"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01</w:t>
                  </w:r>
                </w:p>
              </w:tc>
              <w:tc>
                <w:tcPr>
                  <w:tcW w:w="1962" w:type="pct"/>
                  <w:tcBorders>
                    <w:top w:val="single" w:color="auto" w:sz="4" w:space="0"/>
                    <w:left w:val="single" w:color="auto" w:sz="4" w:space="0"/>
                    <w:bottom w:val="single" w:color="auto" w:sz="4" w:space="0"/>
                    <w:right w:val="single" w:color="auto" w:sz="4" w:space="0"/>
                  </w:tcBorders>
                  <w:vAlign w:val="center"/>
                </w:tcPr>
                <w:p w14:paraId="1A2BCE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lang w:val="en-US" w:eastAsia="zh-CN"/>
                    </w:rPr>
                    <w:t>公交375场站优化提升改造项目—北京北站落客区建设工程总承包（EPC）</w:t>
                  </w:r>
                </w:p>
              </w:tc>
              <w:tc>
                <w:tcPr>
                  <w:tcW w:w="2495" w:type="pct"/>
                  <w:tcBorders>
                    <w:top w:val="single" w:color="auto" w:sz="4" w:space="0"/>
                    <w:left w:val="single" w:color="auto" w:sz="4" w:space="0"/>
                    <w:bottom w:val="single" w:color="auto" w:sz="4" w:space="0"/>
                    <w:right w:val="single" w:color="auto" w:sz="4" w:space="0"/>
                  </w:tcBorders>
                  <w:vAlign w:val="center"/>
                </w:tcPr>
                <w:p w14:paraId="54BFD54C">
                  <w:pPr>
                    <w:keepNext w:val="0"/>
                    <w:keepLines w:val="0"/>
                    <w:suppressLineNumbers w:val="0"/>
                    <w:spacing w:before="0" w:beforeAutospacing="0" w:after="0" w:afterAutospacing="0"/>
                    <w:ind w:left="0" w:right="0"/>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建筑业</w:t>
                  </w:r>
                </w:p>
              </w:tc>
            </w:tr>
          </w:tbl>
          <w:p w14:paraId="0F8B5B03">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p>
        </w:tc>
      </w:tr>
      <w:tr w14:paraId="640E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988" w:type="dxa"/>
            <w:noWrap w:val="0"/>
            <w:vAlign w:val="center"/>
          </w:tcPr>
          <w:p w14:paraId="6A71297F">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10.2</w:t>
            </w:r>
          </w:p>
        </w:tc>
        <w:tc>
          <w:tcPr>
            <w:tcW w:w="1701" w:type="dxa"/>
            <w:noWrap w:val="0"/>
            <w:vAlign w:val="center"/>
          </w:tcPr>
          <w:p w14:paraId="22358E22">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报价</w:t>
            </w:r>
          </w:p>
        </w:tc>
        <w:tc>
          <w:tcPr>
            <w:tcW w:w="6767" w:type="dxa"/>
            <w:noWrap w:val="0"/>
            <w:vAlign w:val="center"/>
          </w:tcPr>
          <w:p w14:paraId="171D877C">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报价的特殊规定：</w:t>
            </w:r>
          </w:p>
          <w:p w14:paraId="63F4809D">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■无</w:t>
            </w:r>
          </w:p>
          <w:p w14:paraId="48C35039">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□有，具体情形：___________。</w:t>
            </w:r>
          </w:p>
        </w:tc>
      </w:tr>
      <w:tr w14:paraId="7237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07FA4B29">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11.1</w:t>
            </w:r>
          </w:p>
        </w:tc>
        <w:tc>
          <w:tcPr>
            <w:tcW w:w="1701" w:type="dxa"/>
            <w:vMerge w:val="restart"/>
            <w:noWrap w:val="0"/>
            <w:vAlign w:val="center"/>
          </w:tcPr>
          <w:p w14:paraId="131524DA">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磋商保证金</w:t>
            </w:r>
          </w:p>
        </w:tc>
        <w:tc>
          <w:tcPr>
            <w:tcW w:w="6767" w:type="dxa"/>
            <w:noWrap w:val="0"/>
            <w:vAlign w:val="center"/>
          </w:tcPr>
          <w:p w14:paraId="78C10D3D">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磋商保证金金额：</w:t>
            </w:r>
            <w:r>
              <w:rPr>
                <w:rFonts w:hint="eastAsia" w:hAnsi="宋体" w:cs="宋体"/>
                <w:sz w:val="24"/>
                <w:szCs w:val="24"/>
                <w:highlight w:val="none"/>
                <w:u w:val="single"/>
                <w:lang w:val="en-US" w:eastAsia="zh-CN"/>
              </w:rPr>
              <w:t>10.00万元</w:t>
            </w:r>
            <w:r>
              <w:rPr>
                <w:rFonts w:hint="eastAsia" w:ascii="宋体" w:hAnsi="宋体" w:eastAsia="宋体" w:cs="宋体"/>
                <w:sz w:val="24"/>
                <w:szCs w:val="24"/>
                <w:highlight w:val="none"/>
              </w:rPr>
              <w:t>。</w:t>
            </w:r>
          </w:p>
          <w:p w14:paraId="0EDF3BAF">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磋商保证金收受人信息：</w:t>
            </w:r>
          </w:p>
          <w:p w14:paraId="7677B9CF">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收款单位：北京国际工程咨询有限公司；</w:t>
            </w:r>
          </w:p>
          <w:p w14:paraId="303171BC">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开户行：交通银行北京右安门支行； </w:t>
            </w:r>
          </w:p>
          <w:p w14:paraId="048C4B77">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账号：81100602610130021000001。</w:t>
            </w:r>
          </w:p>
        </w:tc>
      </w:tr>
      <w:tr w14:paraId="67B9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43247F2A">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11.7.5</w:t>
            </w:r>
          </w:p>
        </w:tc>
        <w:tc>
          <w:tcPr>
            <w:tcW w:w="1701" w:type="dxa"/>
            <w:vMerge w:val="continue"/>
            <w:noWrap w:val="0"/>
            <w:vAlign w:val="center"/>
          </w:tcPr>
          <w:p w14:paraId="271AA793">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p>
        </w:tc>
        <w:tc>
          <w:tcPr>
            <w:tcW w:w="6767" w:type="dxa"/>
            <w:noWrap w:val="0"/>
            <w:vAlign w:val="center"/>
          </w:tcPr>
          <w:p w14:paraId="0EC657F1">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磋商保证金不予退还的其他情形：</w:t>
            </w:r>
          </w:p>
          <w:p w14:paraId="11E20764">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b/>
                <w:color w:val="000000"/>
                <w:sz w:val="24"/>
                <w:szCs w:val="24"/>
                <w:highlight w:val="none"/>
              </w:rPr>
              <w:t>■</w:t>
            </w:r>
            <w:r>
              <w:rPr>
                <w:rFonts w:hint="eastAsia" w:ascii="宋体" w:hAnsi="宋体" w:eastAsia="宋体" w:cs="宋体"/>
                <w:sz w:val="24"/>
                <w:szCs w:val="24"/>
                <w:highlight w:val="none"/>
              </w:rPr>
              <w:t>无</w:t>
            </w:r>
          </w:p>
          <w:p w14:paraId="185BBD52">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□有，具体情形：</w:t>
            </w:r>
          </w:p>
          <w:p w14:paraId="1C5ACE36">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1.磋商有效期内供应商撤销投标文件的；</w:t>
            </w:r>
          </w:p>
          <w:p w14:paraId="5C3BD334">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2.供应商在投标文件中提供任何虚假材料的；</w:t>
            </w:r>
          </w:p>
          <w:p w14:paraId="11DE71E8">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3.成交人不按本须知的规定与采购人签订合同的；</w:t>
            </w:r>
          </w:p>
          <w:p w14:paraId="17DAF5FC">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4.成交人将成交项目转让给他人，或者在磋商文件中未说明，且未经采购人同意，将成交项目分包给他人的；</w:t>
            </w:r>
          </w:p>
          <w:p w14:paraId="43A1DCA9">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5.成交人拒绝履行合同义务的。</w:t>
            </w:r>
          </w:p>
        </w:tc>
      </w:tr>
      <w:tr w14:paraId="5EB0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516D8193">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12.1</w:t>
            </w:r>
          </w:p>
        </w:tc>
        <w:tc>
          <w:tcPr>
            <w:tcW w:w="1701" w:type="dxa"/>
            <w:noWrap w:val="0"/>
            <w:vAlign w:val="center"/>
          </w:tcPr>
          <w:p w14:paraId="1374164C">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响应有效期</w:t>
            </w:r>
          </w:p>
        </w:tc>
        <w:tc>
          <w:tcPr>
            <w:tcW w:w="6767" w:type="dxa"/>
            <w:noWrap w:val="0"/>
            <w:vAlign w:val="center"/>
          </w:tcPr>
          <w:p w14:paraId="14E38FE9">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自响应文件提交截止之日起算_</w:t>
            </w:r>
            <w:r>
              <w:rPr>
                <w:rFonts w:hint="eastAsia" w:ascii="宋体" w:hAnsi="宋体" w:eastAsia="宋体" w:cs="宋体"/>
                <w:sz w:val="24"/>
                <w:szCs w:val="24"/>
                <w:highlight w:val="none"/>
                <w:u w:val="single"/>
                <w:lang w:val="en-US" w:eastAsia="zh-CN"/>
              </w:rPr>
              <w:t>90</w:t>
            </w:r>
            <w:r>
              <w:rPr>
                <w:rFonts w:hint="eastAsia" w:ascii="宋体" w:hAnsi="宋体" w:eastAsia="宋体" w:cs="宋体"/>
                <w:sz w:val="24"/>
                <w:szCs w:val="24"/>
                <w:highlight w:val="none"/>
              </w:rPr>
              <w:t>_日历天。</w:t>
            </w:r>
          </w:p>
        </w:tc>
      </w:tr>
      <w:tr w14:paraId="519F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6D9FC5E4">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20.1</w:t>
            </w:r>
          </w:p>
        </w:tc>
        <w:tc>
          <w:tcPr>
            <w:tcW w:w="1701" w:type="dxa"/>
            <w:noWrap w:val="0"/>
            <w:vAlign w:val="center"/>
          </w:tcPr>
          <w:p w14:paraId="2A0CFE28">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确定成交供应 商</w:t>
            </w:r>
          </w:p>
        </w:tc>
        <w:tc>
          <w:tcPr>
            <w:tcW w:w="6767" w:type="dxa"/>
            <w:noWrap w:val="0"/>
            <w:vAlign w:val="center"/>
          </w:tcPr>
          <w:p w14:paraId="662C94B4">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采购人是否</w:t>
            </w:r>
            <w:r>
              <w:rPr>
                <w:rFonts w:hint="eastAsia" w:ascii="宋体" w:hAnsi="宋体" w:eastAsia="宋体" w:cs="宋体"/>
                <w:color w:val="000000"/>
                <w:sz w:val="24"/>
                <w:szCs w:val="24"/>
                <w:highlight w:val="none"/>
              </w:rPr>
              <w:t>授权磋商小组直接确定成交供应商</w:t>
            </w:r>
            <w:r>
              <w:rPr>
                <w:rFonts w:hint="eastAsia" w:ascii="宋体" w:hAnsi="宋体" w:eastAsia="宋体" w:cs="宋体"/>
                <w:sz w:val="24"/>
                <w:szCs w:val="24"/>
                <w:highlight w:val="none"/>
              </w:rPr>
              <w:t>：</w:t>
            </w:r>
          </w:p>
          <w:p w14:paraId="5F5AE7C8">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b/>
                <w:color w:val="000000"/>
                <w:sz w:val="24"/>
                <w:szCs w:val="24"/>
                <w:highlight w:val="none"/>
              </w:rPr>
              <w:t>■</w:t>
            </w:r>
            <w:r>
              <w:rPr>
                <w:rFonts w:hint="eastAsia" w:ascii="宋体" w:hAnsi="宋体" w:eastAsia="宋体" w:cs="宋体"/>
                <w:sz w:val="24"/>
                <w:szCs w:val="24"/>
                <w:highlight w:val="none"/>
              </w:rPr>
              <w:t>否</w:t>
            </w:r>
          </w:p>
          <w:p w14:paraId="3E93373F">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□是</w:t>
            </w:r>
          </w:p>
          <w:p w14:paraId="2E300D2A">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成交候选人并列的，按照以下方式确定成交供应商：_______。</w:t>
            </w:r>
          </w:p>
        </w:tc>
      </w:tr>
      <w:tr w14:paraId="1A048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5C8FF2DE">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23.5</w:t>
            </w:r>
          </w:p>
        </w:tc>
        <w:tc>
          <w:tcPr>
            <w:tcW w:w="1701" w:type="dxa"/>
            <w:noWrap w:val="0"/>
            <w:vAlign w:val="center"/>
          </w:tcPr>
          <w:p w14:paraId="0BA29E4E">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分包</w:t>
            </w:r>
          </w:p>
        </w:tc>
        <w:tc>
          <w:tcPr>
            <w:tcW w:w="6767" w:type="dxa"/>
            <w:noWrap w:val="0"/>
            <w:vAlign w:val="center"/>
          </w:tcPr>
          <w:p w14:paraId="2CF9787F">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本项目是否允许分包： </w:t>
            </w:r>
          </w:p>
          <w:p w14:paraId="5B6CC5A9">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p w14:paraId="639510E6">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□允许，具体要求：_______。</w:t>
            </w:r>
          </w:p>
          <w:p w14:paraId="05A89AFE">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（1）可以分包履行的具体内容：_______；</w:t>
            </w:r>
          </w:p>
          <w:p w14:paraId="7620DB39">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（2）允许分包的金额或者比例：_______；</w:t>
            </w:r>
          </w:p>
          <w:p w14:paraId="0FE3B1FB">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（3）其他要求：_______。</w:t>
            </w:r>
          </w:p>
        </w:tc>
      </w:tr>
      <w:tr w14:paraId="21E1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62B166B2">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23.6</w:t>
            </w:r>
          </w:p>
        </w:tc>
        <w:tc>
          <w:tcPr>
            <w:tcW w:w="1701" w:type="dxa"/>
            <w:noWrap w:val="0"/>
            <w:vAlign w:val="center"/>
          </w:tcPr>
          <w:p w14:paraId="6E9FF258">
            <w:pPr>
              <w:pStyle w:val="17"/>
              <w:keepNext w:val="0"/>
              <w:keepLines w:val="0"/>
              <w:suppressLineNumbers w:val="0"/>
              <w:kinsoku w:val="0"/>
              <w:overflowPunct w:val="0"/>
              <w:spacing w:before="192" w:beforeLines="0" w:beforeAutospacing="0" w:after="0" w:afterLines="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政采贷</w:t>
            </w:r>
          </w:p>
        </w:tc>
        <w:tc>
          <w:tcPr>
            <w:tcW w:w="6767" w:type="dxa"/>
            <w:noWrap w:val="0"/>
            <w:vAlign w:val="center"/>
          </w:tcPr>
          <w:p w14:paraId="69379CDD">
            <w:pPr>
              <w:pStyle w:val="17"/>
              <w:keepNext w:val="0"/>
              <w:keepLines w:val="0"/>
              <w:suppressLineNumbers w:val="0"/>
              <w:kinsoku w:val="0"/>
              <w:overflowPunct w:val="0"/>
              <w:spacing w:before="0" w:beforeLines="0" w:beforeAutospacing="0" w:after="0" w:afterLines="0" w:afterAutospacing="0" w:line="240" w:lineRule="auto"/>
              <w:ind w:left="0" w:leftChars="0" w:right="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为更大力度激发市场活力和社会创造力，增强发展动力，按照《北京市全面优化营商环境助力企业高质量发展实施方案》（京政办发〔</w:t>
            </w:r>
            <w:r>
              <w:rPr>
                <w:rFonts w:hint="eastAsia" w:ascii="宋体" w:hAnsi="宋体" w:eastAsia="宋体" w:cs="宋体"/>
                <w:spacing w:val="-2"/>
                <w:w w:val="116"/>
                <w:sz w:val="24"/>
                <w:szCs w:val="24"/>
                <w:highlight w:val="none"/>
              </w:rPr>
              <w:t>2</w:t>
            </w:r>
            <w:r>
              <w:rPr>
                <w:rFonts w:hint="eastAsia" w:ascii="宋体" w:hAnsi="宋体" w:eastAsia="宋体" w:cs="宋体"/>
                <w:w w:val="116"/>
                <w:sz w:val="24"/>
                <w:szCs w:val="24"/>
                <w:highlight w:val="none"/>
              </w:rPr>
              <w:t>0</w:t>
            </w:r>
            <w:r>
              <w:rPr>
                <w:rFonts w:hint="eastAsia" w:ascii="宋体" w:hAnsi="宋体" w:eastAsia="宋体" w:cs="宋体"/>
                <w:spacing w:val="-2"/>
                <w:w w:val="116"/>
                <w:sz w:val="24"/>
                <w:szCs w:val="24"/>
                <w:highlight w:val="none"/>
              </w:rPr>
              <w:t>2</w:t>
            </w:r>
            <w:r>
              <w:rPr>
                <w:rFonts w:hint="eastAsia" w:ascii="宋体" w:hAnsi="宋体" w:eastAsia="宋体" w:cs="宋体"/>
                <w:spacing w:val="1"/>
                <w:w w:val="116"/>
                <w:sz w:val="24"/>
                <w:szCs w:val="24"/>
                <w:highlight w:val="none"/>
              </w:rPr>
              <w:t>3</w:t>
            </w:r>
            <w:r>
              <w:rPr>
                <w:rFonts w:hint="eastAsia" w:ascii="宋体" w:hAnsi="宋体" w:eastAsia="宋体" w:cs="宋体"/>
                <w:spacing w:val="-12"/>
                <w:sz w:val="24"/>
                <w:szCs w:val="24"/>
                <w:highlight w:val="none"/>
              </w:rPr>
              <w:t>〕</w:t>
            </w:r>
            <w:r>
              <w:rPr>
                <w:rFonts w:hint="eastAsia" w:ascii="宋体" w:hAnsi="宋体" w:eastAsia="宋体" w:cs="宋体"/>
                <w:w w:val="116"/>
                <w:sz w:val="24"/>
                <w:szCs w:val="24"/>
                <w:highlight w:val="none"/>
              </w:rPr>
              <w:t>8</w:t>
            </w:r>
            <w:r>
              <w:rPr>
                <w:rFonts w:hint="eastAsia" w:ascii="宋体" w:hAnsi="宋体" w:eastAsia="宋体" w:cs="宋体"/>
                <w:spacing w:val="-15"/>
                <w:sz w:val="24"/>
                <w:szCs w:val="24"/>
                <w:highlight w:val="none"/>
              </w:rPr>
              <w:t xml:space="preserve"> </w:t>
            </w:r>
            <w:r>
              <w:rPr>
                <w:rFonts w:hint="eastAsia" w:ascii="宋体" w:hAnsi="宋体" w:eastAsia="宋体" w:cs="宋体"/>
                <w:sz w:val="24"/>
                <w:szCs w:val="24"/>
                <w:highlight w:val="none"/>
              </w:rPr>
              <w:t>号</w:t>
            </w:r>
            <w:r>
              <w:rPr>
                <w:rFonts w:hint="eastAsia" w:ascii="宋体" w:hAnsi="宋体" w:eastAsia="宋体" w:cs="宋体"/>
                <w:spacing w:val="-12"/>
                <w:sz w:val="24"/>
                <w:szCs w:val="24"/>
                <w:highlight w:val="none"/>
              </w:rPr>
              <w:t>）</w:t>
            </w:r>
            <w:r>
              <w:rPr>
                <w:rFonts w:hint="eastAsia" w:ascii="宋体" w:hAnsi="宋体" w:eastAsia="宋体" w:cs="宋体"/>
                <w:sz w:val="24"/>
                <w:szCs w:val="24"/>
                <w:highlight w:val="none"/>
              </w:rPr>
              <w:t>部署</w:t>
            </w:r>
            <w:r>
              <w:rPr>
                <w:rFonts w:hint="eastAsia" w:ascii="宋体" w:hAnsi="宋体" w:eastAsia="宋体" w:cs="宋体"/>
                <w:spacing w:val="-12"/>
                <w:sz w:val="24"/>
                <w:szCs w:val="24"/>
                <w:highlight w:val="none"/>
              </w:rPr>
              <w:t>，</w:t>
            </w:r>
            <w:r>
              <w:rPr>
                <w:rFonts w:hint="eastAsia" w:ascii="宋体" w:hAnsi="宋体" w:eastAsia="宋体" w:cs="宋体"/>
                <w:sz w:val="24"/>
                <w:szCs w:val="24"/>
                <w:highlight w:val="none"/>
              </w:rPr>
              <w:t>进一步加强政府采购合同线上融资</w:t>
            </w:r>
            <w:r>
              <w:rPr>
                <w:rFonts w:hint="eastAsia" w:ascii="宋体" w:hAnsi="宋体" w:eastAsia="宋体" w:cs="宋体"/>
                <w:w w:val="129"/>
                <w:sz w:val="24"/>
                <w:szCs w:val="24"/>
                <w:highlight w:val="none"/>
              </w:rPr>
              <w:t>“</w:t>
            </w:r>
            <w:r>
              <w:rPr>
                <w:rFonts w:hint="eastAsia" w:ascii="宋体" w:hAnsi="宋体" w:eastAsia="宋体" w:cs="宋体"/>
                <w:sz w:val="24"/>
                <w:szCs w:val="24"/>
                <w:highlight w:val="none"/>
              </w:rPr>
              <w:t>一站式</w:t>
            </w:r>
            <w:r>
              <w:rPr>
                <w:rFonts w:hint="eastAsia" w:ascii="宋体" w:hAnsi="宋体" w:eastAsia="宋体" w:cs="宋体"/>
                <w:w w:val="129"/>
                <w:sz w:val="24"/>
                <w:szCs w:val="24"/>
                <w:highlight w:val="none"/>
              </w:rPr>
              <w:t>”</w:t>
            </w:r>
            <w:r>
              <w:rPr>
                <w:rFonts w:hint="eastAsia" w:ascii="宋体" w:hAnsi="宋体" w:eastAsia="宋体" w:cs="宋体"/>
                <w:sz w:val="24"/>
                <w:szCs w:val="24"/>
                <w:highlight w:val="none"/>
              </w:rPr>
              <w:t>服务（以下简称</w:t>
            </w:r>
            <w:r>
              <w:rPr>
                <w:rFonts w:hint="eastAsia" w:ascii="宋体" w:hAnsi="宋体" w:eastAsia="宋体" w:cs="宋体"/>
                <w:w w:val="129"/>
                <w:sz w:val="24"/>
                <w:szCs w:val="24"/>
                <w:highlight w:val="none"/>
              </w:rPr>
              <w:t>“</w:t>
            </w:r>
            <w:r>
              <w:rPr>
                <w:rFonts w:hint="eastAsia" w:ascii="宋体" w:hAnsi="宋体" w:eastAsia="宋体" w:cs="宋体"/>
                <w:sz w:val="24"/>
                <w:szCs w:val="24"/>
                <w:highlight w:val="none"/>
              </w:rPr>
              <w:t>政采贷</w:t>
            </w:r>
            <w:r>
              <w:rPr>
                <w:rFonts w:hint="eastAsia" w:ascii="宋体" w:hAnsi="宋体" w:eastAsia="宋体" w:cs="宋体"/>
                <w:spacing w:val="-2"/>
                <w:w w:val="129"/>
                <w:sz w:val="24"/>
                <w:szCs w:val="24"/>
                <w:highlight w:val="none"/>
              </w:rPr>
              <w:t>”</w:t>
            </w:r>
            <w:r>
              <w:rPr>
                <w:rFonts w:hint="eastAsia" w:ascii="宋体" w:hAnsi="宋体" w:eastAsia="宋体" w:cs="宋体"/>
                <w:sz w:val="24"/>
                <w:szCs w:val="24"/>
                <w:highlight w:val="none"/>
              </w:rPr>
              <w:t>），北京市财政局、中国人民银行营业管理部联合发布《关于推进政府采购合同线上融资有关工作的通知》（京财采</w:t>
            </w:r>
            <w:r>
              <w:rPr>
                <w:rFonts w:hint="eastAsia" w:ascii="宋体" w:hAnsi="宋体" w:eastAsia="宋体" w:cs="宋体"/>
                <w:spacing w:val="-20"/>
                <w:sz w:val="24"/>
                <w:szCs w:val="24"/>
                <w:highlight w:val="none"/>
              </w:rPr>
              <w:t>购</w:t>
            </w:r>
            <w:r>
              <w:rPr>
                <w:rFonts w:hint="eastAsia" w:ascii="宋体" w:hAnsi="宋体" w:eastAsia="宋体" w:cs="宋体"/>
                <w:sz w:val="24"/>
                <w:szCs w:val="24"/>
                <w:highlight w:val="none"/>
              </w:rPr>
              <w:t>〔</w:t>
            </w:r>
            <w:r>
              <w:rPr>
                <w:rFonts w:hint="eastAsia" w:ascii="宋体" w:hAnsi="宋体" w:eastAsia="宋体" w:cs="宋体"/>
                <w:spacing w:val="-2"/>
                <w:w w:val="116"/>
                <w:sz w:val="24"/>
                <w:szCs w:val="24"/>
                <w:highlight w:val="none"/>
              </w:rPr>
              <w:t>2</w:t>
            </w:r>
            <w:r>
              <w:rPr>
                <w:rFonts w:hint="eastAsia" w:ascii="宋体" w:hAnsi="宋体" w:eastAsia="宋体" w:cs="宋体"/>
                <w:w w:val="116"/>
                <w:sz w:val="24"/>
                <w:szCs w:val="24"/>
                <w:highlight w:val="none"/>
              </w:rPr>
              <w:t>0</w:t>
            </w:r>
            <w:r>
              <w:rPr>
                <w:rFonts w:hint="eastAsia" w:ascii="宋体" w:hAnsi="宋体" w:eastAsia="宋体" w:cs="宋体"/>
                <w:spacing w:val="-2"/>
                <w:w w:val="116"/>
                <w:sz w:val="24"/>
                <w:szCs w:val="24"/>
                <w:highlight w:val="none"/>
              </w:rPr>
              <w:t>2</w:t>
            </w:r>
            <w:r>
              <w:rPr>
                <w:rFonts w:hint="eastAsia" w:ascii="宋体" w:hAnsi="宋体" w:eastAsia="宋体" w:cs="宋体"/>
                <w:spacing w:val="3"/>
                <w:w w:val="116"/>
                <w:sz w:val="24"/>
                <w:szCs w:val="24"/>
                <w:highlight w:val="none"/>
              </w:rPr>
              <w:t>3</w:t>
            </w:r>
            <w:r>
              <w:rPr>
                <w:rFonts w:hint="eastAsia" w:ascii="宋体" w:hAnsi="宋体" w:eastAsia="宋体" w:cs="宋体"/>
                <w:spacing w:val="-20"/>
                <w:sz w:val="24"/>
                <w:szCs w:val="24"/>
                <w:highlight w:val="none"/>
              </w:rPr>
              <w:t>〕</w:t>
            </w:r>
            <w:r>
              <w:rPr>
                <w:rFonts w:hint="eastAsia" w:ascii="宋体" w:hAnsi="宋体" w:eastAsia="宋体" w:cs="宋体"/>
                <w:spacing w:val="-2"/>
                <w:w w:val="116"/>
                <w:sz w:val="24"/>
                <w:szCs w:val="24"/>
                <w:highlight w:val="none"/>
              </w:rPr>
              <w:t>6</w:t>
            </w:r>
            <w:r>
              <w:rPr>
                <w:rFonts w:hint="eastAsia" w:ascii="宋体" w:hAnsi="宋体" w:eastAsia="宋体" w:cs="宋体"/>
                <w:w w:val="116"/>
                <w:sz w:val="24"/>
                <w:szCs w:val="24"/>
                <w:highlight w:val="none"/>
              </w:rPr>
              <w:t>37</w:t>
            </w:r>
            <w:r>
              <w:rPr>
                <w:rFonts w:hint="eastAsia" w:ascii="宋体" w:hAnsi="宋体" w:eastAsia="宋体" w:cs="宋体"/>
                <w:spacing w:val="-15"/>
                <w:sz w:val="24"/>
                <w:szCs w:val="24"/>
                <w:highlight w:val="none"/>
              </w:rPr>
              <w:t xml:space="preserve"> </w:t>
            </w:r>
            <w:r>
              <w:rPr>
                <w:rFonts w:hint="eastAsia" w:ascii="宋体" w:hAnsi="宋体" w:eastAsia="宋体" w:cs="宋体"/>
                <w:sz w:val="24"/>
                <w:szCs w:val="24"/>
                <w:highlight w:val="none"/>
              </w:rPr>
              <w:t>号</w:t>
            </w:r>
            <w:r>
              <w:rPr>
                <w:rFonts w:hint="eastAsia" w:ascii="宋体" w:hAnsi="宋体" w:eastAsia="宋体" w:cs="宋体"/>
                <w:spacing w:val="-20"/>
                <w:sz w:val="24"/>
                <w:szCs w:val="24"/>
                <w:highlight w:val="none"/>
              </w:rPr>
              <w:t>）。</w:t>
            </w:r>
            <w:r>
              <w:rPr>
                <w:rFonts w:hint="eastAsia" w:ascii="宋体" w:hAnsi="宋体" w:eastAsia="宋体" w:cs="宋体"/>
                <w:sz w:val="24"/>
                <w:szCs w:val="24"/>
                <w:highlight w:val="none"/>
              </w:rPr>
              <w:t>有需求的供应商</w:t>
            </w:r>
            <w:r>
              <w:rPr>
                <w:rFonts w:hint="eastAsia" w:ascii="宋体" w:hAnsi="宋体" w:eastAsia="宋体" w:cs="宋体"/>
                <w:spacing w:val="-17"/>
                <w:sz w:val="24"/>
                <w:szCs w:val="24"/>
                <w:highlight w:val="none"/>
              </w:rPr>
              <w:t>，</w:t>
            </w:r>
            <w:r>
              <w:rPr>
                <w:rFonts w:hint="eastAsia" w:ascii="宋体" w:hAnsi="宋体" w:eastAsia="宋体" w:cs="宋体"/>
                <w:sz w:val="24"/>
                <w:szCs w:val="24"/>
                <w:highlight w:val="none"/>
              </w:rPr>
              <w:t>可按上述通知要求办理</w:t>
            </w:r>
            <w:r>
              <w:rPr>
                <w:rFonts w:hint="eastAsia" w:ascii="宋体" w:hAnsi="宋体" w:eastAsia="宋体" w:cs="宋体"/>
                <w:w w:val="129"/>
                <w:sz w:val="24"/>
                <w:szCs w:val="24"/>
                <w:highlight w:val="none"/>
              </w:rPr>
              <w:t>“</w:t>
            </w:r>
            <w:r>
              <w:rPr>
                <w:rFonts w:hint="eastAsia" w:ascii="宋体" w:hAnsi="宋体" w:eastAsia="宋体" w:cs="宋体"/>
                <w:sz w:val="24"/>
                <w:szCs w:val="24"/>
                <w:highlight w:val="none"/>
              </w:rPr>
              <w:t>政采贷</w:t>
            </w:r>
            <w:r>
              <w:rPr>
                <w:rFonts w:hint="eastAsia" w:ascii="宋体" w:hAnsi="宋体" w:eastAsia="宋体" w:cs="宋体"/>
                <w:spacing w:val="-2"/>
                <w:w w:val="129"/>
                <w:sz w:val="24"/>
                <w:szCs w:val="24"/>
                <w:highlight w:val="none"/>
              </w:rPr>
              <w:t>”</w:t>
            </w:r>
            <w:r>
              <w:rPr>
                <w:rFonts w:hint="eastAsia" w:ascii="宋体" w:hAnsi="宋体" w:eastAsia="宋体" w:cs="宋体"/>
                <w:sz w:val="24"/>
                <w:szCs w:val="24"/>
                <w:highlight w:val="none"/>
              </w:rPr>
              <w:t>。</w:t>
            </w:r>
          </w:p>
        </w:tc>
      </w:tr>
      <w:tr w14:paraId="44FA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267CEA26">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24.1.1</w:t>
            </w:r>
          </w:p>
        </w:tc>
        <w:tc>
          <w:tcPr>
            <w:tcW w:w="1701" w:type="dxa"/>
            <w:noWrap w:val="0"/>
            <w:vAlign w:val="center"/>
          </w:tcPr>
          <w:p w14:paraId="1DC6742A">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询问</w:t>
            </w:r>
          </w:p>
        </w:tc>
        <w:tc>
          <w:tcPr>
            <w:tcW w:w="6767" w:type="dxa"/>
            <w:noWrap w:val="0"/>
            <w:vAlign w:val="center"/>
          </w:tcPr>
          <w:p w14:paraId="02498F8B">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询问送达形式：</w:t>
            </w:r>
            <w:r>
              <w:rPr>
                <w:rFonts w:hint="eastAsia" w:ascii="宋体" w:hAnsi="宋体" w:eastAsia="宋体" w:cs="宋体"/>
                <w:sz w:val="24"/>
                <w:szCs w:val="24"/>
                <w:highlight w:val="none"/>
                <w:u w:val="single"/>
              </w:rPr>
              <w:t>书面形式</w:t>
            </w:r>
            <w:r>
              <w:rPr>
                <w:rFonts w:hint="eastAsia" w:ascii="宋体" w:hAnsi="宋体" w:eastAsia="宋体" w:cs="宋体"/>
                <w:sz w:val="24"/>
                <w:szCs w:val="24"/>
                <w:highlight w:val="none"/>
              </w:rPr>
              <w:t>。</w:t>
            </w:r>
          </w:p>
        </w:tc>
      </w:tr>
      <w:tr w14:paraId="2C68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42C303A7">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24.3</w:t>
            </w:r>
          </w:p>
        </w:tc>
        <w:tc>
          <w:tcPr>
            <w:tcW w:w="1701" w:type="dxa"/>
            <w:noWrap w:val="0"/>
            <w:vAlign w:val="center"/>
          </w:tcPr>
          <w:p w14:paraId="65974A80">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联系方式</w:t>
            </w:r>
          </w:p>
        </w:tc>
        <w:tc>
          <w:tcPr>
            <w:tcW w:w="6767" w:type="dxa"/>
            <w:noWrap w:val="0"/>
            <w:vAlign w:val="center"/>
          </w:tcPr>
          <w:p w14:paraId="0B2E9466">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接收询问和质疑的联系方式</w:t>
            </w:r>
          </w:p>
          <w:p w14:paraId="4CCAE7F6">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联系部门：</w:t>
            </w:r>
            <w:r>
              <w:rPr>
                <w:rFonts w:hint="eastAsia" w:ascii="宋体" w:hAnsi="宋体" w:eastAsia="宋体" w:cs="宋体"/>
                <w:sz w:val="24"/>
                <w:szCs w:val="24"/>
                <w:highlight w:val="none"/>
                <w:u w:val="single"/>
              </w:rPr>
              <w:t>北京国际工程咨询有限公司</w:t>
            </w:r>
            <w:r>
              <w:rPr>
                <w:rFonts w:hint="eastAsia" w:ascii="宋体" w:hAnsi="宋体" w:eastAsia="宋体" w:cs="宋体"/>
                <w:sz w:val="24"/>
                <w:szCs w:val="24"/>
                <w:highlight w:val="none"/>
              </w:rPr>
              <w:t>；</w:t>
            </w:r>
          </w:p>
          <w:p w14:paraId="08A00A94">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single"/>
              </w:rPr>
              <w:t>王思宇、鲍杜佳、崔云龙、安川010-63256361转6177</w:t>
            </w:r>
            <w:r>
              <w:rPr>
                <w:rFonts w:hint="eastAsia" w:ascii="宋体" w:hAnsi="宋体" w:eastAsia="宋体" w:cs="宋体"/>
                <w:sz w:val="24"/>
                <w:szCs w:val="24"/>
                <w:highlight w:val="none"/>
              </w:rPr>
              <w:t>；</w:t>
            </w:r>
          </w:p>
          <w:p w14:paraId="0DBAB0B3">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通讯地址：</w:t>
            </w:r>
            <w:r>
              <w:rPr>
                <w:rFonts w:hint="eastAsia" w:ascii="宋体" w:hAnsi="宋体" w:eastAsia="宋体" w:cs="宋体"/>
                <w:sz w:val="24"/>
                <w:szCs w:val="24"/>
                <w:highlight w:val="none"/>
                <w:u w:val="single"/>
              </w:rPr>
              <w:t>北京市西城区广安门外大街甲275号</w:t>
            </w:r>
            <w:r>
              <w:rPr>
                <w:rFonts w:hint="eastAsia" w:ascii="宋体" w:hAnsi="宋体" w:eastAsia="宋体" w:cs="宋体"/>
                <w:sz w:val="24"/>
                <w:szCs w:val="24"/>
                <w:highlight w:val="none"/>
              </w:rPr>
              <w:t>。</w:t>
            </w:r>
          </w:p>
        </w:tc>
      </w:tr>
      <w:tr w14:paraId="218D7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06E74FC4">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25</w:t>
            </w:r>
          </w:p>
        </w:tc>
        <w:tc>
          <w:tcPr>
            <w:tcW w:w="1701" w:type="dxa"/>
            <w:noWrap w:val="0"/>
            <w:vAlign w:val="center"/>
          </w:tcPr>
          <w:p w14:paraId="6375E2C8">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代理费</w:t>
            </w:r>
          </w:p>
        </w:tc>
        <w:tc>
          <w:tcPr>
            <w:tcW w:w="6767" w:type="dxa"/>
            <w:noWrap w:val="0"/>
            <w:vAlign w:val="center"/>
          </w:tcPr>
          <w:p w14:paraId="15ACB76A">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收费对象：</w:t>
            </w:r>
          </w:p>
          <w:p w14:paraId="1CAC6938">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□采购人</w:t>
            </w:r>
          </w:p>
          <w:p w14:paraId="63B6A008">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■成交供应商</w:t>
            </w:r>
          </w:p>
          <w:p w14:paraId="2FC8168E">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收费标准：</w:t>
            </w:r>
            <w:r>
              <w:rPr>
                <w:rFonts w:hint="eastAsia" w:ascii="宋体" w:hAnsi="宋体" w:eastAsia="宋体" w:cs="宋体"/>
                <w:sz w:val="24"/>
                <w:szCs w:val="24"/>
                <w:highlight w:val="none"/>
                <w:u w:val="single"/>
              </w:rPr>
              <w:t>按原《招标代理服务收费管理暂行办法》（计价格[2002]1980号）和《关于招标代理服务收费有关问题的通知》（发改办价格[2003]857号）执行，按成交金额差额定率累进法计算。</w:t>
            </w:r>
          </w:p>
          <w:p w14:paraId="412ECF67">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缴纳时间：</w:t>
            </w:r>
            <w:r>
              <w:rPr>
                <w:rFonts w:hint="eastAsia" w:ascii="宋体" w:hAnsi="宋体" w:eastAsia="宋体" w:cs="宋体"/>
                <w:sz w:val="24"/>
                <w:szCs w:val="24"/>
                <w:highlight w:val="none"/>
                <w:u w:val="single"/>
              </w:rPr>
              <w:t>本项目的成交供应商应在成交通知书发出后五个工作日内一次性向招标代理机构支付招标代理服务费</w:t>
            </w:r>
            <w:r>
              <w:rPr>
                <w:rFonts w:hint="eastAsia" w:ascii="宋体" w:hAnsi="宋体" w:eastAsia="宋体" w:cs="宋体"/>
                <w:sz w:val="24"/>
                <w:szCs w:val="24"/>
                <w:highlight w:val="none"/>
              </w:rPr>
              <w:t>。</w:t>
            </w:r>
          </w:p>
        </w:tc>
      </w:tr>
    </w:tbl>
    <w:p w14:paraId="4AABAC39">
      <w:pPr>
        <w:tabs>
          <w:tab w:val="left" w:pos="5580"/>
        </w:tabs>
        <w:adjustRightInd w:val="0"/>
        <w:spacing w:line="360" w:lineRule="auto"/>
        <w:jc w:val="distribute"/>
        <w:rPr>
          <w:rFonts w:eastAsia="宋体"/>
          <w:sz w:val="24"/>
          <w:highlight w:val="none"/>
        </w:rPr>
        <w:sectPr>
          <w:headerReference r:id="rId13" w:type="first"/>
          <w:footerReference r:id="rId15" w:type="first"/>
          <w:headerReference r:id="rId12" w:type="default"/>
          <w:footerReference r:id="rId14" w:type="default"/>
          <w:pgSz w:w="11907" w:h="16840"/>
          <w:pgMar w:top="1418" w:right="1134" w:bottom="1418" w:left="1701" w:header="851" w:footer="851" w:gutter="0"/>
          <w:pgNumType w:fmt="decimal"/>
          <w:cols w:space="720" w:num="1"/>
          <w:titlePg/>
          <w:docGrid w:linePitch="462" w:charSpace="0"/>
        </w:sectPr>
      </w:pPr>
    </w:p>
    <w:p w14:paraId="67638A32">
      <w:pPr>
        <w:spacing w:before="240" w:beforeLines="100" w:after="240" w:afterLines="100"/>
        <w:jc w:val="center"/>
        <w:rPr>
          <w:rFonts w:eastAsia="宋体"/>
          <w:b/>
          <w:sz w:val="28"/>
          <w:szCs w:val="28"/>
          <w:highlight w:val="none"/>
        </w:rPr>
      </w:pPr>
      <w:r>
        <w:rPr>
          <w:rFonts w:eastAsia="宋体"/>
          <w:b/>
          <w:sz w:val="28"/>
          <w:szCs w:val="28"/>
          <w:highlight w:val="none"/>
        </w:rPr>
        <w:t>供应商须知</w:t>
      </w:r>
    </w:p>
    <w:p w14:paraId="63497F96">
      <w:pPr>
        <w:pStyle w:val="3"/>
        <w:tabs>
          <w:tab w:val="center" w:pos="4592"/>
          <w:tab w:val="left" w:pos="7860"/>
        </w:tabs>
        <w:spacing w:before="0" w:line="360" w:lineRule="auto"/>
        <w:jc w:val="left"/>
        <w:rPr>
          <w:rFonts w:ascii="Times New Roman" w:hAnsi="Times New Roman" w:eastAsia="宋体"/>
          <w:sz w:val="28"/>
          <w:highlight w:val="none"/>
        </w:rPr>
      </w:pPr>
      <w:bookmarkStart w:id="71" w:name="_Toc520356143"/>
      <w:bookmarkStart w:id="72" w:name="_Toc127151518"/>
      <w:r>
        <w:rPr>
          <w:rFonts w:ascii="Times New Roman" w:hAnsi="Times New Roman" w:eastAsia="宋体"/>
          <w:sz w:val="28"/>
          <w:highlight w:val="none"/>
        </w:rPr>
        <w:tab/>
      </w:r>
      <w:bookmarkStart w:id="73" w:name="_Toc150480756"/>
      <w:bookmarkStart w:id="74" w:name="_Toc151193616"/>
      <w:bookmarkStart w:id="75" w:name="_Toc150774723"/>
      <w:bookmarkStart w:id="76" w:name="_Toc226309762"/>
      <w:bookmarkStart w:id="77" w:name="_Toc226965791"/>
      <w:bookmarkStart w:id="78" w:name="_Toc150509269"/>
      <w:bookmarkStart w:id="79" w:name="_Toc142311020"/>
      <w:bookmarkStart w:id="80" w:name="_Toc195842883"/>
      <w:bookmarkStart w:id="81" w:name="_Toc305158786"/>
      <w:bookmarkStart w:id="82" w:name="_Toc305158860"/>
      <w:bookmarkStart w:id="83" w:name="_Toc151193832"/>
      <w:bookmarkStart w:id="84" w:name="_Toc265228356"/>
      <w:bookmarkStart w:id="85" w:name="_Toc151193688"/>
      <w:bookmarkStart w:id="86" w:name="_Toc264969208"/>
      <w:bookmarkStart w:id="87" w:name="_Toc151193760"/>
      <w:bookmarkStart w:id="88" w:name="_Toc150774618"/>
      <w:bookmarkStart w:id="89" w:name="_Toc226965708"/>
      <w:bookmarkStart w:id="90" w:name="_Toc151193906"/>
      <w:bookmarkStart w:id="91" w:name="_Toc151190145"/>
      <w:bookmarkStart w:id="92" w:name="_Toc226337214"/>
      <w:r>
        <w:rPr>
          <w:rFonts w:ascii="Times New Roman" w:hAnsi="Times New Roman" w:eastAsia="宋体"/>
          <w:sz w:val="28"/>
          <w:highlight w:val="none"/>
        </w:rPr>
        <w:t>一   说  明</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ascii="Times New Roman" w:hAnsi="Times New Roman" w:eastAsia="宋体"/>
          <w:sz w:val="28"/>
          <w:highlight w:val="none"/>
        </w:rPr>
        <w:tab/>
      </w:r>
    </w:p>
    <w:p w14:paraId="5651A8A9">
      <w:pPr>
        <w:numPr>
          <w:ilvl w:val="0"/>
          <w:numId w:val="13"/>
        </w:numPr>
        <w:tabs>
          <w:tab w:val="left" w:pos="360"/>
          <w:tab w:val="clear" w:pos="900"/>
        </w:tabs>
        <w:snapToGrid w:val="0"/>
        <w:spacing w:line="360" w:lineRule="auto"/>
        <w:ind w:left="357" w:hanging="357"/>
        <w:outlineLvl w:val="1"/>
        <w:rPr>
          <w:rFonts w:eastAsia="宋体"/>
          <w:sz w:val="24"/>
          <w:highlight w:val="none"/>
        </w:rPr>
      </w:pPr>
      <w:bookmarkStart w:id="93" w:name="_Toc264969209"/>
      <w:bookmarkStart w:id="94" w:name="_Toc265228357"/>
      <w:bookmarkStart w:id="95" w:name="_Toc305158861"/>
      <w:bookmarkStart w:id="96" w:name="_Toc305158787"/>
      <w:r>
        <w:rPr>
          <w:rFonts w:eastAsia="宋体"/>
          <w:sz w:val="24"/>
          <w:highlight w:val="none"/>
        </w:rPr>
        <w:t>采购人、采购代理机构、供应商</w:t>
      </w:r>
      <w:bookmarkEnd w:id="93"/>
      <w:bookmarkEnd w:id="94"/>
      <w:bookmarkEnd w:id="95"/>
      <w:bookmarkEnd w:id="96"/>
      <w:r>
        <w:rPr>
          <w:rFonts w:eastAsia="宋体"/>
          <w:sz w:val="24"/>
          <w:highlight w:val="none"/>
        </w:rPr>
        <w:t>、联合体</w:t>
      </w:r>
    </w:p>
    <w:p w14:paraId="2D80C8B4">
      <w:pPr>
        <w:numPr>
          <w:ilvl w:val="1"/>
          <w:numId w:val="13"/>
        </w:numPr>
        <w:tabs>
          <w:tab w:val="left" w:pos="1080"/>
          <w:tab w:val="left" w:pos="2014"/>
          <w:tab w:val="left" w:pos="5521"/>
        </w:tabs>
        <w:snapToGrid w:val="0"/>
        <w:spacing w:line="360" w:lineRule="auto"/>
        <w:ind w:left="1080" w:hanging="720"/>
        <w:rPr>
          <w:rFonts w:eastAsia="宋体"/>
          <w:sz w:val="24"/>
          <w:highlight w:val="none"/>
        </w:rPr>
      </w:pPr>
      <w:r>
        <w:rPr>
          <w:rFonts w:eastAsia="宋体"/>
          <w:sz w:val="24"/>
          <w:highlight w:val="none"/>
        </w:rPr>
        <w:t>采购人、采购代理机构：指依法进行政府采购的国家机关、事业单位、团体组织，及其委托的采购代理机构。本项目采购人、采购代理机构见第一章《采购邀请》。</w:t>
      </w:r>
    </w:p>
    <w:p w14:paraId="6AE3B2E1">
      <w:pPr>
        <w:numPr>
          <w:ilvl w:val="1"/>
          <w:numId w:val="13"/>
        </w:numPr>
        <w:tabs>
          <w:tab w:val="left" w:pos="1080"/>
          <w:tab w:val="left" w:pos="2014"/>
          <w:tab w:val="left" w:pos="5521"/>
        </w:tabs>
        <w:snapToGrid w:val="0"/>
        <w:spacing w:line="360" w:lineRule="auto"/>
        <w:ind w:left="1080" w:hanging="720"/>
        <w:rPr>
          <w:rFonts w:eastAsia="宋体"/>
          <w:sz w:val="24"/>
          <w:highlight w:val="none"/>
        </w:rPr>
      </w:pPr>
      <w:r>
        <w:rPr>
          <w:rFonts w:eastAsia="宋体"/>
          <w:sz w:val="24"/>
          <w:highlight w:val="none"/>
        </w:rPr>
        <w:t>供应商（也称“申请人”）：指向采购人提供货物、工程或者服务的法人、其他组织或者自然人。</w:t>
      </w:r>
    </w:p>
    <w:p w14:paraId="7D6E3A7E">
      <w:pPr>
        <w:numPr>
          <w:ilvl w:val="1"/>
          <w:numId w:val="13"/>
        </w:numPr>
        <w:tabs>
          <w:tab w:val="left" w:pos="1080"/>
          <w:tab w:val="left" w:pos="2014"/>
          <w:tab w:val="left" w:pos="5521"/>
        </w:tabs>
        <w:snapToGrid w:val="0"/>
        <w:spacing w:line="360" w:lineRule="auto"/>
        <w:ind w:left="1080" w:hanging="720"/>
        <w:rPr>
          <w:rFonts w:eastAsia="宋体"/>
          <w:sz w:val="24"/>
          <w:highlight w:val="none"/>
        </w:rPr>
      </w:pPr>
      <w:r>
        <w:rPr>
          <w:rFonts w:eastAsia="宋体"/>
          <w:sz w:val="24"/>
          <w:highlight w:val="none"/>
        </w:rPr>
        <w:t>联合体：指两个以上的自然人、法人或者其他组织组成一个联合体，以一个供应商的身份共同参加政府采购。</w:t>
      </w:r>
    </w:p>
    <w:p w14:paraId="01926B91">
      <w:pPr>
        <w:numPr>
          <w:ilvl w:val="0"/>
          <w:numId w:val="13"/>
        </w:numPr>
        <w:tabs>
          <w:tab w:val="left" w:pos="360"/>
          <w:tab w:val="clear" w:pos="900"/>
        </w:tabs>
        <w:snapToGrid w:val="0"/>
        <w:spacing w:line="360" w:lineRule="auto"/>
        <w:ind w:left="357" w:hanging="357"/>
        <w:outlineLvl w:val="1"/>
        <w:rPr>
          <w:rFonts w:eastAsia="宋体"/>
          <w:sz w:val="24"/>
          <w:highlight w:val="none"/>
        </w:rPr>
      </w:pPr>
      <w:bookmarkStart w:id="97" w:name="_Toc305158788"/>
      <w:bookmarkStart w:id="98" w:name="_Toc149720813"/>
      <w:bookmarkStart w:id="99" w:name="_Toc226965793"/>
      <w:bookmarkStart w:id="100" w:name="_Toc164229215"/>
      <w:bookmarkStart w:id="101" w:name="_Toc150480758"/>
      <w:bookmarkStart w:id="102" w:name="_Toc150774725"/>
      <w:bookmarkStart w:id="103" w:name="_Toc226965710"/>
      <w:bookmarkStart w:id="104" w:name="_Toc265228358"/>
      <w:bookmarkStart w:id="105" w:name="_Toc151193690"/>
      <w:bookmarkStart w:id="106" w:name="_Toc164351614"/>
      <w:bookmarkStart w:id="107" w:name="_Toc127151520"/>
      <w:bookmarkStart w:id="108" w:name="_Toc151193618"/>
      <w:bookmarkStart w:id="109" w:name="_Toc150509271"/>
      <w:bookmarkStart w:id="110" w:name="_Toc226309764"/>
      <w:bookmarkStart w:id="111" w:name="_Toc164608634"/>
      <w:bookmarkStart w:id="112" w:name="_Toc151190147"/>
      <w:bookmarkStart w:id="113" w:name="_Toc226337216"/>
      <w:bookmarkStart w:id="114" w:name="_Toc264969210"/>
      <w:bookmarkStart w:id="115" w:name="_Toc127151721"/>
      <w:bookmarkStart w:id="116" w:name="_Toc151193762"/>
      <w:bookmarkStart w:id="117" w:name="_Toc150774620"/>
      <w:bookmarkStart w:id="118" w:name="_Toc195842885"/>
      <w:bookmarkStart w:id="119" w:name="_Toc164608789"/>
      <w:bookmarkStart w:id="120" w:name="_Toc151193908"/>
      <w:bookmarkStart w:id="121" w:name="_Toc305158862"/>
      <w:bookmarkStart w:id="122" w:name="_Toc151193834"/>
      <w:bookmarkStart w:id="123" w:name="_Toc164229361"/>
      <w:bookmarkStart w:id="124" w:name="_Toc127161434"/>
      <w:bookmarkStart w:id="125" w:name="_Toc142311022"/>
      <w:r>
        <w:rPr>
          <w:rFonts w:eastAsia="宋体"/>
          <w:sz w:val="24"/>
          <w:highlight w:val="none"/>
        </w:rPr>
        <w:t>资金来源</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Pr>
          <w:rFonts w:eastAsia="宋体"/>
          <w:sz w:val="24"/>
          <w:highlight w:val="none"/>
        </w:rPr>
        <w:t>、项目属性、科研仪器设备采购</w:t>
      </w:r>
    </w:p>
    <w:p w14:paraId="3C6048F0">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资金来源为财政性资金和/或本项目采购中无法与财政性资金分割的非财政性资金。</w:t>
      </w:r>
    </w:p>
    <w:p w14:paraId="48025691">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项目属性见《供应商须知资料表》。</w:t>
      </w:r>
    </w:p>
    <w:p w14:paraId="30B47BF8">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是否属于科研仪器设备采购见《供应商须知资料表》。</w:t>
      </w:r>
    </w:p>
    <w:p w14:paraId="4C07F89E">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现场考察、磋商前答疑会</w:t>
      </w:r>
    </w:p>
    <w:p w14:paraId="3261C197">
      <w:pPr>
        <w:numPr>
          <w:ilvl w:val="1"/>
          <w:numId w:val="13"/>
        </w:numPr>
        <w:tabs>
          <w:tab w:val="left" w:pos="1080"/>
          <w:tab w:val="left" w:pos="2014"/>
        </w:tabs>
        <w:snapToGrid w:val="0"/>
        <w:spacing w:line="360" w:lineRule="auto"/>
        <w:ind w:left="1080" w:hanging="720"/>
        <w:rPr>
          <w:rFonts w:eastAsia="宋体"/>
          <w:sz w:val="28"/>
          <w:highlight w:val="none"/>
        </w:rPr>
      </w:pPr>
      <w:r>
        <w:rPr>
          <w:rFonts w:eastAsia="宋体"/>
          <w:sz w:val="24"/>
          <w:highlight w:val="none"/>
        </w:rPr>
        <w:t>若《供应商须知资料表》中规定了组织现场考察、召开磋商前答疑会，则供应商应按要求在规定的时间和地点参加。</w:t>
      </w:r>
      <w:bookmarkStart w:id="126" w:name="_Toc226965795"/>
      <w:bookmarkStart w:id="127" w:name="_Toc150774727"/>
      <w:bookmarkStart w:id="128" w:name="_Toc226309766"/>
      <w:bookmarkStart w:id="129" w:name="_Toc142311024"/>
      <w:bookmarkStart w:id="130" w:name="_Toc150509273"/>
      <w:bookmarkStart w:id="131" w:name="_Toc305158864"/>
      <w:bookmarkStart w:id="132" w:name="_Toc265228360"/>
      <w:bookmarkStart w:id="133" w:name="_Toc264969212"/>
      <w:bookmarkStart w:id="134" w:name="_Toc151193764"/>
      <w:bookmarkStart w:id="135" w:name="_Toc520356146"/>
      <w:bookmarkStart w:id="136" w:name="_Toc151193620"/>
      <w:bookmarkStart w:id="137" w:name="_Toc151193910"/>
      <w:bookmarkStart w:id="138" w:name="_Toc150774622"/>
      <w:bookmarkStart w:id="139" w:name="_Toc127151522"/>
      <w:bookmarkStart w:id="140" w:name="_Toc151193692"/>
      <w:bookmarkStart w:id="141" w:name="_Toc150480760"/>
      <w:bookmarkStart w:id="142" w:name="_Toc151193836"/>
      <w:bookmarkStart w:id="143" w:name="_Toc226337218"/>
      <w:bookmarkStart w:id="144" w:name="_Toc195842887"/>
      <w:bookmarkStart w:id="145" w:name="_Toc305158790"/>
      <w:bookmarkStart w:id="146" w:name="_Toc226965712"/>
      <w:bookmarkStart w:id="147" w:name="_Toc151190149"/>
    </w:p>
    <w:p w14:paraId="04103454">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由于未参加现场考察或磋商前答疑会而导致对项目实际情况不了解，影响响应文件编制、报价准确性、综合因素响应不全面等问题的，由供应商自行承担不利评审后果。</w:t>
      </w:r>
    </w:p>
    <w:p w14:paraId="207744C5">
      <w:pPr>
        <w:numPr>
          <w:ilvl w:val="0"/>
          <w:numId w:val="13"/>
        </w:numPr>
        <w:tabs>
          <w:tab w:val="left" w:pos="360"/>
          <w:tab w:val="clear" w:pos="900"/>
        </w:tabs>
        <w:snapToGrid w:val="0"/>
        <w:spacing w:line="360" w:lineRule="auto"/>
        <w:ind w:left="357" w:hanging="357"/>
        <w:outlineLvl w:val="1"/>
        <w:rPr>
          <w:rFonts w:eastAsia="宋体"/>
          <w:sz w:val="24"/>
          <w:highlight w:val="none"/>
        </w:rPr>
      </w:pPr>
      <w:r>
        <w:rPr>
          <w:rFonts w:eastAsia="宋体"/>
          <w:sz w:val="24"/>
          <w:highlight w:val="none"/>
        </w:rPr>
        <w:t>政府采购政策（包括但不限于下列具体政策要求）</w:t>
      </w:r>
    </w:p>
    <w:p w14:paraId="1D93443C">
      <w:pPr>
        <w:numPr>
          <w:ilvl w:val="1"/>
          <w:numId w:val="13"/>
        </w:numPr>
        <w:tabs>
          <w:tab w:val="left" w:pos="1260"/>
          <w:tab w:val="left" w:pos="2014"/>
          <w:tab w:val="clear" w:pos="1589"/>
        </w:tabs>
        <w:snapToGrid w:val="0"/>
        <w:spacing w:line="360" w:lineRule="auto"/>
        <w:ind w:left="1268" w:leftChars="0" w:hanging="700" w:firstLineChars="0"/>
        <w:rPr>
          <w:rFonts w:eastAsia="宋体"/>
          <w:sz w:val="24"/>
          <w:highlight w:val="none"/>
        </w:rPr>
      </w:pPr>
      <w:r>
        <w:rPr>
          <w:rFonts w:hint="eastAsia" w:eastAsia="宋体"/>
          <w:sz w:val="24"/>
          <w:highlight w:val="none"/>
        </w:rPr>
        <w:t>采购本国货物、工程和服务</w:t>
      </w:r>
    </w:p>
    <w:p w14:paraId="0B8C002C">
      <w:pPr>
        <w:numPr>
          <w:ilvl w:val="2"/>
          <w:numId w:val="13"/>
        </w:numPr>
        <w:tabs>
          <w:tab w:val="left" w:pos="2014"/>
        </w:tabs>
        <w:snapToGrid w:val="0"/>
        <w:spacing w:line="360" w:lineRule="auto"/>
        <w:rPr>
          <w:rFonts w:eastAsia="宋体"/>
          <w:sz w:val="24"/>
          <w:highlight w:val="none"/>
        </w:rPr>
      </w:pPr>
      <w:r>
        <w:rPr>
          <w:rFonts w:hint="eastAsia" w:eastAsia="宋体"/>
          <w:sz w:val="24"/>
          <w:highlight w:val="none"/>
        </w:rPr>
        <w:t>政府采购应当采购本国货物、工程和服务。但有《中华人民共和国政府采购法》第十条规定情形的除外。</w:t>
      </w:r>
    </w:p>
    <w:p w14:paraId="09D9D2A4">
      <w:pPr>
        <w:numPr>
          <w:ilvl w:val="2"/>
          <w:numId w:val="13"/>
        </w:numPr>
        <w:tabs>
          <w:tab w:val="left" w:pos="1080"/>
          <w:tab w:val="left" w:pos="2014"/>
          <w:tab w:val="clear" w:pos="1980"/>
        </w:tabs>
        <w:snapToGrid w:val="0"/>
        <w:spacing w:line="360" w:lineRule="auto"/>
        <w:ind w:left="1980" w:leftChars="0" w:hanging="900" w:firstLineChars="0"/>
        <w:rPr>
          <w:rFonts w:eastAsia="宋体"/>
          <w:sz w:val="24"/>
          <w:highlight w:val="none"/>
        </w:rPr>
      </w:pPr>
      <w:r>
        <w:rPr>
          <w:rFonts w:hint="eastAsia" w:eastAsia="宋体"/>
          <w:sz w:val="24"/>
          <w:highlight w:val="none"/>
        </w:rPr>
        <w:t>本项目如接受非本国货物、工程、服务参与</w:t>
      </w:r>
      <w:r>
        <w:rPr>
          <w:rFonts w:hint="eastAsia"/>
          <w:sz w:val="24"/>
          <w:szCs w:val="24"/>
          <w:highlight w:val="none"/>
        </w:rPr>
        <w:t>响应</w:t>
      </w:r>
      <w:r>
        <w:rPr>
          <w:rFonts w:hint="eastAsia" w:eastAsia="宋体"/>
          <w:sz w:val="24"/>
          <w:highlight w:val="none"/>
        </w:rPr>
        <w:t>，则具体要求见第四章《采购需求》。</w:t>
      </w:r>
    </w:p>
    <w:p w14:paraId="4C5B2FAA">
      <w:pPr>
        <w:numPr>
          <w:ilvl w:val="2"/>
          <w:numId w:val="13"/>
        </w:numPr>
        <w:tabs>
          <w:tab w:val="left" w:pos="1080"/>
          <w:tab w:val="left" w:pos="1900"/>
          <w:tab w:val="clear" w:pos="1980"/>
        </w:tabs>
        <w:snapToGrid w:val="0"/>
        <w:spacing w:line="360" w:lineRule="auto"/>
        <w:ind w:left="1980" w:leftChars="0" w:hanging="900" w:firstLineChars="0"/>
        <w:rPr>
          <w:rFonts w:eastAsia="宋体"/>
          <w:sz w:val="24"/>
          <w:highlight w:val="none"/>
        </w:rPr>
      </w:pPr>
      <w:r>
        <w:rPr>
          <w:rFonts w:hint="eastAsia" w:eastAsia="宋体"/>
          <w:sz w:val="24"/>
          <w:highlight w:val="none"/>
        </w:rPr>
        <w:t>进口产品指通过中国海关报关验放进入中国境内且产自关境外的产品，包括已经进入中国境内的进口产品。关于进口产品的相关规定依据《政府采购进口产品管理办法》（财库〔2007〕119 号文）、《关于政府采购进口产品管理有关问题的通知》（财办库〔2008〕248号文）。</w:t>
      </w:r>
    </w:p>
    <w:p w14:paraId="6951D55D">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中小企业、监狱企业及残疾人福利性单位</w:t>
      </w:r>
    </w:p>
    <w:p w14:paraId="53781041">
      <w:pPr>
        <w:numPr>
          <w:ilvl w:val="2"/>
          <w:numId w:val="13"/>
        </w:numPr>
        <w:tabs>
          <w:tab w:val="left" w:pos="2014"/>
        </w:tabs>
        <w:snapToGrid w:val="0"/>
        <w:spacing w:line="360" w:lineRule="auto"/>
        <w:rPr>
          <w:rFonts w:hint="eastAsia" w:eastAsia="宋体"/>
          <w:sz w:val="24"/>
          <w:highlight w:val="none"/>
        </w:rPr>
      </w:pPr>
      <w:r>
        <w:rPr>
          <w:rFonts w:hint="eastAsia" w:eastAsia="宋体"/>
          <w:sz w:val="24"/>
          <w:highlight w:val="none"/>
        </w:rPr>
        <w:t>中小企业定义：</w:t>
      </w:r>
    </w:p>
    <w:p w14:paraId="5373A0D1">
      <w:pPr>
        <w:numPr>
          <w:ilvl w:val="3"/>
          <w:numId w:val="13"/>
        </w:numPr>
        <w:tabs>
          <w:tab w:val="left" w:pos="1980"/>
          <w:tab w:val="left" w:pos="2035"/>
          <w:tab w:val="left" w:pos="2885"/>
          <w:tab w:val="left" w:pos="2977"/>
          <w:tab w:val="clear" w:pos="900"/>
        </w:tabs>
        <w:snapToGrid w:val="0"/>
        <w:spacing w:line="360" w:lineRule="auto"/>
        <w:ind w:left="2885"/>
        <w:rPr>
          <w:rFonts w:eastAsia="宋体"/>
          <w:color w:val="000000"/>
          <w:sz w:val="24"/>
          <w:highlight w:val="none"/>
        </w:rPr>
      </w:pPr>
      <w:r>
        <w:rPr>
          <w:rFonts w:hint="eastAsia" w:eastAsia="宋体"/>
          <w:sz w:val="24"/>
          <w:highlight w:val="none"/>
        </w:rPr>
        <w:t>中小企业是指在中华人民共和国境内依法设立，依据国务院批准的中小企业划分标准确定的中型企业、小型企业和微型企业，但与大企业的负责人为同一人，或者与大企业存在直 接控股、管理关系的除外。符合中小企业划分标准的个体工商户，在政府采购活动中视同中小企业。关于中小企业的判定依据《中华人民共和国中小企业促进法》、《关于进一步加大政府采购支持中小企业力度的通知》（财库〔2022〕19 号）、《政府采购促进中小企业发展管理办法》（财库〔2020〕 46 号）、《关于印发中小企业划型标准规定的通知》（工信部联企业〔2011〕300号）、《金融业企业划型标准规定》（〔2015〕309 号）等国务院批准的中小企业划分标准执行。</w:t>
      </w:r>
    </w:p>
    <w:p w14:paraId="4291652C">
      <w:pPr>
        <w:numPr>
          <w:ilvl w:val="3"/>
          <w:numId w:val="13"/>
        </w:numPr>
        <w:tabs>
          <w:tab w:val="left" w:pos="1980"/>
          <w:tab w:val="left" w:pos="2035"/>
          <w:tab w:val="left" w:pos="2885"/>
          <w:tab w:val="left" w:pos="2977"/>
          <w:tab w:val="clear" w:pos="900"/>
        </w:tabs>
        <w:snapToGrid w:val="0"/>
        <w:spacing w:line="360" w:lineRule="auto"/>
        <w:ind w:left="2885"/>
        <w:rPr>
          <w:rFonts w:eastAsia="宋体"/>
          <w:color w:val="000000"/>
          <w:sz w:val="24"/>
          <w:highlight w:val="none"/>
        </w:rPr>
      </w:pPr>
      <w:r>
        <w:rPr>
          <w:rFonts w:eastAsia="宋体"/>
          <w:sz w:val="24"/>
          <w:highlight w:val="none"/>
        </w:rPr>
        <w:t>供应商提供的货物、工程或者服务符合下列情形的，享受中小企业扶持政策：</w:t>
      </w:r>
    </w:p>
    <w:p w14:paraId="26D7B483">
      <w:pPr>
        <w:tabs>
          <w:tab w:val="left" w:pos="1980"/>
        </w:tabs>
        <w:snapToGrid w:val="0"/>
        <w:spacing w:line="360" w:lineRule="auto"/>
        <w:ind w:left="2835" w:leftChars="1350"/>
        <w:rPr>
          <w:rFonts w:eastAsia="宋体"/>
          <w:color w:val="000000"/>
          <w:sz w:val="24"/>
          <w:highlight w:val="none"/>
        </w:rPr>
      </w:pPr>
      <w:r>
        <w:rPr>
          <w:rFonts w:eastAsia="宋体"/>
          <w:color w:val="000000"/>
          <w:sz w:val="24"/>
          <w:highlight w:val="none"/>
        </w:rPr>
        <w:t>（1）在货物采购项目中，货物由中小企业制造，即货物由中小企业生产且使用该中小企业商号或者注册商标；</w:t>
      </w:r>
    </w:p>
    <w:p w14:paraId="35FFE7E1">
      <w:pPr>
        <w:tabs>
          <w:tab w:val="left" w:pos="1980"/>
        </w:tabs>
        <w:snapToGrid w:val="0"/>
        <w:spacing w:line="360" w:lineRule="auto"/>
        <w:ind w:left="2835" w:leftChars="1350"/>
        <w:rPr>
          <w:rFonts w:eastAsia="宋体"/>
          <w:color w:val="000000"/>
          <w:sz w:val="24"/>
          <w:highlight w:val="none"/>
        </w:rPr>
      </w:pPr>
      <w:r>
        <w:rPr>
          <w:rFonts w:eastAsia="宋体"/>
          <w:color w:val="000000"/>
          <w:sz w:val="24"/>
          <w:highlight w:val="none"/>
        </w:rPr>
        <w:t>（2）在工程采购项目中，工程由中小企业承建，即工程施工单位为中小企业；</w:t>
      </w:r>
    </w:p>
    <w:p w14:paraId="0C54F12F">
      <w:pPr>
        <w:tabs>
          <w:tab w:val="left" w:pos="1980"/>
        </w:tabs>
        <w:snapToGrid w:val="0"/>
        <w:spacing w:line="360" w:lineRule="auto"/>
        <w:ind w:left="2835" w:leftChars="1350"/>
        <w:rPr>
          <w:rFonts w:eastAsia="宋体"/>
          <w:color w:val="000000"/>
          <w:sz w:val="24"/>
          <w:highlight w:val="none"/>
        </w:rPr>
      </w:pPr>
      <w:r>
        <w:rPr>
          <w:rFonts w:eastAsia="宋体"/>
          <w:color w:val="000000"/>
          <w:sz w:val="24"/>
          <w:highlight w:val="none"/>
        </w:rPr>
        <w:t>（3）在服务采购项目中，服务由中小企业承接，即提供服务的人员为中小企业依照《中华人民共和国劳动合同法》订立劳动合同的从业人员。</w:t>
      </w:r>
    </w:p>
    <w:p w14:paraId="7513BA22">
      <w:pPr>
        <w:numPr>
          <w:ilvl w:val="3"/>
          <w:numId w:val="13"/>
        </w:numPr>
        <w:tabs>
          <w:tab w:val="left" w:pos="1980"/>
          <w:tab w:val="left" w:pos="2035"/>
          <w:tab w:val="left" w:pos="2885"/>
          <w:tab w:val="left" w:pos="2977"/>
          <w:tab w:val="clear" w:pos="900"/>
        </w:tabs>
        <w:snapToGrid w:val="0"/>
        <w:spacing w:line="360" w:lineRule="auto"/>
        <w:ind w:left="2885"/>
        <w:rPr>
          <w:rFonts w:eastAsia="宋体"/>
          <w:sz w:val="24"/>
          <w:highlight w:val="none"/>
        </w:rPr>
      </w:pPr>
      <w:r>
        <w:rPr>
          <w:rFonts w:eastAsia="宋体"/>
          <w:sz w:val="24"/>
          <w:highlight w:val="none"/>
        </w:rPr>
        <w:t>在货物采购项目中，供应商提供的货物既有中小企业制造货物，也有大型企业制造货物的，不享受中小企业扶持政策。</w:t>
      </w:r>
    </w:p>
    <w:p w14:paraId="7EF93848">
      <w:pPr>
        <w:numPr>
          <w:ilvl w:val="3"/>
          <w:numId w:val="13"/>
        </w:numPr>
        <w:tabs>
          <w:tab w:val="left" w:pos="1980"/>
          <w:tab w:val="left" w:pos="2035"/>
          <w:tab w:val="left" w:pos="2885"/>
          <w:tab w:val="left" w:pos="2977"/>
          <w:tab w:val="clear" w:pos="900"/>
        </w:tabs>
        <w:snapToGrid w:val="0"/>
        <w:spacing w:line="360" w:lineRule="auto"/>
        <w:ind w:left="2885"/>
        <w:rPr>
          <w:rFonts w:eastAsia="宋体"/>
          <w:sz w:val="24"/>
          <w:highlight w:val="none"/>
        </w:rPr>
      </w:pPr>
      <w:r>
        <w:rPr>
          <w:rFonts w:eastAsia="宋体"/>
          <w:color w:val="000000"/>
          <w:sz w:val="24"/>
          <w:highlight w:val="none"/>
        </w:rPr>
        <w:t>以联合体形式参加政府采购活动，联合体各方均为中小企业的，联合体视同中小企业。其中，联合体各方均为小微企业的，联合体视同小微企业。</w:t>
      </w:r>
    </w:p>
    <w:p w14:paraId="2A157D14">
      <w:pPr>
        <w:numPr>
          <w:ilvl w:val="2"/>
          <w:numId w:val="13"/>
        </w:numPr>
        <w:snapToGrid w:val="0"/>
        <w:spacing w:line="360" w:lineRule="auto"/>
        <w:rPr>
          <w:rFonts w:eastAsia="宋体"/>
          <w:sz w:val="24"/>
          <w:highlight w:val="none"/>
        </w:rPr>
      </w:pPr>
      <w:r>
        <w:rPr>
          <w:rFonts w:hint="eastAsia" w:eastAsia="宋体"/>
          <w:sz w:val="24"/>
          <w:highlight w:val="none"/>
        </w:rPr>
        <w:t>在政府采购活动中，监狱企业视同小型、微型企业，享受预留份额、评审中价格扣除等政府采购促进中小企业发展的政府采购政策。</w:t>
      </w:r>
      <w:r>
        <w:rPr>
          <w:rFonts w:eastAsia="宋体"/>
          <w:sz w:val="24"/>
          <w:highlight w:val="none"/>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B20695E">
      <w:pPr>
        <w:numPr>
          <w:ilvl w:val="2"/>
          <w:numId w:val="13"/>
        </w:numPr>
        <w:snapToGrid w:val="0"/>
        <w:spacing w:line="360" w:lineRule="auto"/>
        <w:rPr>
          <w:rFonts w:eastAsia="宋体"/>
          <w:sz w:val="24"/>
          <w:highlight w:val="none"/>
        </w:rPr>
      </w:pPr>
      <w:r>
        <w:rPr>
          <w:rFonts w:hint="eastAsia" w:eastAsia="宋体"/>
          <w:sz w:val="24"/>
          <w:highlight w:val="none"/>
        </w:rPr>
        <w:t>在政府采购活动中，残疾人福利性单位视同小型、微型企业，享受预留份额、评审中价格扣除等促进中小企业发展的政府采购政策。</w:t>
      </w:r>
      <w:r>
        <w:rPr>
          <w:rFonts w:eastAsia="宋体"/>
          <w:sz w:val="24"/>
          <w:highlight w:val="none"/>
        </w:rPr>
        <w:t>残疾人福利</w:t>
      </w:r>
      <w:r>
        <w:rPr>
          <w:rFonts w:hint="eastAsia"/>
          <w:sz w:val="24"/>
          <w:highlight w:val="none"/>
          <w:lang w:val="en-US" w:eastAsia="zh-CN"/>
        </w:rPr>
        <w:t>性</w:t>
      </w:r>
      <w:r>
        <w:rPr>
          <w:rFonts w:eastAsia="宋体"/>
          <w:sz w:val="24"/>
          <w:highlight w:val="none"/>
        </w:rPr>
        <w:t>单位定义：享受政府采购支持政策的残疾人福利性单位应当同时满足以下条件：</w:t>
      </w:r>
    </w:p>
    <w:p w14:paraId="41432D22">
      <w:pPr>
        <w:numPr>
          <w:ilvl w:val="3"/>
          <w:numId w:val="13"/>
        </w:numPr>
        <w:tabs>
          <w:tab w:val="left" w:pos="1980"/>
          <w:tab w:val="left" w:pos="2035"/>
          <w:tab w:val="left" w:pos="2885"/>
          <w:tab w:val="left" w:pos="2977"/>
          <w:tab w:val="clear" w:pos="900"/>
        </w:tabs>
        <w:snapToGrid w:val="0"/>
        <w:spacing w:line="360" w:lineRule="auto"/>
        <w:ind w:left="2885"/>
        <w:rPr>
          <w:rFonts w:eastAsia="宋体"/>
          <w:color w:val="000000"/>
          <w:sz w:val="24"/>
          <w:highlight w:val="none"/>
        </w:rPr>
      </w:pPr>
      <w:r>
        <w:rPr>
          <w:rFonts w:eastAsia="宋体"/>
          <w:color w:val="000000"/>
          <w:sz w:val="24"/>
          <w:highlight w:val="none"/>
        </w:rPr>
        <w:t>安置的残疾人占本单位在职职工人数的比例不低于25%（含25%），并且安置的残疾人人数不少于10 人（含10人）；</w:t>
      </w:r>
    </w:p>
    <w:p w14:paraId="76549FE7">
      <w:pPr>
        <w:numPr>
          <w:ilvl w:val="3"/>
          <w:numId w:val="13"/>
        </w:numPr>
        <w:tabs>
          <w:tab w:val="left" w:pos="1980"/>
          <w:tab w:val="left" w:pos="2035"/>
          <w:tab w:val="left" w:pos="2885"/>
          <w:tab w:val="left" w:pos="2977"/>
          <w:tab w:val="clear" w:pos="900"/>
        </w:tabs>
        <w:snapToGrid w:val="0"/>
        <w:spacing w:line="360" w:lineRule="auto"/>
        <w:ind w:left="2885"/>
        <w:rPr>
          <w:rFonts w:eastAsia="宋体"/>
          <w:color w:val="000000"/>
          <w:sz w:val="24"/>
          <w:highlight w:val="none"/>
        </w:rPr>
      </w:pPr>
      <w:r>
        <w:rPr>
          <w:rFonts w:eastAsia="宋体"/>
          <w:sz w:val="24"/>
          <w:highlight w:val="none"/>
        </w:rPr>
        <w:t>依法与安置的每位残疾人签订了一年以上（含一年）的劳动合同或服务协议；</w:t>
      </w:r>
    </w:p>
    <w:p w14:paraId="4801D415">
      <w:pPr>
        <w:numPr>
          <w:ilvl w:val="3"/>
          <w:numId w:val="13"/>
        </w:numPr>
        <w:tabs>
          <w:tab w:val="left" w:pos="1980"/>
          <w:tab w:val="left" w:pos="2035"/>
          <w:tab w:val="left" w:pos="2885"/>
          <w:tab w:val="left" w:pos="2977"/>
          <w:tab w:val="clear" w:pos="900"/>
        </w:tabs>
        <w:snapToGrid w:val="0"/>
        <w:spacing w:line="360" w:lineRule="auto"/>
        <w:ind w:left="2885"/>
        <w:rPr>
          <w:rFonts w:eastAsia="宋体"/>
          <w:color w:val="000000"/>
          <w:sz w:val="24"/>
          <w:highlight w:val="none"/>
        </w:rPr>
      </w:pPr>
      <w:r>
        <w:rPr>
          <w:rFonts w:eastAsia="宋体"/>
          <w:sz w:val="24"/>
          <w:highlight w:val="none"/>
        </w:rPr>
        <w:t>为安置的每位残疾人按月足额缴纳了基本养老保险、基本医疗保险、失业保险、工伤保险和生育保险等社会保险费；</w:t>
      </w:r>
    </w:p>
    <w:p w14:paraId="2C33E799">
      <w:pPr>
        <w:numPr>
          <w:ilvl w:val="3"/>
          <w:numId w:val="13"/>
        </w:numPr>
        <w:tabs>
          <w:tab w:val="left" w:pos="1980"/>
          <w:tab w:val="left" w:pos="2035"/>
          <w:tab w:val="left" w:pos="2885"/>
          <w:tab w:val="left" w:pos="2977"/>
          <w:tab w:val="clear" w:pos="900"/>
        </w:tabs>
        <w:snapToGrid w:val="0"/>
        <w:spacing w:line="360" w:lineRule="auto"/>
        <w:ind w:left="2885"/>
        <w:rPr>
          <w:rFonts w:eastAsia="宋体"/>
          <w:color w:val="000000"/>
          <w:sz w:val="24"/>
          <w:highlight w:val="none"/>
        </w:rPr>
      </w:pPr>
      <w:r>
        <w:rPr>
          <w:rFonts w:eastAsia="宋体"/>
          <w:sz w:val="24"/>
          <w:highlight w:val="none"/>
        </w:rPr>
        <w:t>通过银行等金融机构向安置的每位残疾人，按月支付了不低于单位所在区县适用的经省级人民政府批准的月最低工资标准的工资；</w:t>
      </w:r>
    </w:p>
    <w:p w14:paraId="459A2E2F">
      <w:pPr>
        <w:numPr>
          <w:ilvl w:val="3"/>
          <w:numId w:val="13"/>
        </w:numPr>
        <w:tabs>
          <w:tab w:val="left" w:pos="1980"/>
          <w:tab w:val="left" w:pos="2035"/>
          <w:tab w:val="left" w:pos="2885"/>
          <w:tab w:val="left" w:pos="2977"/>
          <w:tab w:val="clear" w:pos="900"/>
        </w:tabs>
        <w:snapToGrid w:val="0"/>
        <w:spacing w:line="360" w:lineRule="auto"/>
        <w:ind w:left="2885"/>
        <w:rPr>
          <w:rFonts w:eastAsia="宋体"/>
          <w:color w:val="000000"/>
          <w:sz w:val="24"/>
          <w:highlight w:val="none"/>
        </w:rPr>
      </w:pPr>
      <w:r>
        <w:rPr>
          <w:rFonts w:eastAsia="宋体"/>
          <w:sz w:val="24"/>
          <w:highlight w:val="none"/>
        </w:rPr>
        <w:t>提供本单位制造的货物、承担的工程或者服务（以下简称产品），或者提供其他残疾人福利性单位制造的货物（不包括使用非残疾人福利性单位注册商标的货物）；</w:t>
      </w:r>
    </w:p>
    <w:p w14:paraId="78FECC10">
      <w:pPr>
        <w:numPr>
          <w:ilvl w:val="3"/>
          <w:numId w:val="13"/>
        </w:numPr>
        <w:tabs>
          <w:tab w:val="left" w:pos="1980"/>
          <w:tab w:val="left" w:pos="2035"/>
          <w:tab w:val="left" w:pos="2885"/>
          <w:tab w:val="left" w:pos="2977"/>
          <w:tab w:val="clear" w:pos="900"/>
        </w:tabs>
        <w:snapToGrid w:val="0"/>
        <w:spacing w:line="360" w:lineRule="auto"/>
        <w:ind w:left="2885"/>
        <w:rPr>
          <w:rFonts w:eastAsia="宋体"/>
          <w:color w:val="000000"/>
          <w:sz w:val="24"/>
          <w:highlight w:val="none"/>
        </w:rPr>
      </w:pPr>
      <w:r>
        <w:rPr>
          <w:rFonts w:eastAsia="宋体"/>
          <w:sz w:val="24"/>
          <w:highlight w:val="none"/>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62B90A1E">
      <w:pPr>
        <w:numPr>
          <w:ilvl w:val="2"/>
          <w:numId w:val="13"/>
        </w:numPr>
        <w:snapToGrid w:val="0"/>
        <w:spacing w:line="360" w:lineRule="auto"/>
        <w:rPr>
          <w:rFonts w:eastAsia="宋体"/>
          <w:sz w:val="24"/>
          <w:highlight w:val="none"/>
        </w:rPr>
      </w:pPr>
      <w:r>
        <w:rPr>
          <w:rFonts w:eastAsia="宋体"/>
          <w:sz w:val="24"/>
          <w:highlight w:val="none"/>
        </w:rPr>
        <w:t>本项目是否专门面向中小企业预留采购份额见第一章《采购邀请》。</w:t>
      </w:r>
    </w:p>
    <w:p w14:paraId="4A71C88B">
      <w:pPr>
        <w:numPr>
          <w:ilvl w:val="2"/>
          <w:numId w:val="13"/>
        </w:numPr>
        <w:snapToGrid w:val="0"/>
        <w:spacing w:line="360" w:lineRule="auto"/>
        <w:rPr>
          <w:rFonts w:eastAsia="宋体"/>
          <w:sz w:val="24"/>
          <w:highlight w:val="none"/>
        </w:rPr>
      </w:pPr>
      <w:r>
        <w:rPr>
          <w:rFonts w:eastAsia="宋体"/>
          <w:sz w:val="24"/>
          <w:highlight w:val="none"/>
        </w:rPr>
        <w:t>采购标的对应的中小企业划分标准所属行业见《供应商须知资料表》。</w:t>
      </w:r>
    </w:p>
    <w:p w14:paraId="179908B7">
      <w:pPr>
        <w:numPr>
          <w:ilvl w:val="2"/>
          <w:numId w:val="13"/>
        </w:numPr>
        <w:snapToGrid w:val="0"/>
        <w:spacing w:line="360" w:lineRule="auto"/>
        <w:rPr>
          <w:rFonts w:eastAsia="宋体"/>
          <w:sz w:val="24"/>
          <w:highlight w:val="none"/>
        </w:rPr>
      </w:pPr>
      <w:r>
        <w:rPr>
          <w:rFonts w:eastAsia="宋体"/>
          <w:sz w:val="24"/>
          <w:highlight w:val="none"/>
        </w:rPr>
        <w:t>小微企业价格评审优惠的政策调整：见第三章《评审方法和评审标准》。</w:t>
      </w:r>
    </w:p>
    <w:p w14:paraId="294517E9">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政府采购节能产品、环境标志产品</w:t>
      </w:r>
    </w:p>
    <w:p w14:paraId="4143CE94">
      <w:pPr>
        <w:numPr>
          <w:ilvl w:val="2"/>
          <w:numId w:val="13"/>
        </w:numPr>
        <w:snapToGrid w:val="0"/>
        <w:spacing w:line="360" w:lineRule="auto"/>
        <w:rPr>
          <w:rFonts w:eastAsia="宋体"/>
          <w:sz w:val="24"/>
          <w:highlight w:val="none"/>
        </w:rPr>
      </w:pPr>
      <w:r>
        <w:rPr>
          <w:rFonts w:eastAsia="宋体"/>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25CA375">
      <w:pPr>
        <w:numPr>
          <w:ilvl w:val="2"/>
          <w:numId w:val="13"/>
        </w:numPr>
        <w:snapToGrid w:val="0"/>
        <w:spacing w:line="360" w:lineRule="auto"/>
        <w:rPr>
          <w:rFonts w:eastAsia="宋体"/>
          <w:sz w:val="24"/>
          <w:highlight w:val="none"/>
        </w:rPr>
      </w:pPr>
      <w:r>
        <w:rPr>
          <w:rFonts w:eastAsia="宋体"/>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2AA2E483">
      <w:pPr>
        <w:numPr>
          <w:ilvl w:val="2"/>
          <w:numId w:val="13"/>
        </w:numPr>
        <w:snapToGrid w:val="0"/>
        <w:spacing w:line="360" w:lineRule="auto"/>
        <w:rPr>
          <w:rFonts w:eastAsia="宋体"/>
          <w:sz w:val="24"/>
          <w:highlight w:val="none"/>
        </w:rPr>
      </w:pPr>
      <w:r>
        <w:rPr>
          <w:rFonts w:eastAsia="宋体"/>
          <w:sz w:val="24"/>
          <w:highlight w:val="none"/>
        </w:rPr>
        <w:t>如本项目采购产品属于实施政府强制采购品目清单范围的节能产品，则供应商所报产品必须获得国家确定的认证机构出具的、处于有效期之内的节能产品认证证书，</w:t>
      </w:r>
      <w:r>
        <w:rPr>
          <w:rFonts w:eastAsia="宋体"/>
          <w:kern w:val="0"/>
          <w:sz w:val="24"/>
          <w:highlight w:val="none"/>
        </w:rPr>
        <w:t>否则</w:t>
      </w:r>
      <w:r>
        <w:rPr>
          <w:rFonts w:eastAsia="宋体"/>
          <w:b/>
          <w:kern w:val="0"/>
          <w:sz w:val="24"/>
          <w:highlight w:val="none"/>
        </w:rPr>
        <w:t>响应无效</w:t>
      </w:r>
      <w:r>
        <w:rPr>
          <w:rFonts w:eastAsia="宋体"/>
          <w:sz w:val="24"/>
          <w:highlight w:val="none"/>
        </w:rPr>
        <w:t>；</w:t>
      </w:r>
    </w:p>
    <w:p w14:paraId="3821F6C9">
      <w:pPr>
        <w:numPr>
          <w:ilvl w:val="2"/>
          <w:numId w:val="13"/>
        </w:numPr>
        <w:snapToGrid w:val="0"/>
        <w:spacing w:line="360" w:lineRule="auto"/>
        <w:rPr>
          <w:rFonts w:eastAsia="宋体"/>
          <w:sz w:val="24"/>
          <w:highlight w:val="none"/>
        </w:rPr>
      </w:pPr>
      <w:r>
        <w:rPr>
          <w:rFonts w:eastAsia="宋体"/>
          <w:sz w:val="24"/>
          <w:highlight w:val="none"/>
        </w:rPr>
        <w:t>非政府强制采购的节能产品或环境标志产品，依据品目清单和认证证书实施政府优先采购。优先采购的具体规定见第三章《评审方法和评审标准》（如涉及）。</w:t>
      </w:r>
    </w:p>
    <w:p w14:paraId="1772763F">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正版软件</w:t>
      </w:r>
    </w:p>
    <w:p w14:paraId="575B7751">
      <w:pPr>
        <w:numPr>
          <w:ilvl w:val="2"/>
          <w:numId w:val="13"/>
        </w:numPr>
        <w:snapToGrid w:val="0"/>
        <w:spacing w:line="360" w:lineRule="auto"/>
        <w:rPr>
          <w:rFonts w:eastAsia="宋体"/>
          <w:sz w:val="24"/>
          <w:highlight w:val="none"/>
        </w:rPr>
      </w:pPr>
      <w:r>
        <w:rPr>
          <w:rFonts w:eastAsia="宋体"/>
          <w:sz w:val="24"/>
          <w:highlight w:val="none"/>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05B2E26E">
      <w:pPr>
        <w:numPr>
          <w:ilvl w:val="1"/>
          <w:numId w:val="13"/>
        </w:numPr>
        <w:tabs>
          <w:tab w:val="left" w:pos="1260"/>
          <w:tab w:val="clear" w:pos="1589"/>
        </w:tabs>
        <w:snapToGrid w:val="0"/>
        <w:spacing w:line="360" w:lineRule="auto"/>
        <w:ind w:left="1468" w:leftChars="0" w:hanging="900" w:firstLineChars="0"/>
        <w:rPr>
          <w:rFonts w:hint="eastAsia" w:eastAsia="宋体"/>
          <w:sz w:val="24"/>
          <w:highlight w:val="none"/>
        </w:rPr>
      </w:pPr>
      <w:r>
        <w:rPr>
          <w:rFonts w:hint="eastAsia" w:eastAsia="宋体"/>
          <w:sz w:val="24"/>
          <w:highlight w:val="none"/>
        </w:rPr>
        <w:t>网络安全专用产品</w:t>
      </w:r>
    </w:p>
    <w:p w14:paraId="70D21FB9">
      <w:pPr>
        <w:numPr>
          <w:ilvl w:val="2"/>
          <w:numId w:val="13"/>
        </w:numPr>
        <w:tabs>
          <w:tab w:val="left" w:pos="2014"/>
        </w:tabs>
        <w:snapToGrid w:val="0"/>
        <w:spacing w:line="360" w:lineRule="auto"/>
        <w:rPr>
          <w:rFonts w:eastAsia="宋体"/>
          <w:sz w:val="24"/>
          <w:highlight w:val="none"/>
        </w:rPr>
      </w:pPr>
      <w:r>
        <w:rPr>
          <w:rFonts w:hint="eastAsia" w:eastAsia="宋体"/>
          <w:sz w:val="24"/>
          <w:highlight w:val="none"/>
        </w:rPr>
        <w:t>根据《关于调整网络安全专用产品安全管理有关事项的公告》（2023年第 1 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eastAsia="宋体"/>
          <w:sz w:val="24"/>
          <w:highlight w:val="none"/>
        </w:rPr>
        <w:t>。</w:t>
      </w:r>
    </w:p>
    <w:p w14:paraId="0961D302">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推广使用低挥发性有机化合物（VOCs）</w:t>
      </w:r>
    </w:p>
    <w:p w14:paraId="000AE0C5">
      <w:pPr>
        <w:numPr>
          <w:ilvl w:val="2"/>
          <w:numId w:val="13"/>
        </w:numPr>
        <w:snapToGrid w:val="0"/>
        <w:spacing w:line="360" w:lineRule="auto"/>
        <w:rPr>
          <w:rFonts w:eastAsia="宋体"/>
          <w:sz w:val="24"/>
          <w:highlight w:val="none"/>
        </w:rPr>
      </w:pPr>
      <w:r>
        <w:rPr>
          <w:rFonts w:eastAsia="宋体"/>
          <w:sz w:val="24"/>
          <w:highlight w:val="none"/>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含量限制标准（具体标准见第四章《采购需求》），</w:t>
      </w:r>
      <w:r>
        <w:rPr>
          <w:rFonts w:eastAsia="宋体"/>
          <w:kern w:val="0"/>
          <w:sz w:val="24"/>
          <w:highlight w:val="none"/>
        </w:rPr>
        <w:t>否则</w:t>
      </w:r>
      <w:r>
        <w:rPr>
          <w:rFonts w:eastAsia="宋体"/>
          <w:b/>
          <w:kern w:val="0"/>
          <w:sz w:val="24"/>
          <w:highlight w:val="none"/>
        </w:rPr>
        <w:t>响应无效</w:t>
      </w:r>
      <w:r>
        <w:rPr>
          <w:rFonts w:eastAsia="宋体"/>
          <w:sz w:val="24"/>
          <w:highlight w:val="none"/>
        </w:rPr>
        <w:t>；属于推荐性标准的，优先采购，具体见第三章《评审方法和评审标准》。</w:t>
      </w:r>
    </w:p>
    <w:p w14:paraId="10CAF8F7">
      <w:pPr>
        <w:numPr>
          <w:ilvl w:val="1"/>
          <w:numId w:val="13"/>
        </w:numPr>
        <w:tabs>
          <w:tab w:val="left" w:pos="1080"/>
          <w:tab w:val="left" w:pos="2014"/>
        </w:tabs>
        <w:snapToGrid w:val="0"/>
        <w:spacing w:line="360" w:lineRule="auto"/>
        <w:ind w:left="1080" w:hanging="720"/>
        <w:rPr>
          <w:rFonts w:hint="eastAsia" w:eastAsia="宋体"/>
          <w:sz w:val="24"/>
          <w:highlight w:val="none"/>
        </w:rPr>
      </w:pPr>
      <w:r>
        <w:rPr>
          <w:rFonts w:hint="eastAsia" w:eastAsia="宋体"/>
          <w:sz w:val="24"/>
          <w:highlight w:val="none"/>
        </w:rPr>
        <w:t>采购需求标准</w:t>
      </w:r>
    </w:p>
    <w:p w14:paraId="4922B960">
      <w:pPr>
        <w:numPr>
          <w:ilvl w:val="2"/>
          <w:numId w:val="13"/>
        </w:numPr>
        <w:tabs>
          <w:tab w:val="clear" w:pos="1980"/>
        </w:tabs>
        <w:snapToGrid w:val="0"/>
        <w:spacing w:line="360" w:lineRule="auto"/>
        <w:ind w:left="1980" w:leftChars="0" w:hanging="900" w:firstLineChars="0"/>
        <w:rPr>
          <w:rFonts w:hint="eastAsia" w:eastAsia="宋体"/>
          <w:sz w:val="24"/>
          <w:highlight w:val="none"/>
        </w:rPr>
      </w:pPr>
      <w:r>
        <w:rPr>
          <w:rFonts w:hint="eastAsia" w:eastAsia="宋体"/>
          <w:sz w:val="24"/>
          <w:highlight w:val="none"/>
        </w:rPr>
        <w:t>商品包装、快递包装政府采购需求标准（试行）为助力打好污染防治攻坚战，推广使用绿色包装，根据财政部关于印发《商品包装政府采购需求标准（试行）》、《快递包装政府采购需求标准（试行）》的通知（财办库〔2020〕123 号），本项目如涉及商品包装和快递包装的，则其具体要求见第四章《采购需求》。</w:t>
      </w:r>
    </w:p>
    <w:p w14:paraId="41DF4752">
      <w:pPr>
        <w:numPr>
          <w:ilvl w:val="0"/>
          <w:numId w:val="0"/>
        </w:numPr>
        <w:snapToGrid w:val="0"/>
        <w:spacing w:line="360" w:lineRule="auto"/>
        <w:ind w:left="2039" w:leftChars="514" w:hanging="960" w:hangingChars="400"/>
        <w:rPr>
          <w:rFonts w:eastAsia="宋体"/>
          <w:sz w:val="24"/>
          <w:highlight w:val="none"/>
        </w:rPr>
      </w:pPr>
      <w:r>
        <w:rPr>
          <w:rFonts w:hint="eastAsia" w:eastAsia="宋体"/>
          <w:sz w:val="24"/>
          <w:highlight w:val="none"/>
        </w:rPr>
        <w:t>4.7.2    其他政府采购需求标准 为贯彻落实《深化政府采购制度改革方案》有关要求，推动政府采购 需求标准建设，财政部门会同有关部门制定发布的其他政府采购需求标准，本项目如涉及，则具体要求见第四章《采购需求》。</w:t>
      </w:r>
    </w:p>
    <w:p w14:paraId="626D6D46">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响应费用</w:t>
      </w:r>
    </w:p>
    <w:p w14:paraId="67166EB3">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供应商应自行承担所有与准备和参加磋商有关的费用，无论磋商的结果如何，采购人或采购代理机构在任何情况下均无承担这些费用的义务和责任。</w:t>
      </w:r>
    </w:p>
    <w:p w14:paraId="1F5B6C71">
      <w:pPr>
        <w:tabs>
          <w:tab w:val="left" w:pos="1080"/>
        </w:tabs>
        <w:snapToGrid w:val="0"/>
        <w:spacing w:line="360" w:lineRule="auto"/>
        <w:ind w:left="1080"/>
        <w:rPr>
          <w:rFonts w:eastAsia="宋体"/>
          <w:sz w:val="28"/>
          <w:highlight w:val="none"/>
        </w:rPr>
      </w:pPr>
      <w:bookmarkStart w:id="148" w:name="_1.8_计量单位"/>
      <w:bookmarkEnd w:id="148"/>
    </w:p>
    <w:p w14:paraId="05C78EDC">
      <w:pPr>
        <w:pStyle w:val="3"/>
        <w:spacing w:before="0" w:line="360" w:lineRule="auto"/>
        <w:rPr>
          <w:rFonts w:ascii="Times New Roman" w:hAnsi="Times New Roman" w:eastAsia="宋体"/>
          <w:sz w:val="28"/>
          <w:highlight w:val="none"/>
        </w:rPr>
      </w:pPr>
      <w:r>
        <w:rPr>
          <w:rFonts w:ascii="Times New Roman" w:hAnsi="Times New Roman" w:eastAsia="宋体"/>
          <w:sz w:val="28"/>
          <w:highlight w:val="none"/>
        </w:rPr>
        <w:t>二   竞争性磋商文件</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1EFF44F5">
      <w:pPr>
        <w:numPr>
          <w:ilvl w:val="0"/>
          <w:numId w:val="13"/>
        </w:numPr>
        <w:tabs>
          <w:tab w:val="left" w:pos="360"/>
        </w:tabs>
        <w:snapToGrid w:val="0"/>
        <w:spacing w:line="360" w:lineRule="auto"/>
        <w:ind w:left="357" w:hanging="357"/>
        <w:outlineLvl w:val="1"/>
        <w:rPr>
          <w:rFonts w:eastAsia="宋体"/>
          <w:sz w:val="24"/>
          <w:highlight w:val="none"/>
        </w:rPr>
      </w:pPr>
      <w:bookmarkStart w:id="149" w:name="_Toc149720816"/>
      <w:bookmarkStart w:id="150" w:name="_Toc164351617"/>
      <w:bookmarkStart w:id="151" w:name="_Toc226965796"/>
      <w:bookmarkStart w:id="152" w:name="_Toc151193837"/>
      <w:bookmarkStart w:id="153" w:name="_Toc164229364"/>
      <w:bookmarkStart w:id="154" w:name="_Toc195842888"/>
      <w:bookmarkStart w:id="155" w:name="_Toc265228361"/>
      <w:bookmarkStart w:id="156" w:name="_Toc226337219"/>
      <w:bookmarkStart w:id="157" w:name="_Toc226309767"/>
      <w:bookmarkStart w:id="158" w:name="_Toc151193765"/>
      <w:bookmarkStart w:id="159" w:name="_Toc164229218"/>
      <w:bookmarkStart w:id="160" w:name="_Toc226965713"/>
      <w:bookmarkStart w:id="161" w:name="_Toc520356147"/>
      <w:bookmarkStart w:id="162" w:name="_Toc150774728"/>
      <w:bookmarkStart w:id="163" w:name="_Toc127161437"/>
      <w:bookmarkStart w:id="164" w:name="_Toc305158865"/>
      <w:bookmarkStart w:id="165" w:name="_Toc150480761"/>
      <w:bookmarkStart w:id="166" w:name="_Toc305158791"/>
      <w:bookmarkStart w:id="167" w:name="_Toc151193911"/>
      <w:bookmarkStart w:id="168" w:name="_Toc164608637"/>
      <w:bookmarkStart w:id="169" w:name="_Toc127151523"/>
      <w:bookmarkStart w:id="170" w:name="_Toc151193693"/>
      <w:bookmarkStart w:id="171" w:name="_Toc150774623"/>
      <w:bookmarkStart w:id="172" w:name="_Toc151193621"/>
      <w:bookmarkStart w:id="173" w:name="_Toc151190150"/>
      <w:bookmarkStart w:id="174" w:name="_Toc264969213"/>
      <w:bookmarkStart w:id="175" w:name="_Toc142311025"/>
      <w:bookmarkStart w:id="176" w:name="_Toc127151724"/>
      <w:bookmarkStart w:id="177" w:name="_Toc164608792"/>
      <w:bookmarkStart w:id="178" w:name="_Toc150509274"/>
      <w:r>
        <w:rPr>
          <w:rFonts w:eastAsia="宋体"/>
          <w:sz w:val="24"/>
          <w:highlight w:val="none"/>
        </w:rPr>
        <w:t>竞争性磋商文件构</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Pr>
          <w:rFonts w:eastAsia="宋体"/>
          <w:sz w:val="24"/>
          <w:highlight w:val="none"/>
        </w:rPr>
        <w:t>成</w:t>
      </w:r>
    </w:p>
    <w:p w14:paraId="6A63A044">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竞争性磋商文件包括以下部分：</w:t>
      </w:r>
    </w:p>
    <w:p w14:paraId="0EB8FB6C">
      <w:pPr>
        <w:numPr>
          <w:ilvl w:val="0"/>
          <w:numId w:val="14"/>
        </w:numPr>
        <w:tabs>
          <w:tab w:val="left" w:pos="1980"/>
          <w:tab w:val="left" w:pos="2520"/>
        </w:tabs>
        <w:snapToGrid w:val="0"/>
        <w:spacing w:line="360" w:lineRule="auto"/>
        <w:ind w:left="1440" w:firstLine="5"/>
        <w:rPr>
          <w:rFonts w:eastAsia="宋体"/>
          <w:sz w:val="24"/>
          <w:highlight w:val="none"/>
        </w:rPr>
      </w:pPr>
      <w:r>
        <w:rPr>
          <w:rFonts w:eastAsia="宋体"/>
          <w:sz w:val="24"/>
          <w:highlight w:val="none"/>
        </w:rPr>
        <w:t>采购邀请</w:t>
      </w:r>
    </w:p>
    <w:p w14:paraId="11963A22">
      <w:pPr>
        <w:numPr>
          <w:ilvl w:val="0"/>
          <w:numId w:val="14"/>
        </w:numPr>
        <w:tabs>
          <w:tab w:val="left" w:pos="1980"/>
          <w:tab w:val="left" w:pos="2520"/>
        </w:tabs>
        <w:snapToGrid w:val="0"/>
        <w:spacing w:line="360" w:lineRule="auto"/>
        <w:ind w:left="1440" w:firstLine="5"/>
        <w:rPr>
          <w:rFonts w:eastAsia="宋体"/>
          <w:sz w:val="24"/>
          <w:highlight w:val="none"/>
        </w:rPr>
      </w:pPr>
      <w:r>
        <w:rPr>
          <w:rFonts w:eastAsia="宋体"/>
          <w:sz w:val="24"/>
          <w:highlight w:val="none"/>
        </w:rPr>
        <w:t>供应商须知</w:t>
      </w:r>
    </w:p>
    <w:p w14:paraId="0247A5E6">
      <w:pPr>
        <w:numPr>
          <w:ilvl w:val="0"/>
          <w:numId w:val="14"/>
        </w:numPr>
        <w:tabs>
          <w:tab w:val="left" w:pos="1980"/>
          <w:tab w:val="left" w:pos="2520"/>
        </w:tabs>
        <w:snapToGrid w:val="0"/>
        <w:spacing w:line="360" w:lineRule="auto"/>
        <w:ind w:left="1440" w:firstLine="5"/>
        <w:rPr>
          <w:rFonts w:eastAsia="宋体"/>
          <w:sz w:val="24"/>
          <w:highlight w:val="none"/>
        </w:rPr>
      </w:pPr>
      <w:r>
        <w:rPr>
          <w:rFonts w:eastAsia="宋体"/>
          <w:sz w:val="24"/>
          <w:highlight w:val="none"/>
        </w:rPr>
        <w:t>评审方法和评审标准</w:t>
      </w:r>
    </w:p>
    <w:p w14:paraId="666511B3">
      <w:pPr>
        <w:numPr>
          <w:ilvl w:val="0"/>
          <w:numId w:val="14"/>
        </w:numPr>
        <w:tabs>
          <w:tab w:val="left" w:pos="1980"/>
          <w:tab w:val="left" w:pos="2520"/>
        </w:tabs>
        <w:snapToGrid w:val="0"/>
        <w:spacing w:line="360" w:lineRule="auto"/>
        <w:ind w:left="1440" w:firstLine="5"/>
        <w:rPr>
          <w:rFonts w:eastAsia="宋体"/>
          <w:sz w:val="24"/>
          <w:highlight w:val="none"/>
        </w:rPr>
      </w:pPr>
      <w:r>
        <w:rPr>
          <w:rFonts w:eastAsia="宋体"/>
          <w:sz w:val="24"/>
          <w:highlight w:val="none"/>
        </w:rPr>
        <w:t>采购需求</w:t>
      </w:r>
    </w:p>
    <w:p w14:paraId="474FA8F6">
      <w:pPr>
        <w:numPr>
          <w:ilvl w:val="0"/>
          <w:numId w:val="14"/>
        </w:numPr>
        <w:tabs>
          <w:tab w:val="left" w:pos="1980"/>
          <w:tab w:val="left" w:pos="2520"/>
        </w:tabs>
        <w:snapToGrid w:val="0"/>
        <w:spacing w:line="360" w:lineRule="auto"/>
        <w:ind w:left="1440" w:firstLine="5"/>
        <w:rPr>
          <w:rFonts w:eastAsia="宋体"/>
          <w:sz w:val="24"/>
          <w:highlight w:val="none"/>
        </w:rPr>
      </w:pPr>
      <w:r>
        <w:rPr>
          <w:rFonts w:eastAsia="宋体"/>
          <w:sz w:val="24"/>
          <w:highlight w:val="none"/>
        </w:rPr>
        <w:t>合同草案条款</w:t>
      </w:r>
    </w:p>
    <w:p w14:paraId="4A3CB58D">
      <w:pPr>
        <w:numPr>
          <w:ilvl w:val="0"/>
          <w:numId w:val="14"/>
        </w:numPr>
        <w:tabs>
          <w:tab w:val="left" w:pos="1980"/>
          <w:tab w:val="left" w:pos="2520"/>
        </w:tabs>
        <w:snapToGrid w:val="0"/>
        <w:spacing w:line="360" w:lineRule="auto"/>
        <w:ind w:left="1440" w:firstLine="5"/>
        <w:rPr>
          <w:rFonts w:eastAsia="宋体"/>
          <w:sz w:val="24"/>
          <w:highlight w:val="none"/>
        </w:rPr>
      </w:pPr>
      <w:r>
        <w:rPr>
          <w:rFonts w:eastAsia="宋体"/>
          <w:sz w:val="24"/>
          <w:highlight w:val="none"/>
        </w:rPr>
        <w:t>响应文件格式</w:t>
      </w:r>
    </w:p>
    <w:p w14:paraId="183E29CB">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供应商应认真阅读竞争性磋商文件的全部内容。供应商应按照竞争性磋商文件要求提交响应文件并保证所提供的全部资料的真实性，并对竞争性磋商文件做出实质性响应，否则</w:t>
      </w:r>
      <w:r>
        <w:rPr>
          <w:rFonts w:eastAsia="宋体"/>
          <w:b/>
          <w:sz w:val="24"/>
          <w:highlight w:val="none"/>
        </w:rPr>
        <w:t>响应无效</w:t>
      </w:r>
      <w:r>
        <w:rPr>
          <w:rFonts w:eastAsia="宋体"/>
          <w:sz w:val="24"/>
          <w:highlight w:val="none"/>
        </w:rPr>
        <w:t>。</w:t>
      </w:r>
    </w:p>
    <w:p w14:paraId="0E104AA1">
      <w:pPr>
        <w:numPr>
          <w:ilvl w:val="0"/>
          <w:numId w:val="13"/>
        </w:numPr>
        <w:tabs>
          <w:tab w:val="left" w:pos="1080"/>
          <w:tab w:val="left" w:pos="2014"/>
        </w:tabs>
        <w:snapToGrid w:val="0"/>
        <w:spacing w:line="360" w:lineRule="auto"/>
        <w:ind w:left="357" w:hanging="357"/>
        <w:outlineLvl w:val="1"/>
        <w:rPr>
          <w:rFonts w:eastAsia="宋体"/>
          <w:sz w:val="24"/>
          <w:highlight w:val="none"/>
        </w:rPr>
      </w:pPr>
      <w:r>
        <w:rPr>
          <w:rFonts w:eastAsia="宋体"/>
          <w:sz w:val="24"/>
          <w:highlight w:val="none"/>
        </w:rPr>
        <w:t>对竞争性磋商文件的澄清或修改</w:t>
      </w:r>
    </w:p>
    <w:p w14:paraId="304425C8">
      <w:pPr>
        <w:numPr>
          <w:ilvl w:val="1"/>
          <w:numId w:val="13"/>
        </w:numPr>
        <w:tabs>
          <w:tab w:val="left" w:pos="1080"/>
          <w:tab w:val="left" w:pos="1561"/>
          <w:tab w:val="left" w:pos="2014"/>
        </w:tabs>
        <w:snapToGrid w:val="0"/>
        <w:spacing w:line="360" w:lineRule="auto"/>
        <w:ind w:left="1080" w:hanging="720"/>
        <w:rPr>
          <w:rFonts w:eastAsia="宋体"/>
          <w:sz w:val="24"/>
          <w:highlight w:val="none"/>
        </w:rPr>
      </w:pPr>
      <w:r>
        <w:rPr>
          <w:rFonts w:eastAsia="宋体"/>
          <w:sz w:val="24"/>
          <w:highlight w:val="none"/>
        </w:rPr>
        <w:t>采购人</w:t>
      </w:r>
      <w:r>
        <w:rPr>
          <w:rFonts w:hint="eastAsia"/>
          <w:sz w:val="24"/>
          <w:highlight w:val="none"/>
          <w:lang w:eastAsia="zh-CN"/>
        </w:rPr>
        <w:t>、</w:t>
      </w:r>
      <w:r>
        <w:rPr>
          <w:rFonts w:eastAsia="宋体"/>
          <w:sz w:val="24"/>
          <w:highlight w:val="none"/>
        </w:rPr>
        <w:t>采购代理机构</w:t>
      </w:r>
      <w:r>
        <w:rPr>
          <w:spacing w:val="3"/>
          <w:sz w:val="24"/>
          <w:szCs w:val="24"/>
          <w:highlight w:val="none"/>
        </w:rPr>
        <w:t>或者磋商</w:t>
      </w:r>
      <w:r>
        <w:rPr>
          <w:spacing w:val="2"/>
          <w:sz w:val="24"/>
          <w:szCs w:val="24"/>
          <w:highlight w:val="none"/>
        </w:rPr>
        <w:t>小组</w:t>
      </w:r>
      <w:r>
        <w:rPr>
          <w:rFonts w:eastAsia="宋体"/>
          <w:sz w:val="24"/>
          <w:highlight w:val="none"/>
        </w:rPr>
        <w:t>对已发出的竞争性磋商文件进行必要澄清或者修改的，</w:t>
      </w:r>
      <w:r>
        <w:rPr>
          <w:rFonts w:hint="eastAsia" w:eastAsia="宋体"/>
          <w:sz w:val="24"/>
          <w:highlight w:val="none"/>
        </w:rPr>
        <w:t>将</w:t>
      </w:r>
      <w:r>
        <w:rPr>
          <w:rFonts w:eastAsia="宋体"/>
          <w:sz w:val="24"/>
          <w:highlight w:val="none"/>
        </w:rPr>
        <w:t>以书面形式通知所有获取竞争性磋商文件的潜在供应商。</w:t>
      </w:r>
      <w:r>
        <w:rPr>
          <w:rFonts w:hint="eastAsia" w:eastAsia="宋体"/>
          <w:sz w:val="24"/>
          <w:highlight w:val="none"/>
        </w:rPr>
        <w:t>采用公告方式邀请供应商参与的，还将</w:t>
      </w:r>
      <w:r>
        <w:rPr>
          <w:rFonts w:eastAsia="宋体"/>
          <w:sz w:val="24"/>
          <w:highlight w:val="none"/>
        </w:rPr>
        <w:t>在原公告发布媒体上发布更正公告</w:t>
      </w:r>
      <w:r>
        <w:rPr>
          <w:rFonts w:hint="eastAsia" w:eastAsia="宋体"/>
          <w:sz w:val="24"/>
          <w:highlight w:val="none"/>
        </w:rPr>
        <w:t>。</w:t>
      </w:r>
    </w:p>
    <w:p w14:paraId="252506EC">
      <w:pPr>
        <w:numPr>
          <w:ilvl w:val="1"/>
          <w:numId w:val="13"/>
        </w:numPr>
        <w:tabs>
          <w:tab w:val="left" w:pos="1080"/>
          <w:tab w:val="left" w:pos="1561"/>
          <w:tab w:val="left" w:pos="2014"/>
        </w:tabs>
        <w:snapToGrid w:val="0"/>
        <w:spacing w:line="360" w:lineRule="auto"/>
        <w:ind w:left="1080" w:hanging="720"/>
        <w:rPr>
          <w:rFonts w:eastAsia="宋体"/>
          <w:sz w:val="24"/>
          <w:highlight w:val="none"/>
        </w:rPr>
      </w:pPr>
      <w:r>
        <w:rPr>
          <w:rFonts w:eastAsia="宋体"/>
          <w:sz w:val="24"/>
          <w:highlight w:val="none"/>
        </w:rPr>
        <w:t>上述书面通知，按照获取竞争性磋商文件的潜在供应商提供的联系方式发出，因提供的信息有误导致通知延迟或无法通知的，采购人或采购代理机构不承担责任。</w:t>
      </w:r>
    </w:p>
    <w:p w14:paraId="38ACD9A0">
      <w:pPr>
        <w:numPr>
          <w:ilvl w:val="1"/>
          <w:numId w:val="13"/>
        </w:numPr>
        <w:tabs>
          <w:tab w:val="left" w:pos="1080"/>
          <w:tab w:val="left" w:pos="1561"/>
          <w:tab w:val="left" w:pos="2014"/>
        </w:tabs>
        <w:snapToGrid w:val="0"/>
        <w:spacing w:line="360" w:lineRule="auto"/>
        <w:ind w:left="1080" w:hanging="720"/>
        <w:rPr>
          <w:rFonts w:eastAsia="宋体"/>
          <w:sz w:val="24"/>
          <w:highlight w:val="none"/>
        </w:rPr>
      </w:pPr>
      <w:r>
        <w:rPr>
          <w:rFonts w:eastAsia="宋体"/>
          <w:sz w:val="24"/>
          <w:highlight w:val="none"/>
        </w:rPr>
        <w:t>澄清或者修改的内容为竞争性磋商文件的组成部分，并对所有获取竞争性磋商文件的潜在供应商具有约束力。澄清或者修改的内容可能影响响应文件编制的，将在提交首次响应文件截止之日3个工作日前</w:t>
      </w:r>
      <w:r>
        <w:rPr>
          <w:rFonts w:hint="eastAsia"/>
          <w:sz w:val="24"/>
          <w:highlight w:val="none"/>
          <w:lang w:eastAsia="zh-CN"/>
        </w:rPr>
        <w:t>，以书面形式通知所有获取磋商文件的供应商</w:t>
      </w:r>
      <w:r>
        <w:rPr>
          <w:rFonts w:eastAsia="宋体"/>
          <w:sz w:val="24"/>
          <w:highlight w:val="none"/>
        </w:rPr>
        <w:t>；不足上述时间的，将顺延提交响应文件截止时间。</w:t>
      </w:r>
    </w:p>
    <w:p w14:paraId="03CA243F">
      <w:pPr>
        <w:tabs>
          <w:tab w:val="left" w:pos="1080"/>
          <w:tab w:val="left" w:pos="1561"/>
        </w:tabs>
        <w:snapToGrid w:val="0"/>
        <w:spacing w:line="360" w:lineRule="auto"/>
        <w:ind w:left="1080"/>
        <w:rPr>
          <w:rFonts w:eastAsia="宋体"/>
          <w:sz w:val="28"/>
          <w:highlight w:val="none"/>
        </w:rPr>
      </w:pPr>
      <w:bookmarkStart w:id="179" w:name="_Toc516367020"/>
      <w:bookmarkStart w:id="180" w:name="_Toc151193696"/>
      <w:bookmarkStart w:id="181" w:name="_Toc226337222"/>
      <w:bookmarkStart w:id="182" w:name="_Toc520356150"/>
      <w:bookmarkStart w:id="183" w:name="_Toc305158868"/>
      <w:bookmarkStart w:id="184" w:name="_Toc151193840"/>
      <w:bookmarkStart w:id="185" w:name="_Toc142311028"/>
      <w:bookmarkStart w:id="186" w:name="_Toc127151526"/>
      <w:bookmarkStart w:id="187" w:name="_Toc150509277"/>
      <w:bookmarkStart w:id="188" w:name="_Toc151193768"/>
      <w:bookmarkStart w:id="189" w:name="_Toc150774626"/>
      <w:bookmarkStart w:id="190" w:name="_Toc150480764"/>
      <w:bookmarkStart w:id="191" w:name="_Toc151190153"/>
      <w:bookmarkStart w:id="192" w:name="_Toc226309770"/>
      <w:bookmarkStart w:id="193" w:name="_Toc151193624"/>
      <w:bookmarkStart w:id="194" w:name="_Toc264969216"/>
      <w:bookmarkStart w:id="195" w:name="_Toc150774731"/>
      <w:bookmarkStart w:id="196" w:name="_Toc151193914"/>
      <w:bookmarkStart w:id="197" w:name="_Toc226965799"/>
      <w:bookmarkStart w:id="198" w:name="_Toc265228364"/>
      <w:bookmarkStart w:id="199" w:name="_Toc195842891"/>
      <w:bookmarkStart w:id="200" w:name="_Toc305158794"/>
      <w:bookmarkStart w:id="201" w:name="_Toc226965716"/>
    </w:p>
    <w:p w14:paraId="0F20D96C">
      <w:pPr>
        <w:pStyle w:val="3"/>
        <w:spacing w:before="0" w:line="360" w:lineRule="auto"/>
        <w:rPr>
          <w:rFonts w:ascii="Times New Roman" w:hAnsi="Times New Roman" w:eastAsia="宋体"/>
          <w:sz w:val="28"/>
          <w:highlight w:val="none"/>
        </w:rPr>
      </w:pPr>
      <w:r>
        <w:rPr>
          <w:rFonts w:ascii="Times New Roman" w:hAnsi="Times New Roman" w:eastAsia="宋体"/>
          <w:sz w:val="28"/>
          <w:highlight w:val="none"/>
        </w:rPr>
        <w:t>三   响应文件</w:t>
      </w:r>
      <w:bookmarkEnd w:id="179"/>
      <w:r>
        <w:rPr>
          <w:rFonts w:ascii="Times New Roman" w:hAnsi="Times New Roman" w:eastAsia="宋体"/>
          <w:sz w:val="28"/>
          <w:highlight w:val="none"/>
        </w:rPr>
        <w:t>的编制</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1AD26938">
      <w:pPr>
        <w:numPr>
          <w:ilvl w:val="0"/>
          <w:numId w:val="13"/>
        </w:numPr>
        <w:tabs>
          <w:tab w:val="left" w:pos="360"/>
        </w:tabs>
        <w:snapToGrid w:val="0"/>
        <w:spacing w:line="360" w:lineRule="auto"/>
        <w:ind w:left="357" w:hanging="357"/>
        <w:outlineLvl w:val="1"/>
        <w:rPr>
          <w:rFonts w:eastAsia="宋体"/>
          <w:sz w:val="24"/>
          <w:highlight w:val="none"/>
        </w:rPr>
      </w:pPr>
      <w:bookmarkStart w:id="202" w:name="_Toc516367021"/>
      <w:bookmarkStart w:id="203" w:name="_Toc149720820"/>
      <w:bookmarkStart w:id="204" w:name="_Toc265228365"/>
      <w:bookmarkStart w:id="205" w:name="_Toc164229222"/>
      <w:bookmarkStart w:id="206" w:name="_Toc164608796"/>
      <w:bookmarkStart w:id="207" w:name="_Toc150480765"/>
      <w:bookmarkStart w:id="208" w:name="_Toc127151527"/>
      <w:bookmarkStart w:id="209" w:name="_Toc151193769"/>
      <w:bookmarkStart w:id="210" w:name="_Toc305158795"/>
      <w:bookmarkStart w:id="211" w:name="_Toc264969217"/>
      <w:bookmarkStart w:id="212" w:name="_Toc127161441"/>
      <w:bookmarkStart w:id="213" w:name="_Toc151193625"/>
      <w:bookmarkStart w:id="214" w:name="_Toc226965717"/>
      <w:bookmarkStart w:id="215" w:name="_Toc150774732"/>
      <w:bookmarkStart w:id="216" w:name="_Toc305158869"/>
      <w:bookmarkStart w:id="217" w:name="_Toc164608641"/>
      <w:bookmarkStart w:id="218" w:name="_Toc226965800"/>
      <w:bookmarkStart w:id="219" w:name="_Toc142311029"/>
      <w:bookmarkStart w:id="220" w:name="_Toc164351621"/>
      <w:bookmarkStart w:id="221" w:name="_Toc151193841"/>
      <w:bookmarkStart w:id="222" w:name="_Toc150509278"/>
      <w:bookmarkStart w:id="223" w:name="_Toc226337223"/>
      <w:bookmarkStart w:id="224" w:name="_Toc226309771"/>
      <w:bookmarkStart w:id="225" w:name="_Toc127151728"/>
      <w:bookmarkStart w:id="226" w:name="_Toc151193915"/>
      <w:bookmarkStart w:id="227" w:name="_Toc150774627"/>
      <w:bookmarkStart w:id="228" w:name="_Toc195842892"/>
      <w:bookmarkStart w:id="229" w:name="_Toc151190154"/>
      <w:bookmarkStart w:id="230" w:name="_Toc151193697"/>
      <w:bookmarkStart w:id="231" w:name="_Toc520356151"/>
      <w:bookmarkStart w:id="232" w:name="_Toc164229368"/>
      <w:r>
        <w:rPr>
          <w:rFonts w:eastAsia="宋体"/>
          <w:sz w:val="24"/>
          <w:highlight w:val="none"/>
        </w:rPr>
        <w:t>响应范围、竞争性磋商文件中计量单位的使用</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Pr>
          <w:rFonts w:eastAsia="宋体"/>
          <w:sz w:val="24"/>
          <w:highlight w:val="none"/>
        </w:rPr>
        <w:t>及磋商语言</w:t>
      </w:r>
    </w:p>
    <w:p w14:paraId="1E2FF819">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本项目如划分采购包，供应商可以对本项目的其中一个采购包进行响应，也可同时对多个采购包进行响应。供应商应当对所</w:t>
      </w:r>
      <w:r>
        <w:rPr>
          <w:rFonts w:hint="eastAsia"/>
          <w:sz w:val="24"/>
          <w:highlight w:val="none"/>
          <w:lang w:val="en-US" w:eastAsia="zh-CN"/>
        </w:rPr>
        <w:t>参与</w:t>
      </w:r>
      <w:r>
        <w:rPr>
          <w:rFonts w:eastAsia="宋体"/>
          <w:sz w:val="24"/>
          <w:highlight w:val="none"/>
        </w:rPr>
        <w:t>采购包对应第四章《采购需求》所列的全部内容进行响应，不得将一个采购包中的内容拆</w:t>
      </w:r>
      <w:r>
        <w:rPr>
          <w:rFonts w:hint="eastAsia"/>
          <w:sz w:val="24"/>
          <w:highlight w:val="none"/>
          <w:lang w:val="en-US" w:eastAsia="zh-CN"/>
        </w:rPr>
        <w:t>分</w:t>
      </w:r>
      <w:r>
        <w:rPr>
          <w:rFonts w:eastAsia="宋体"/>
          <w:sz w:val="24"/>
          <w:highlight w:val="none"/>
        </w:rPr>
        <w:t>响应，</w:t>
      </w:r>
      <w:r>
        <w:rPr>
          <w:rFonts w:hint="eastAsia" w:eastAsia="宋体"/>
          <w:sz w:val="24"/>
          <w:highlight w:val="none"/>
        </w:rPr>
        <w:t>否则其对该采购包的响应将被认定为</w:t>
      </w:r>
      <w:r>
        <w:rPr>
          <w:rFonts w:hint="eastAsia" w:eastAsia="宋体"/>
          <w:b/>
          <w:bCs/>
          <w:sz w:val="24"/>
          <w:highlight w:val="none"/>
        </w:rPr>
        <w:t>无效响应</w:t>
      </w:r>
      <w:r>
        <w:rPr>
          <w:rFonts w:eastAsia="宋体"/>
          <w:sz w:val="24"/>
          <w:highlight w:val="none"/>
        </w:rPr>
        <w:t>。</w:t>
      </w:r>
    </w:p>
    <w:p w14:paraId="58865E1D">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除竞争性磋商文件有特殊要求外，本项目磋商所使用的计量单位，应采用中华人民共和国法定计量单位。</w:t>
      </w:r>
    </w:p>
    <w:p w14:paraId="52905348">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7AFA8A75">
      <w:pPr>
        <w:numPr>
          <w:ilvl w:val="0"/>
          <w:numId w:val="13"/>
        </w:numPr>
        <w:tabs>
          <w:tab w:val="left" w:pos="360"/>
        </w:tabs>
        <w:snapToGrid w:val="0"/>
        <w:spacing w:line="360" w:lineRule="auto"/>
        <w:ind w:left="357" w:hanging="357"/>
        <w:outlineLvl w:val="1"/>
        <w:rPr>
          <w:rFonts w:eastAsia="宋体"/>
          <w:sz w:val="24"/>
          <w:highlight w:val="none"/>
        </w:rPr>
      </w:pPr>
      <w:bookmarkStart w:id="233" w:name="_Ref467306676"/>
      <w:bookmarkStart w:id="234" w:name="_Ref467306195"/>
      <w:bookmarkStart w:id="235" w:name="_Toc516367022"/>
      <w:bookmarkStart w:id="236" w:name="_Toc164351622"/>
      <w:bookmarkStart w:id="237" w:name="_Toc226965718"/>
      <w:bookmarkStart w:id="238" w:name="_Toc164608797"/>
      <w:bookmarkStart w:id="239" w:name="_Toc127151729"/>
      <w:bookmarkStart w:id="240" w:name="_Toc127161442"/>
      <w:bookmarkStart w:id="241" w:name="_Toc226965801"/>
      <w:bookmarkStart w:id="242" w:name="_Toc164229369"/>
      <w:bookmarkStart w:id="243" w:name="_Toc265228366"/>
      <w:bookmarkStart w:id="244" w:name="_Toc151193698"/>
      <w:bookmarkStart w:id="245" w:name="_Toc226337224"/>
      <w:bookmarkStart w:id="246" w:name="_Toc305158796"/>
      <w:bookmarkStart w:id="247" w:name="_Toc150774628"/>
      <w:bookmarkStart w:id="248" w:name="_Toc142311030"/>
      <w:bookmarkStart w:id="249" w:name="_Toc151193770"/>
      <w:bookmarkStart w:id="250" w:name="_Toc127151528"/>
      <w:bookmarkStart w:id="251" w:name="_Toc264969218"/>
      <w:bookmarkStart w:id="252" w:name="_Toc151193842"/>
      <w:bookmarkStart w:id="253" w:name="_Toc150509279"/>
      <w:bookmarkStart w:id="254" w:name="_Toc151193916"/>
      <w:bookmarkStart w:id="255" w:name="_Toc151190155"/>
      <w:bookmarkStart w:id="256" w:name="_Toc164608642"/>
      <w:bookmarkStart w:id="257" w:name="_Toc520356152"/>
      <w:bookmarkStart w:id="258" w:name="_Toc150774733"/>
      <w:bookmarkStart w:id="259" w:name="_Toc226309772"/>
      <w:bookmarkStart w:id="260" w:name="_Toc150480766"/>
      <w:bookmarkStart w:id="261" w:name="_Toc195842893"/>
      <w:bookmarkStart w:id="262" w:name="_Toc305158870"/>
      <w:bookmarkStart w:id="263" w:name="_Toc149720821"/>
      <w:bookmarkStart w:id="264" w:name="_Toc151193626"/>
      <w:bookmarkStart w:id="265" w:name="_Toc164229223"/>
      <w:r>
        <w:rPr>
          <w:rFonts w:eastAsia="宋体"/>
          <w:sz w:val="24"/>
          <w:highlight w:val="none"/>
        </w:rPr>
        <w:t>响应文件</w:t>
      </w:r>
      <w:bookmarkEnd w:id="233"/>
      <w:bookmarkEnd w:id="234"/>
      <w:bookmarkEnd w:id="235"/>
      <w:r>
        <w:rPr>
          <w:rFonts w:eastAsia="宋体"/>
          <w:sz w:val="24"/>
          <w:highlight w:val="none"/>
        </w:rPr>
        <w:t>构成</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46BD6823">
      <w:pPr>
        <w:numPr>
          <w:ilvl w:val="1"/>
          <w:numId w:val="13"/>
        </w:numPr>
        <w:tabs>
          <w:tab w:val="left" w:pos="1080"/>
          <w:tab w:val="left" w:pos="2014"/>
        </w:tabs>
        <w:snapToGrid w:val="0"/>
        <w:spacing w:line="360" w:lineRule="auto"/>
        <w:ind w:left="1077" w:hanging="720"/>
        <w:rPr>
          <w:rFonts w:eastAsia="宋体"/>
          <w:sz w:val="24"/>
          <w:highlight w:val="none"/>
        </w:rPr>
      </w:pPr>
      <w:bookmarkStart w:id="266" w:name="_Ref467052588"/>
      <w:r>
        <w:rPr>
          <w:rFonts w:eastAsia="宋体"/>
          <w:sz w:val="24"/>
          <w:highlight w:val="none"/>
        </w:rPr>
        <w:t>供应商应当按照竞争性磋商文件的要求编制响应文件，</w:t>
      </w:r>
      <w:r>
        <w:rPr>
          <w:rFonts w:eastAsia="宋体"/>
          <w:kern w:val="0"/>
          <w:sz w:val="24"/>
          <w:highlight w:val="none"/>
        </w:rPr>
        <w:t>并对其提交的响应文件的真实性、合法性承担法律责任</w:t>
      </w:r>
      <w:r>
        <w:rPr>
          <w:rFonts w:eastAsia="宋体"/>
          <w:sz w:val="24"/>
          <w:highlight w:val="none"/>
        </w:rPr>
        <w:t>。响应文件的部分格式要求，见第六章《响应文件格式》。</w:t>
      </w:r>
    </w:p>
    <w:p w14:paraId="1829CDC5">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kern w:val="0"/>
          <w:sz w:val="24"/>
          <w:highlight w:val="none"/>
        </w:rPr>
        <w:t>对于竞争性磋商文件中标记了“实质性格式”文件的，</w:t>
      </w:r>
      <w:r>
        <w:rPr>
          <w:rFonts w:eastAsia="宋体"/>
          <w:sz w:val="24"/>
          <w:highlight w:val="none"/>
        </w:rPr>
        <w:t>供应商不得改变格式中给定的文字所表达的含义，不得删减格式中的实质性内容，不得自行添加与格式中给定的文字内容相矛盾的内容，不得对应当填写的空格不填写或不实质性响应，</w:t>
      </w:r>
      <w:r>
        <w:rPr>
          <w:rFonts w:eastAsia="宋体"/>
          <w:b/>
          <w:kern w:val="0"/>
          <w:sz w:val="24"/>
          <w:highlight w:val="none"/>
        </w:rPr>
        <w:t>否则响应无效</w:t>
      </w:r>
      <w:r>
        <w:rPr>
          <w:rFonts w:eastAsia="宋体"/>
          <w:kern w:val="0"/>
          <w:sz w:val="24"/>
          <w:highlight w:val="none"/>
        </w:rPr>
        <w:t>。未标记“实质性格式”的文件和竞争性磋商文件未提供格式的内容，可由供应商自行编写。</w:t>
      </w:r>
    </w:p>
    <w:p w14:paraId="2C3EC76B">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第三章《评审方法和评审标准》中涉及的证明文件。</w:t>
      </w:r>
    </w:p>
    <w:p w14:paraId="3FFE819B">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486DCE84">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供应商认为应附的其他材料。</w:t>
      </w:r>
      <w:bookmarkEnd w:id="266"/>
    </w:p>
    <w:p w14:paraId="3FC977A5">
      <w:pPr>
        <w:numPr>
          <w:ilvl w:val="0"/>
          <w:numId w:val="13"/>
        </w:numPr>
        <w:tabs>
          <w:tab w:val="left" w:pos="360"/>
        </w:tabs>
        <w:snapToGrid w:val="0"/>
        <w:spacing w:line="360" w:lineRule="auto"/>
        <w:ind w:left="357" w:hanging="357"/>
        <w:outlineLvl w:val="1"/>
        <w:rPr>
          <w:rFonts w:eastAsia="宋体"/>
          <w:sz w:val="24"/>
          <w:highlight w:val="none"/>
        </w:rPr>
      </w:pPr>
      <w:bookmarkStart w:id="267" w:name="_Toc164229225"/>
      <w:bookmarkStart w:id="268" w:name="_Toc127151530"/>
      <w:bookmarkStart w:id="269" w:name="_Toc151193628"/>
      <w:bookmarkStart w:id="270" w:name="_Toc164351624"/>
      <w:bookmarkStart w:id="271" w:name="_Toc195842895"/>
      <w:bookmarkStart w:id="272" w:name="_Toc151193700"/>
      <w:bookmarkStart w:id="273" w:name="_Toc151193918"/>
      <w:bookmarkStart w:id="274" w:name="_Toc150509281"/>
      <w:bookmarkStart w:id="275" w:name="_Toc150774735"/>
      <w:bookmarkStart w:id="276" w:name="_Toc150774630"/>
      <w:bookmarkStart w:id="277" w:name="_Toc150480768"/>
      <w:bookmarkStart w:id="278" w:name="_Toc127151731"/>
      <w:bookmarkStart w:id="279" w:name="_Toc164608644"/>
      <w:bookmarkStart w:id="280" w:name="_Toc149720823"/>
      <w:bookmarkStart w:id="281" w:name="_Toc151193772"/>
      <w:bookmarkStart w:id="282" w:name="_Toc151190157"/>
      <w:bookmarkStart w:id="283" w:name="_Toc151193844"/>
      <w:bookmarkStart w:id="284" w:name="_Toc142311032"/>
      <w:bookmarkStart w:id="285" w:name="_Toc164608799"/>
      <w:bookmarkStart w:id="286" w:name="_Toc520356155"/>
      <w:bookmarkStart w:id="287" w:name="_Toc127161444"/>
      <w:bookmarkStart w:id="288" w:name="_Toc164229371"/>
      <w:r>
        <w:rPr>
          <w:rFonts w:eastAsia="宋体"/>
          <w:sz w:val="24"/>
          <w:highlight w:val="none"/>
        </w:rPr>
        <w:t>报价</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15A6C8CE">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所有响应</w:t>
      </w:r>
      <w:r>
        <w:rPr>
          <w:rFonts w:hint="eastAsia" w:eastAsia="宋体"/>
          <w:sz w:val="24"/>
          <w:highlight w:val="none"/>
        </w:rPr>
        <w:t>均以人民币为计价货币</w:t>
      </w:r>
      <w:r>
        <w:rPr>
          <w:rFonts w:eastAsia="宋体"/>
          <w:sz w:val="24"/>
          <w:highlight w:val="none"/>
        </w:rPr>
        <w:t>。</w:t>
      </w:r>
    </w:p>
    <w:p w14:paraId="202669DC">
      <w:pPr>
        <w:numPr>
          <w:ilvl w:val="1"/>
          <w:numId w:val="13"/>
        </w:numPr>
        <w:tabs>
          <w:tab w:val="left" w:pos="1080"/>
        </w:tabs>
        <w:snapToGrid w:val="0"/>
        <w:spacing w:line="360" w:lineRule="auto"/>
        <w:rPr>
          <w:rFonts w:eastAsia="宋体"/>
          <w:sz w:val="24"/>
          <w:highlight w:val="none"/>
        </w:rPr>
      </w:pPr>
      <w:r>
        <w:rPr>
          <w:rFonts w:eastAsia="宋体"/>
          <w:sz w:val="24"/>
          <w:highlight w:val="none"/>
        </w:rPr>
        <w:t>供应商的报价应包括为完成本项目所发生的一切费用和税费，采购人将不再支付报价以外的任何费用。</w:t>
      </w:r>
      <w:r>
        <w:rPr>
          <w:rFonts w:hint="eastAsia" w:eastAsia="宋体"/>
          <w:sz w:val="24"/>
          <w:highlight w:val="none"/>
        </w:rPr>
        <w:t>供应商的报价应包括但不限于下列内容，《供应商须知资料表》中有特殊规定的，从其规定。</w:t>
      </w:r>
    </w:p>
    <w:p w14:paraId="61F29B78">
      <w:pPr>
        <w:numPr>
          <w:ilvl w:val="2"/>
          <w:numId w:val="13"/>
        </w:numPr>
        <w:snapToGrid w:val="0"/>
        <w:spacing w:line="360" w:lineRule="auto"/>
        <w:rPr>
          <w:rFonts w:eastAsia="宋体"/>
          <w:sz w:val="24"/>
          <w:highlight w:val="none"/>
        </w:rPr>
      </w:pPr>
      <w:r>
        <w:rPr>
          <w:rFonts w:hint="eastAsia"/>
          <w:sz w:val="24"/>
          <w:highlight w:val="none"/>
          <w:lang w:val="en-US" w:eastAsia="zh-CN"/>
        </w:rPr>
        <w:t>响应</w:t>
      </w:r>
      <w:r>
        <w:rPr>
          <w:rFonts w:eastAsia="宋体"/>
          <w:sz w:val="24"/>
          <w:highlight w:val="none"/>
        </w:rPr>
        <w:t>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r>
        <w:rPr>
          <w:rFonts w:hint="eastAsia"/>
          <w:sz w:val="24"/>
          <w:highlight w:val="none"/>
          <w:lang w:eastAsia="zh-CN"/>
        </w:rPr>
        <w:t>；</w:t>
      </w:r>
    </w:p>
    <w:p w14:paraId="18937BFA">
      <w:pPr>
        <w:numPr>
          <w:ilvl w:val="2"/>
          <w:numId w:val="13"/>
        </w:numPr>
        <w:snapToGrid w:val="0"/>
        <w:spacing w:line="360" w:lineRule="auto"/>
        <w:rPr>
          <w:rFonts w:eastAsia="宋体"/>
          <w:sz w:val="24"/>
          <w:highlight w:val="none"/>
        </w:rPr>
      </w:pPr>
      <w:r>
        <w:rPr>
          <w:rFonts w:eastAsia="宋体"/>
          <w:sz w:val="24"/>
          <w:highlight w:val="none"/>
        </w:rPr>
        <w:t>按照竞争性磋商文件要求完成本项</w:t>
      </w:r>
      <w:r>
        <w:rPr>
          <w:rFonts w:hint="eastAsia" w:eastAsia="宋体"/>
          <w:sz w:val="24"/>
          <w:highlight w:val="none"/>
        </w:rPr>
        <w:t>目的全部相关费用。</w:t>
      </w:r>
    </w:p>
    <w:p w14:paraId="1F5DC724">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采购人不得向供应商索要或者接受其给予的赠品、回扣或者与采购无关的其他商品、服务。</w:t>
      </w:r>
    </w:p>
    <w:p w14:paraId="10C0F31E">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供应商不能提供任何有选择性或可调整的最后报价（</w:t>
      </w:r>
      <w:r>
        <w:rPr>
          <w:rFonts w:eastAsia="宋体"/>
          <w:color w:val="000000"/>
          <w:kern w:val="0"/>
          <w:sz w:val="24"/>
          <w:highlight w:val="none"/>
        </w:rPr>
        <w:t>竞争性磋商文件</w:t>
      </w:r>
      <w:r>
        <w:rPr>
          <w:rFonts w:eastAsia="宋体"/>
          <w:sz w:val="24"/>
          <w:highlight w:val="none"/>
        </w:rPr>
        <w:t>另有规定的除外），否则其</w:t>
      </w:r>
      <w:r>
        <w:rPr>
          <w:rFonts w:eastAsia="宋体"/>
          <w:b/>
          <w:sz w:val="24"/>
          <w:highlight w:val="none"/>
        </w:rPr>
        <w:t>响应无效</w:t>
      </w:r>
      <w:r>
        <w:rPr>
          <w:rFonts w:eastAsia="宋体"/>
          <w:sz w:val="24"/>
          <w:highlight w:val="none"/>
        </w:rPr>
        <w:t>。</w:t>
      </w:r>
    </w:p>
    <w:p w14:paraId="57B2F597">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磋商保证金</w:t>
      </w:r>
    </w:p>
    <w:p w14:paraId="235F06D5">
      <w:pPr>
        <w:numPr>
          <w:ilvl w:val="1"/>
          <w:numId w:val="13"/>
        </w:numPr>
        <w:tabs>
          <w:tab w:val="left" w:pos="1080"/>
          <w:tab w:val="left" w:pos="2014"/>
        </w:tabs>
        <w:snapToGrid w:val="0"/>
        <w:spacing w:line="360" w:lineRule="auto"/>
        <w:ind w:left="1077" w:hanging="720"/>
        <w:rPr>
          <w:rFonts w:eastAsia="宋体"/>
          <w:sz w:val="24"/>
          <w:highlight w:val="none"/>
        </w:rPr>
      </w:pPr>
      <w:bookmarkStart w:id="289" w:name="_Ref467306302"/>
      <w:r>
        <w:rPr>
          <w:rFonts w:eastAsia="宋体"/>
          <w:sz w:val="24"/>
          <w:highlight w:val="none"/>
        </w:rPr>
        <w:t>供应商应按《供应商须知资料表》中规定的金额及要求交纳磋商保证金</w:t>
      </w:r>
      <w:bookmarkEnd w:id="289"/>
      <w:r>
        <w:rPr>
          <w:rFonts w:eastAsia="宋体"/>
          <w:sz w:val="24"/>
          <w:highlight w:val="none"/>
        </w:rPr>
        <w:t>。</w:t>
      </w:r>
      <w:r>
        <w:rPr>
          <w:rFonts w:hint="eastAsia" w:eastAsia="宋体"/>
          <w:sz w:val="24"/>
          <w:highlight w:val="none"/>
        </w:rPr>
        <w:t>供应商自愿超额缴纳磋商保证金的，响应文件不做无效处理。</w:t>
      </w:r>
    </w:p>
    <w:p w14:paraId="1373AA98">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交纳磋商保证金可采用的形式：政府采购法律法规接受的支票、汇票、本票、网上银行支付或者金融机构、担保机构出具的保函等非现金形式。</w:t>
      </w:r>
    </w:p>
    <w:p w14:paraId="43FAC1C9">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磋商保证金到账（保函提交）截止时间同首次响应文件提交截止时间。以支票、汇票、本票、</w:t>
      </w:r>
      <w:r>
        <w:rPr>
          <w:sz w:val="24"/>
          <w:highlight w:val="none"/>
        </w:rPr>
        <w:t>网上银行支付</w:t>
      </w:r>
      <w:r>
        <w:rPr>
          <w:rFonts w:eastAsia="宋体"/>
          <w:sz w:val="24"/>
          <w:highlight w:val="none"/>
        </w:rPr>
        <w:t>等形式提交磋商保证金的，应在首次响应文件提交截止时间前</w:t>
      </w:r>
      <w:r>
        <w:rPr>
          <w:rFonts w:hint="eastAsia" w:eastAsia="宋体"/>
          <w:sz w:val="24"/>
          <w:highlight w:val="none"/>
        </w:rPr>
        <w:t>到账</w:t>
      </w:r>
      <w:r>
        <w:rPr>
          <w:rFonts w:eastAsia="宋体"/>
          <w:sz w:val="24"/>
          <w:highlight w:val="none"/>
        </w:rPr>
        <w:t>；</w:t>
      </w:r>
      <w:r>
        <w:rPr>
          <w:rFonts w:hint="eastAsia"/>
          <w:sz w:val="24"/>
          <w:highlight w:val="none"/>
        </w:rPr>
        <w:t>以</w:t>
      </w:r>
      <w:r>
        <w:rPr>
          <w:sz w:val="24"/>
          <w:highlight w:val="none"/>
        </w:rPr>
        <w:t>金融机构、担保机构出具的</w:t>
      </w:r>
      <w:r>
        <w:rPr>
          <w:rFonts w:hint="eastAsia"/>
          <w:sz w:val="24"/>
          <w:highlight w:val="none"/>
        </w:rPr>
        <w:t>纸质</w:t>
      </w:r>
      <w:r>
        <w:rPr>
          <w:sz w:val="24"/>
          <w:highlight w:val="none"/>
        </w:rPr>
        <w:t>保函等形式提交</w:t>
      </w:r>
      <w:r>
        <w:rPr>
          <w:rFonts w:hint="eastAsia"/>
          <w:sz w:val="24"/>
          <w:highlight w:val="none"/>
        </w:rPr>
        <w:t>磋商</w:t>
      </w:r>
      <w:r>
        <w:rPr>
          <w:sz w:val="24"/>
          <w:highlight w:val="none"/>
        </w:rPr>
        <w:t>保证金的，应在</w:t>
      </w:r>
      <w:r>
        <w:rPr>
          <w:rFonts w:eastAsia="宋体"/>
          <w:sz w:val="24"/>
          <w:highlight w:val="none"/>
        </w:rPr>
        <w:t>首次响应文件</w:t>
      </w:r>
      <w:r>
        <w:rPr>
          <w:rFonts w:hint="eastAsia" w:eastAsia="宋体"/>
          <w:sz w:val="24"/>
          <w:highlight w:val="none"/>
        </w:rPr>
        <w:t>提交</w:t>
      </w:r>
      <w:r>
        <w:rPr>
          <w:sz w:val="24"/>
          <w:highlight w:val="none"/>
        </w:rPr>
        <w:t>截止时间前</w:t>
      </w:r>
      <w:r>
        <w:rPr>
          <w:rFonts w:eastAsia="宋体"/>
          <w:sz w:val="24"/>
          <w:highlight w:val="none"/>
        </w:rPr>
        <w:t>将原件提交至采购代理机构；由于</w:t>
      </w:r>
      <w:r>
        <w:rPr>
          <w:rFonts w:hint="eastAsia"/>
          <w:sz w:val="24"/>
          <w:highlight w:val="none"/>
        </w:rPr>
        <w:t>到账时间</w:t>
      </w:r>
      <w:r>
        <w:rPr>
          <w:sz w:val="24"/>
          <w:highlight w:val="none"/>
        </w:rPr>
        <w:t>晚于</w:t>
      </w:r>
      <w:r>
        <w:rPr>
          <w:rFonts w:eastAsia="宋体"/>
          <w:sz w:val="24"/>
          <w:highlight w:val="none"/>
        </w:rPr>
        <w:t>首次响应文件提交</w:t>
      </w:r>
      <w:r>
        <w:rPr>
          <w:sz w:val="24"/>
          <w:highlight w:val="none"/>
        </w:rPr>
        <w:t>截止时间的，或者</w:t>
      </w:r>
      <w:r>
        <w:rPr>
          <w:rFonts w:eastAsia="宋体"/>
          <w:sz w:val="24"/>
          <w:highlight w:val="none"/>
        </w:rPr>
        <w:t>票据错误、印鉴不清等原因导致不能到账的，其</w:t>
      </w:r>
      <w:r>
        <w:rPr>
          <w:rFonts w:eastAsia="宋体"/>
          <w:b/>
          <w:sz w:val="24"/>
          <w:highlight w:val="none"/>
        </w:rPr>
        <w:t>响应无效</w:t>
      </w:r>
      <w:r>
        <w:rPr>
          <w:rFonts w:eastAsia="宋体"/>
          <w:sz w:val="24"/>
          <w:highlight w:val="none"/>
        </w:rPr>
        <w:t>。</w:t>
      </w:r>
    </w:p>
    <w:p w14:paraId="1A7242CC">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磋商保证金有效期同响应有效期。</w:t>
      </w:r>
    </w:p>
    <w:p w14:paraId="14EB17CE">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供应商为联合体的，可以由联合体中的一方或者多方共同交纳磋商保证金，其交纳的保证金对联合体各方均具有约束力。</w:t>
      </w:r>
    </w:p>
    <w:p w14:paraId="39A3AF3F">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191CE2B6">
      <w:pPr>
        <w:numPr>
          <w:ilvl w:val="2"/>
          <w:numId w:val="13"/>
        </w:numPr>
        <w:snapToGrid w:val="0"/>
        <w:spacing w:line="360" w:lineRule="auto"/>
        <w:rPr>
          <w:rFonts w:eastAsia="宋体"/>
          <w:sz w:val="24"/>
          <w:highlight w:val="none"/>
        </w:rPr>
      </w:pPr>
      <w:r>
        <w:rPr>
          <w:rFonts w:eastAsia="宋体"/>
          <w:snapToGrid w:val="0"/>
          <w:kern w:val="0"/>
          <w:sz w:val="24"/>
          <w:highlight w:val="none"/>
        </w:rPr>
        <w:t>已提交响应文件的供应商，在提交最后报价之前，可以根据磋商情况退出磋商。采购人、采购代理机构将退还退出磋商的供应商的磋商保证金</w:t>
      </w:r>
      <w:r>
        <w:rPr>
          <w:rFonts w:hint="eastAsia" w:eastAsia="宋体"/>
          <w:snapToGrid w:val="0"/>
          <w:kern w:val="0"/>
          <w:sz w:val="24"/>
          <w:highlight w:val="none"/>
        </w:rPr>
        <w:t>；</w:t>
      </w:r>
    </w:p>
    <w:p w14:paraId="12D3F22B">
      <w:pPr>
        <w:numPr>
          <w:ilvl w:val="2"/>
          <w:numId w:val="13"/>
        </w:numPr>
        <w:snapToGrid w:val="0"/>
        <w:spacing w:line="360" w:lineRule="auto"/>
        <w:rPr>
          <w:rFonts w:eastAsia="宋体"/>
          <w:sz w:val="24"/>
          <w:highlight w:val="none"/>
        </w:rPr>
      </w:pPr>
      <w:r>
        <w:rPr>
          <w:rFonts w:eastAsia="宋体"/>
          <w:sz w:val="24"/>
          <w:highlight w:val="none"/>
        </w:rPr>
        <w:t>成交供应商的磋商保证金，在采购合同签订后5个工作日内退还成交供应商；</w:t>
      </w:r>
    </w:p>
    <w:p w14:paraId="7D465EA6">
      <w:pPr>
        <w:numPr>
          <w:ilvl w:val="2"/>
          <w:numId w:val="13"/>
        </w:numPr>
        <w:snapToGrid w:val="0"/>
        <w:spacing w:line="360" w:lineRule="auto"/>
        <w:rPr>
          <w:rFonts w:eastAsia="宋体"/>
          <w:sz w:val="24"/>
          <w:highlight w:val="none"/>
        </w:rPr>
      </w:pPr>
      <w:r>
        <w:rPr>
          <w:rFonts w:eastAsia="宋体"/>
          <w:sz w:val="24"/>
          <w:highlight w:val="none"/>
        </w:rPr>
        <w:t>未成交供应商的磋商保证金，在成交通知书发出后5个工作日内退还</w:t>
      </w:r>
      <w:r>
        <w:rPr>
          <w:rFonts w:hint="eastAsia" w:eastAsia="宋体"/>
          <w:sz w:val="24"/>
          <w:highlight w:val="none"/>
        </w:rPr>
        <w:t>。</w:t>
      </w:r>
    </w:p>
    <w:p w14:paraId="368AB339">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有下列情形之一的，采购人或采购代理机构不予退还磋商保证金：</w:t>
      </w:r>
    </w:p>
    <w:p w14:paraId="44F44D7F">
      <w:pPr>
        <w:numPr>
          <w:ilvl w:val="2"/>
          <w:numId w:val="13"/>
        </w:numPr>
        <w:snapToGrid w:val="0"/>
        <w:spacing w:line="360" w:lineRule="auto"/>
        <w:rPr>
          <w:rFonts w:eastAsia="宋体"/>
          <w:sz w:val="24"/>
          <w:highlight w:val="none"/>
        </w:rPr>
      </w:pPr>
      <w:r>
        <w:rPr>
          <w:rFonts w:hint="eastAsia" w:eastAsia="宋体"/>
          <w:sz w:val="24"/>
          <w:highlight w:val="none"/>
        </w:rPr>
        <w:t>供应商在响应文件提交截止时间后撤回响应文件的</w:t>
      </w:r>
      <w:r>
        <w:rPr>
          <w:rFonts w:eastAsia="宋体"/>
          <w:sz w:val="24"/>
          <w:highlight w:val="none"/>
        </w:rPr>
        <w:t>；</w:t>
      </w:r>
    </w:p>
    <w:p w14:paraId="07F989C6">
      <w:pPr>
        <w:numPr>
          <w:ilvl w:val="2"/>
          <w:numId w:val="13"/>
        </w:numPr>
        <w:snapToGrid w:val="0"/>
        <w:spacing w:line="360" w:lineRule="auto"/>
        <w:rPr>
          <w:rFonts w:eastAsia="宋体"/>
          <w:sz w:val="24"/>
          <w:highlight w:val="none"/>
        </w:rPr>
      </w:pPr>
      <w:r>
        <w:rPr>
          <w:rFonts w:eastAsia="宋体"/>
          <w:sz w:val="24"/>
          <w:highlight w:val="none"/>
        </w:rPr>
        <w:t>供应商在响应文件中提供虚假材料的；</w:t>
      </w:r>
    </w:p>
    <w:p w14:paraId="0CDBD373">
      <w:pPr>
        <w:numPr>
          <w:ilvl w:val="2"/>
          <w:numId w:val="13"/>
        </w:numPr>
        <w:snapToGrid w:val="0"/>
        <w:spacing w:line="360" w:lineRule="auto"/>
        <w:rPr>
          <w:rFonts w:eastAsia="宋体"/>
          <w:sz w:val="24"/>
          <w:highlight w:val="none"/>
        </w:rPr>
      </w:pPr>
      <w:r>
        <w:rPr>
          <w:rFonts w:eastAsia="宋体"/>
          <w:sz w:val="24"/>
          <w:highlight w:val="none"/>
        </w:rPr>
        <w:t>除因不可抗力或磋商文件认可的情形以外，成交供应商不与采购人签订合同的；</w:t>
      </w:r>
    </w:p>
    <w:p w14:paraId="12F45820">
      <w:pPr>
        <w:numPr>
          <w:ilvl w:val="2"/>
          <w:numId w:val="13"/>
        </w:numPr>
        <w:snapToGrid w:val="0"/>
        <w:spacing w:line="360" w:lineRule="auto"/>
        <w:rPr>
          <w:rFonts w:eastAsia="宋体"/>
          <w:sz w:val="24"/>
          <w:highlight w:val="none"/>
        </w:rPr>
      </w:pPr>
      <w:r>
        <w:rPr>
          <w:rFonts w:eastAsia="宋体"/>
          <w:sz w:val="24"/>
          <w:highlight w:val="none"/>
        </w:rPr>
        <w:t>供应商与采购人、其他供应商或者采购代理机构恶意串通的；</w:t>
      </w:r>
    </w:p>
    <w:p w14:paraId="69B7D673">
      <w:pPr>
        <w:numPr>
          <w:ilvl w:val="2"/>
          <w:numId w:val="13"/>
        </w:numPr>
        <w:snapToGrid w:val="0"/>
        <w:spacing w:line="360" w:lineRule="auto"/>
        <w:rPr>
          <w:rFonts w:eastAsia="宋体"/>
          <w:sz w:val="24"/>
          <w:highlight w:val="none"/>
        </w:rPr>
      </w:pPr>
      <w:r>
        <w:rPr>
          <w:rFonts w:eastAsia="宋体"/>
          <w:sz w:val="24"/>
          <w:highlight w:val="none"/>
        </w:rPr>
        <w:t>《供应商须知资料表》规定的其他情形。</w:t>
      </w:r>
    </w:p>
    <w:p w14:paraId="4FE117DF">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响应有效期</w:t>
      </w:r>
    </w:p>
    <w:p w14:paraId="44A535AE">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响应文件应在本竞争性磋商文件《供应商须知资料表》中规定的响应有效期内保持有效，响应有效期少于竞争性磋商文件规定期限的，其</w:t>
      </w:r>
      <w:r>
        <w:rPr>
          <w:rFonts w:eastAsia="宋体"/>
          <w:b/>
          <w:sz w:val="24"/>
          <w:highlight w:val="none"/>
        </w:rPr>
        <w:t>响应无效</w:t>
      </w:r>
      <w:r>
        <w:rPr>
          <w:rFonts w:eastAsia="宋体"/>
          <w:sz w:val="24"/>
          <w:highlight w:val="none"/>
        </w:rPr>
        <w:t>。</w:t>
      </w:r>
    </w:p>
    <w:p w14:paraId="4F13F0A0">
      <w:pPr>
        <w:numPr>
          <w:ilvl w:val="0"/>
          <w:numId w:val="13"/>
        </w:numPr>
        <w:tabs>
          <w:tab w:val="left" w:pos="360"/>
        </w:tabs>
        <w:snapToGrid w:val="0"/>
        <w:spacing w:line="360" w:lineRule="auto"/>
        <w:ind w:left="357" w:hanging="357"/>
        <w:outlineLvl w:val="1"/>
        <w:rPr>
          <w:rFonts w:eastAsia="宋体"/>
          <w:sz w:val="24"/>
          <w:highlight w:val="none"/>
        </w:rPr>
      </w:pPr>
      <w:bookmarkStart w:id="290" w:name="_Toc150509284"/>
      <w:bookmarkStart w:id="291" w:name="_Toc151190160"/>
      <w:bookmarkStart w:id="292" w:name="_Toc151193703"/>
      <w:bookmarkStart w:id="293" w:name="_Toc149720826"/>
      <w:bookmarkStart w:id="294" w:name="_Toc127151734"/>
      <w:bookmarkStart w:id="295" w:name="_Toc226337229"/>
      <w:bookmarkStart w:id="296" w:name="_Toc305158801"/>
      <w:bookmarkStart w:id="297" w:name="_Toc226309777"/>
      <w:bookmarkStart w:id="298" w:name="_Toc226965806"/>
      <w:bookmarkStart w:id="299" w:name="_Toc265228371"/>
      <w:bookmarkStart w:id="300" w:name="_Toc150480771"/>
      <w:bookmarkStart w:id="301" w:name="_Toc151193847"/>
      <w:bookmarkStart w:id="302" w:name="_Toc127151533"/>
      <w:bookmarkStart w:id="303" w:name="_Toc151193775"/>
      <w:bookmarkStart w:id="304" w:name="_Toc150774738"/>
      <w:bookmarkStart w:id="305" w:name="_Toc164608647"/>
      <w:bookmarkStart w:id="306" w:name="_Toc226965723"/>
      <w:bookmarkStart w:id="307" w:name="_Toc151193921"/>
      <w:bookmarkStart w:id="308" w:name="_Toc164351627"/>
      <w:bookmarkStart w:id="309" w:name="_Toc164229374"/>
      <w:bookmarkStart w:id="310" w:name="_Toc164229228"/>
      <w:bookmarkStart w:id="311" w:name="_Toc151193631"/>
      <w:bookmarkStart w:id="312" w:name="_Toc164608802"/>
      <w:bookmarkStart w:id="313" w:name="_Toc127161447"/>
      <w:bookmarkStart w:id="314" w:name="_Toc264969223"/>
      <w:bookmarkStart w:id="315" w:name="_Toc150774633"/>
      <w:bookmarkStart w:id="316" w:name="_Toc195842898"/>
      <w:bookmarkStart w:id="317" w:name="_Toc305158875"/>
      <w:bookmarkStart w:id="318" w:name="_Toc142311035"/>
      <w:bookmarkStart w:id="319" w:name="_Toc520356158"/>
      <w:r>
        <w:rPr>
          <w:rFonts w:eastAsia="宋体"/>
          <w:sz w:val="24"/>
          <w:highlight w:val="none"/>
        </w:rPr>
        <w:t>响应文件的签署</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Pr>
          <w:rFonts w:eastAsia="宋体"/>
          <w:sz w:val="24"/>
          <w:highlight w:val="none"/>
        </w:rPr>
        <w:t>、盖章</w:t>
      </w:r>
    </w:p>
    <w:p w14:paraId="7098C6DA">
      <w:pPr>
        <w:numPr>
          <w:ilvl w:val="1"/>
          <w:numId w:val="13"/>
        </w:numPr>
        <w:tabs>
          <w:tab w:val="left" w:pos="1080"/>
          <w:tab w:val="left" w:pos="2014"/>
        </w:tabs>
        <w:snapToGrid w:val="0"/>
        <w:spacing w:line="360" w:lineRule="auto"/>
        <w:ind w:left="1077" w:hanging="720"/>
        <w:rPr>
          <w:rFonts w:ascii="宋体" w:hAnsi="宋体" w:eastAsia="宋体"/>
          <w:sz w:val="24"/>
          <w:highlight w:val="none"/>
        </w:rPr>
      </w:pPr>
      <w:bookmarkStart w:id="320" w:name="_Toc151193776"/>
      <w:bookmarkStart w:id="321" w:name="_Toc195842899"/>
      <w:bookmarkStart w:id="322" w:name="_Toc151190161"/>
      <w:bookmarkStart w:id="323" w:name="_Toc226309778"/>
      <w:bookmarkStart w:id="324" w:name="_Toc150480772"/>
      <w:bookmarkStart w:id="325" w:name="_Toc151193632"/>
      <w:bookmarkStart w:id="326" w:name="_Toc151193704"/>
      <w:bookmarkStart w:id="327" w:name="_Toc127151534"/>
      <w:bookmarkStart w:id="328" w:name="_Toc150774634"/>
      <w:bookmarkStart w:id="329" w:name="_Toc150774739"/>
      <w:bookmarkStart w:id="330" w:name="_Toc150509285"/>
      <w:bookmarkStart w:id="331" w:name="_Toc305158802"/>
      <w:bookmarkStart w:id="332" w:name="_Toc520356159"/>
      <w:bookmarkStart w:id="333" w:name="_Toc305158876"/>
      <w:bookmarkStart w:id="334" w:name="_Toc142311036"/>
      <w:bookmarkStart w:id="335" w:name="_Toc226965724"/>
      <w:bookmarkStart w:id="336" w:name="_Toc264969224"/>
      <w:bookmarkStart w:id="337" w:name="_Toc265228372"/>
      <w:bookmarkStart w:id="338" w:name="_Toc151193848"/>
      <w:bookmarkStart w:id="339" w:name="_Toc226337230"/>
      <w:bookmarkStart w:id="340" w:name="_Toc151193922"/>
      <w:bookmarkStart w:id="341" w:name="_Toc226965807"/>
      <w:r>
        <w:rPr>
          <w:rFonts w:hint="eastAsia" w:ascii="宋体" w:hAnsi="宋体" w:eastAsia="宋体"/>
          <w:sz w:val="24"/>
          <w:highlight w:val="none"/>
        </w:rPr>
        <w:t>供应商应准备首次磋商响应文件正本　一　份和副本  二  份，每份首次磋商响应文件须清楚地标明“正本”或“副本”。若正本和副本不符，以正本为准。另外供应商还需提供电子光盘或U盘磋商响应文件1份，电子版磋商响应文件与纸质磋商响应文件内容不符的，以纸质磋商响应文件为准。</w:t>
      </w:r>
    </w:p>
    <w:p w14:paraId="18127FE2">
      <w:pPr>
        <w:numPr>
          <w:ilvl w:val="1"/>
          <w:numId w:val="13"/>
        </w:numPr>
        <w:tabs>
          <w:tab w:val="left" w:pos="1080"/>
          <w:tab w:val="left" w:pos="2014"/>
        </w:tabs>
        <w:snapToGrid w:val="0"/>
        <w:spacing w:line="360" w:lineRule="auto"/>
        <w:ind w:left="1077" w:hanging="720"/>
        <w:rPr>
          <w:rFonts w:ascii="宋体" w:hAnsi="宋体" w:eastAsia="宋体"/>
          <w:sz w:val="24"/>
          <w:highlight w:val="none"/>
        </w:rPr>
      </w:pPr>
      <w:r>
        <w:rPr>
          <w:rFonts w:hint="eastAsia" w:ascii="宋体" w:hAnsi="宋体" w:eastAsia="宋体"/>
          <w:sz w:val="24"/>
          <w:highlight w:val="none"/>
        </w:rPr>
        <w:t>磋商响应文件的正本须打印或用不褪色墨水书写（采用A4纸），并由供应商的法定代表人或经其正式授权的代表在要求的地方签字、加盖单位印章。授权代表须有书面的“法定代表人授权书”（标准格式附后），并将其附在磋商响应文件中。磋商响应文件的副本可采用正本的复印件（采用A4纸）。</w:t>
      </w:r>
    </w:p>
    <w:p w14:paraId="44FCEA46">
      <w:pPr>
        <w:numPr>
          <w:ilvl w:val="1"/>
          <w:numId w:val="13"/>
        </w:numPr>
        <w:tabs>
          <w:tab w:val="left" w:pos="1080"/>
          <w:tab w:val="left" w:pos="2014"/>
        </w:tabs>
        <w:snapToGrid w:val="0"/>
        <w:spacing w:line="360" w:lineRule="auto"/>
        <w:ind w:left="1077" w:hanging="720"/>
        <w:rPr>
          <w:rFonts w:ascii="宋体" w:hAnsi="宋体" w:eastAsia="宋体"/>
          <w:sz w:val="24"/>
          <w:highlight w:val="none"/>
        </w:rPr>
      </w:pPr>
      <w:r>
        <w:rPr>
          <w:rFonts w:hint="eastAsia" w:ascii="宋体" w:hAnsi="宋体" w:eastAsia="宋体"/>
          <w:sz w:val="24"/>
          <w:highlight w:val="none"/>
        </w:rPr>
        <w:t>任何行间插字、涂改和增删，必须由磋商响应文件签字人签字或加盖公章后才有效。</w:t>
      </w:r>
    </w:p>
    <w:p w14:paraId="49F09BB8">
      <w:pPr>
        <w:numPr>
          <w:ilvl w:val="1"/>
          <w:numId w:val="13"/>
        </w:numPr>
        <w:tabs>
          <w:tab w:val="left" w:pos="1080"/>
          <w:tab w:val="left" w:pos="2014"/>
        </w:tabs>
        <w:snapToGrid w:val="0"/>
        <w:spacing w:line="360" w:lineRule="auto"/>
        <w:ind w:left="1077" w:hanging="720"/>
        <w:rPr>
          <w:rFonts w:ascii="宋体" w:hAnsi="宋体" w:eastAsia="宋体"/>
          <w:sz w:val="24"/>
          <w:highlight w:val="none"/>
        </w:rPr>
      </w:pPr>
      <w:r>
        <w:rPr>
          <w:rFonts w:hint="eastAsia" w:ascii="宋体" w:hAnsi="宋体" w:eastAsia="宋体"/>
          <w:sz w:val="24"/>
          <w:highlight w:val="none"/>
        </w:rPr>
        <w:t>磋商响应文件因字迹潦草或表达不清所引起的后果由供应商负责。</w:t>
      </w:r>
    </w:p>
    <w:p w14:paraId="33ADF0B5">
      <w:pPr>
        <w:tabs>
          <w:tab w:val="left" w:pos="900"/>
          <w:tab w:val="left" w:pos="1080"/>
        </w:tabs>
        <w:snapToGrid w:val="0"/>
        <w:spacing w:line="360" w:lineRule="auto"/>
        <w:ind w:left="357"/>
        <w:rPr>
          <w:rFonts w:eastAsia="宋体"/>
          <w:highlight w:val="none"/>
        </w:rPr>
      </w:pPr>
    </w:p>
    <w:p w14:paraId="4E110A66">
      <w:pPr>
        <w:pStyle w:val="3"/>
        <w:spacing w:before="0" w:line="360" w:lineRule="auto"/>
        <w:rPr>
          <w:rFonts w:ascii="Times New Roman" w:hAnsi="Times New Roman" w:eastAsia="宋体"/>
          <w:sz w:val="28"/>
          <w:highlight w:val="none"/>
        </w:rPr>
      </w:pPr>
      <w:r>
        <w:rPr>
          <w:rFonts w:ascii="Times New Roman" w:hAnsi="Times New Roman" w:eastAsia="宋体"/>
          <w:sz w:val="28"/>
          <w:highlight w:val="none"/>
        </w:rPr>
        <w:t>四   响应文件的提交</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61D8A56F">
      <w:pPr>
        <w:numPr>
          <w:ilvl w:val="0"/>
          <w:numId w:val="13"/>
        </w:numPr>
        <w:tabs>
          <w:tab w:val="left" w:pos="360"/>
        </w:tabs>
        <w:snapToGrid w:val="0"/>
        <w:spacing w:line="360" w:lineRule="auto"/>
        <w:ind w:left="357" w:hanging="357"/>
        <w:outlineLvl w:val="1"/>
        <w:rPr>
          <w:rFonts w:eastAsia="宋体"/>
          <w:sz w:val="24"/>
          <w:highlight w:val="none"/>
        </w:rPr>
      </w:pPr>
      <w:bookmarkStart w:id="342" w:name="_Toc226309779"/>
      <w:bookmarkStart w:id="343" w:name="_Toc151193777"/>
      <w:bookmarkStart w:id="344" w:name="_Toc226965808"/>
      <w:bookmarkStart w:id="345" w:name="_Toc164229230"/>
      <w:bookmarkStart w:id="346" w:name="_Toc127151535"/>
      <w:bookmarkStart w:id="347" w:name="_Toc151193849"/>
      <w:bookmarkStart w:id="348" w:name="_Toc195842900"/>
      <w:bookmarkStart w:id="349" w:name="_Toc264969225"/>
      <w:bookmarkStart w:id="350" w:name="_Toc164608649"/>
      <w:bookmarkStart w:id="351" w:name="_Toc151193923"/>
      <w:bookmarkStart w:id="352" w:name="_Toc150509286"/>
      <w:bookmarkStart w:id="353" w:name="_Toc150774635"/>
      <w:bookmarkStart w:id="354" w:name="_Toc150774740"/>
      <w:bookmarkStart w:id="355" w:name="_Toc226965725"/>
      <w:bookmarkStart w:id="356" w:name="_Toc305158877"/>
      <w:bookmarkStart w:id="357" w:name="_Toc164229376"/>
      <w:bookmarkStart w:id="358" w:name="_Toc164351629"/>
      <w:bookmarkStart w:id="359" w:name="_Toc151190162"/>
      <w:bookmarkStart w:id="360" w:name="_Toc265228373"/>
      <w:bookmarkStart w:id="361" w:name="_Toc127161449"/>
      <w:bookmarkStart w:id="362" w:name="_Toc164608804"/>
      <w:bookmarkStart w:id="363" w:name="_Toc151193705"/>
      <w:bookmarkStart w:id="364" w:name="_Toc305158803"/>
      <w:bookmarkStart w:id="365" w:name="_Toc226337231"/>
      <w:bookmarkStart w:id="366" w:name="_Toc127151736"/>
      <w:bookmarkStart w:id="367" w:name="_Toc520356160"/>
      <w:bookmarkStart w:id="368" w:name="_Toc151193633"/>
      <w:bookmarkStart w:id="369" w:name="_Toc150480773"/>
      <w:bookmarkStart w:id="370" w:name="_Toc149720828"/>
      <w:bookmarkStart w:id="371" w:name="_Toc142311037"/>
      <w:r>
        <w:rPr>
          <w:rFonts w:eastAsia="宋体"/>
          <w:sz w:val="24"/>
          <w:highlight w:val="none"/>
        </w:rPr>
        <w:t>响应文件的</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Pr>
          <w:rFonts w:eastAsia="宋体"/>
          <w:sz w:val="24"/>
          <w:highlight w:val="none"/>
        </w:rPr>
        <w:t>提交</w:t>
      </w:r>
    </w:p>
    <w:p w14:paraId="7BD298B7">
      <w:pPr>
        <w:numPr>
          <w:ilvl w:val="1"/>
          <w:numId w:val="13"/>
        </w:numPr>
        <w:tabs>
          <w:tab w:val="left" w:pos="1080"/>
          <w:tab w:val="left" w:pos="2014"/>
        </w:tabs>
        <w:snapToGrid w:val="0"/>
        <w:spacing w:line="360" w:lineRule="auto"/>
        <w:ind w:left="1077" w:hanging="720"/>
        <w:rPr>
          <w:rFonts w:ascii="宋体" w:hAnsi="宋体" w:eastAsia="宋体"/>
          <w:sz w:val="24"/>
          <w:highlight w:val="none"/>
        </w:rPr>
      </w:pPr>
      <w:bookmarkStart w:id="372" w:name="_Toc150480774"/>
      <w:bookmarkStart w:id="373" w:name="_Toc151193778"/>
      <w:bookmarkStart w:id="374" w:name="_Toc164229377"/>
      <w:bookmarkStart w:id="375" w:name="_Toc226337232"/>
      <w:bookmarkStart w:id="376" w:name="_Toc142311038"/>
      <w:bookmarkStart w:id="377" w:name="_Toc265228374"/>
      <w:bookmarkStart w:id="378" w:name="_Toc127151536"/>
      <w:bookmarkStart w:id="379" w:name="_Toc305158804"/>
      <w:bookmarkStart w:id="380" w:name="_Toc151193924"/>
      <w:bookmarkStart w:id="381" w:name="_Toc151190163"/>
      <w:bookmarkStart w:id="382" w:name="_Toc226965809"/>
      <w:bookmarkStart w:id="383" w:name="_Toc150509287"/>
      <w:bookmarkStart w:id="384" w:name="_Toc150774741"/>
      <w:bookmarkStart w:id="385" w:name="_Toc150774636"/>
      <w:bookmarkStart w:id="386" w:name="_Toc149720829"/>
      <w:bookmarkStart w:id="387" w:name="_Toc151193706"/>
      <w:bookmarkStart w:id="388" w:name="_Toc164608650"/>
      <w:bookmarkStart w:id="389" w:name="_Toc164229231"/>
      <w:bookmarkStart w:id="390" w:name="_Toc195842901"/>
      <w:bookmarkStart w:id="391" w:name="_Toc127161450"/>
      <w:bookmarkStart w:id="392" w:name="_Toc305158878"/>
      <w:bookmarkStart w:id="393" w:name="_Toc164351630"/>
      <w:bookmarkStart w:id="394" w:name="_Toc127151737"/>
      <w:bookmarkStart w:id="395" w:name="_Toc520356161"/>
      <w:bookmarkStart w:id="396" w:name="_Toc164608805"/>
      <w:bookmarkStart w:id="397" w:name="_Toc151193634"/>
      <w:bookmarkStart w:id="398" w:name="_Toc264969226"/>
      <w:bookmarkStart w:id="399" w:name="_Toc226309780"/>
      <w:bookmarkStart w:id="400" w:name="_Toc151193850"/>
      <w:bookmarkStart w:id="401" w:name="_Toc226965726"/>
      <w:r>
        <w:rPr>
          <w:rFonts w:hint="eastAsia" w:ascii="宋体" w:hAnsi="宋体" w:eastAsia="宋体"/>
          <w:sz w:val="24"/>
          <w:highlight w:val="none"/>
        </w:rPr>
        <w:t>磋商时，供应商应将磋商响应文件正本密封装在单独的信封中、所有副本一起密封装在单独的信封中，且在信封正面标明“正本”“副本”字样。电子版磋商响应文件可单独密封包装，也可和正本一起封装。</w:t>
      </w:r>
    </w:p>
    <w:p w14:paraId="5BE7ED34">
      <w:pPr>
        <w:numPr>
          <w:ilvl w:val="1"/>
          <w:numId w:val="13"/>
        </w:numPr>
        <w:tabs>
          <w:tab w:val="left" w:pos="1080"/>
          <w:tab w:val="left" w:pos="2014"/>
        </w:tabs>
        <w:snapToGrid w:val="0"/>
        <w:spacing w:line="360" w:lineRule="auto"/>
        <w:ind w:left="1077" w:hanging="720"/>
        <w:rPr>
          <w:rFonts w:ascii="宋体" w:hAnsi="宋体" w:eastAsia="宋体"/>
          <w:sz w:val="24"/>
          <w:highlight w:val="none"/>
        </w:rPr>
      </w:pPr>
      <w:r>
        <w:rPr>
          <w:rFonts w:hint="eastAsia" w:ascii="宋体" w:hAnsi="宋体" w:eastAsia="宋体"/>
          <w:sz w:val="24"/>
          <w:highlight w:val="none"/>
        </w:rPr>
        <w:t>所有信封上均应：</w:t>
      </w:r>
    </w:p>
    <w:p w14:paraId="3996637B">
      <w:pPr>
        <w:tabs>
          <w:tab w:val="left" w:pos="360"/>
        </w:tabs>
        <w:snapToGrid w:val="0"/>
        <w:spacing w:line="360" w:lineRule="auto"/>
        <w:ind w:left="357"/>
        <w:outlineLvl w:val="1"/>
        <w:rPr>
          <w:rFonts w:ascii="宋体" w:hAnsi="宋体" w:eastAsia="宋体"/>
          <w:sz w:val="24"/>
          <w:highlight w:val="none"/>
        </w:rPr>
      </w:pPr>
      <w:r>
        <w:rPr>
          <w:rFonts w:hint="eastAsia" w:ascii="宋体" w:hAnsi="宋体" w:eastAsia="宋体"/>
          <w:sz w:val="24"/>
          <w:highlight w:val="none"/>
        </w:rPr>
        <w:t>1）清楚标明递交至磋商公告或磋商邀请书中指明的地址。</w:t>
      </w:r>
    </w:p>
    <w:p w14:paraId="6A80A76E">
      <w:pPr>
        <w:tabs>
          <w:tab w:val="left" w:pos="360"/>
        </w:tabs>
        <w:snapToGrid w:val="0"/>
        <w:spacing w:line="360" w:lineRule="auto"/>
        <w:ind w:left="357"/>
        <w:outlineLvl w:val="1"/>
        <w:rPr>
          <w:rFonts w:ascii="宋体" w:hAnsi="宋体" w:eastAsia="宋体"/>
          <w:sz w:val="24"/>
          <w:highlight w:val="none"/>
        </w:rPr>
      </w:pPr>
      <w:r>
        <w:rPr>
          <w:rFonts w:hint="eastAsia" w:ascii="宋体" w:hAnsi="宋体" w:eastAsia="宋体"/>
          <w:sz w:val="24"/>
          <w:highlight w:val="none"/>
        </w:rPr>
        <w:t>2）注明磋商公告或磋商邀请书中指明的项目名称、磋商编号和“在      年   月    日     时之前不得启封”的字样（填入规定的递交首次磋商响应文件日期和时间）。</w:t>
      </w:r>
    </w:p>
    <w:p w14:paraId="38DF7193">
      <w:pPr>
        <w:tabs>
          <w:tab w:val="left" w:pos="360"/>
        </w:tabs>
        <w:snapToGrid w:val="0"/>
        <w:spacing w:line="360" w:lineRule="auto"/>
        <w:ind w:left="357"/>
        <w:outlineLvl w:val="1"/>
        <w:rPr>
          <w:rFonts w:ascii="宋体" w:hAnsi="宋体" w:eastAsia="宋体"/>
          <w:sz w:val="24"/>
          <w:highlight w:val="none"/>
        </w:rPr>
      </w:pPr>
      <w:r>
        <w:rPr>
          <w:rFonts w:hint="eastAsia" w:ascii="宋体" w:hAnsi="宋体" w:eastAsia="宋体"/>
          <w:sz w:val="24"/>
          <w:highlight w:val="none"/>
        </w:rPr>
        <w:t>3）在信封的封装处加盖供应商公章。</w:t>
      </w:r>
    </w:p>
    <w:p w14:paraId="601934FB">
      <w:pPr>
        <w:numPr>
          <w:ilvl w:val="1"/>
          <w:numId w:val="13"/>
        </w:numPr>
        <w:tabs>
          <w:tab w:val="left" w:pos="1080"/>
          <w:tab w:val="left" w:pos="2014"/>
        </w:tabs>
        <w:snapToGrid w:val="0"/>
        <w:spacing w:line="360" w:lineRule="auto"/>
        <w:ind w:left="1077" w:hanging="720"/>
        <w:rPr>
          <w:rFonts w:ascii="宋体" w:hAnsi="宋体" w:eastAsia="宋体"/>
          <w:sz w:val="24"/>
          <w:highlight w:val="none"/>
        </w:rPr>
      </w:pPr>
      <w:r>
        <w:rPr>
          <w:rFonts w:hint="eastAsia" w:ascii="宋体" w:hAnsi="宋体" w:eastAsia="宋体"/>
          <w:sz w:val="24"/>
          <w:highlight w:val="none"/>
        </w:rPr>
        <w:t>所有信封上还应写明供应商名称和地址，以便若其首次磋商响应文件递交截止时间后被宣布为“迟到”磋商响应时，能原封退回。</w:t>
      </w:r>
    </w:p>
    <w:p w14:paraId="716DCB20">
      <w:pPr>
        <w:numPr>
          <w:ilvl w:val="1"/>
          <w:numId w:val="13"/>
        </w:numPr>
        <w:tabs>
          <w:tab w:val="left" w:pos="900"/>
          <w:tab w:val="left" w:pos="1080"/>
          <w:tab w:val="left" w:pos="2014"/>
        </w:tabs>
        <w:snapToGrid w:val="0"/>
        <w:spacing w:line="360" w:lineRule="auto"/>
        <w:ind w:left="1077" w:hanging="720"/>
        <w:rPr>
          <w:rFonts w:ascii="宋体" w:hAnsi="宋体" w:eastAsia="宋体"/>
          <w:sz w:val="24"/>
          <w:highlight w:val="none"/>
        </w:rPr>
      </w:pPr>
      <w:r>
        <w:rPr>
          <w:rFonts w:hint="eastAsia" w:ascii="宋体" w:hAnsi="宋体" w:eastAsia="宋体"/>
          <w:sz w:val="24"/>
          <w:highlight w:val="none"/>
        </w:rPr>
        <w:t>如果供应商未按上述要求密封及加写标记，采购单位对磋商响应文件的误投或过早启封概不负责。</w:t>
      </w:r>
    </w:p>
    <w:p w14:paraId="289B88E1">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响应文件</w:t>
      </w:r>
      <w:r>
        <w:rPr>
          <w:rFonts w:hint="eastAsia"/>
          <w:sz w:val="24"/>
          <w:highlight w:val="none"/>
          <w:lang w:val="en-US" w:eastAsia="zh-CN"/>
        </w:rPr>
        <w:t>提交</w:t>
      </w:r>
      <w:r>
        <w:rPr>
          <w:rFonts w:eastAsia="宋体"/>
          <w:sz w:val="24"/>
          <w:highlight w:val="none"/>
        </w:rPr>
        <w:t>截止</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Pr>
          <w:rFonts w:eastAsia="宋体"/>
          <w:sz w:val="24"/>
          <w:highlight w:val="none"/>
        </w:rPr>
        <w:t>时间</w:t>
      </w:r>
    </w:p>
    <w:p w14:paraId="596E1870">
      <w:pPr>
        <w:numPr>
          <w:ilvl w:val="1"/>
          <w:numId w:val="13"/>
        </w:numPr>
        <w:tabs>
          <w:tab w:val="left" w:pos="900"/>
          <w:tab w:val="left" w:pos="1080"/>
          <w:tab w:val="left" w:pos="2014"/>
        </w:tabs>
        <w:snapToGrid w:val="0"/>
        <w:spacing w:line="360" w:lineRule="auto"/>
        <w:ind w:left="1077" w:hanging="720"/>
        <w:rPr>
          <w:rFonts w:ascii="宋体" w:hAnsi="宋体" w:eastAsia="宋体"/>
          <w:sz w:val="24"/>
          <w:highlight w:val="none"/>
        </w:rPr>
      </w:pPr>
      <w:bookmarkStart w:id="402" w:name="_Toc149720830"/>
      <w:bookmarkStart w:id="403" w:name="_Toc150509288"/>
      <w:bookmarkStart w:id="404" w:name="_Toc151193707"/>
      <w:bookmarkStart w:id="405" w:name="_Toc151193925"/>
      <w:bookmarkStart w:id="406" w:name="_Toc164351631"/>
      <w:bookmarkStart w:id="407" w:name="_Toc164608806"/>
      <w:bookmarkStart w:id="408" w:name="_Toc150480775"/>
      <w:bookmarkStart w:id="409" w:name="_Toc305158879"/>
      <w:bookmarkStart w:id="410" w:name="_Toc127151738"/>
      <w:bookmarkStart w:id="411" w:name="_Toc195842902"/>
      <w:bookmarkStart w:id="412" w:name="_Toc164608651"/>
      <w:bookmarkStart w:id="413" w:name="_Toc127151537"/>
      <w:bookmarkStart w:id="414" w:name="_Toc127161451"/>
      <w:bookmarkStart w:id="415" w:name="_Toc226309781"/>
      <w:bookmarkStart w:id="416" w:name="_Toc151193635"/>
      <w:bookmarkStart w:id="417" w:name="_Toc226337233"/>
      <w:bookmarkStart w:id="418" w:name="_Toc520356162"/>
      <w:bookmarkStart w:id="419" w:name="_Toc226965810"/>
      <w:bookmarkStart w:id="420" w:name="_Toc150774637"/>
      <w:bookmarkStart w:id="421" w:name="_Toc142311039"/>
      <w:bookmarkStart w:id="422" w:name="_Toc265228375"/>
      <w:bookmarkStart w:id="423" w:name="_Toc264969227"/>
      <w:bookmarkStart w:id="424" w:name="_Toc150774742"/>
      <w:bookmarkStart w:id="425" w:name="_Toc164229232"/>
      <w:bookmarkStart w:id="426" w:name="_Toc305158805"/>
      <w:bookmarkStart w:id="427" w:name="_Toc151193851"/>
      <w:bookmarkStart w:id="428" w:name="_Toc151193779"/>
      <w:bookmarkStart w:id="429" w:name="_Toc226965727"/>
      <w:bookmarkStart w:id="430" w:name="_Toc164229378"/>
      <w:bookmarkStart w:id="431" w:name="_Toc151190164"/>
      <w:r>
        <w:rPr>
          <w:rFonts w:hint="eastAsia" w:ascii="宋体" w:hAnsi="宋体" w:eastAsia="宋体"/>
          <w:sz w:val="24"/>
          <w:highlight w:val="none"/>
        </w:rPr>
        <w:t>供应商应在磋商邀请中规定的截止日期和时间内，将首次磋商响应文件递交采购单位，递交地点应是磋商邀请书中规定的地址。</w:t>
      </w:r>
    </w:p>
    <w:p w14:paraId="5B24EBD0">
      <w:pPr>
        <w:numPr>
          <w:ilvl w:val="1"/>
          <w:numId w:val="13"/>
        </w:numPr>
        <w:tabs>
          <w:tab w:val="left" w:pos="900"/>
          <w:tab w:val="left" w:pos="1080"/>
          <w:tab w:val="left" w:pos="2014"/>
        </w:tabs>
        <w:snapToGrid w:val="0"/>
        <w:spacing w:line="360" w:lineRule="auto"/>
        <w:ind w:left="1077" w:hanging="720"/>
        <w:rPr>
          <w:rFonts w:ascii="宋体" w:hAnsi="宋体" w:eastAsia="宋体"/>
          <w:sz w:val="24"/>
          <w:highlight w:val="none"/>
        </w:rPr>
      </w:pPr>
      <w:r>
        <w:rPr>
          <w:rFonts w:hint="eastAsia" w:ascii="宋体" w:hAnsi="宋体" w:eastAsia="宋体"/>
          <w:sz w:val="24"/>
          <w:highlight w:val="none"/>
        </w:rPr>
        <w:t>采购单位有权按本须知的规定，通过修改磋商文件延长首次磋商响应文件递交截止期。在此情况下，采购单位和供应商受首次磋商响应文件递交截止期制约的所有权利和义务均应延长至新的截止期。</w:t>
      </w:r>
    </w:p>
    <w:p w14:paraId="2113B831">
      <w:pPr>
        <w:numPr>
          <w:ilvl w:val="1"/>
          <w:numId w:val="13"/>
        </w:numPr>
        <w:tabs>
          <w:tab w:val="left" w:pos="900"/>
          <w:tab w:val="left" w:pos="1080"/>
          <w:tab w:val="left" w:pos="2014"/>
        </w:tabs>
        <w:snapToGrid w:val="0"/>
        <w:spacing w:line="360" w:lineRule="auto"/>
        <w:ind w:left="1077" w:hanging="720"/>
        <w:rPr>
          <w:rFonts w:ascii="宋体" w:hAnsi="宋体" w:eastAsia="宋体"/>
          <w:sz w:val="24"/>
          <w:highlight w:val="none"/>
        </w:rPr>
      </w:pPr>
      <w:r>
        <w:rPr>
          <w:rFonts w:hint="eastAsia" w:ascii="宋体" w:hAnsi="宋体" w:eastAsia="宋体"/>
          <w:sz w:val="24"/>
          <w:highlight w:val="none"/>
        </w:rPr>
        <w:t>采购单位将拒绝并原封退回在本须知规定的首次磋商响应文件递交截止期后收到的任何磋商响应文件。</w:t>
      </w:r>
    </w:p>
    <w:p w14:paraId="29E38D3C">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响应文件的修改与撤回</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4007A6AD">
      <w:pPr>
        <w:numPr>
          <w:ilvl w:val="1"/>
          <w:numId w:val="13"/>
        </w:numPr>
        <w:tabs>
          <w:tab w:val="left" w:pos="1080"/>
          <w:tab w:val="left" w:pos="2014"/>
        </w:tabs>
        <w:snapToGrid w:val="0"/>
        <w:spacing w:line="360" w:lineRule="auto"/>
        <w:ind w:left="1077" w:hanging="720"/>
        <w:rPr>
          <w:rFonts w:ascii="宋体" w:hAnsi="宋体" w:eastAsia="宋体"/>
          <w:sz w:val="24"/>
          <w:highlight w:val="none"/>
        </w:rPr>
      </w:pPr>
      <w:r>
        <w:rPr>
          <w:rFonts w:ascii="宋体" w:hAnsi="宋体" w:eastAsia="宋体"/>
          <w:sz w:val="24"/>
          <w:highlight w:val="none"/>
        </w:rPr>
        <w:t>提交响应文件截止时间前，供应商可以对所提交的响应文件进行补充、修改或者撤回。磋商保证金</w:t>
      </w:r>
      <w:r>
        <w:rPr>
          <w:rFonts w:hint="eastAsia" w:ascii="宋体" w:hAnsi="宋体" w:eastAsia="宋体"/>
          <w:sz w:val="24"/>
          <w:highlight w:val="none"/>
        </w:rPr>
        <w:t>的</w:t>
      </w:r>
      <w:r>
        <w:rPr>
          <w:rFonts w:ascii="宋体" w:hAnsi="宋体" w:eastAsia="宋体"/>
          <w:sz w:val="24"/>
          <w:highlight w:val="none"/>
        </w:rPr>
        <w:t>补充、修改或者撤回应</w:t>
      </w:r>
      <w:r>
        <w:rPr>
          <w:rFonts w:hint="eastAsia" w:ascii="宋体" w:hAnsi="宋体" w:eastAsia="宋体"/>
          <w:sz w:val="24"/>
          <w:highlight w:val="none"/>
        </w:rPr>
        <w:t>就其</w:t>
      </w:r>
      <w:r>
        <w:rPr>
          <w:rFonts w:ascii="宋体" w:hAnsi="宋体" w:eastAsia="宋体"/>
          <w:sz w:val="24"/>
          <w:highlight w:val="none"/>
        </w:rPr>
        <w:t>补充、修改或者撤回</w:t>
      </w:r>
      <w:r>
        <w:rPr>
          <w:rFonts w:hint="eastAsia" w:ascii="宋体" w:hAnsi="宋体" w:eastAsia="宋体"/>
          <w:sz w:val="24"/>
          <w:highlight w:val="none"/>
        </w:rPr>
        <w:t>通知</w:t>
      </w:r>
      <w:r>
        <w:rPr>
          <w:rFonts w:ascii="宋体" w:hAnsi="宋体" w:eastAsia="宋体"/>
          <w:sz w:val="24"/>
          <w:highlight w:val="none"/>
        </w:rPr>
        <w:t>采购人或采购代理机构。</w:t>
      </w:r>
    </w:p>
    <w:p w14:paraId="5F68E90F">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供应商对响应文件的补充、修改的内容应当按照竞争性磋商文件要求签署、盖章，作为响应文件的组成部分。</w:t>
      </w:r>
      <w:r>
        <w:rPr>
          <w:rFonts w:eastAsia="宋体"/>
          <w:kern w:val="0"/>
          <w:sz w:val="24"/>
          <w:highlight w:val="none"/>
        </w:rPr>
        <w:t>补充、修改的内容与响应文件不一致的，以补充、修改的内容为准。</w:t>
      </w:r>
    </w:p>
    <w:p w14:paraId="41B897A0">
      <w:pPr>
        <w:tabs>
          <w:tab w:val="left" w:pos="900"/>
          <w:tab w:val="left" w:pos="1080"/>
          <w:tab w:val="left" w:pos="1589"/>
        </w:tabs>
        <w:snapToGrid w:val="0"/>
        <w:spacing w:line="360" w:lineRule="auto"/>
        <w:ind w:left="357"/>
        <w:rPr>
          <w:rFonts w:eastAsia="宋体"/>
          <w:sz w:val="24"/>
          <w:highlight w:val="none"/>
        </w:rPr>
      </w:pPr>
    </w:p>
    <w:p w14:paraId="22830E5A">
      <w:pPr>
        <w:pStyle w:val="3"/>
        <w:spacing w:before="0" w:line="360" w:lineRule="auto"/>
        <w:rPr>
          <w:rFonts w:ascii="Times New Roman" w:hAnsi="Times New Roman" w:eastAsia="宋体"/>
          <w:sz w:val="28"/>
          <w:highlight w:val="none"/>
        </w:rPr>
      </w:pPr>
      <w:bookmarkStart w:id="432" w:name="_Toc150480776"/>
      <w:bookmarkStart w:id="433" w:name="_Toc265228376"/>
      <w:bookmarkStart w:id="434" w:name="_Toc127151538"/>
      <w:bookmarkStart w:id="435" w:name="_Toc520356163"/>
      <w:bookmarkStart w:id="436" w:name="_Toc195842903"/>
      <w:bookmarkStart w:id="437" w:name="_Toc305158806"/>
      <w:bookmarkStart w:id="438" w:name="_Toc226309782"/>
      <w:bookmarkStart w:id="439" w:name="_Toc151193926"/>
      <w:bookmarkStart w:id="440" w:name="_Toc226965728"/>
      <w:bookmarkStart w:id="441" w:name="_Toc150509289"/>
      <w:bookmarkStart w:id="442" w:name="_Toc142311040"/>
      <w:bookmarkStart w:id="443" w:name="_Toc150774638"/>
      <w:bookmarkStart w:id="444" w:name="_Toc226337234"/>
      <w:bookmarkStart w:id="445" w:name="_Toc226965811"/>
      <w:bookmarkStart w:id="446" w:name="_Toc264969228"/>
      <w:bookmarkStart w:id="447" w:name="_Toc150774743"/>
      <w:bookmarkStart w:id="448" w:name="_Toc151193708"/>
      <w:bookmarkStart w:id="449" w:name="_Toc305158880"/>
      <w:bookmarkStart w:id="450" w:name="_Toc151193636"/>
      <w:bookmarkStart w:id="451" w:name="_Toc151190165"/>
      <w:bookmarkStart w:id="452" w:name="_Toc151193780"/>
      <w:bookmarkStart w:id="453" w:name="_Toc151193852"/>
      <w:r>
        <w:rPr>
          <w:rFonts w:ascii="Times New Roman" w:hAnsi="Times New Roman" w:eastAsia="宋体"/>
          <w:sz w:val="28"/>
          <w:highlight w:val="none"/>
        </w:rPr>
        <w:t xml:space="preserve">五   </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Pr>
          <w:rFonts w:ascii="Times New Roman" w:hAnsi="Times New Roman" w:eastAsia="宋体"/>
          <w:sz w:val="28"/>
          <w:highlight w:val="none"/>
        </w:rPr>
        <w:t>评审</w:t>
      </w:r>
    </w:p>
    <w:p w14:paraId="6931A41B">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响应文件的</w:t>
      </w:r>
      <w:r>
        <w:rPr>
          <w:rFonts w:hint="eastAsia"/>
          <w:sz w:val="24"/>
          <w:highlight w:val="none"/>
          <w:lang w:val="en-US" w:eastAsia="zh-CN"/>
        </w:rPr>
        <w:t>递交</w:t>
      </w:r>
      <w:r>
        <w:rPr>
          <w:rFonts w:hint="eastAsia" w:eastAsia="宋体"/>
          <w:sz w:val="24"/>
          <w:highlight w:val="none"/>
        </w:rPr>
        <w:t>与</w:t>
      </w:r>
      <w:r>
        <w:rPr>
          <w:rFonts w:eastAsia="宋体"/>
          <w:sz w:val="24"/>
          <w:highlight w:val="none"/>
        </w:rPr>
        <w:t>开启</w:t>
      </w:r>
    </w:p>
    <w:p w14:paraId="61CF3127">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采购人或采购代理机构将按竞争性磋商文件的规定，在响应文件提交截止时间的同一时间和竞争性磋商文件预先确定的地点开启响应文件。</w:t>
      </w:r>
    </w:p>
    <w:p w14:paraId="639CEC7E">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4C879F01">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供应商不足3家的，</w:t>
      </w:r>
      <w:r>
        <w:rPr>
          <w:rFonts w:ascii="宋体" w:hAnsi="宋体" w:eastAsia="宋体"/>
          <w:sz w:val="24"/>
          <w:highlight w:val="none"/>
        </w:rPr>
        <w:t>响应文件</w:t>
      </w:r>
      <w:r>
        <w:rPr>
          <w:rFonts w:eastAsia="宋体"/>
          <w:sz w:val="24"/>
          <w:highlight w:val="none"/>
        </w:rPr>
        <w:t>不予</w:t>
      </w:r>
      <w:r>
        <w:rPr>
          <w:rFonts w:ascii="宋体" w:hAnsi="宋体" w:eastAsia="宋体"/>
          <w:sz w:val="24"/>
          <w:highlight w:val="none"/>
        </w:rPr>
        <w:t>开启</w:t>
      </w:r>
      <w:r>
        <w:rPr>
          <w:rFonts w:eastAsia="宋体"/>
          <w:sz w:val="24"/>
          <w:highlight w:val="none"/>
        </w:rPr>
        <w:t>。</w:t>
      </w:r>
    </w:p>
    <w:p w14:paraId="1ECDE23B">
      <w:pPr>
        <w:numPr>
          <w:ilvl w:val="1"/>
          <w:numId w:val="13"/>
        </w:numPr>
        <w:tabs>
          <w:tab w:val="left" w:pos="1080"/>
          <w:tab w:val="left" w:pos="2014"/>
        </w:tabs>
        <w:snapToGrid w:val="0"/>
        <w:spacing w:line="360" w:lineRule="auto"/>
        <w:ind w:left="1077" w:hanging="720"/>
        <w:rPr>
          <w:rFonts w:eastAsia="宋体"/>
          <w:sz w:val="24"/>
          <w:highlight w:val="none"/>
        </w:rPr>
      </w:pPr>
      <w:bookmarkStart w:id="454" w:name="_Toc520356165"/>
      <w:r>
        <w:rPr>
          <w:rFonts w:eastAsia="宋体"/>
          <w:sz w:val="24"/>
          <w:highlight w:val="none"/>
        </w:rPr>
        <w:t>本项目不公开报价。</w:t>
      </w:r>
    </w:p>
    <w:bookmarkEnd w:id="454"/>
    <w:p w14:paraId="039FE9F8">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磋商小组</w:t>
      </w:r>
    </w:p>
    <w:p w14:paraId="6C2511E6">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磋商小组根据政府采购有关规定和本次采购项目的特点进行组建，并负责具体评审</w:t>
      </w:r>
      <w:r>
        <w:rPr>
          <w:rFonts w:hint="eastAsia"/>
          <w:sz w:val="24"/>
          <w:highlight w:val="none"/>
          <w:lang w:val="en-US" w:eastAsia="zh-CN"/>
        </w:rPr>
        <w:t>与磋商</w:t>
      </w:r>
      <w:r>
        <w:rPr>
          <w:rFonts w:eastAsia="宋体"/>
          <w:sz w:val="24"/>
          <w:highlight w:val="none"/>
        </w:rPr>
        <w:t>事务，独立履行职责。</w:t>
      </w:r>
      <w:bookmarkStart w:id="455" w:name="_Toc520356166"/>
    </w:p>
    <w:p w14:paraId="3FB38CE3">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455"/>
      <w:bookmarkStart w:id="456" w:name="_Toc520356169"/>
    </w:p>
    <w:p w14:paraId="27788056">
      <w:pPr>
        <w:numPr>
          <w:ilvl w:val="0"/>
          <w:numId w:val="13"/>
        </w:numPr>
        <w:tabs>
          <w:tab w:val="left" w:pos="360"/>
        </w:tabs>
        <w:snapToGrid w:val="0"/>
        <w:spacing w:line="360" w:lineRule="auto"/>
        <w:outlineLvl w:val="1"/>
        <w:rPr>
          <w:rFonts w:eastAsia="宋体"/>
          <w:sz w:val="24"/>
          <w:highlight w:val="none"/>
        </w:rPr>
      </w:pPr>
      <w:r>
        <w:rPr>
          <w:rFonts w:eastAsia="宋体"/>
          <w:sz w:val="24"/>
          <w:highlight w:val="none"/>
        </w:rPr>
        <w:t>评审方法和评审标准</w:t>
      </w:r>
    </w:p>
    <w:p w14:paraId="4163EFD0">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见第三章《评审方法和评审标准》。</w:t>
      </w:r>
    </w:p>
    <w:p w14:paraId="2BAD5268">
      <w:pPr>
        <w:tabs>
          <w:tab w:val="left" w:pos="360"/>
          <w:tab w:val="left" w:pos="1080"/>
        </w:tabs>
        <w:snapToGrid w:val="0"/>
        <w:spacing w:line="360" w:lineRule="auto"/>
        <w:ind w:left="1080"/>
        <w:rPr>
          <w:rFonts w:eastAsia="宋体"/>
          <w:sz w:val="24"/>
          <w:highlight w:val="none"/>
        </w:rPr>
      </w:pPr>
    </w:p>
    <w:p w14:paraId="18F8BFE8">
      <w:pPr>
        <w:pStyle w:val="3"/>
        <w:spacing w:before="0" w:line="360" w:lineRule="auto"/>
        <w:rPr>
          <w:rFonts w:ascii="Times New Roman" w:hAnsi="Times New Roman" w:eastAsia="宋体"/>
          <w:sz w:val="28"/>
          <w:highlight w:val="none"/>
        </w:rPr>
      </w:pPr>
      <w:bookmarkStart w:id="457" w:name="_Toc142311047"/>
      <w:bookmarkStart w:id="458" w:name="_Toc226337241"/>
      <w:bookmarkStart w:id="459" w:name="_Toc151190172"/>
      <w:bookmarkStart w:id="460" w:name="_Toc150509296"/>
      <w:bookmarkStart w:id="461" w:name="_Toc151193715"/>
      <w:bookmarkStart w:id="462" w:name="_Toc226965735"/>
      <w:bookmarkStart w:id="463" w:name="_Toc150774645"/>
      <w:bookmarkStart w:id="464" w:name="_Toc151193643"/>
      <w:bookmarkStart w:id="465" w:name="_Toc151193787"/>
      <w:bookmarkStart w:id="466" w:name="_Toc195842910"/>
      <w:bookmarkStart w:id="467" w:name="_Toc264969235"/>
      <w:bookmarkStart w:id="468" w:name="_Toc127151545"/>
      <w:bookmarkStart w:id="469" w:name="_Toc226965818"/>
      <w:bookmarkStart w:id="470" w:name="_Toc150480783"/>
      <w:bookmarkStart w:id="471" w:name="_Toc305158813"/>
      <w:bookmarkStart w:id="472" w:name="_Toc305158887"/>
      <w:bookmarkStart w:id="473" w:name="_Toc151193859"/>
      <w:bookmarkStart w:id="474" w:name="_Toc226309789"/>
      <w:bookmarkStart w:id="475" w:name="_Toc150774750"/>
      <w:bookmarkStart w:id="476" w:name="_Toc151193933"/>
      <w:bookmarkStart w:id="477" w:name="_Toc265228383"/>
      <w:r>
        <w:rPr>
          <w:rFonts w:ascii="Times New Roman" w:hAnsi="Times New Roman" w:eastAsia="宋体"/>
          <w:sz w:val="28"/>
          <w:highlight w:val="none"/>
        </w:rPr>
        <w:t xml:space="preserve">六   </w:t>
      </w:r>
      <w:bookmarkEnd w:id="456"/>
      <w:r>
        <w:rPr>
          <w:rFonts w:ascii="Times New Roman" w:hAnsi="Times New Roman" w:eastAsia="宋体"/>
          <w:sz w:val="28"/>
          <w:highlight w:val="none"/>
        </w:rPr>
        <w:t>确定</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Pr>
          <w:rFonts w:ascii="Times New Roman" w:hAnsi="Times New Roman" w:eastAsia="宋体"/>
          <w:sz w:val="28"/>
          <w:highlight w:val="none"/>
        </w:rPr>
        <w:t>成交</w:t>
      </w:r>
    </w:p>
    <w:p w14:paraId="7AE35677">
      <w:pPr>
        <w:numPr>
          <w:ilvl w:val="0"/>
          <w:numId w:val="13"/>
        </w:numPr>
        <w:tabs>
          <w:tab w:val="left" w:pos="360"/>
        </w:tabs>
        <w:snapToGrid w:val="0"/>
        <w:spacing w:line="360" w:lineRule="auto"/>
        <w:ind w:left="357" w:hanging="357"/>
        <w:outlineLvl w:val="1"/>
        <w:rPr>
          <w:rFonts w:eastAsia="宋体"/>
          <w:sz w:val="24"/>
          <w:highlight w:val="none"/>
        </w:rPr>
      </w:pPr>
      <w:bookmarkStart w:id="478" w:name="_Toc150509298"/>
      <w:bookmarkStart w:id="479" w:name="_Toc127161461"/>
      <w:bookmarkStart w:id="480" w:name="_Toc127151547"/>
      <w:bookmarkStart w:id="481" w:name="_Toc151193861"/>
      <w:bookmarkStart w:id="482" w:name="_Toc226965737"/>
      <w:bookmarkStart w:id="483" w:name="_Toc151193645"/>
      <w:bookmarkStart w:id="484" w:name="_Toc305158889"/>
      <w:bookmarkStart w:id="485" w:name="_Toc195842912"/>
      <w:bookmarkStart w:id="486" w:name="_Toc164229242"/>
      <w:bookmarkStart w:id="487" w:name="_Toc150774752"/>
      <w:bookmarkStart w:id="488" w:name="_Toc149720840"/>
      <w:bookmarkStart w:id="489" w:name="_Toc264969237"/>
      <w:bookmarkStart w:id="490" w:name="_Toc150774647"/>
      <w:bookmarkStart w:id="491" w:name="_Toc164229388"/>
      <w:bookmarkStart w:id="492" w:name="_Toc226337243"/>
      <w:bookmarkStart w:id="493" w:name="_Toc305158815"/>
      <w:bookmarkStart w:id="494" w:name="_Toc265228385"/>
      <w:bookmarkStart w:id="495" w:name="_Toc127151748"/>
      <w:bookmarkStart w:id="496" w:name="_Toc151190174"/>
      <w:bookmarkStart w:id="497" w:name="_Toc226309791"/>
      <w:bookmarkStart w:id="498" w:name="_Toc151193717"/>
      <w:bookmarkStart w:id="499" w:name="_Toc151193789"/>
      <w:bookmarkStart w:id="500" w:name="_Toc164608661"/>
      <w:bookmarkStart w:id="501" w:name="_Toc150480785"/>
      <w:bookmarkStart w:id="502" w:name="_Toc151193935"/>
      <w:bookmarkStart w:id="503" w:name="_Toc164351641"/>
      <w:bookmarkStart w:id="504" w:name="_Toc142311049"/>
      <w:bookmarkStart w:id="505" w:name="_Toc226965820"/>
      <w:bookmarkStart w:id="506" w:name="_Toc164608816"/>
      <w:r>
        <w:rPr>
          <w:rFonts w:eastAsia="宋体"/>
          <w:sz w:val="24"/>
          <w:highlight w:val="none"/>
        </w:rPr>
        <w:t>确定成交供应商</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5F712C71">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采购人将在收到评审报告后，从评审报告提出的成交候选供应商中，按照排序由高到低的原则确定成交供应商</w:t>
      </w:r>
      <w:r>
        <w:rPr>
          <w:rFonts w:hint="eastAsia" w:eastAsia="宋体"/>
          <w:sz w:val="24"/>
          <w:highlight w:val="none"/>
        </w:rPr>
        <w:t>。</w:t>
      </w:r>
      <w:r>
        <w:rPr>
          <w:rFonts w:eastAsia="宋体"/>
          <w:sz w:val="24"/>
          <w:highlight w:val="none"/>
        </w:rPr>
        <w:t>采购人是否授权</w:t>
      </w:r>
      <w:r>
        <w:rPr>
          <w:rFonts w:hint="eastAsia" w:eastAsia="宋体"/>
          <w:sz w:val="24"/>
          <w:highlight w:val="none"/>
        </w:rPr>
        <w:t>磋商</w:t>
      </w:r>
      <w:r>
        <w:rPr>
          <w:rFonts w:eastAsia="宋体"/>
          <w:sz w:val="24"/>
          <w:highlight w:val="none"/>
        </w:rPr>
        <w:t>小组直接确定成交供应商，见《供应商须知资料表》。成交候选人并列的，按照《供应商须知资料表》要求确定成交供应商。</w:t>
      </w:r>
    </w:p>
    <w:p w14:paraId="25478C69">
      <w:pPr>
        <w:numPr>
          <w:ilvl w:val="0"/>
          <w:numId w:val="13"/>
        </w:numPr>
        <w:tabs>
          <w:tab w:val="left" w:pos="360"/>
        </w:tabs>
        <w:snapToGrid w:val="0"/>
        <w:spacing w:line="360" w:lineRule="auto"/>
        <w:ind w:left="357" w:hanging="357"/>
        <w:outlineLvl w:val="1"/>
        <w:rPr>
          <w:rFonts w:eastAsia="宋体"/>
          <w:sz w:val="24"/>
          <w:highlight w:val="none"/>
        </w:rPr>
      </w:pPr>
      <w:bookmarkStart w:id="507" w:name="_Toc305158817"/>
      <w:bookmarkStart w:id="508" w:name="_Toc305158891"/>
      <w:bookmarkStart w:id="509" w:name="_Toc195842914"/>
      <w:bookmarkStart w:id="510" w:name="_Toc151193719"/>
      <w:bookmarkStart w:id="511" w:name="_Toc164351643"/>
      <w:bookmarkStart w:id="512" w:name="_Toc150509300"/>
      <w:bookmarkStart w:id="513" w:name="_Toc226965739"/>
      <w:bookmarkStart w:id="514" w:name="_Toc164608663"/>
      <w:bookmarkStart w:id="515" w:name="_Toc164229244"/>
      <w:bookmarkStart w:id="516" w:name="_Toc226309793"/>
      <w:bookmarkStart w:id="517" w:name="_Toc226337245"/>
      <w:bookmarkStart w:id="518" w:name="_Toc151193937"/>
      <w:bookmarkStart w:id="519" w:name="_Toc127151549"/>
      <w:bookmarkStart w:id="520" w:name="_Toc164608818"/>
      <w:bookmarkStart w:id="521" w:name="_Toc150774754"/>
      <w:bookmarkStart w:id="522" w:name="_Toc264969239"/>
      <w:bookmarkStart w:id="523" w:name="_Toc142311051"/>
      <w:bookmarkStart w:id="524" w:name="_Toc150774649"/>
      <w:bookmarkStart w:id="525" w:name="_Toc127151750"/>
      <w:bookmarkStart w:id="526" w:name="_Toc164229390"/>
      <w:bookmarkStart w:id="527" w:name="_Toc151193863"/>
      <w:bookmarkStart w:id="528" w:name="_Toc150480787"/>
      <w:bookmarkStart w:id="529" w:name="_Toc127161463"/>
      <w:bookmarkStart w:id="530" w:name="_Toc149720842"/>
      <w:bookmarkStart w:id="531" w:name="_Toc226965822"/>
      <w:bookmarkStart w:id="532" w:name="_Toc265228387"/>
      <w:bookmarkStart w:id="533" w:name="_Toc151190176"/>
      <w:bookmarkStart w:id="534" w:name="_Toc151193647"/>
      <w:bookmarkStart w:id="535" w:name="_Toc151193791"/>
      <w:bookmarkStart w:id="536" w:name="_Ref467306425"/>
      <w:bookmarkStart w:id="537" w:name="_Ref467307090"/>
      <w:bookmarkStart w:id="538" w:name="_Toc520356176"/>
      <w:r>
        <w:rPr>
          <w:rFonts w:eastAsia="宋体"/>
          <w:sz w:val="24"/>
          <w:highlight w:val="none"/>
        </w:rPr>
        <w:t>成交公告与成交通知书</w:t>
      </w:r>
      <w:bookmarkEnd w:id="507"/>
      <w:bookmarkEnd w:id="508"/>
    </w:p>
    <w:p w14:paraId="5BA9D3B0">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采购人或采购代理机构将</w:t>
      </w:r>
      <w:r>
        <w:rPr>
          <w:rFonts w:eastAsia="宋体"/>
          <w:kern w:val="0"/>
          <w:sz w:val="24"/>
          <w:highlight w:val="none"/>
        </w:rPr>
        <w:t>在成交供应商确定后2个工作日内，在</w:t>
      </w:r>
      <w:r>
        <w:rPr>
          <w:rFonts w:hint="eastAsia" w:eastAsia="宋体"/>
          <w:sz w:val="24"/>
          <w:highlight w:val="none"/>
        </w:rPr>
        <w:t>北京市政府采购网</w:t>
      </w:r>
      <w:r>
        <w:rPr>
          <w:rFonts w:eastAsia="宋体"/>
          <w:kern w:val="0"/>
          <w:sz w:val="24"/>
          <w:highlight w:val="none"/>
        </w:rPr>
        <w:t>公告成交结果，同时向成交供应商发出成交通知书，</w:t>
      </w:r>
      <w:r>
        <w:rPr>
          <w:rFonts w:eastAsia="宋体"/>
          <w:sz w:val="24"/>
          <w:highlight w:val="none"/>
        </w:rPr>
        <w:t>成交公告期限为1个工作日。</w:t>
      </w:r>
    </w:p>
    <w:p w14:paraId="0BDEFAB2">
      <w:pPr>
        <w:numPr>
          <w:ilvl w:val="1"/>
          <w:numId w:val="13"/>
        </w:numPr>
        <w:tabs>
          <w:tab w:val="left" w:pos="1080"/>
          <w:tab w:val="left" w:pos="2014"/>
        </w:tabs>
        <w:snapToGrid w:val="0"/>
        <w:spacing w:line="360" w:lineRule="auto"/>
        <w:ind w:left="1080" w:hanging="720"/>
        <w:rPr>
          <w:rFonts w:hint="eastAsia" w:eastAsia="宋体"/>
          <w:sz w:val="24"/>
          <w:highlight w:val="none"/>
        </w:rPr>
      </w:pPr>
      <w:r>
        <w:rPr>
          <w:rFonts w:hint="eastAsia" w:eastAsia="宋体"/>
          <w:sz w:val="24"/>
          <w:highlight w:val="none"/>
        </w:rPr>
        <w:t>成交通知书对采购人和成交供应商均具有法律效力。成交通知书发出后，采 购人改变成交结果的，或者成交供应商放弃成交项目的， 应当依法承担法律</w:t>
      </w:r>
    </w:p>
    <w:p w14:paraId="62953CFB">
      <w:pPr>
        <w:numPr>
          <w:ilvl w:val="0"/>
          <w:numId w:val="0"/>
        </w:numPr>
        <w:tabs>
          <w:tab w:val="left" w:pos="1080"/>
          <w:tab w:val="left" w:pos="2014"/>
        </w:tabs>
        <w:snapToGrid w:val="0"/>
        <w:spacing w:line="360" w:lineRule="auto"/>
        <w:ind w:left="360" w:leftChars="0" w:firstLine="720" w:firstLineChars="300"/>
        <w:rPr>
          <w:rFonts w:eastAsia="宋体"/>
          <w:sz w:val="24"/>
          <w:highlight w:val="none"/>
        </w:rPr>
      </w:pPr>
      <w:r>
        <w:rPr>
          <w:rFonts w:hint="eastAsia" w:eastAsia="宋体"/>
          <w:sz w:val="24"/>
          <w:highlight w:val="none"/>
        </w:rPr>
        <w:t>责任。</w:t>
      </w:r>
    </w:p>
    <w:p w14:paraId="45899EFB">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终止</w:t>
      </w:r>
    </w:p>
    <w:p w14:paraId="4B6AFB7B">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出现下列情形之一的，采购人或采购代理机构将终止竞争性磋商采购活动，发布项目终止公告并说明原因，重新开展采购活动：</w:t>
      </w:r>
    </w:p>
    <w:p w14:paraId="4D4B1CDD">
      <w:pPr>
        <w:numPr>
          <w:ilvl w:val="2"/>
          <w:numId w:val="13"/>
        </w:numPr>
        <w:snapToGrid w:val="0"/>
        <w:spacing w:line="360" w:lineRule="auto"/>
        <w:rPr>
          <w:rFonts w:eastAsia="宋体"/>
          <w:sz w:val="24"/>
          <w:highlight w:val="none"/>
        </w:rPr>
      </w:pPr>
      <w:r>
        <w:rPr>
          <w:rFonts w:eastAsia="宋体"/>
          <w:sz w:val="24"/>
          <w:highlight w:val="none"/>
        </w:rPr>
        <w:t>因情况变化，不再符合规定的竞争性磋商采购方式适用情形的；</w:t>
      </w:r>
    </w:p>
    <w:p w14:paraId="770228F3">
      <w:pPr>
        <w:numPr>
          <w:ilvl w:val="2"/>
          <w:numId w:val="13"/>
        </w:numPr>
        <w:snapToGrid w:val="0"/>
        <w:spacing w:line="360" w:lineRule="auto"/>
        <w:rPr>
          <w:rFonts w:eastAsia="宋体"/>
          <w:sz w:val="24"/>
          <w:highlight w:val="none"/>
        </w:rPr>
      </w:pPr>
      <w:r>
        <w:rPr>
          <w:rFonts w:eastAsia="宋体"/>
          <w:sz w:val="24"/>
          <w:highlight w:val="none"/>
        </w:rPr>
        <w:t>出现影响采购公正的违法、违规行为的；</w:t>
      </w:r>
    </w:p>
    <w:p w14:paraId="018BB6E2">
      <w:pPr>
        <w:numPr>
          <w:ilvl w:val="2"/>
          <w:numId w:val="13"/>
        </w:numPr>
        <w:snapToGrid w:val="0"/>
        <w:spacing w:line="360" w:lineRule="auto"/>
        <w:rPr>
          <w:rFonts w:eastAsia="宋体"/>
          <w:sz w:val="24"/>
          <w:highlight w:val="none"/>
        </w:rPr>
      </w:pPr>
      <w:r>
        <w:rPr>
          <w:rFonts w:eastAsia="宋体"/>
          <w:snapToGrid w:val="0"/>
          <w:kern w:val="0"/>
          <w:sz w:val="24"/>
          <w:szCs w:val="20"/>
          <w:highlight w:val="none"/>
        </w:rPr>
        <w:t>除了“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14:paraId="35258612">
      <w:pPr>
        <w:numPr>
          <w:ilvl w:val="0"/>
          <w:numId w:val="13"/>
        </w:numPr>
        <w:tabs>
          <w:tab w:val="left" w:pos="360"/>
        </w:tabs>
        <w:snapToGrid w:val="0"/>
        <w:spacing w:line="360" w:lineRule="auto"/>
        <w:ind w:left="357" w:hanging="357"/>
        <w:outlineLvl w:val="1"/>
        <w:rPr>
          <w:rFonts w:eastAsia="宋体"/>
          <w:sz w:val="24"/>
          <w:highlight w:val="none"/>
        </w:rPr>
      </w:pPr>
      <w:bookmarkStart w:id="539" w:name="_Toc151193864"/>
      <w:bookmarkStart w:id="540" w:name="_Toc164229245"/>
      <w:bookmarkStart w:id="541" w:name="_Toc164608664"/>
      <w:bookmarkStart w:id="542" w:name="_Toc164608819"/>
      <w:bookmarkStart w:id="543" w:name="_Toc151193720"/>
      <w:bookmarkStart w:id="544" w:name="_Toc226965823"/>
      <w:bookmarkStart w:id="545" w:name="_Ref467307062"/>
      <w:bookmarkStart w:id="546" w:name="_Toc520356175"/>
      <w:bookmarkStart w:id="547" w:name="_Toc226337246"/>
      <w:bookmarkStart w:id="548" w:name="_Toc150480788"/>
      <w:bookmarkStart w:id="549" w:name="_Ref467306377"/>
      <w:bookmarkStart w:id="550" w:name="_Toc150509301"/>
      <w:bookmarkStart w:id="551" w:name="_Toc195842915"/>
      <w:bookmarkStart w:id="552" w:name="_Toc226309794"/>
      <w:bookmarkStart w:id="553" w:name="_Toc127151751"/>
      <w:bookmarkStart w:id="554" w:name="_Toc151193792"/>
      <w:bookmarkStart w:id="555" w:name="_Toc164351644"/>
      <w:bookmarkStart w:id="556" w:name="_Toc150774650"/>
      <w:bookmarkStart w:id="557" w:name="_Ref467307204"/>
      <w:bookmarkStart w:id="558" w:name="_Ref467306978"/>
      <w:bookmarkStart w:id="559" w:name="_Toc149720843"/>
      <w:bookmarkStart w:id="560" w:name="_Toc127161464"/>
      <w:bookmarkStart w:id="561" w:name="_Toc226965740"/>
      <w:bookmarkStart w:id="562" w:name="_Toc127151550"/>
      <w:bookmarkStart w:id="563" w:name="_Toc151193648"/>
      <w:bookmarkStart w:id="564" w:name="_Toc151190177"/>
      <w:bookmarkStart w:id="565" w:name="_Toc305158892"/>
      <w:bookmarkStart w:id="566" w:name="_Toc142311052"/>
      <w:bookmarkStart w:id="567" w:name="_Toc305158818"/>
      <w:bookmarkStart w:id="568" w:name="_Toc150774755"/>
      <w:bookmarkStart w:id="569" w:name="_Toc164229391"/>
      <w:bookmarkStart w:id="570" w:name="_Toc265228388"/>
      <w:bookmarkStart w:id="571" w:name="_Toc264969240"/>
      <w:bookmarkStart w:id="572" w:name="_Toc151193938"/>
      <w:r>
        <w:rPr>
          <w:rFonts w:eastAsia="宋体"/>
          <w:sz w:val="24"/>
          <w:highlight w:val="none"/>
        </w:rPr>
        <w:t>签订合同</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69D2EDCF">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采购人与成交供应商</w:t>
      </w:r>
      <w:r>
        <w:rPr>
          <w:rFonts w:hint="eastAsia"/>
          <w:sz w:val="24"/>
          <w:highlight w:val="none"/>
          <w:lang w:val="en-US" w:eastAsia="zh-CN"/>
        </w:rPr>
        <w:t>应当</w:t>
      </w:r>
      <w:r>
        <w:rPr>
          <w:rFonts w:eastAsia="宋体"/>
          <w:sz w:val="24"/>
          <w:highlight w:val="none"/>
        </w:rPr>
        <w:t>在成交通知书发出之日起30日内，按照磋商文件确定的合同文本以及采购标的、规格型号、采购金额、采购数量、技术和服务要求等事项签订政府采购合同。</w:t>
      </w:r>
    </w:p>
    <w:p w14:paraId="217790FF">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5E16F42">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联合体成交的，联合体各方应当共同与采购人签订合同，就</w:t>
      </w:r>
      <w:r>
        <w:rPr>
          <w:rFonts w:hint="eastAsia" w:eastAsia="宋体"/>
          <w:sz w:val="24"/>
          <w:highlight w:val="none"/>
        </w:rPr>
        <w:t>采购合同约定的事项</w:t>
      </w:r>
      <w:r>
        <w:rPr>
          <w:rFonts w:eastAsia="宋体"/>
          <w:sz w:val="24"/>
          <w:highlight w:val="none"/>
        </w:rPr>
        <w:t>向采购人承担连带责任。</w:t>
      </w:r>
    </w:p>
    <w:p w14:paraId="3F68D4FD">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政府采购合同不能转包。</w:t>
      </w:r>
    </w:p>
    <w:p w14:paraId="4A1A0F5B">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采购人允许采用分包方式履行合同的，成交供应商可以依法采取分包方式履行合同。本项目</w:t>
      </w:r>
      <w:r>
        <w:rPr>
          <w:rFonts w:hint="eastAsia" w:eastAsia="宋体"/>
          <w:sz w:val="24"/>
          <w:highlight w:val="none"/>
        </w:rPr>
        <w:t>是</w:t>
      </w:r>
      <w:r>
        <w:rPr>
          <w:rFonts w:eastAsia="宋体"/>
          <w:sz w:val="24"/>
          <w:highlight w:val="none"/>
        </w:rPr>
        <w:t>否允许分包，见《供应商须知资料表》。政府采购合同分包履行的，应当在响应文件中载明分包承担主体，分包承担主体应当具备相应资质条件且不得再次分包，</w:t>
      </w:r>
      <w:r>
        <w:rPr>
          <w:rFonts w:eastAsia="宋体"/>
          <w:b/>
          <w:sz w:val="24"/>
          <w:highlight w:val="none"/>
        </w:rPr>
        <w:t>否则响应无效</w:t>
      </w:r>
      <w:r>
        <w:rPr>
          <w:rFonts w:eastAsia="宋体"/>
          <w:sz w:val="24"/>
          <w:highlight w:val="none"/>
        </w:rPr>
        <w:t>。成交供应商就采购项目和分包项目向采购人负责，分包供应商就分包项目承担责任。</w:t>
      </w:r>
    </w:p>
    <w:p w14:paraId="08DE019E">
      <w:pPr>
        <w:numPr>
          <w:ilvl w:val="1"/>
          <w:numId w:val="13"/>
        </w:numPr>
        <w:tabs>
          <w:tab w:val="left" w:pos="1080"/>
          <w:tab w:val="left" w:pos="2014"/>
        </w:tabs>
        <w:snapToGrid w:val="0"/>
        <w:spacing w:line="360" w:lineRule="auto"/>
        <w:ind w:left="1077" w:hanging="720"/>
        <w:rPr>
          <w:rFonts w:eastAsia="宋体"/>
          <w:sz w:val="24"/>
          <w:highlight w:val="none"/>
        </w:rPr>
      </w:pPr>
      <w:r>
        <w:rPr>
          <w:rFonts w:hint="eastAsia" w:eastAsia="宋体"/>
          <w:sz w:val="24"/>
          <w:highlight w:val="none"/>
        </w:rPr>
        <w:t>“政采贷”融资指引：详见《供应商须知资料表》。</w:t>
      </w:r>
    </w:p>
    <w:bookmarkEnd w:id="536"/>
    <w:bookmarkEnd w:id="537"/>
    <w:bookmarkEnd w:id="538"/>
    <w:p w14:paraId="067604BF">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询问与质疑</w:t>
      </w:r>
    </w:p>
    <w:p w14:paraId="6BDC0699">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询问</w:t>
      </w:r>
    </w:p>
    <w:p w14:paraId="38AAB096">
      <w:pPr>
        <w:numPr>
          <w:ilvl w:val="2"/>
          <w:numId w:val="13"/>
        </w:numPr>
        <w:snapToGrid w:val="0"/>
        <w:spacing w:line="360" w:lineRule="auto"/>
        <w:rPr>
          <w:rFonts w:eastAsia="宋体"/>
          <w:sz w:val="24"/>
          <w:highlight w:val="none"/>
        </w:rPr>
      </w:pPr>
      <w:r>
        <w:rPr>
          <w:rFonts w:eastAsia="宋体"/>
          <w:sz w:val="24"/>
          <w:highlight w:val="none"/>
        </w:rPr>
        <w:t>供应商对政府采购活动事项有疑问的，</w:t>
      </w:r>
      <w:r>
        <w:rPr>
          <w:rFonts w:hint="eastAsia" w:eastAsia="宋体"/>
          <w:sz w:val="24"/>
          <w:highlight w:val="none"/>
        </w:rPr>
        <w:t>可依法向采购人或采购代理机构提出询问，提出形式见《供应商须知资料表》</w:t>
      </w:r>
      <w:r>
        <w:rPr>
          <w:rFonts w:eastAsia="宋体"/>
          <w:sz w:val="24"/>
          <w:highlight w:val="none"/>
        </w:rPr>
        <w:t>。</w:t>
      </w:r>
    </w:p>
    <w:p w14:paraId="4DEC309B">
      <w:pPr>
        <w:numPr>
          <w:ilvl w:val="2"/>
          <w:numId w:val="13"/>
        </w:numPr>
        <w:snapToGrid w:val="0"/>
        <w:spacing w:line="360" w:lineRule="auto"/>
        <w:rPr>
          <w:rFonts w:eastAsia="宋体"/>
          <w:sz w:val="24"/>
          <w:highlight w:val="none"/>
        </w:rPr>
      </w:pPr>
      <w:r>
        <w:rPr>
          <w:rFonts w:eastAsia="宋体"/>
          <w:sz w:val="24"/>
          <w:highlight w:val="none"/>
        </w:rPr>
        <w:t>采购人或采购代理机构对供应商依法提出的询问，在3个工作日内作出答复，但答复的内容不得涉及商业秘密。</w:t>
      </w:r>
    </w:p>
    <w:p w14:paraId="2D7EA5E3">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质疑</w:t>
      </w:r>
    </w:p>
    <w:p w14:paraId="40749654">
      <w:pPr>
        <w:numPr>
          <w:ilvl w:val="2"/>
          <w:numId w:val="13"/>
        </w:numPr>
        <w:snapToGrid w:val="0"/>
        <w:spacing w:line="360" w:lineRule="auto"/>
        <w:rPr>
          <w:rFonts w:eastAsia="宋体"/>
          <w:sz w:val="24"/>
          <w:highlight w:val="none"/>
        </w:rPr>
      </w:pPr>
      <w:r>
        <w:rPr>
          <w:rFonts w:eastAsia="宋体"/>
          <w:sz w:val="24"/>
          <w:highlight w:val="none"/>
        </w:rPr>
        <w:t>供应商认为竞争性磋商文件、采购过程、成交结果使自己的权益受到损害的，可以在知道或者应知其权益受到损害之日起7个工作日内，</w:t>
      </w:r>
      <w:r>
        <w:rPr>
          <w:rFonts w:hint="eastAsia"/>
          <w:sz w:val="24"/>
          <w:highlight w:val="none"/>
          <w:lang w:val="en-US" w:eastAsia="zh-CN"/>
        </w:rPr>
        <w:t>以书面形式向采购人、采购代理机构</w:t>
      </w:r>
      <w:r>
        <w:rPr>
          <w:rFonts w:eastAsia="宋体"/>
          <w:sz w:val="24"/>
          <w:highlight w:val="none"/>
        </w:rPr>
        <w:t>提出质疑。采购人、采购代理机构在收到质疑函后7个工作日内作出答复。</w:t>
      </w:r>
    </w:p>
    <w:p w14:paraId="2DFA6001">
      <w:pPr>
        <w:numPr>
          <w:ilvl w:val="2"/>
          <w:numId w:val="13"/>
        </w:numPr>
        <w:snapToGrid w:val="0"/>
        <w:spacing w:line="360" w:lineRule="auto"/>
        <w:rPr>
          <w:rFonts w:eastAsia="宋体"/>
          <w:sz w:val="24"/>
          <w:highlight w:val="none"/>
        </w:rPr>
      </w:pPr>
      <w:r>
        <w:rPr>
          <w:rFonts w:eastAsia="宋体"/>
          <w:sz w:val="24"/>
          <w:highlight w:val="none"/>
        </w:rPr>
        <w:t>质疑函须使用财政部制定的范本文件。供应商为自然人的，</w:t>
      </w:r>
      <w:r>
        <w:rPr>
          <w:rFonts w:hint="eastAsia"/>
          <w:sz w:val="24"/>
          <w:highlight w:val="none"/>
          <w:lang w:val="en-US" w:eastAsia="zh-CN"/>
        </w:rPr>
        <w:t>质疑函</w:t>
      </w:r>
      <w:r>
        <w:rPr>
          <w:rFonts w:eastAsia="宋体"/>
          <w:sz w:val="24"/>
          <w:highlight w:val="none"/>
        </w:rPr>
        <w:t>应当由本人签字；供应商为法人或者其他组织的，</w:t>
      </w:r>
      <w:r>
        <w:rPr>
          <w:rFonts w:hint="eastAsia"/>
          <w:sz w:val="24"/>
          <w:highlight w:val="none"/>
          <w:lang w:val="en-US" w:eastAsia="zh-CN"/>
        </w:rPr>
        <w:t>质疑函</w:t>
      </w:r>
      <w:r>
        <w:rPr>
          <w:rFonts w:eastAsia="宋体"/>
          <w:sz w:val="24"/>
          <w:highlight w:val="none"/>
        </w:rPr>
        <w:t>应当由法定代表人、主要负责人，或者其授权代表签字或者盖章，并加盖公章。</w:t>
      </w:r>
    </w:p>
    <w:p w14:paraId="5C50761D">
      <w:pPr>
        <w:numPr>
          <w:ilvl w:val="2"/>
          <w:numId w:val="13"/>
        </w:numPr>
        <w:snapToGrid w:val="0"/>
        <w:spacing w:line="360" w:lineRule="auto"/>
        <w:rPr>
          <w:rFonts w:eastAsia="宋体"/>
          <w:sz w:val="24"/>
          <w:highlight w:val="none"/>
        </w:rPr>
      </w:pPr>
      <w:r>
        <w:rPr>
          <w:rFonts w:eastAsia="宋体"/>
          <w:sz w:val="24"/>
          <w:highlight w:val="none"/>
        </w:rPr>
        <w:t>供应商</w:t>
      </w:r>
      <w:r>
        <w:rPr>
          <w:rFonts w:hint="eastAsia"/>
          <w:sz w:val="24"/>
          <w:highlight w:val="none"/>
          <w:lang w:val="en-US" w:eastAsia="zh-CN"/>
        </w:rPr>
        <w:t>委托代理人进行质疑的，应当随质疑函同时提交供应商签署的授权委托书。授权委托书应当载明代理人的姓名或者名称、代理事项、 具体权限、期限和相关事项。供应商为自然人的，应当由本人签字； 供应商为法人或者其他组织的，应当由法定代表人、主要负责人签字或者盖章，并加盖公章</w:t>
      </w:r>
      <w:r>
        <w:rPr>
          <w:rFonts w:eastAsia="宋体"/>
          <w:sz w:val="24"/>
          <w:highlight w:val="none"/>
        </w:rPr>
        <w:t>。</w:t>
      </w:r>
    </w:p>
    <w:p w14:paraId="2D4632E2">
      <w:pPr>
        <w:numPr>
          <w:ilvl w:val="2"/>
          <w:numId w:val="13"/>
        </w:numPr>
        <w:snapToGrid w:val="0"/>
        <w:spacing w:line="360" w:lineRule="auto"/>
        <w:rPr>
          <w:rFonts w:eastAsia="宋体"/>
          <w:sz w:val="24"/>
          <w:highlight w:val="none"/>
        </w:rPr>
      </w:pPr>
      <w:r>
        <w:rPr>
          <w:rFonts w:hint="eastAsia" w:eastAsia="宋体"/>
          <w:sz w:val="24"/>
          <w:highlight w:val="none"/>
        </w:rPr>
        <w:t>供应商应在法定质疑期内一次性</w:t>
      </w:r>
      <w:r>
        <w:rPr>
          <w:rFonts w:hint="eastAsia"/>
          <w:sz w:val="24"/>
          <w:highlight w:val="none"/>
          <w:lang w:val="en-US" w:eastAsia="zh-CN"/>
        </w:rPr>
        <w:t>提</w:t>
      </w:r>
      <w:r>
        <w:rPr>
          <w:rFonts w:hint="eastAsia" w:eastAsia="宋体"/>
          <w:sz w:val="24"/>
          <w:highlight w:val="none"/>
        </w:rPr>
        <w:t>出针对同一采购程序环节的质疑，法定质疑期内针对同一采购程序环节再次</w:t>
      </w:r>
      <w:r>
        <w:rPr>
          <w:rFonts w:hint="eastAsia"/>
          <w:sz w:val="24"/>
          <w:highlight w:val="none"/>
          <w:lang w:val="en-US" w:eastAsia="zh-CN"/>
        </w:rPr>
        <w:t>提</w:t>
      </w:r>
      <w:r>
        <w:rPr>
          <w:rFonts w:hint="eastAsia" w:eastAsia="宋体"/>
          <w:sz w:val="24"/>
          <w:highlight w:val="none"/>
        </w:rPr>
        <w:t>出的质疑，采购人、采购代理机构有权不予答复。</w:t>
      </w:r>
    </w:p>
    <w:p w14:paraId="2561CBE0">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接收询问和质疑的联系部门、联系电话和通讯地址见《供应商须知资料表》</w:t>
      </w:r>
      <w:r>
        <w:rPr>
          <w:rFonts w:hint="eastAsia" w:eastAsia="宋体"/>
          <w:sz w:val="24"/>
          <w:highlight w:val="none"/>
        </w:rPr>
        <w:t>。</w:t>
      </w:r>
    </w:p>
    <w:p w14:paraId="163B1882">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代理费</w:t>
      </w:r>
    </w:p>
    <w:p w14:paraId="17D3E6B1">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收费对象、收费标准及缴纳时间见《供应商须知资料表》。由成交供应商支付的，成交供应商须一次性向采购代理机构缴纳代理费。</w:t>
      </w:r>
    </w:p>
    <w:p w14:paraId="1A8011F2">
      <w:pPr>
        <w:tabs>
          <w:tab w:val="left" w:pos="360"/>
          <w:tab w:val="left" w:pos="1080"/>
        </w:tabs>
        <w:snapToGrid w:val="0"/>
        <w:spacing w:line="360" w:lineRule="auto"/>
        <w:ind w:left="360"/>
        <w:rPr>
          <w:rFonts w:eastAsia="宋体"/>
          <w:sz w:val="24"/>
          <w:highlight w:val="none"/>
        </w:rPr>
      </w:pPr>
    </w:p>
    <w:p w14:paraId="1BB48E3E">
      <w:pPr>
        <w:spacing w:line="360" w:lineRule="auto"/>
        <w:jc w:val="center"/>
        <w:outlineLvl w:val="0"/>
        <w:rPr>
          <w:rFonts w:eastAsia="宋体"/>
          <w:b/>
          <w:sz w:val="36"/>
          <w:szCs w:val="36"/>
          <w:highlight w:val="none"/>
        </w:rPr>
      </w:pPr>
      <w:bookmarkStart w:id="573" w:name="_Toc353825544"/>
      <w:bookmarkStart w:id="574" w:name="_Toc353873934"/>
      <w:bookmarkStart w:id="575" w:name="_Toc150774759"/>
      <w:bookmarkStart w:id="576" w:name="_Toc226965827"/>
      <w:bookmarkStart w:id="577" w:name="_Toc353873664"/>
      <w:bookmarkStart w:id="578" w:name="_Toc150480792"/>
      <w:bookmarkStart w:id="579" w:name="_Toc264969244"/>
      <w:bookmarkStart w:id="580" w:name="_Toc305158822"/>
      <w:bookmarkStart w:id="581" w:name="_Toc305158896"/>
      <w:bookmarkStart w:id="582" w:name="_Toc142311056"/>
      <w:bookmarkStart w:id="583" w:name="_Toc265228392"/>
      <w:bookmarkStart w:id="584" w:name="_Toc127151554"/>
      <w:bookmarkStart w:id="585" w:name="_Toc226337250"/>
      <w:r>
        <w:rPr>
          <w:rFonts w:eastAsia="宋体"/>
          <w:sz w:val="24"/>
          <w:highlight w:val="none"/>
        </w:rPr>
        <w:br w:type="page"/>
      </w:r>
      <w:bookmarkStart w:id="586" w:name="_Toc361"/>
      <w:r>
        <w:rPr>
          <w:rFonts w:eastAsia="宋体"/>
          <w:b/>
          <w:sz w:val="36"/>
          <w:szCs w:val="36"/>
          <w:highlight w:val="none"/>
        </w:rPr>
        <w:t xml:space="preserve">第三章   </w:t>
      </w:r>
      <w:bookmarkEnd w:id="573"/>
      <w:bookmarkEnd w:id="574"/>
      <w:bookmarkEnd w:id="575"/>
      <w:bookmarkEnd w:id="576"/>
      <w:bookmarkEnd w:id="577"/>
      <w:bookmarkEnd w:id="578"/>
      <w:bookmarkEnd w:id="579"/>
      <w:bookmarkEnd w:id="580"/>
      <w:bookmarkEnd w:id="581"/>
      <w:bookmarkEnd w:id="582"/>
      <w:bookmarkEnd w:id="583"/>
      <w:bookmarkEnd w:id="584"/>
      <w:bookmarkEnd w:id="585"/>
      <w:r>
        <w:rPr>
          <w:rFonts w:eastAsia="宋体"/>
          <w:b/>
          <w:sz w:val="36"/>
          <w:szCs w:val="36"/>
          <w:highlight w:val="none"/>
        </w:rPr>
        <w:t>评审方法和评审标准</w:t>
      </w:r>
      <w:bookmarkEnd w:id="586"/>
      <w:bookmarkStart w:id="587" w:name="_Toc487900382"/>
    </w:p>
    <w:p w14:paraId="715F931A">
      <w:pPr>
        <w:pStyle w:val="3"/>
        <w:spacing w:before="0" w:line="360" w:lineRule="auto"/>
        <w:rPr>
          <w:rFonts w:ascii="Times New Roman" w:hAnsi="Times New Roman" w:eastAsia="宋体"/>
          <w:sz w:val="24"/>
          <w:szCs w:val="24"/>
          <w:highlight w:val="none"/>
        </w:rPr>
      </w:pPr>
      <w:r>
        <w:rPr>
          <w:rFonts w:ascii="Times New Roman" w:hAnsi="Times New Roman" w:eastAsia="宋体"/>
          <w:sz w:val="24"/>
          <w:szCs w:val="24"/>
          <w:highlight w:val="none"/>
        </w:rPr>
        <w:t>一、资格审查程序</w:t>
      </w:r>
    </w:p>
    <w:p w14:paraId="51666C43">
      <w:pPr>
        <w:tabs>
          <w:tab w:val="left" w:pos="1080"/>
        </w:tabs>
        <w:snapToGrid w:val="0"/>
        <w:jc w:val="left"/>
        <w:rPr>
          <w:rFonts w:eastAsia="宋体"/>
          <w:b/>
          <w:sz w:val="24"/>
          <w:highlight w:val="none"/>
        </w:rPr>
      </w:pPr>
      <w:r>
        <w:rPr>
          <w:rFonts w:eastAsia="宋体"/>
          <w:b/>
          <w:sz w:val="24"/>
          <w:highlight w:val="none"/>
        </w:rPr>
        <w:tab/>
      </w:r>
    </w:p>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587"/>
    <w:p w14:paraId="01A89A20">
      <w:pPr>
        <w:numPr>
          <w:ilvl w:val="0"/>
          <w:numId w:val="15"/>
        </w:numPr>
        <w:tabs>
          <w:tab w:val="left" w:pos="360"/>
        </w:tabs>
        <w:snapToGrid w:val="0"/>
        <w:spacing w:line="360" w:lineRule="auto"/>
        <w:outlineLvl w:val="1"/>
        <w:rPr>
          <w:rFonts w:eastAsia="宋体"/>
          <w:sz w:val="24"/>
          <w:highlight w:val="none"/>
        </w:rPr>
      </w:pPr>
      <w:bookmarkStart w:id="588" w:name="_Toc127161455"/>
      <w:bookmarkStart w:id="589" w:name="_Toc226337237"/>
      <w:bookmarkStart w:id="590" w:name="_Toc151190168"/>
      <w:bookmarkStart w:id="591" w:name="_Toc151193783"/>
      <w:bookmarkStart w:id="592" w:name="_Toc150509292"/>
      <w:bookmarkStart w:id="593" w:name="_Toc305158809"/>
      <w:bookmarkStart w:id="594" w:name="_Toc164229382"/>
      <w:bookmarkStart w:id="595" w:name="_Toc305158883"/>
      <w:bookmarkStart w:id="596" w:name="_Toc150480779"/>
      <w:bookmarkStart w:id="597" w:name="_Toc150774641"/>
      <w:bookmarkStart w:id="598" w:name="_Toc142311043"/>
      <w:bookmarkStart w:id="599" w:name="_Toc151193855"/>
      <w:bookmarkStart w:id="600" w:name="_Toc127151541"/>
      <w:bookmarkStart w:id="601" w:name="_Toc164229236"/>
      <w:bookmarkStart w:id="602" w:name="_Toc151193711"/>
      <w:bookmarkStart w:id="603" w:name="_Toc164608810"/>
      <w:bookmarkStart w:id="604" w:name="_Toc151193639"/>
      <w:bookmarkStart w:id="605" w:name="_Toc226965731"/>
      <w:bookmarkStart w:id="606" w:name="_Toc149720834"/>
      <w:bookmarkStart w:id="607" w:name="_Toc127151742"/>
      <w:bookmarkStart w:id="608" w:name="_Toc195842906"/>
      <w:bookmarkStart w:id="609" w:name="_Toc264969231"/>
      <w:bookmarkStart w:id="610" w:name="_Toc226309785"/>
      <w:bookmarkStart w:id="611" w:name="_Toc265228379"/>
      <w:bookmarkStart w:id="612" w:name="_Toc164608655"/>
      <w:bookmarkStart w:id="613" w:name="_Toc164351635"/>
      <w:bookmarkStart w:id="614" w:name="_Toc150774746"/>
      <w:bookmarkStart w:id="615" w:name="_Toc151193929"/>
      <w:bookmarkStart w:id="616" w:name="_Toc226965814"/>
      <w:bookmarkStart w:id="617" w:name="_Toc353873941"/>
      <w:bookmarkStart w:id="618" w:name="_Toc353825551"/>
      <w:bookmarkStart w:id="619" w:name="_Toc226965828"/>
      <w:bookmarkStart w:id="620" w:name="_Toc264969245"/>
      <w:bookmarkStart w:id="621" w:name="_Toc226337251"/>
      <w:bookmarkStart w:id="622" w:name="_Toc150480793"/>
      <w:bookmarkStart w:id="623" w:name="_Toc127151555"/>
      <w:bookmarkStart w:id="624" w:name="_Toc353873665"/>
      <w:bookmarkStart w:id="625" w:name="_Toc305158823"/>
      <w:bookmarkStart w:id="626" w:name="_Toc353825545"/>
      <w:bookmarkStart w:id="627" w:name="_Toc353873935"/>
      <w:bookmarkStart w:id="628" w:name="_Toc195842920"/>
      <w:bookmarkStart w:id="629" w:name="_Toc305158897"/>
      <w:bookmarkStart w:id="630" w:name="_Toc142311057"/>
      <w:bookmarkStart w:id="631" w:name="_Toc150774760"/>
      <w:bookmarkStart w:id="632" w:name="_Toc265228393"/>
      <w:r>
        <w:rPr>
          <w:rFonts w:eastAsia="宋体"/>
          <w:sz w:val="24"/>
          <w:highlight w:val="none"/>
        </w:rPr>
        <w:t>响应文件的</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rPr>
          <w:rFonts w:eastAsia="宋体"/>
          <w:sz w:val="24"/>
          <w:highlight w:val="none"/>
        </w:rPr>
        <w:t>资格</w:t>
      </w:r>
      <w:r>
        <w:rPr>
          <w:rFonts w:hint="eastAsia"/>
          <w:sz w:val="24"/>
          <w:highlight w:val="none"/>
          <w:lang w:val="en-US" w:eastAsia="zh-CN"/>
        </w:rPr>
        <w:t>审查</w:t>
      </w:r>
      <w:r>
        <w:rPr>
          <w:rFonts w:eastAsia="宋体"/>
          <w:sz w:val="24"/>
          <w:highlight w:val="none"/>
        </w:rPr>
        <w:t>和符合性审查</w:t>
      </w:r>
    </w:p>
    <w:p w14:paraId="25431718">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磋商小组将根据《资格</w:t>
      </w:r>
      <w:r>
        <w:rPr>
          <w:rFonts w:hint="eastAsia"/>
          <w:sz w:val="24"/>
          <w:highlight w:val="none"/>
          <w:lang w:val="en-US" w:eastAsia="zh-CN"/>
        </w:rPr>
        <w:t>审查</w:t>
      </w:r>
      <w:r>
        <w:rPr>
          <w:rFonts w:eastAsia="宋体"/>
          <w:sz w:val="24"/>
          <w:highlight w:val="none"/>
        </w:rPr>
        <w:t>要求》和《符合性审查要求》中规定的内容，对供应商进行检查，并形成检查结果。供应商《响应文件》有任何一项不符合《资格</w:t>
      </w:r>
      <w:r>
        <w:rPr>
          <w:rFonts w:hint="eastAsia"/>
          <w:sz w:val="24"/>
          <w:highlight w:val="none"/>
          <w:lang w:val="en-US" w:eastAsia="zh-CN"/>
        </w:rPr>
        <w:t>审查</w:t>
      </w:r>
      <w:r>
        <w:rPr>
          <w:rFonts w:eastAsia="宋体"/>
          <w:sz w:val="24"/>
          <w:highlight w:val="none"/>
        </w:rPr>
        <w:t>要求》和《符合性审查要求》要求的，视为未实质性响应磋商文件。未实质性响应磋商文件的响应文件按</w:t>
      </w:r>
      <w:r>
        <w:rPr>
          <w:rFonts w:eastAsia="宋体"/>
          <w:b/>
          <w:sz w:val="24"/>
          <w:highlight w:val="none"/>
        </w:rPr>
        <w:t>无效响应</w:t>
      </w:r>
      <w:r>
        <w:rPr>
          <w:rFonts w:eastAsia="宋体"/>
          <w:sz w:val="24"/>
          <w:highlight w:val="none"/>
        </w:rPr>
        <w:t>处理，磋商小组应当告知提交响应文件的供应商。</w:t>
      </w:r>
    </w:p>
    <w:p w14:paraId="6894D397">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《资格</w:t>
      </w:r>
      <w:r>
        <w:rPr>
          <w:rFonts w:hint="eastAsia"/>
          <w:sz w:val="24"/>
          <w:highlight w:val="none"/>
          <w:lang w:val="en-US" w:eastAsia="zh-CN"/>
        </w:rPr>
        <w:t>审查</w:t>
      </w:r>
      <w:r>
        <w:rPr>
          <w:rFonts w:eastAsia="宋体"/>
          <w:sz w:val="24"/>
          <w:highlight w:val="none"/>
        </w:rPr>
        <w:t>要求》中对格式有要求的，除竞争性磋商文件另有规定外，均为“实质性格式”文件。</w:t>
      </w:r>
    </w:p>
    <w:p w14:paraId="0AD3ED0E">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《资格</w:t>
      </w:r>
      <w:r>
        <w:rPr>
          <w:rFonts w:hint="eastAsia"/>
          <w:sz w:val="24"/>
          <w:highlight w:val="none"/>
          <w:lang w:val="en-US" w:eastAsia="zh-CN"/>
        </w:rPr>
        <w:t>审查</w:t>
      </w:r>
      <w:r>
        <w:rPr>
          <w:rFonts w:eastAsia="宋体"/>
          <w:sz w:val="24"/>
          <w:highlight w:val="none"/>
        </w:rPr>
        <w:t>要求》见下表：</w:t>
      </w:r>
    </w:p>
    <w:p w14:paraId="2975D977">
      <w:pPr>
        <w:tabs>
          <w:tab w:val="left" w:pos="900"/>
          <w:tab w:val="left" w:pos="1080"/>
        </w:tabs>
        <w:snapToGrid w:val="0"/>
        <w:spacing w:line="360" w:lineRule="auto"/>
        <w:ind w:left="1077" w:firstLine="2650" w:firstLineChars="1100"/>
        <w:rPr>
          <w:rFonts w:eastAsia="宋体"/>
          <w:b/>
          <w:sz w:val="24"/>
          <w:highlight w:val="none"/>
        </w:rPr>
      </w:pPr>
      <w:r>
        <w:rPr>
          <w:rFonts w:hint="eastAsia" w:eastAsia="宋体"/>
          <w:b/>
          <w:sz w:val="24"/>
          <w:highlight w:val="none"/>
        </w:rPr>
        <w:t>资格审查</w:t>
      </w:r>
      <w:r>
        <w:rPr>
          <w:rFonts w:eastAsia="宋体"/>
          <w:b/>
          <w:sz w:val="24"/>
          <w:highlight w:val="none"/>
        </w:rPr>
        <w:t>要求</w:t>
      </w:r>
    </w:p>
    <w:tbl>
      <w:tblPr>
        <w:tblStyle w:val="4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6"/>
        <w:gridCol w:w="1657"/>
        <w:gridCol w:w="4727"/>
        <w:gridCol w:w="1883"/>
      </w:tblGrid>
      <w:tr w14:paraId="60E05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488" w:type="pct"/>
            <w:noWrap w:val="0"/>
            <w:vAlign w:val="center"/>
          </w:tcPr>
          <w:p w14:paraId="03EDC8F9">
            <w:pPr>
              <w:keepNext w:val="0"/>
              <w:keepLines w:val="0"/>
              <w:suppressLineNumbers w:val="0"/>
              <w:tabs>
                <w:tab w:val="left" w:pos="1080"/>
              </w:tabs>
              <w:snapToGrid w:val="0"/>
              <w:spacing w:before="0" w:beforeAutospacing="0" w:after="0" w:afterAutospacing="0"/>
              <w:ind w:left="0" w:right="0"/>
              <w:jc w:val="center"/>
              <w:rPr>
                <w:rFonts w:hint="default" w:eastAsia="宋体"/>
                <w:b/>
                <w:sz w:val="24"/>
                <w:highlight w:val="none"/>
              </w:rPr>
            </w:pPr>
            <w:bookmarkStart w:id="633" w:name="_Hlt487972895"/>
            <w:bookmarkEnd w:id="633"/>
            <w:r>
              <w:rPr>
                <w:rFonts w:hint="default" w:eastAsia="宋体"/>
                <w:b/>
                <w:sz w:val="24"/>
                <w:highlight w:val="none"/>
              </w:rPr>
              <w:t>序号</w:t>
            </w:r>
          </w:p>
        </w:tc>
        <w:tc>
          <w:tcPr>
            <w:tcW w:w="904" w:type="pct"/>
            <w:noWrap w:val="0"/>
            <w:vAlign w:val="center"/>
          </w:tcPr>
          <w:p w14:paraId="7524C8B5">
            <w:pPr>
              <w:keepNext w:val="0"/>
              <w:keepLines w:val="0"/>
              <w:suppressLineNumbers w:val="0"/>
              <w:tabs>
                <w:tab w:val="left" w:pos="1080"/>
              </w:tabs>
              <w:snapToGrid w:val="0"/>
              <w:spacing w:before="0" w:beforeAutospacing="0" w:after="0" w:afterAutospacing="0"/>
              <w:ind w:left="0" w:right="0"/>
              <w:jc w:val="center"/>
              <w:rPr>
                <w:rFonts w:hint="default" w:eastAsia="宋体"/>
                <w:b/>
                <w:sz w:val="24"/>
                <w:highlight w:val="none"/>
              </w:rPr>
            </w:pPr>
            <w:r>
              <w:rPr>
                <w:rFonts w:hint="default" w:eastAsia="宋体"/>
                <w:b/>
                <w:sz w:val="24"/>
                <w:highlight w:val="none"/>
              </w:rPr>
              <w:t>检查因素</w:t>
            </w:r>
          </w:p>
        </w:tc>
        <w:tc>
          <w:tcPr>
            <w:tcW w:w="2579" w:type="pct"/>
            <w:noWrap w:val="0"/>
            <w:vAlign w:val="center"/>
          </w:tcPr>
          <w:p w14:paraId="6B9F95F9">
            <w:pPr>
              <w:keepNext w:val="0"/>
              <w:keepLines w:val="0"/>
              <w:suppressLineNumbers w:val="0"/>
              <w:tabs>
                <w:tab w:val="left" w:pos="1080"/>
              </w:tabs>
              <w:snapToGrid w:val="0"/>
              <w:spacing w:before="0" w:beforeAutospacing="0" w:after="0" w:afterAutospacing="0"/>
              <w:ind w:left="0" w:right="0"/>
              <w:jc w:val="center"/>
              <w:rPr>
                <w:rFonts w:hint="default" w:eastAsia="宋体"/>
                <w:b/>
                <w:sz w:val="24"/>
                <w:highlight w:val="none"/>
              </w:rPr>
            </w:pPr>
            <w:r>
              <w:rPr>
                <w:rFonts w:hint="default" w:eastAsia="宋体"/>
                <w:b/>
                <w:sz w:val="24"/>
                <w:highlight w:val="none"/>
              </w:rPr>
              <w:t>检查内容</w:t>
            </w:r>
          </w:p>
        </w:tc>
        <w:tc>
          <w:tcPr>
            <w:tcW w:w="1027" w:type="pct"/>
            <w:noWrap w:val="0"/>
            <w:vAlign w:val="center"/>
          </w:tcPr>
          <w:p w14:paraId="66EFD95E">
            <w:pPr>
              <w:keepNext w:val="0"/>
              <w:keepLines w:val="0"/>
              <w:suppressLineNumbers w:val="0"/>
              <w:tabs>
                <w:tab w:val="left" w:pos="1080"/>
              </w:tabs>
              <w:snapToGrid w:val="0"/>
              <w:spacing w:before="0" w:beforeAutospacing="0" w:after="0" w:afterAutospacing="0"/>
              <w:ind w:left="0" w:right="0"/>
              <w:jc w:val="center"/>
              <w:rPr>
                <w:rFonts w:hint="default" w:eastAsia="宋体"/>
                <w:b/>
                <w:sz w:val="24"/>
                <w:highlight w:val="none"/>
              </w:rPr>
            </w:pPr>
            <w:r>
              <w:rPr>
                <w:rFonts w:hint="default" w:eastAsia="宋体"/>
                <w:b/>
                <w:sz w:val="24"/>
                <w:highlight w:val="none"/>
              </w:rPr>
              <w:t>格式要求</w:t>
            </w:r>
          </w:p>
        </w:tc>
      </w:tr>
      <w:tr w14:paraId="5E246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7030B2A1">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rPr>
            </w:pPr>
            <w:r>
              <w:rPr>
                <w:rFonts w:hint="default" w:eastAsia="宋体"/>
                <w:sz w:val="24"/>
                <w:highlight w:val="none"/>
              </w:rPr>
              <w:t>1</w:t>
            </w:r>
          </w:p>
        </w:tc>
        <w:tc>
          <w:tcPr>
            <w:tcW w:w="904" w:type="pct"/>
            <w:noWrap w:val="0"/>
            <w:vAlign w:val="center"/>
          </w:tcPr>
          <w:p w14:paraId="2041DE81">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满足《中华人民共和国政府采购法》第二十二条规定</w:t>
            </w:r>
          </w:p>
        </w:tc>
        <w:tc>
          <w:tcPr>
            <w:tcW w:w="2579" w:type="pct"/>
            <w:noWrap w:val="0"/>
            <w:vAlign w:val="center"/>
          </w:tcPr>
          <w:p w14:paraId="1D75A01A">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具体规定见第一章《采购邀请》</w:t>
            </w:r>
          </w:p>
        </w:tc>
        <w:tc>
          <w:tcPr>
            <w:tcW w:w="1027" w:type="pct"/>
            <w:noWrap w:val="0"/>
            <w:vAlign w:val="center"/>
          </w:tcPr>
          <w:p w14:paraId="7C17749E">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p>
        </w:tc>
      </w:tr>
      <w:tr w14:paraId="1A150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7E0281EC">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rPr>
            </w:pPr>
            <w:r>
              <w:rPr>
                <w:rFonts w:hint="default" w:eastAsia="宋体"/>
                <w:sz w:val="24"/>
                <w:highlight w:val="none"/>
              </w:rPr>
              <w:t>1-1</w:t>
            </w:r>
          </w:p>
        </w:tc>
        <w:tc>
          <w:tcPr>
            <w:tcW w:w="904" w:type="pct"/>
            <w:noWrap w:val="0"/>
            <w:vAlign w:val="center"/>
          </w:tcPr>
          <w:p w14:paraId="3594AA9B">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营业执照等证明文件</w:t>
            </w:r>
          </w:p>
        </w:tc>
        <w:tc>
          <w:tcPr>
            <w:tcW w:w="2579" w:type="pct"/>
            <w:noWrap w:val="0"/>
            <w:vAlign w:val="center"/>
          </w:tcPr>
          <w:p w14:paraId="3CB847E8">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供应商为企业（包括合伙企业）的，应提供有效的“营业执照”；</w:t>
            </w:r>
          </w:p>
          <w:p w14:paraId="09D65F80">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供应商为事业单位的，应提供有效的“事业单位法人证书”；</w:t>
            </w:r>
          </w:p>
          <w:p w14:paraId="29D4B8F4">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供应商</w:t>
            </w:r>
            <w:r>
              <w:rPr>
                <w:rFonts w:hint="eastAsia"/>
                <w:sz w:val="24"/>
                <w:highlight w:val="none"/>
              </w:rPr>
              <w:t>是非企业机构的，应提供有效的“执业许可证”、“登记证书”等证明文件</w:t>
            </w:r>
            <w:r>
              <w:rPr>
                <w:rFonts w:hint="default" w:eastAsia="宋体"/>
                <w:sz w:val="24"/>
                <w:highlight w:val="none"/>
              </w:rPr>
              <w:t>；</w:t>
            </w:r>
          </w:p>
          <w:p w14:paraId="32D8D204">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供应商是个体工商户的，应提供有效的“个体工商户营业执照”；</w:t>
            </w:r>
          </w:p>
          <w:p w14:paraId="09D49880">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供应商是自然人的，应提供有效的自然人身份证明。</w:t>
            </w:r>
          </w:p>
          <w:p w14:paraId="68E38482">
            <w:pPr>
              <w:keepNext w:val="0"/>
              <w:keepLines w:val="0"/>
              <w:suppressLineNumbers w:val="0"/>
              <w:tabs>
                <w:tab w:val="left" w:pos="1080"/>
              </w:tabs>
              <w:snapToGrid w:val="0"/>
              <w:spacing w:before="0" w:beforeAutospacing="0" w:after="0" w:afterAutospacing="0"/>
              <w:ind w:left="0" w:right="0"/>
              <w:jc w:val="left"/>
              <w:rPr>
                <w:rFonts w:hint="default" w:eastAsia="宋体"/>
                <w:color w:val="000000"/>
                <w:sz w:val="24"/>
                <w:highlight w:val="none"/>
              </w:rPr>
            </w:pPr>
            <w:r>
              <w:rPr>
                <w:rFonts w:hint="default" w:ascii="Arial Unicode MS" w:hAnsi="Arial Unicode MS" w:eastAsia="Arial Unicode MS" w:cs="Arial Unicode MS"/>
                <w:sz w:val="24"/>
                <w:szCs w:val="24"/>
                <w:highlight w:val="none"/>
              </w:rPr>
              <w:t>分支机构参加响应的，应</w:t>
            </w:r>
            <w:r>
              <w:rPr>
                <w:rFonts w:hint="eastAsia" w:ascii="Arial Unicode MS" w:hAnsi="Arial Unicode MS" w:cs="Arial Unicode MS"/>
                <w:sz w:val="24"/>
                <w:szCs w:val="24"/>
                <w:highlight w:val="none"/>
                <w:lang w:val="en-US" w:eastAsia="zh-CN"/>
              </w:rPr>
              <w:t>提</w:t>
            </w:r>
            <w:r>
              <w:rPr>
                <w:rFonts w:hint="default" w:ascii="Arial Unicode MS" w:hAnsi="Arial Unicode MS" w:eastAsia="Arial Unicode MS" w:cs="Arial Unicode MS"/>
                <w:sz w:val="24"/>
                <w:szCs w:val="24"/>
                <w:highlight w:val="none"/>
              </w:rPr>
              <w:t>供该分支机构或</w:t>
            </w:r>
            <w:r>
              <w:rPr>
                <w:rFonts w:hint="default" w:ascii="宋体" w:hAnsi="宋体" w:eastAsia="宋体" w:cs="宋体"/>
                <w:spacing w:val="-6"/>
                <w:sz w:val="24"/>
                <w:szCs w:val="24"/>
                <w:highlight w:val="none"/>
              </w:rPr>
              <w:t>其所属法人</w:t>
            </w:r>
            <w:r>
              <w:rPr>
                <w:rFonts w:hint="default"/>
                <w:spacing w:val="-6"/>
                <w:sz w:val="24"/>
                <w:szCs w:val="24"/>
                <w:highlight w:val="none"/>
              </w:rPr>
              <w:t>/</w:t>
            </w:r>
            <w:r>
              <w:rPr>
                <w:rFonts w:hint="default" w:ascii="宋体" w:hAnsi="宋体" w:eastAsia="宋体" w:cs="宋体"/>
                <w:spacing w:val="-6"/>
                <w:sz w:val="24"/>
                <w:szCs w:val="24"/>
                <w:highlight w:val="none"/>
              </w:rPr>
              <w:t>其他组织的相应证明文件；</w:t>
            </w:r>
            <w:r>
              <w:rPr>
                <w:rFonts w:hint="default" w:ascii="宋体" w:hAnsi="宋体" w:eastAsia="宋体" w:cs="宋体"/>
                <w:spacing w:val="-62"/>
                <w:sz w:val="24"/>
                <w:szCs w:val="24"/>
                <w:highlight w:val="none"/>
              </w:rPr>
              <w:t xml:space="preserve"> </w:t>
            </w:r>
            <w:r>
              <w:rPr>
                <w:rFonts w:hint="default" w:ascii="宋体" w:hAnsi="宋体" w:eastAsia="宋体" w:cs="宋体"/>
                <w:spacing w:val="-6"/>
                <w:sz w:val="24"/>
                <w:szCs w:val="24"/>
                <w:highlight w:val="none"/>
              </w:rPr>
              <w:t>同时</w:t>
            </w:r>
            <w:r>
              <w:rPr>
                <w:rFonts w:hint="default" w:ascii="Arial Unicode MS" w:hAnsi="Arial Unicode MS" w:eastAsia="Arial Unicode MS" w:cs="Arial Unicode MS"/>
                <w:spacing w:val="1"/>
                <w:sz w:val="24"/>
                <w:szCs w:val="24"/>
                <w:highlight w:val="none"/>
              </w:rPr>
              <w:t>还应</w:t>
            </w:r>
            <w:r>
              <w:rPr>
                <w:rFonts w:hint="eastAsia" w:ascii="Arial Unicode MS" w:hAnsi="Arial Unicode MS" w:cs="Arial Unicode MS"/>
                <w:sz w:val="24"/>
                <w:szCs w:val="24"/>
                <w:highlight w:val="none"/>
                <w:lang w:val="en-US" w:eastAsia="zh-CN"/>
              </w:rPr>
              <w:t>提</w:t>
            </w:r>
            <w:r>
              <w:rPr>
                <w:rFonts w:hint="default" w:ascii="Arial Unicode MS" w:hAnsi="Arial Unicode MS" w:eastAsia="Arial Unicode MS" w:cs="Arial Unicode MS"/>
                <w:spacing w:val="1"/>
                <w:sz w:val="24"/>
                <w:szCs w:val="24"/>
                <w:highlight w:val="none"/>
              </w:rPr>
              <w:t>供其所属法人</w:t>
            </w:r>
            <w:r>
              <w:rPr>
                <w:rFonts w:hint="default"/>
                <w:spacing w:val="1"/>
                <w:sz w:val="24"/>
                <w:szCs w:val="24"/>
                <w:highlight w:val="none"/>
              </w:rPr>
              <w:t>/</w:t>
            </w:r>
            <w:r>
              <w:rPr>
                <w:rFonts w:hint="default" w:ascii="宋体" w:hAnsi="宋体" w:eastAsia="宋体" w:cs="宋体"/>
                <w:spacing w:val="1"/>
                <w:sz w:val="24"/>
                <w:szCs w:val="24"/>
                <w:highlight w:val="none"/>
              </w:rPr>
              <w:t>其他组织出具的授权</w:t>
            </w:r>
            <w:r>
              <w:rPr>
                <w:rFonts w:hint="default" w:ascii="宋体" w:hAnsi="宋体" w:eastAsia="宋体" w:cs="宋体"/>
                <w:spacing w:val="-1"/>
                <w:sz w:val="24"/>
                <w:szCs w:val="24"/>
                <w:highlight w:val="none"/>
              </w:rPr>
              <w:t>其参与本项目的授权书（格式自拟，须加盖</w:t>
            </w:r>
            <w:r>
              <w:rPr>
                <w:rFonts w:hint="default" w:ascii="宋体" w:hAnsi="宋体" w:eastAsia="宋体" w:cs="宋体"/>
                <w:spacing w:val="-8"/>
                <w:sz w:val="24"/>
                <w:szCs w:val="24"/>
                <w:highlight w:val="none"/>
              </w:rPr>
              <w:t>其所属法人</w:t>
            </w:r>
            <w:r>
              <w:rPr>
                <w:rFonts w:hint="default"/>
                <w:spacing w:val="-8"/>
                <w:sz w:val="24"/>
                <w:szCs w:val="24"/>
                <w:highlight w:val="none"/>
              </w:rPr>
              <w:t>/</w:t>
            </w:r>
            <w:r>
              <w:rPr>
                <w:rFonts w:hint="default" w:ascii="宋体" w:hAnsi="宋体" w:eastAsia="宋体" w:cs="宋体"/>
                <w:spacing w:val="-8"/>
                <w:sz w:val="24"/>
                <w:szCs w:val="24"/>
                <w:highlight w:val="none"/>
              </w:rPr>
              <w:t>其他组织的公章</w:t>
            </w:r>
            <w:r>
              <w:rPr>
                <w:rFonts w:hint="default" w:ascii="宋体" w:hAnsi="宋体" w:eastAsia="宋体" w:cs="宋体"/>
                <w:spacing w:val="-5"/>
                <w:sz w:val="24"/>
                <w:szCs w:val="24"/>
                <w:highlight w:val="none"/>
              </w:rPr>
              <w:t>）；</w:t>
            </w:r>
            <w:r>
              <w:rPr>
                <w:rFonts w:hint="default" w:ascii="宋体" w:hAnsi="宋体" w:eastAsia="宋体" w:cs="宋体"/>
                <w:spacing w:val="-8"/>
                <w:sz w:val="24"/>
                <w:szCs w:val="24"/>
                <w:highlight w:val="none"/>
              </w:rPr>
              <w:t xml:space="preserve">对于银行、 </w:t>
            </w:r>
            <w:r>
              <w:rPr>
                <w:rFonts w:hint="default" w:ascii="宋体" w:hAnsi="宋体" w:eastAsia="宋体" w:cs="宋体"/>
                <w:spacing w:val="-1"/>
                <w:sz w:val="24"/>
                <w:szCs w:val="24"/>
                <w:highlight w:val="none"/>
              </w:rPr>
              <w:t>保险、石油石化、电力、电信等行业的分支</w:t>
            </w:r>
            <w:r>
              <w:rPr>
                <w:rFonts w:hint="default" w:ascii="Arial Unicode MS" w:hAnsi="Arial Unicode MS" w:eastAsia="Arial Unicode MS" w:cs="Arial Unicode MS"/>
                <w:spacing w:val="2"/>
                <w:sz w:val="24"/>
                <w:szCs w:val="24"/>
                <w:highlight w:val="none"/>
              </w:rPr>
              <w:t>机构，可以</w:t>
            </w:r>
            <w:r>
              <w:rPr>
                <w:rFonts w:hint="eastAsia" w:ascii="Arial Unicode MS" w:hAnsi="Arial Unicode MS" w:cs="Arial Unicode MS"/>
                <w:sz w:val="24"/>
                <w:szCs w:val="24"/>
                <w:highlight w:val="none"/>
                <w:lang w:val="en-US" w:eastAsia="zh-CN"/>
              </w:rPr>
              <w:t>提</w:t>
            </w:r>
            <w:r>
              <w:rPr>
                <w:rFonts w:hint="default" w:ascii="Arial Unicode MS" w:hAnsi="Arial Unicode MS" w:eastAsia="Arial Unicode MS" w:cs="Arial Unicode MS"/>
                <w:spacing w:val="2"/>
                <w:sz w:val="24"/>
                <w:szCs w:val="24"/>
                <w:highlight w:val="none"/>
              </w:rPr>
              <w:t>供上述授权，也可以</w:t>
            </w:r>
            <w:r>
              <w:rPr>
                <w:rFonts w:hint="eastAsia" w:ascii="Arial Unicode MS" w:hAnsi="Arial Unicode MS" w:cs="Arial Unicode MS"/>
                <w:sz w:val="24"/>
                <w:szCs w:val="24"/>
                <w:highlight w:val="none"/>
                <w:lang w:val="en-US" w:eastAsia="zh-CN"/>
              </w:rPr>
              <w:t>提</w:t>
            </w:r>
            <w:r>
              <w:rPr>
                <w:rFonts w:hint="default" w:ascii="Arial Unicode MS" w:hAnsi="Arial Unicode MS" w:eastAsia="Arial Unicode MS" w:cs="Arial Unicode MS"/>
                <w:spacing w:val="2"/>
                <w:sz w:val="24"/>
                <w:szCs w:val="24"/>
                <w:highlight w:val="none"/>
              </w:rPr>
              <w:t>供其所</w:t>
            </w:r>
            <w:r>
              <w:rPr>
                <w:rFonts w:hint="default" w:ascii="宋体" w:hAnsi="宋体" w:eastAsia="宋体" w:cs="宋体"/>
                <w:sz w:val="24"/>
                <w:szCs w:val="24"/>
                <w:highlight w:val="none"/>
              </w:rPr>
              <w:t>属法人</w:t>
            </w:r>
            <w:r>
              <w:rPr>
                <w:rFonts w:hint="default"/>
                <w:sz w:val="24"/>
                <w:szCs w:val="24"/>
                <w:highlight w:val="none"/>
              </w:rPr>
              <w:t>/</w:t>
            </w:r>
            <w:r>
              <w:rPr>
                <w:rFonts w:hint="default" w:ascii="宋体" w:hAnsi="宋体" w:eastAsia="宋体" w:cs="宋体"/>
                <w:sz w:val="24"/>
                <w:szCs w:val="24"/>
                <w:highlight w:val="none"/>
              </w:rPr>
              <w:t>其他组织的有关文件或制度等能够</w:t>
            </w:r>
            <w:r>
              <w:rPr>
                <w:rFonts w:hint="default" w:ascii="宋体" w:hAnsi="宋体" w:eastAsia="宋体" w:cs="宋体"/>
                <w:spacing w:val="-2"/>
                <w:sz w:val="24"/>
                <w:szCs w:val="24"/>
                <w:highlight w:val="none"/>
              </w:rPr>
              <w:t>证明授权其独立开展业务的证明材料。</w:t>
            </w:r>
          </w:p>
        </w:tc>
        <w:tc>
          <w:tcPr>
            <w:tcW w:w="1027" w:type="pct"/>
            <w:noWrap w:val="0"/>
            <w:vAlign w:val="center"/>
          </w:tcPr>
          <w:p w14:paraId="75FB1A1C">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ascii="宋体" w:hAnsi="宋体" w:eastAsia="宋体"/>
                <w:sz w:val="24"/>
                <w:highlight w:val="none"/>
              </w:rPr>
              <w:t>提供证明文件的复印件并加盖公章</w:t>
            </w:r>
          </w:p>
        </w:tc>
      </w:tr>
      <w:tr w14:paraId="6384A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3357D444">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rPr>
            </w:pPr>
            <w:r>
              <w:rPr>
                <w:rFonts w:hint="default" w:eastAsia="宋体"/>
                <w:sz w:val="24"/>
                <w:highlight w:val="none"/>
              </w:rPr>
              <w:t>1-2</w:t>
            </w:r>
          </w:p>
        </w:tc>
        <w:tc>
          <w:tcPr>
            <w:tcW w:w="904" w:type="pct"/>
            <w:noWrap w:val="0"/>
            <w:vAlign w:val="center"/>
          </w:tcPr>
          <w:p w14:paraId="6DF16009">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供应商资格声明书</w:t>
            </w:r>
          </w:p>
        </w:tc>
        <w:tc>
          <w:tcPr>
            <w:tcW w:w="2579" w:type="pct"/>
            <w:noWrap w:val="0"/>
            <w:vAlign w:val="center"/>
          </w:tcPr>
          <w:p w14:paraId="00E3A501">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提供了符合竞争性磋商文件要求的《供应商资格声明书》。</w:t>
            </w:r>
          </w:p>
        </w:tc>
        <w:tc>
          <w:tcPr>
            <w:tcW w:w="1027" w:type="pct"/>
            <w:noWrap w:val="0"/>
            <w:vAlign w:val="center"/>
          </w:tcPr>
          <w:p w14:paraId="005E703F">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格式见《响应文件格式》</w:t>
            </w:r>
          </w:p>
        </w:tc>
      </w:tr>
      <w:tr w14:paraId="2ACD8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5F4355F6">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rPr>
            </w:pPr>
            <w:r>
              <w:rPr>
                <w:rFonts w:hint="default" w:eastAsia="宋体"/>
                <w:sz w:val="24"/>
                <w:highlight w:val="none"/>
              </w:rPr>
              <w:t>1-3</w:t>
            </w:r>
          </w:p>
        </w:tc>
        <w:tc>
          <w:tcPr>
            <w:tcW w:w="904" w:type="pct"/>
            <w:noWrap w:val="0"/>
            <w:vAlign w:val="center"/>
          </w:tcPr>
          <w:p w14:paraId="39ED32F0">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eastAsia="宋体"/>
                <w:sz w:val="24"/>
                <w:highlight w:val="none"/>
              </w:rPr>
              <w:t>供应商信用记录</w:t>
            </w:r>
          </w:p>
        </w:tc>
        <w:tc>
          <w:tcPr>
            <w:tcW w:w="2579" w:type="pct"/>
            <w:noWrap w:val="0"/>
            <w:vAlign w:val="center"/>
          </w:tcPr>
          <w:p w14:paraId="46597170">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eastAsia="宋体"/>
                <w:sz w:val="24"/>
                <w:highlight w:val="none"/>
              </w:rPr>
              <w:t>查询渠道：信用中国网站和中国政府采购网（</w:t>
            </w:r>
            <w:r>
              <w:rPr>
                <w:rFonts w:hint="default" w:eastAsia="宋体"/>
                <w:highlight w:val="none"/>
              </w:rPr>
              <w:t>www.creditchina.gov.cn</w:t>
            </w:r>
            <w:r>
              <w:rPr>
                <w:rFonts w:hint="default" w:eastAsia="宋体"/>
                <w:sz w:val="24"/>
                <w:highlight w:val="none"/>
              </w:rPr>
              <w:t>、</w:t>
            </w:r>
            <w:r>
              <w:rPr>
                <w:rFonts w:hint="default" w:eastAsia="宋体"/>
                <w:highlight w:val="none"/>
              </w:rPr>
              <w:t>www.ccgp.gov.cn</w:t>
            </w:r>
            <w:r>
              <w:rPr>
                <w:rFonts w:hint="default" w:eastAsia="宋体"/>
                <w:sz w:val="24"/>
                <w:highlight w:val="none"/>
              </w:rPr>
              <w:t>）；</w:t>
            </w:r>
          </w:p>
          <w:p w14:paraId="0976703B">
            <w:pPr>
              <w:keepNext w:val="0"/>
              <w:keepLines w:val="0"/>
              <w:suppressLineNumbers w:val="0"/>
              <w:tabs>
                <w:tab w:val="left" w:pos="900"/>
                <w:tab w:val="left" w:pos="1980"/>
              </w:tabs>
              <w:snapToGrid w:val="0"/>
              <w:spacing w:before="0" w:beforeAutospacing="0" w:after="0" w:afterAutospacing="0"/>
              <w:ind w:left="0" w:right="0"/>
              <w:rPr>
                <w:rFonts w:hint="default" w:eastAsia="宋体"/>
                <w:sz w:val="24"/>
                <w:highlight w:val="none"/>
              </w:rPr>
            </w:pPr>
            <w:r>
              <w:rPr>
                <w:rFonts w:hint="default" w:eastAsia="宋体"/>
                <w:sz w:val="24"/>
                <w:highlight w:val="none"/>
              </w:rPr>
              <w:t>截止时点：</w:t>
            </w:r>
            <w:r>
              <w:rPr>
                <w:rFonts w:hint="default" w:eastAsia="宋体"/>
                <w:color w:val="000000"/>
                <w:kern w:val="0"/>
                <w:sz w:val="24"/>
                <w:szCs w:val="20"/>
                <w:highlight w:val="none"/>
              </w:rPr>
              <w:t>首次响应文件提交截止时间以后</w:t>
            </w:r>
            <w:r>
              <w:rPr>
                <w:rFonts w:hint="default" w:eastAsia="宋体"/>
                <w:sz w:val="24"/>
                <w:highlight w:val="none"/>
              </w:rPr>
              <w:t>、资格</w:t>
            </w:r>
            <w:r>
              <w:rPr>
                <w:rFonts w:hint="eastAsia"/>
                <w:sz w:val="24"/>
                <w:highlight w:val="none"/>
                <w:lang w:val="en-US" w:eastAsia="zh-CN"/>
              </w:rPr>
              <w:t>审查</w:t>
            </w:r>
            <w:r>
              <w:rPr>
                <w:rFonts w:hint="default" w:eastAsia="宋体"/>
                <w:sz w:val="24"/>
                <w:highlight w:val="none"/>
              </w:rPr>
              <w:t>阶段采购人或采购代理机构的实际查询时间；</w:t>
            </w:r>
          </w:p>
          <w:p w14:paraId="51CDC9BA">
            <w:pPr>
              <w:keepNext w:val="0"/>
              <w:keepLines w:val="0"/>
              <w:suppressLineNumbers w:val="0"/>
              <w:tabs>
                <w:tab w:val="left" w:pos="900"/>
                <w:tab w:val="left" w:pos="1980"/>
              </w:tabs>
              <w:snapToGrid w:val="0"/>
              <w:spacing w:before="0" w:beforeAutospacing="0" w:after="0" w:afterAutospacing="0"/>
              <w:ind w:left="0" w:right="0"/>
              <w:rPr>
                <w:rFonts w:hint="default" w:eastAsia="宋体"/>
                <w:sz w:val="24"/>
                <w:highlight w:val="none"/>
              </w:rPr>
            </w:pPr>
            <w:r>
              <w:rPr>
                <w:rFonts w:hint="default" w:eastAsia="宋体"/>
                <w:sz w:val="24"/>
                <w:highlight w:val="none"/>
              </w:rPr>
              <w:t>信用信息查询记录和证据留存具体方式：查询结果网页打印页作为查询记录和证据，与其他竞争性磋商文件一并保存；</w:t>
            </w:r>
          </w:p>
          <w:p w14:paraId="4018DCF0">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eastAsia="宋体"/>
                <w:sz w:val="24"/>
                <w:highlight w:val="none"/>
              </w:rPr>
              <w:t>信用信息的使用原则：经认定的被列入失信被执行人、重大税收违法案件当事人名单、政府采购严重违法失信行为记录名单的供应商，其</w:t>
            </w:r>
            <w:r>
              <w:rPr>
                <w:rFonts w:hint="default" w:eastAsia="宋体"/>
                <w:b/>
                <w:sz w:val="24"/>
                <w:highlight w:val="none"/>
              </w:rPr>
              <w:t>响应无效</w:t>
            </w:r>
            <w:r>
              <w:rPr>
                <w:rFonts w:hint="default" w:eastAsia="宋体"/>
                <w:sz w:val="24"/>
                <w:highlight w:val="none"/>
              </w:rPr>
              <w:t>。联合体形式磋商的，联合体成员存在不良信用记录，视同联合体存在不良信用记录。</w:t>
            </w:r>
          </w:p>
        </w:tc>
        <w:tc>
          <w:tcPr>
            <w:tcW w:w="1027" w:type="pct"/>
            <w:noWrap w:val="0"/>
            <w:vAlign w:val="center"/>
          </w:tcPr>
          <w:p w14:paraId="35BFB4BC">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eastAsia="宋体"/>
                <w:sz w:val="24"/>
                <w:highlight w:val="none"/>
              </w:rPr>
              <w:t>无须供应商提供，由采购人或采购代理机构查询。</w:t>
            </w:r>
          </w:p>
        </w:tc>
      </w:tr>
      <w:tr w14:paraId="71978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0FFC26DA">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lang w:val="en-US" w:eastAsia="zh-CN"/>
              </w:rPr>
            </w:pPr>
            <w:r>
              <w:rPr>
                <w:rFonts w:hint="eastAsia"/>
                <w:sz w:val="24"/>
                <w:highlight w:val="none"/>
                <w:lang w:val="en-US" w:eastAsia="zh-CN"/>
              </w:rPr>
              <w:t>1-4</w:t>
            </w:r>
          </w:p>
        </w:tc>
        <w:tc>
          <w:tcPr>
            <w:tcW w:w="904" w:type="pct"/>
            <w:noWrap w:val="0"/>
            <w:vAlign w:val="top"/>
          </w:tcPr>
          <w:p w14:paraId="61CA3CC5">
            <w:pPr>
              <w:keepNext w:val="0"/>
              <w:keepLines w:val="0"/>
              <w:suppressLineNumbers w:val="0"/>
              <w:spacing w:before="35" w:beforeAutospacing="0" w:after="0" w:afterAutospacing="0" w:line="229" w:lineRule="auto"/>
              <w:ind w:left="113" w:leftChars="0" w:right="106" w:rightChars="0"/>
              <w:jc w:val="both"/>
              <w:rPr>
                <w:rFonts w:hint="default" w:eastAsia="宋体"/>
                <w:sz w:val="24"/>
                <w:highlight w:val="none"/>
              </w:rPr>
            </w:pPr>
            <w:r>
              <w:rPr>
                <w:rFonts w:hint="default" w:ascii="宋体" w:hAnsi="宋体" w:eastAsia="宋体" w:cs="宋体"/>
                <w:spacing w:val="12"/>
                <w:sz w:val="24"/>
                <w:szCs w:val="24"/>
                <w:highlight w:val="none"/>
              </w:rPr>
              <w:t>法律、行政法规规定的其他</w:t>
            </w:r>
            <w:r>
              <w:rPr>
                <w:rFonts w:hint="default" w:ascii="宋体" w:hAnsi="宋体" w:eastAsia="宋体" w:cs="宋体"/>
                <w:spacing w:val="-3"/>
                <w:sz w:val="24"/>
                <w:szCs w:val="24"/>
                <w:highlight w:val="none"/>
              </w:rPr>
              <w:t>条件</w:t>
            </w:r>
          </w:p>
        </w:tc>
        <w:tc>
          <w:tcPr>
            <w:tcW w:w="2579" w:type="pct"/>
            <w:noWrap w:val="0"/>
            <w:vAlign w:val="top"/>
          </w:tcPr>
          <w:p w14:paraId="45F35DDA">
            <w:pPr>
              <w:pStyle w:val="251"/>
              <w:keepNext w:val="0"/>
              <w:keepLines w:val="0"/>
              <w:suppressLineNumbers w:val="0"/>
              <w:spacing w:before="0" w:beforeAutospacing="0" w:after="0" w:afterAutospacing="0" w:line="270" w:lineRule="auto"/>
              <w:ind w:left="0" w:right="0"/>
              <w:rPr>
                <w:rFonts w:hint="default"/>
                <w:highlight w:val="none"/>
              </w:rPr>
            </w:pPr>
          </w:p>
          <w:p w14:paraId="589ADAE3">
            <w:pPr>
              <w:keepNext w:val="0"/>
              <w:keepLines w:val="0"/>
              <w:suppressLineNumbers w:val="0"/>
              <w:spacing w:before="78" w:beforeAutospacing="0" w:after="0" w:afterAutospacing="0" w:line="220" w:lineRule="auto"/>
              <w:ind w:left="114" w:leftChars="0" w:right="0"/>
              <w:rPr>
                <w:rFonts w:hint="default" w:eastAsia="宋体"/>
                <w:sz w:val="24"/>
                <w:highlight w:val="none"/>
              </w:rPr>
            </w:pPr>
            <w:r>
              <w:rPr>
                <w:rFonts w:hint="default" w:ascii="宋体" w:hAnsi="宋体" w:eastAsia="宋体" w:cs="宋体"/>
                <w:spacing w:val="-1"/>
                <w:sz w:val="24"/>
                <w:szCs w:val="24"/>
                <w:highlight w:val="none"/>
              </w:rPr>
              <w:t>法律、行政法规规定的其他条件</w:t>
            </w:r>
          </w:p>
        </w:tc>
        <w:tc>
          <w:tcPr>
            <w:tcW w:w="1027" w:type="pct"/>
            <w:noWrap w:val="0"/>
            <w:vAlign w:val="top"/>
          </w:tcPr>
          <w:p w14:paraId="058922F6">
            <w:pPr>
              <w:pStyle w:val="251"/>
              <w:keepNext w:val="0"/>
              <w:keepLines w:val="0"/>
              <w:suppressLineNumbers w:val="0"/>
              <w:spacing w:before="0" w:beforeAutospacing="0" w:after="0" w:afterAutospacing="0" w:line="302" w:lineRule="auto"/>
              <w:ind w:left="0" w:right="0"/>
              <w:rPr>
                <w:rFonts w:hint="default"/>
                <w:highlight w:val="none"/>
              </w:rPr>
            </w:pPr>
          </w:p>
          <w:p w14:paraId="34F1DCAA">
            <w:pPr>
              <w:pStyle w:val="251"/>
              <w:keepNext w:val="0"/>
              <w:keepLines w:val="0"/>
              <w:suppressLineNumbers w:val="0"/>
              <w:spacing w:before="69" w:beforeAutospacing="0" w:after="0" w:afterAutospacing="0" w:line="215" w:lineRule="auto"/>
              <w:ind w:left="912" w:leftChars="0" w:right="0"/>
              <w:rPr>
                <w:rFonts w:hint="default" w:eastAsia="宋体"/>
                <w:sz w:val="24"/>
                <w:highlight w:val="none"/>
              </w:rPr>
            </w:pPr>
            <w:r>
              <w:rPr>
                <w:rFonts w:hint="default"/>
                <w:spacing w:val="14"/>
                <w:sz w:val="24"/>
                <w:szCs w:val="24"/>
                <w:highlight w:val="none"/>
              </w:rPr>
              <w:t>/</w:t>
            </w:r>
          </w:p>
        </w:tc>
      </w:tr>
      <w:tr w14:paraId="43500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69163771">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rPr>
            </w:pPr>
            <w:r>
              <w:rPr>
                <w:rFonts w:hint="default" w:eastAsia="宋体"/>
                <w:sz w:val="24"/>
                <w:highlight w:val="none"/>
              </w:rPr>
              <w:t>2</w:t>
            </w:r>
          </w:p>
        </w:tc>
        <w:tc>
          <w:tcPr>
            <w:tcW w:w="904" w:type="pct"/>
            <w:noWrap w:val="0"/>
            <w:vAlign w:val="center"/>
          </w:tcPr>
          <w:p w14:paraId="7D7C9C92">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落实政府采购政策需满足的资格要求</w:t>
            </w:r>
          </w:p>
        </w:tc>
        <w:tc>
          <w:tcPr>
            <w:tcW w:w="2579" w:type="pct"/>
            <w:noWrap w:val="0"/>
            <w:vAlign w:val="center"/>
          </w:tcPr>
          <w:p w14:paraId="423B4F38">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具体要求见第一章《采购邀请》</w:t>
            </w:r>
          </w:p>
        </w:tc>
        <w:tc>
          <w:tcPr>
            <w:tcW w:w="1027" w:type="pct"/>
            <w:noWrap w:val="0"/>
            <w:vAlign w:val="center"/>
          </w:tcPr>
          <w:p w14:paraId="2CBE3C4E">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p>
        </w:tc>
      </w:tr>
      <w:tr w14:paraId="26799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top"/>
          </w:tcPr>
          <w:p w14:paraId="2C605797">
            <w:pPr>
              <w:pStyle w:val="251"/>
              <w:keepNext w:val="0"/>
              <w:keepLines w:val="0"/>
              <w:suppressLineNumbers w:val="0"/>
              <w:spacing w:before="139" w:beforeAutospacing="0" w:after="0" w:afterAutospacing="0" w:line="201" w:lineRule="auto"/>
              <w:ind w:left="245" w:leftChars="0" w:right="0"/>
              <w:rPr>
                <w:rFonts w:hint="default" w:ascii="Arial" w:hAnsi="Arial" w:eastAsia="Arial" w:cs="Arial"/>
                <w:kern w:val="2"/>
                <w:sz w:val="24"/>
                <w:szCs w:val="24"/>
                <w:highlight w:val="none"/>
                <w:lang w:val="en-US" w:eastAsia="en-US" w:bidi="ar-SA"/>
              </w:rPr>
            </w:pPr>
            <w:r>
              <w:rPr>
                <w:rFonts w:hint="default"/>
                <w:spacing w:val="8"/>
                <w:sz w:val="24"/>
                <w:szCs w:val="24"/>
                <w:highlight w:val="none"/>
              </w:rPr>
              <w:t>2-1</w:t>
            </w:r>
          </w:p>
        </w:tc>
        <w:tc>
          <w:tcPr>
            <w:tcW w:w="904" w:type="pct"/>
            <w:noWrap w:val="0"/>
            <w:vAlign w:val="top"/>
          </w:tcPr>
          <w:p w14:paraId="0D123C97">
            <w:pPr>
              <w:keepNext w:val="0"/>
              <w:keepLines w:val="0"/>
              <w:suppressLineNumbers w:val="0"/>
              <w:spacing w:before="115" w:beforeAutospacing="0" w:after="0" w:afterAutospacing="0" w:line="221" w:lineRule="auto"/>
              <w:ind w:left="135" w:leftChars="0" w:right="0"/>
              <w:rPr>
                <w:rFonts w:hint="default" w:ascii="宋体" w:hAnsi="宋体" w:eastAsia="宋体" w:cs="宋体"/>
                <w:kern w:val="2"/>
                <w:sz w:val="24"/>
                <w:szCs w:val="24"/>
                <w:highlight w:val="none"/>
                <w:lang w:val="en-US" w:eastAsia="zh-CN" w:bidi="ar-SA"/>
              </w:rPr>
            </w:pPr>
            <w:r>
              <w:rPr>
                <w:rFonts w:hint="default" w:ascii="宋体" w:hAnsi="宋体" w:eastAsia="宋体" w:cs="宋体"/>
                <w:spacing w:val="-5"/>
                <w:sz w:val="24"/>
                <w:szCs w:val="24"/>
                <w:highlight w:val="none"/>
              </w:rPr>
              <w:t>中小企业政策</w:t>
            </w:r>
          </w:p>
        </w:tc>
        <w:tc>
          <w:tcPr>
            <w:tcW w:w="2579" w:type="pct"/>
            <w:noWrap w:val="0"/>
            <w:vAlign w:val="top"/>
          </w:tcPr>
          <w:p w14:paraId="1E7FD54C">
            <w:pPr>
              <w:keepNext w:val="0"/>
              <w:keepLines w:val="0"/>
              <w:suppressLineNumbers w:val="0"/>
              <w:spacing w:before="116" w:beforeAutospacing="0" w:after="0" w:afterAutospacing="0" w:line="219" w:lineRule="auto"/>
              <w:ind w:left="0" w:right="0"/>
              <w:rPr>
                <w:rFonts w:hint="default" w:ascii="宋体" w:hAnsi="宋体" w:eastAsia="宋体" w:cs="宋体"/>
                <w:kern w:val="2"/>
                <w:sz w:val="24"/>
                <w:szCs w:val="24"/>
                <w:highlight w:val="none"/>
                <w:lang w:val="en-US" w:eastAsia="zh-CN" w:bidi="ar-SA"/>
              </w:rPr>
            </w:pPr>
            <w:r>
              <w:rPr>
                <w:rFonts w:hint="default" w:ascii="宋体" w:hAnsi="宋体" w:eastAsia="宋体" w:cs="宋体"/>
                <w:spacing w:val="-2"/>
                <w:sz w:val="24"/>
                <w:szCs w:val="24"/>
                <w:highlight w:val="none"/>
              </w:rPr>
              <w:t>具体要求见第一章《采购邀请》</w:t>
            </w:r>
          </w:p>
        </w:tc>
        <w:tc>
          <w:tcPr>
            <w:tcW w:w="1027" w:type="pct"/>
            <w:noWrap w:val="0"/>
            <w:vAlign w:val="center"/>
          </w:tcPr>
          <w:p w14:paraId="6E2D8155">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p>
        </w:tc>
      </w:tr>
      <w:tr w14:paraId="2AE07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5BE0204E">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lang w:val="en-US" w:eastAsia="zh-CN"/>
              </w:rPr>
            </w:pPr>
            <w:r>
              <w:rPr>
                <w:rFonts w:hint="default" w:eastAsia="宋体"/>
                <w:sz w:val="24"/>
                <w:highlight w:val="none"/>
              </w:rPr>
              <w:t>2-1</w:t>
            </w:r>
            <w:r>
              <w:rPr>
                <w:rFonts w:hint="eastAsia"/>
                <w:sz w:val="24"/>
                <w:highlight w:val="none"/>
                <w:lang w:val="en-US" w:eastAsia="zh-CN"/>
              </w:rPr>
              <w:t>-1</w:t>
            </w:r>
          </w:p>
        </w:tc>
        <w:tc>
          <w:tcPr>
            <w:tcW w:w="904" w:type="pct"/>
            <w:noWrap w:val="0"/>
            <w:vAlign w:val="center"/>
          </w:tcPr>
          <w:p w14:paraId="3638B4A8">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lang w:val="en-US" w:eastAsia="zh-CN"/>
              </w:rPr>
            </w:pPr>
            <w:r>
              <w:rPr>
                <w:rFonts w:hint="default" w:eastAsia="宋体"/>
                <w:sz w:val="24"/>
                <w:highlight w:val="none"/>
              </w:rPr>
              <w:t>中小企业</w:t>
            </w:r>
            <w:r>
              <w:rPr>
                <w:rFonts w:hint="eastAsia"/>
                <w:sz w:val="24"/>
                <w:highlight w:val="none"/>
                <w:lang w:val="en-US" w:eastAsia="zh-CN"/>
              </w:rPr>
              <w:t>证明文件</w:t>
            </w:r>
          </w:p>
        </w:tc>
        <w:tc>
          <w:tcPr>
            <w:tcW w:w="2579" w:type="pct"/>
            <w:noWrap w:val="0"/>
            <w:vAlign w:val="center"/>
          </w:tcPr>
          <w:p w14:paraId="0ED4621C">
            <w:pPr>
              <w:keepNext w:val="0"/>
              <w:keepLines w:val="0"/>
              <w:suppressLineNumbers w:val="0"/>
              <w:spacing w:before="0" w:beforeAutospacing="0" w:after="0" w:afterAutospacing="0" w:line="240" w:lineRule="auto"/>
              <w:ind w:left="0" w:right="0"/>
              <w:rPr>
                <w:rFonts w:hint="default" w:ascii="Arial Unicode MS" w:hAnsi="Arial Unicode MS" w:eastAsia="Arial Unicode MS" w:cs="Arial Unicode MS"/>
                <w:sz w:val="24"/>
                <w:szCs w:val="24"/>
                <w:highlight w:val="none"/>
              </w:rPr>
            </w:pPr>
            <w:r>
              <w:rPr>
                <w:rFonts w:hint="default" w:ascii="宋体" w:hAnsi="宋体" w:eastAsia="宋体" w:cs="宋体"/>
                <w:spacing w:val="-2"/>
                <w:sz w:val="24"/>
                <w:szCs w:val="24"/>
                <w:highlight w:val="none"/>
              </w:rPr>
              <w:t>当本项目（包）涉及预留份额专门面向中小</w:t>
            </w:r>
            <w:r>
              <w:rPr>
                <w:rFonts w:hint="default" w:ascii="Arial Unicode MS" w:hAnsi="Arial Unicode MS" w:eastAsia="Arial Unicode MS" w:cs="Arial Unicode MS"/>
                <w:spacing w:val="-4"/>
                <w:sz w:val="24"/>
                <w:szCs w:val="24"/>
                <w:highlight w:val="none"/>
              </w:rPr>
              <w:t>企业采购，</w:t>
            </w:r>
            <w:r>
              <w:rPr>
                <w:rFonts w:hint="eastAsia" w:ascii="Arial Unicode MS" w:hAnsi="Arial Unicode MS" w:cs="Arial Unicode MS"/>
                <w:spacing w:val="-4"/>
                <w:sz w:val="24"/>
                <w:szCs w:val="24"/>
                <w:highlight w:val="none"/>
                <w:lang w:val="en-US" w:eastAsia="zh-CN"/>
              </w:rPr>
              <w:t>提</w:t>
            </w:r>
            <w:r>
              <w:rPr>
                <w:rFonts w:hint="default" w:ascii="Arial Unicode MS" w:hAnsi="Arial Unicode MS" w:eastAsia="Arial Unicode MS" w:cs="Arial Unicode MS"/>
                <w:spacing w:val="-4"/>
                <w:sz w:val="24"/>
                <w:szCs w:val="24"/>
                <w:highlight w:val="none"/>
              </w:rPr>
              <w:t>供如下资料：</w:t>
            </w:r>
          </w:p>
          <w:p w14:paraId="42BE3307">
            <w:pPr>
              <w:pStyle w:val="251"/>
              <w:keepNext w:val="0"/>
              <w:keepLines w:val="0"/>
              <w:suppressLineNumbers w:val="0"/>
              <w:spacing w:before="0" w:beforeAutospacing="0" w:after="0" w:afterAutospacing="0" w:line="240" w:lineRule="auto"/>
              <w:ind w:left="0" w:right="0"/>
              <w:jc w:val="both"/>
              <w:rPr>
                <w:rFonts w:hint="default" w:ascii="宋体" w:hAnsi="宋体" w:eastAsia="宋体" w:cs="宋体"/>
                <w:sz w:val="24"/>
                <w:szCs w:val="24"/>
                <w:highlight w:val="none"/>
              </w:rPr>
            </w:pPr>
            <w:r>
              <w:rPr>
                <w:rFonts w:hint="default"/>
                <w:spacing w:val="-1"/>
                <w:sz w:val="24"/>
                <w:szCs w:val="24"/>
                <w:highlight w:val="none"/>
              </w:rPr>
              <w:t>1</w:t>
            </w:r>
            <w:r>
              <w:rPr>
                <w:rFonts w:hint="default" w:ascii="Arial Unicode MS" w:hAnsi="Arial Unicode MS" w:eastAsia="Arial Unicode MS" w:cs="Arial Unicode MS"/>
                <w:spacing w:val="-1"/>
                <w:sz w:val="24"/>
                <w:szCs w:val="24"/>
                <w:highlight w:val="none"/>
              </w:rPr>
              <w:t>、供应商单独响应的，应</w:t>
            </w:r>
            <w:r>
              <w:rPr>
                <w:rFonts w:hint="eastAsia" w:ascii="Arial Unicode MS" w:hAnsi="Arial Unicode MS" w:cs="Arial Unicode MS"/>
                <w:spacing w:val="-4"/>
                <w:sz w:val="24"/>
                <w:szCs w:val="24"/>
                <w:highlight w:val="none"/>
                <w:lang w:val="en-US" w:eastAsia="zh-CN"/>
              </w:rPr>
              <w:t>提</w:t>
            </w:r>
            <w:r>
              <w:rPr>
                <w:rFonts w:hint="default" w:ascii="Arial Unicode MS" w:hAnsi="Arial Unicode MS" w:eastAsia="Arial Unicode MS" w:cs="Arial Unicode MS"/>
                <w:spacing w:val="-1"/>
                <w:sz w:val="24"/>
                <w:szCs w:val="24"/>
                <w:highlight w:val="none"/>
              </w:rPr>
              <w:t xml:space="preserve">供《中小企业  </w:t>
            </w:r>
            <w:r>
              <w:rPr>
                <w:rFonts w:hint="default" w:ascii="宋体" w:hAnsi="宋体" w:eastAsia="宋体" w:cs="宋体"/>
                <w:spacing w:val="-1"/>
                <w:sz w:val="24"/>
                <w:szCs w:val="24"/>
                <w:highlight w:val="none"/>
              </w:rPr>
              <w:t>声明函》或《残疾人福利性单位声明函》或</w:t>
            </w:r>
            <w:r>
              <w:rPr>
                <w:rFonts w:hint="default" w:ascii="宋体" w:hAnsi="宋体" w:eastAsia="宋体" w:cs="宋体"/>
                <w:spacing w:val="5"/>
                <w:sz w:val="24"/>
                <w:szCs w:val="24"/>
                <w:highlight w:val="none"/>
              </w:rPr>
              <w:t xml:space="preserve"> </w:t>
            </w:r>
            <w:r>
              <w:rPr>
                <w:rFonts w:hint="default" w:ascii="宋体" w:hAnsi="宋体" w:eastAsia="宋体" w:cs="宋体"/>
                <w:spacing w:val="-1"/>
                <w:sz w:val="24"/>
                <w:szCs w:val="24"/>
                <w:highlight w:val="none"/>
              </w:rPr>
              <w:t>由省级以上监狱管理局、戒毒管理局（含新</w:t>
            </w:r>
            <w:r>
              <w:rPr>
                <w:rFonts w:hint="default" w:ascii="宋体" w:hAnsi="宋体" w:eastAsia="宋体" w:cs="宋体"/>
                <w:spacing w:val="5"/>
                <w:sz w:val="24"/>
                <w:szCs w:val="24"/>
                <w:highlight w:val="none"/>
              </w:rPr>
              <w:t xml:space="preserve"> </w:t>
            </w:r>
            <w:r>
              <w:rPr>
                <w:rFonts w:hint="default" w:ascii="宋体" w:hAnsi="宋体" w:eastAsia="宋体" w:cs="宋体"/>
                <w:spacing w:val="-1"/>
                <w:sz w:val="24"/>
                <w:szCs w:val="24"/>
                <w:highlight w:val="none"/>
              </w:rPr>
              <w:t>疆生产建设兵团）出具的属于监狱企业的证</w:t>
            </w:r>
            <w:r>
              <w:rPr>
                <w:rFonts w:hint="default" w:ascii="宋体" w:hAnsi="宋体" w:eastAsia="宋体" w:cs="宋体"/>
                <w:spacing w:val="-9"/>
                <w:sz w:val="24"/>
                <w:szCs w:val="24"/>
                <w:highlight w:val="none"/>
              </w:rPr>
              <w:t>明文件。</w:t>
            </w:r>
          </w:p>
          <w:p w14:paraId="3A261E83">
            <w:pPr>
              <w:pStyle w:val="251"/>
              <w:keepNext w:val="0"/>
              <w:keepLines w:val="0"/>
              <w:suppressLineNumbers w:val="0"/>
              <w:spacing w:before="0" w:beforeAutospacing="0" w:after="0" w:afterAutospacing="0" w:line="240" w:lineRule="auto"/>
              <w:ind w:left="0" w:right="0"/>
              <w:rPr>
                <w:rFonts w:hint="default" w:eastAsia="宋体"/>
                <w:sz w:val="24"/>
                <w:highlight w:val="none"/>
              </w:rPr>
            </w:pPr>
            <w:r>
              <w:rPr>
                <w:rFonts w:hint="default"/>
                <w:spacing w:val="-1"/>
                <w:sz w:val="24"/>
                <w:szCs w:val="24"/>
                <w:highlight w:val="none"/>
              </w:rPr>
              <w:t>2</w:t>
            </w:r>
            <w:r>
              <w:rPr>
                <w:rFonts w:hint="default" w:ascii="宋体" w:hAnsi="宋体" w:eastAsia="宋体" w:cs="宋体"/>
                <w:spacing w:val="-1"/>
                <w:sz w:val="24"/>
                <w:szCs w:val="24"/>
                <w:highlight w:val="none"/>
              </w:rPr>
              <w:t>、如磋商文件要求以联合体形式参加或者要求合同分包的，且供应商为联合体或拟进</w:t>
            </w:r>
            <w:r>
              <w:rPr>
                <w:rFonts w:hint="default" w:ascii="宋体" w:hAnsi="宋体" w:eastAsia="宋体" w:cs="宋体"/>
                <w:spacing w:val="7"/>
                <w:sz w:val="24"/>
                <w:szCs w:val="24"/>
                <w:highlight w:val="none"/>
              </w:rPr>
              <w:t xml:space="preserve"> </w:t>
            </w:r>
            <w:r>
              <w:rPr>
                <w:rFonts w:hint="default" w:ascii="宋体" w:hAnsi="宋体" w:eastAsia="宋体" w:cs="宋体"/>
                <w:spacing w:val="-1"/>
                <w:sz w:val="24"/>
                <w:szCs w:val="24"/>
                <w:highlight w:val="none"/>
              </w:rPr>
              <w:t>行合同分包的，则联合体中的中小企业、签订分包意向协议的中小企业具体情况须在《中小企业声明函》或《残疾人福利性单位</w:t>
            </w:r>
            <w:r>
              <w:rPr>
                <w:rFonts w:hint="default" w:ascii="宋体" w:hAnsi="宋体" w:eastAsia="宋体" w:cs="宋体"/>
                <w:spacing w:val="7"/>
                <w:sz w:val="24"/>
                <w:szCs w:val="24"/>
                <w:highlight w:val="none"/>
              </w:rPr>
              <w:t xml:space="preserve"> </w:t>
            </w:r>
            <w:r>
              <w:rPr>
                <w:rFonts w:hint="default" w:ascii="宋体" w:hAnsi="宋体" w:eastAsia="宋体" w:cs="宋体"/>
                <w:spacing w:val="-1"/>
                <w:sz w:val="24"/>
                <w:szCs w:val="24"/>
                <w:highlight w:val="none"/>
              </w:rPr>
              <w:t>声明函》或由省级以上监狱管理局、戒毒管理局（含新疆生产建设兵团）出具的属于监狱企业的证明文件中如实填报，且满足采购</w:t>
            </w:r>
            <w:r>
              <w:rPr>
                <w:rFonts w:hint="default" w:ascii="宋体" w:hAnsi="宋体" w:eastAsia="宋体" w:cs="宋体"/>
                <w:spacing w:val="-4"/>
                <w:sz w:val="24"/>
                <w:szCs w:val="24"/>
                <w:highlight w:val="none"/>
              </w:rPr>
              <w:t>文件关于预留份额的要求。</w:t>
            </w:r>
          </w:p>
        </w:tc>
        <w:tc>
          <w:tcPr>
            <w:tcW w:w="1027" w:type="pct"/>
            <w:noWrap w:val="0"/>
            <w:vAlign w:val="center"/>
          </w:tcPr>
          <w:p w14:paraId="6A9CFA52">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格式见《响应文件格式》</w:t>
            </w:r>
          </w:p>
        </w:tc>
      </w:tr>
      <w:tr w14:paraId="41573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2DADD6BC">
            <w:pPr>
              <w:keepNext w:val="0"/>
              <w:keepLines w:val="0"/>
              <w:suppressLineNumbers w:val="0"/>
              <w:tabs>
                <w:tab w:val="left" w:pos="1080"/>
              </w:tabs>
              <w:snapToGrid w:val="0"/>
              <w:spacing w:before="0" w:beforeAutospacing="0" w:after="0" w:afterAutospacing="0"/>
              <w:ind w:left="0" w:right="0"/>
              <w:jc w:val="center"/>
              <w:rPr>
                <w:rFonts w:hint="eastAsia" w:eastAsia="宋体"/>
                <w:sz w:val="24"/>
                <w:highlight w:val="none"/>
                <w:lang w:val="en-US" w:eastAsia="zh-CN"/>
              </w:rPr>
            </w:pPr>
            <w:r>
              <w:rPr>
                <w:rFonts w:hint="default" w:eastAsia="宋体"/>
                <w:sz w:val="24"/>
                <w:highlight w:val="none"/>
              </w:rPr>
              <w:t>2-1-</w:t>
            </w:r>
            <w:r>
              <w:rPr>
                <w:rFonts w:hint="eastAsia"/>
                <w:sz w:val="24"/>
                <w:highlight w:val="none"/>
                <w:lang w:val="en-US" w:eastAsia="zh-CN"/>
              </w:rPr>
              <w:t>2</w:t>
            </w:r>
          </w:p>
        </w:tc>
        <w:tc>
          <w:tcPr>
            <w:tcW w:w="904" w:type="pct"/>
            <w:noWrap w:val="0"/>
            <w:vAlign w:val="center"/>
          </w:tcPr>
          <w:p w14:paraId="432A6C3D">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拟分包情况说明及分包意向协议</w:t>
            </w:r>
          </w:p>
        </w:tc>
        <w:tc>
          <w:tcPr>
            <w:tcW w:w="2579" w:type="pct"/>
            <w:noWrap w:val="0"/>
            <w:vAlign w:val="center"/>
          </w:tcPr>
          <w:p w14:paraId="7C86788C">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如本项目（包）要求通过分包措施预留部分采购份额面向中小企业采购、且供应商因落实政府采购政策拟进行分包的，必须提供；否则无须提供。</w:t>
            </w:r>
          </w:p>
          <w:p w14:paraId="1CB76169">
            <w:pPr>
              <w:keepNext w:val="0"/>
              <w:keepLines w:val="0"/>
              <w:suppressLineNumbers w:val="0"/>
              <w:tabs>
                <w:tab w:val="left" w:pos="1080"/>
              </w:tabs>
              <w:snapToGrid w:val="0"/>
              <w:spacing w:before="0" w:beforeAutospacing="0" w:after="0" w:afterAutospacing="0"/>
              <w:ind w:left="0" w:right="0"/>
              <w:jc w:val="left"/>
              <w:rPr>
                <w:rFonts w:hint="default" w:eastAsia="宋体"/>
                <w:b/>
                <w:sz w:val="24"/>
                <w:highlight w:val="none"/>
              </w:rPr>
            </w:pPr>
            <w:r>
              <w:rPr>
                <w:rFonts w:hint="default" w:eastAsia="宋体"/>
                <w:sz w:val="24"/>
                <w:highlight w:val="none"/>
              </w:rPr>
              <w:t>对于预留份额专门面向中小企业采购的项目（包），组成联合体或者接受分包合同的中小企业与联合体内其他企业、分包企业之间不得存在直接控股、管理关系。</w:t>
            </w:r>
          </w:p>
        </w:tc>
        <w:tc>
          <w:tcPr>
            <w:tcW w:w="1027" w:type="pct"/>
            <w:noWrap w:val="0"/>
            <w:vAlign w:val="center"/>
          </w:tcPr>
          <w:p w14:paraId="0F13F5AC">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格式见《响应文件格式》</w:t>
            </w:r>
          </w:p>
        </w:tc>
      </w:tr>
      <w:tr w14:paraId="1FCB6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5081E344">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rPr>
            </w:pPr>
            <w:r>
              <w:rPr>
                <w:rFonts w:hint="default" w:eastAsia="宋体"/>
                <w:sz w:val="24"/>
                <w:highlight w:val="none"/>
              </w:rPr>
              <w:t>2-2</w:t>
            </w:r>
          </w:p>
        </w:tc>
        <w:tc>
          <w:tcPr>
            <w:tcW w:w="904" w:type="pct"/>
            <w:noWrap w:val="0"/>
            <w:vAlign w:val="center"/>
          </w:tcPr>
          <w:p w14:paraId="1915F1DD">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其它落实政府采购政策的资格要求</w:t>
            </w:r>
          </w:p>
        </w:tc>
        <w:tc>
          <w:tcPr>
            <w:tcW w:w="2579" w:type="pct"/>
            <w:noWrap w:val="0"/>
            <w:vAlign w:val="center"/>
          </w:tcPr>
          <w:p w14:paraId="306942BB">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如有，见第一章《采购邀请》</w:t>
            </w:r>
          </w:p>
        </w:tc>
        <w:tc>
          <w:tcPr>
            <w:tcW w:w="1027" w:type="pct"/>
            <w:noWrap w:val="0"/>
            <w:vAlign w:val="center"/>
          </w:tcPr>
          <w:p w14:paraId="4CBEFA84">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ascii="宋体" w:hAnsi="宋体" w:eastAsia="宋体"/>
                <w:sz w:val="24"/>
                <w:highlight w:val="none"/>
              </w:rPr>
              <w:t>提供证明文件的复印件并加盖公章</w:t>
            </w:r>
          </w:p>
        </w:tc>
      </w:tr>
      <w:tr w14:paraId="5281D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20F5C592">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rPr>
            </w:pPr>
            <w:r>
              <w:rPr>
                <w:rFonts w:hint="default" w:eastAsia="宋体"/>
                <w:sz w:val="24"/>
                <w:highlight w:val="none"/>
              </w:rPr>
              <w:t>3</w:t>
            </w:r>
          </w:p>
        </w:tc>
        <w:tc>
          <w:tcPr>
            <w:tcW w:w="904" w:type="pct"/>
            <w:noWrap w:val="0"/>
            <w:vAlign w:val="center"/>
          </w:tcPr>
          <w:p w14:paraId="245FD929">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本项目的特定资格要求</w:t>
            </w:r>
          </w:p>
        </w:tc>
        <w:tc>
          <w:tcPr>
            <w:tcW w:w="2579" w:type="pct"/>
            <w:noWrap w:val="0"/>
            <w:vAlign w:val="center"/>
          </w:tcPr>
          <w:p w14:paraId="7497A38D">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如有，见第一章《采购邀请》</w:t>
            </w:r>
          </w:p>
        </w:tc>
        <w:tc>
          <w:tcPr>
            <w:tcW w:w="1027" w:type="pct"/>
            <w:noWrap w:val="0"/>
            <w:vAlign w:val="center"/>
          </w:tcPr>
          <w:p w14:paraId="611D9369">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eastAsia" w:eastAsia="宋体"/>
                <w:sz w:val="24"/>
                <w:highlight w:val="none"/>
              </w:rPr>
              <w:t>提供证明文件的复印件并加盖公章</w:t>
            </w:r>
          </w:p>
        </w:tc>
      </w:tr>
      <w:tr w14:paraId="17FB6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2BBF189B">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rPr>
            </w:pPr>
            <w:r>
              <w:rPr>
                <w:rFonts w:hint="default" w:eastAsia="宋体"/>
                <w:sz w:val="24"/>
                <w:highlight w:val="none"/>
              </w:rPr>
              <w:t>3-1</w:t>
            </w:r>
          </w:p>
        </w:tc>
        <w:tc>
          <w:tcPr>
            <w:tcW w:w="904" w:type="pct"/>
            <w:noWrap w:val="0"/>
            <w:vAlign w:val="center"/>
          </w:tcPr>
          <w:p w14:paraId="604F451B">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ascii="宋体" w:hAnsi="宋体" w:eastAsia="宋体" w:cs="宋体"/>
                <w:spacing w:val="12"/>
                <w:sz w:val="24"/>
                <w:szCs w:val="24"/>
                <w:highlight w:val="none"/>
              </w:rPr>
              <w:t>本项目对于联</w:t>
            </w:r>
            <w:r>
              <w:rPr>
                <w:rFonts w:hint="default" w:ascii="宋体" w:hAnsi="宋体" w:eastAsia="宋体" w:cs="宋体"/>
                <w:spacing w:val="-2"/>
                <w:sz w:val="24"/>
                <w:szCs w:val="24"/>
                <w:highlight w:val="none"/>
              </w:rPr>
              <w:t>合体的要求</w:t>
            </w:r>
          </w:p>
        </w:tc>
        <w:tc>
          <w:tcPr>
            <w:tcW w:w="2579" w:type="pct"/>
            <w:noWrap w:val="0"/>
            <w:vAlign w:val="center"/>
          </w:tcPr>
          <w:p w14:paraId="3AAD6EF4">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eastAsia="宋体"/>
                <w:sz w:val="24"/>
                <w:highlight w:val="none"/>
              </w:rPr>
              <w:t>1、如本项目接受联合体磋商，且供应商为联合体时必须提供《联合协议》，明确各方拟承担的工作和责任，并指定联合体牵头人，授权其代表所有联合体成员负责本项目磋商和合同实施阶段的牵头、协调工作。该联合协议应当作为响应文件的组成部分，与响应文件其他内容同时</w:t>
            </w:r>
            <w:r>
              <w:rPr>
                <w:rFonts w:hint="eastAsia"/>
                <w:sz w:val="24"/>
                <w:highlight w:val="none"/>
                <w:lang w:val="en-US" w:eastAsia="zh-CN"/>
              </w:rPr>
              <w:t>提</w:t>
            </w:r>
            <w:r>
              <w:rPr>
                <w:rFonts w:hint="default" w:eastAsia="宋体"/>
                <w:sz w:val="24"/>
                <w:highlight w:val="none"/>
              </w:rPr>
              <w:t>交。</w:t>
            </w:r>
          </w:p>
          <w:p w14:paraId="72A6F553">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eastAsia="宋体"/>
                <w:sz w:val="24"/>
                <w:highlight w:val="none"/>
              </w:rPr>
              <w:t>2、联合体各成员单位均须提供本表中序号1-1、1-2的证明文件。</w:t>
            </w:r>
            <w:r>
              <w:rPr>
                <w:rFonts w:hint="default" w:ascii="宋体" w:hAnsi="宋体" w:eastAsia="宋体" w:cs="宋体"/>
                <w:spacing w:val="-3"/>
                <w:sz w:val="24"/>
                <w:szCs w:val="24"/>
                <w:highlight w:val="none"/>
              </w:rPr>
              <w:t>联合体各成员单位均</w:t>
            </w:r>
            <w:r>
              <w:rPr>
                <w:rFonts w:hint="default" w:ascii="宋体" w:hAnsi="宋体" w:eastAsia="宋体" w:cs="宋体"/>
                <w:sz w:val="24"/>
                <w:szCs w:val="24"/>
                <w:highlight w:val="none"/>
              </w:rPr>
              <w:t xml:space="preserve"> 应满足本表</w:t>
            </w:r>
            <w:r>
              <w:rPr>
                <w:rFonts w:hint="default" w:ascii="宋体" w:hAnsi="宋体" w:eastAsia="宋体" w:cs="宋体"/>
                <w:spacing w:val="-36"/>
                <w:sz w:val="24"/>
                <w:szCs w:val="24"/>
                <w:highlight w:val="none"/>
              </w:rPr>
              <w:t xml:space="preserve"> </w:t>
            </w:r>
            <w:r>
              <w:rPr>
                <w:rFonts w:hint="default"/>
                <w:sz w:val="24"/>
                <w:szCs w:val="24"/>
                <w:highlight w:val="none"/>
              </w:rPr>
              <w:t>3-2</w:t>
            </w:r>
            <w:r>
              <w:rPr>
                <w:rFonts w:hint="default" w:ascii="宋体" w:hAnsi="宋体" w:eastAsia="宋体" w:cs="宋体"/>
                <w:sz w:val="24"/>
                <w:szCs w:val="24"/>
                <w:highlight w:val="none"/>
              </w:rPr>
              <w:t>项规定。</w:t>
            </w:r>
          </w:p>
          <w:p w14:paraId="048B5EF1">
            <w:pPr>
              <w:keepNext w:val="0"/>
              <w:keepLines w:val="0"/>
              <w:suppressLineNumbers w:val="0"/>
              <w:tabs>
                <w:tab w:val="left" w:pos="1080"/>
              </w:tabs>
              <w:snapToGrid w:val="0"/>
              <w:spacing w:before="0" w:beforeAutospacing="0" w:after="0" w:afterAutospacing="0"/>
              <w:ind w:left="0" w:right="0"/>
              <w:rPr>
                <w:rFonts w:hint="eastAsia" w:eastAsia="宋体"/>
                <w:sz w:val="24"/>
                <w:highlight w:val="none"/>
              </w:rPr>
            </w:pPr>
            <w:r>
              <w:rPr>
                <w:rFonts w:hint="eastAsia" w:eastAsia="宋体"/>
                <w:sz w:val="24"/>
                <w:highlight w:val="none"/>
              </w:rPr>
              <w:t>3、本表序号3-</w:t>
            </w:r>
            <w:r>
              <w:rPr>
                <w:rFonts w:hint="eastAsia"/>
                <w:sz w:val="24"/>
                <w:highlight w:val="none"/>
                <w:lang w:val="en-US" w:eastAsia="zh-CN"/>
              </w:rPr>
              <w:t>3</w:t>
            </w:r>
            <w:r>
              <w:rPr>
                <w:rFonts w:hint="eastAsia" w:eastAsia="宋体"/>
                <w:sz w:val="24"/>
                <w:highlight w:val="none"/>
              </w:rPr>
              <w:t>项规定的其他特定资格要 求中的每一小项要求，联合体各方中至少应 当有一方符合本表中其他资格要求并</w:t>
            </w:r>
            <w:r>
              <w:rPr>
                <w:rFonts w:hint="eastAsia"/>
                <w:sz w:val="24"/>
                <w:highlight w:val="none"/>
                <w:lang w:val="en-US" w:eastAsia="zh-CN"/>
              </w:rPr>
              <w:t>提</w:t>
            </w:r>
            <w:r>
              <w:rPr>
                <w:rFonts w:hint="eastAsia" w:eastAsia="宋体"/>
                <w:sz w:val="24"/>
                <w:highlight w:val="none"/>
              </w:rPr>
              <w:t>供证 明文件。</w:t>
            </w:r>
          </w:p>
          <w:p w14:paraId="4C42F759">
            <w:pPr>
              <w:keepNext w:val="0"/>
              <w:keepLines w:val="0"/>
              <w:suppressLineNumbers w:val="0"/>
              <w:tabs>
                <w:tab w:val="left" w:pos="1080"/>
              </w:tabs>
              <w:snapToGrid w:val="0"/>
              <w:spacing w:before="0" w:beforeAutospacing="0" w:after="0" w:afterAutospacing="0"/>
              <w:ind w:left="0" w:right="0"/>
              <w:rPr>
                <w:rFonts w:hint="eastAsia" w:eastAsia="宋体"/>
                <w:sz w:val="24"/>
                <w:highlight w:val="none"/>
              </w:rPr>
            </w:pPr>
            <w:r>
              <w:rPr>
                <w:rFonts w:hint="eastAsia" w:eastAsia="宋体"/>
                <w:sz w:val="24"/>
                <w:highlight w:val="none"/>
              </w:rPr>
              <w:t>4、联合体中有同类资质的供应商按照联合体分工承担相同工作的， 应当按照资质等级较低的供应商确定资质等级。</w:t>
            </w:r>
          </w:p>
          <w:p w14:paraId="28ACAC8C">
            <w:pPr>
              <w:keepNext w:val="0"/>
              <w:keepLines w:val="0"/>
              <w:suppressLineNumbers w:val="0"/>
              <w:tabs>
                <w:tab w:val="left" w:pos="1080"/>
              </w:tabs>
              <w:snapToGrid w:val="0"/>
              <w:spacing w:before="0" w:beforeAutospacing="0" w:after="0" w:afterAutospacing="0"/>
              <w:ind w:left="0" w:right="0"/>
              <w:rPr>
                <w:rFonts w:hint="eastAsia" w:eastAsia="宋体"/>
                <w:sz w:val="24"/>
                <w:highlight w:val="none"/>
              </w:rPr>
            </w:pPr>
            <w:r>
              <w:rPr>
                <w:rFonts w:hint="eastAsia" w:eastAsia="宋体"/>
                <w:sz w:val="24"/>
                <w:highlight w:val="none"/>
              </w:rPr>
              <w:t>5、以联合体形式参加政府采购活动的，联合体各方不得再单独参加或者与其他供应商另外组成联合体参加同一合同项下的政府采 购活动。</w:t>
            </w:r>
          </w:p>
          <w:p w14:paraId="2CEA96CB">
            <w:pPr>
              <w:keepNext w:val="0"/>
              <w:keepLines w:val="0"/>
              <w:suppressLineNumbers w:val="0"/>
              <w:tabs>
                <w:tab w:val="left" w:pos="1080"/>
              </w:tabs>
              <w:snapToGrid w:val="0"/>
              <w:spacing w:before="0" w:beforeAutospacing="0" w:after="0" w:afterAutospacing="0"/>
              <w:ind w:left="0" w:right="0"/>
              <w:rPr>
                <w:rFonts w:hint="eastAsia" w:eastAsia="宋体"/>
                <w:sz w:val="24"/>
                <w:highlight w:val="none"/>
              </w:rPr>
            </w:pPr>
            <w:r>
              <w:rPr>
                <w:rFonts w:hint="eastAsia" w:eastAsia="宋体"/>
                <w:sz w:val="24"/>
                <w:highlight w:val="none"/>
              </w:rPr>
              <w:t>6、若联合体中任一成员单位中途退出，则该联合体的</w:t>
            </w:r>
            <w:r>
              <w:rPr>
                <w:rFonts w:hint="eastAsia" w:eastAsia="宋体"/>
                <w:b/>
                <w:bCs/>
                <w:sz w:val="24"/>
                <w:highlight w:val="none"/>
              </w:rPr>
              <w:t>响应无效</w:t>
            </w:r>
            <w:r>
              <w:rPr>
                <w:rFonts w:hint="eastAsia" w:eastAsia="宋体"/>
                <w:sz w:val="24"/>
                <w:highlight w:val="none"/>
              </w:rPr>
              <w:t>。</w:t>
            </w:r>
          </w:p>
          <w:p w14:paraId="1F78B30C">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eastAsia" w:eastAsia="宋体"/>
                <w:sz w:val="24"/>
                <w:highlight w:val="none"/>
              </w:rPr>
              <w:t>7、本项目不接受联合体响应时，供应商不得为联合体。</w:t>
            </w:r>
            <w:r>
              <w:rPr>
                <w:rFonts w:hint="default" w:eastAsia="宋体"/>
                <w:sz w:val="24"/>
                <w:highlight w:val="none"/>
              </w:rPr>
              <w:t xml:space="preserve"> </w:t>
            </w:r>
          </w:p>
        </w:tc>
        <w:tc>
          <w:tcPr>
            <w:tcW w:w="1027" w:type="pct"/>
            <w:noWrap w:val="0"/>
            <w:vAlign w:val="center"/>
          </w:tcPr>
          <w:p w14:paraId="02810B83">
            <w:pPr>
              <w:keepNext w:val="0"/>
              <w:keepLines w:val="0"/>
              <w:suppressLineNumbers w:val="0"/>
              <w:tabs>
                <w:tab w:val="left" w:pos="1080"/>
              </w:tabs>
              <w:snapToGrid w:val="0"/>
              <w:spacing w:before="0" w:beforeAutospacing="0" w:after="0" w:afterAutospacing="0"/>
              <w:ind w:left="0" w:right="0"/>
              <w:rPr>
                <w:rFonts w:hint="eastAsia" w:eastAsia="宋体"/>
                <w:sz w:val="24"/>
                <w:highlight w:val="none"/>
              </w:rPr>
            </w:pPr>
            <w:r>
              <w:rPr>
                <w:rFonts w:hint="eastAsia" w:eastAsia="宋体"/>
                <w:sz w:val="24"/>
                <w:highlight w:val="none"/>
              </w:rPr>
              <w:t>提供《联合协议》原件或复印件并加盖公章</w:t>
            </w:r>
          </w:p>
          <w:p w14:paraId="355505A9">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eastAsia" w:eastAsia="宋体"/>
                <w:sz w:val="24"/>
                <w:highlight w:val="none"/>
              </w:rPr>
              <w:t>格式见《响应文件格式》</w:t>
            </w:r>
          </w:p>
        </w:tc>
      </w:tr>
      <w:tr w14:paraId="352D7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122279C8">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lang w:val="en-US" w:eastAsia="zh-CN"/>
              </w:rPr>
            </w:pPr>
            <w:r>
              <w:rPr>
                <w:rFonts w:hint="eastAsia"/>
                <w:sz w:val="24"/>
                <w:highlight w:val="none"/>
                <w:lang w:val="en-US" w:eastAsia="zh-CN"/>
              </w:rPr>
              <w:t>3-2</w:t>
            </w:r>
          </w:p>
        </w:tc>
        <w:tc>
          <w:tcPr>
            <w:tcW w:w="904" w:type="pct"/>
            <w:noWrap w:val="0"/>
            <w:vAlign w:val="top"/>
          </w:tcPr>
          <w:p w14:paraId="55FE224F">
            <w:pPr>
              <w:keepNext w:val="0"/>
              <w:keepLines w:val="0"/>
              <w:suppressLineNumbers w:val="0"/>
              <w:spacing w:before="0" w:beforeAutospacing="0" w:after="0" w:afterAutospacing="0" w:line="240" w:lineRule="auto"/>
              <w:ind w:left="0" w:leftChars="0" w:right="0" w:rightChars="0"/>
              <w:jc w:val="both"/>
              <w:rPr>
                <w:rFonts w:hint="default" w:ascii="宋体" w:hAnsi="宋体" w:eastAsia="宋体" w:cs="宋体"/>
                <w:spacing w:val="12"/>
                <w:sz w:val="24"/>
                <w:szCs w:val="24"/>
                <w:highlight w:val="none"/>
              </w:rPr>
            </w:pPr>
            <w:r>
              <w:rPr>
                <w:rFonts w:hint="default" w:ascii="宋体" w:hAnsi="宋体" w:eastAsia="宋体" w:cs="宋体"/>
                <w:spacing w:val="13"/>
                <w:sz w:val="24"/>
                <w:szCs w:val="24"/>
                <w:highlight w:val="none"/>
              </w:rPr>
              <w:t>政府购买服务</w:t>
            </w:r>
            <w:r>
              <w:rPr>
                <w:rFonts w:hint="default" w:ascii="宋体" w:hAnsi="宋体" w:eastAsia="宋体" w:cs="宋体"/>
                <w:spacing w:val="12"/>
                <w:sz w:val="24"/>
                <w:szCs w:val="24"/>
                <w:highlight w:val="none"/>
              </w:rPr>
              <w:t>承接主体的要</w:t>
            </w:r>
            <w:r>
              <w:rPr>
                <w:rFonts w:hint="default" w:ascii="宋体" w:hAnsi="宋体" w:eastAsia="宋体" w:cs="宋体"/>
                <w:sz w:val="24"/>
                <w:szCs w:val="24"/>
                <w:highlight w:val="none"/>
              </w:rPr>
              <w:t>求</w:t>
            </w:r>
          </w:p>
        </w:tc>
        <w:tc>
          <w:tcPr>
            <w:tcW w:w="2579" w:type="pct"/>
            <w:noWrap w:val="0"/>
            <w:vAlign w:val="top"/>
          </w:tcPr>
          <w:p w14:paraId="606F8CC6">
            <w:pPr>
              <w:keepNext w:val="0"/>
              <w:keepLines w:val="0"/>
              <w:suppressLineNumbers w:val="0"/>
              <w:spacing w:before="38" w:beforeAutospacing="0" w:after="0" w:afterAutospacing="0" w:line="228" w:lineRule="auto"/>
              <w:ind w:left="0" w:right="104" w:rightChars="0"/>
              <w:jc w:val="both"/>
              <w:rPr>
                <w:rFonts w:hint="default" w:ascii="Times New Roman" w:hAnsi="Times New Roman" w:eastAsia="宋体" w:cs="Times New Roman"/>
                <w:kern w:val="2"/>
                <w:sz w:val="21"/>
                <w:szCs w:val="24"/>
                <w:highlight w:val="none"/>
                <w:lang w:val="en-US" w:eastAsia="zh-CN" w:bidi="ar-SA"/>
              </w:rPr>
            </w:pPr>
            <w:r>
              <w:rPr>
                <w:rFonts w:hint="default" w:ascii="宋体" w:hAnsi="宋体" w:eastAsia="宋体" w:cs="宋体"/>
                <w:spacing w:val="-6"/>
                <w:sz w:val="24"/>
                <w:szCs w:val="24"/>
                <w:highlight w:val="none"/>
              </w:rPr>
              <w:t>如本项目属于政府购买服务，供应商不属于</w:t>
            </w:r>
            <w:r>
              <w:rPr>
                <w:rFonts w:hint="default" w:ascii="宋体" w:hAnsi="宋体" w:eastAsia="宋体" w:cs="宋体"/>
                <w:sz w:val="24"/>
                <w:szCs w:val="24"/>
                <w:highlight w:val="none"/>
              </w:rPr>
              <w:t>公益一类事业单位、使用事业编制且由财政</w:t>
            </w:r>
            <w:r>
              <w:rPr>
                <w:rFonts w:hint="default" w:ascii="宋体" w:hAnsi="宋体" w:eastAsia="宋体" w:cs="宋体"/>
                <w:spacing w:val="-2"/>
                <w:sz w:val="24"/>
                <w:szCs w:val="24"/>
                <w:highlight w:val="none"/>
              </w:rPr>
              <w:t>拨款保障的群团组织。</w:t>
            </w:r>
          </w:p>
        </w:tc>
        <w:tc>
          <w:tcPr>
            <w:tcW w:w="1027" w:type="pct"/>
            <w:noWrap w:val="0"/>
            <w:vAlign w:val="center"/>
          </w:tcPr>
          <w:p w14:paraId="43ADEC98">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ascii="宋体" w:hAnsi="宋体" w:eastAsia="宋体" w:cs="宋体"/>
                <w:sz w:val="24"/>
                <w:szCs w:val="24"/>
                <w:highlight w:val="none"/>
              </w:rPr>
              <w:t>格式见《响应文</w:t>
            </w:r>
            <w:r>
              <w:rPr>
                <w:rFonts w:hint="default" w:ascii="宋体" w:hAnsi="宋体" w:eastAsia="宋体" w:cs="宋体"/>
                <w:spacing w:val="1"/>
                <w:sz w:val="24"/>
                <w:szCs w:val="24"/>
                <w:highlight w:val="none"/>
              </w:rPr>
              <w:t xml:space="preserve"> </w:t>
            </w:r>
            <w:r>
              <w:rPr>
                <w:rFonts w:hint="default" w:ascii="宋体" w:hAnsi="宋体" w:eastAsia="宋体" w:cs="宋体"/>
                <w:spacing w:val="-4"/>
                <w:sz w:val="24"/>
                <w:szCs w:val="24"/>
                <w:highlight w:val="none"/>
              </w:rPr>
              <w:t>件格式》</w:t>
            </w:r>
          </w:p>
        </w:tc>
      </w:tr>
      <w:tr w14:paraId="6CC7E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27385069">
            <w:pPr>
              <w:keepNext w:val="0"/>
              <w:keepLines w:val="0"/>
              <w:suppressLineNumbers w:val="0"/>
              <w:tabs>
                <w:tab w:val="left" w:pos="1080"/>
              </w:tabs>
              <w:snapToGrid w:val="0"/>
              <w:spacing w:before="0" w:beforeAutospacing="0" w:after="0" w:afterAutospacing="0"/>
              <w:ind w:left="0" w:right="0"/>
              <w:jc w:val="center"/>
              <w:rPr>
                <w:rFonts w:hint="eastAsia" w:eastAsia="宋体"/>
                <w:sz w:val="24"/>
                <w:highlight w:val="none"/>
                <w:lang w:val="en-US" w:eastAsia="zh-CN"/>
              </w:rPr>
            </w:pPr>
            <w:r>
              <w:rPr>
                <w:rFonts w:hint="default" w:eastAsia="宋体"/>
                <w:sz w:val="24"/>
                <w:highlight w:val="none"/>
              </w:rPr>
              <w:t>3-</w:t>
            </w:r>
            <w:r>
              <w:rPr>
                <w:rFonts w:hint="eastAsia"/>
                <w:sz w:val="24"/>
                <w:highlight w:val="none"/>
                <w:lang w:val="en-US" w:eastAsia="zh-CN"/>
              </w:rPr>
              <w:t>3</w:t>
            </w:r>
          </w:p>
        </w:tc>
        <w:tc>
          <w:tcPr>
            <w:tcW w:w="904" w:type="pct"/>
            <w:noWrap w:val="0"/>
            <w:vAlign w:val="center"/>
          </w:tcPr>
          <w:p w14:paraId="726B8597">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eastAsia="宋体"/>
                <w:sz w:val="24"/>
                <w:highlight w:val="none"/>
              </w:rPr>
              <w:t>其他特定资格要求</w:t>
            </w:r>
          </w:p>
        </w:tc>
        <w:tc>
          <w:tcPr>
            <w:tcW w:w="2579" w:type="pct"/>
            <w:noWrap w:val="0"/>
            <w:vAlign w:val="center"/>
          </w:tcPr>
          <w:p w14:paraId="25BB83EC">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eastAsia="宋体"/>
                <w:color w:val="000000"/>
                <w:sz w:val="24"/>
                <w:highlight w:val="none"/>
              </w:rPr>
              <w:t>如有，见</w:t>
            </w:r>
            <w:r>
              <w:rPr>
                <w:rFonts w:hint="default" w:eastAsia="宋体"/>
                <w:sz w:val="24"/>
                <w:highlight w:val="none"/>
              </w:rPr>
              <w:t>第一章《采购邀请》</w:t>
            </w:r>
          </w:p>
        </w:tc>
        <w:tc>
          <w:tcPr>
            <w:tcW w:w="1027" w:type="pct"/>
            <w:noWrap w:val="0"/>
            <w:vAlign w:val="center"/>
          </w:tcPr>
          <w:p w14:paraId="35582261">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ascii="宋体" w:hAnsi="宋体" w:eastAsia="宋体"/>
                <w:sz w:val="24"/>
                <w:highlight w:val="none"/>
              </w:rPr>
              <w:t>提供证明文件的复印件并加盖公章</w:t>
            </w:r>
          </w:p>
        </w:tc>
      </w:tr>
      <w:tr w14:paraId="5FE8D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505DF7E3">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rPr>
            </w:pPr>
            <w:r>
              <w:rPr>
                <w:rFonts w:hint="default" w:eastAsia="宋体"/>
                <w:sz w:val="24"/>
                <w:highlight w:val="none"/>
              </w:rPr>
              <w:t>4</w:t>
            </w:r>
          </w:p>
        </w:tc>
        <w:tc>
          <w:tcPr>
            <w:tcW w:w="904" w:type="pct"/>
            <w:noWrap w:val="0"/>
            <w:vAlign w:val="center"/>
          </w:tcPr>
          <w:p w14:paraId="34C21850">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eastAsia="宋体"/>
                <w:color w:val="000000"/>
                <w:kern w:val="0"/>
                <w:sz w:val="24"/>
                <w:highlight w:val="none"/>
              </w:rPr>
              <w:t>磋商保证金</w:t>
            </w:r>
          </w:p>
        </w:tc>
        <w:tc>
          <w:tcPr>
            <w:tcW w:w="2579" w:type="pct"/>
            <w:noWrap w:val="0"/>
            <w:vAlign w:val="center"/>
          </w:tcPr>
          <w:p w14:paraId="54E7B089">
            <w:pPr>
              <w:keepNext w:val="0"/>
              <w:keepLines w:val="0"/>
              <w:suppressLineNumbers w:val="0"/>
              <w:tabs>
                <w:tab w:val="left" w:pos="1080"/>
              </w:tabs>
              <w:snapToGrid w:val="0"/>
              <w:spacing w:before="0" w:beforeAutospacing="0" w:after="0" w:afterAutospacing="0"/>
              <w:ind w:left="0" w:right="0"/>
              <w:rPr>
                <w:rFonts w:hint="default" w:eastAsia="宋体"/>
                <w:color w:val="000000"/>
                <w:sz w:val="24"/>
                <w:highlight w:val="none"/>
              </w:rPr>
            </w:pPr>
            <w:r>
              <w:rPr>
                <w:rFonts w:hint="default" w:eastAsia="宋体"/>
                <w:color w:val="000000"/>
                <w:kern w:val="0"/>
                <w:sz w:val="24"/>
                <w:highlight w:val="none"/>
              </w:rPr>
              <w:t>按照竞争性磋商文件的要求提交磋商保证金</w:t>
            </w:r>
            <w:r>
              <w:rPr>
                <w:rFonts w:hint="eastAsia" w:eastAsia="宋体"/>
                <w:color w:val="000000"/>
                <w:kern w:val="0"/>
                <w:sz w:val="24"/>
                <w:highlight w:val="none"/>
              </w:rPr>
              <w:t>。</w:t>
            </w:r>
          </w:p>
        </w:tc>
        <w:tc>
          <w:tcPr>
            <w:tcW w:w="1027" w:type="pct"/>
            <w:noWrap w:val="0"/>
            <w:vAlign w:val="center"/>
          </w:tcPr>
          <w:p w14:paraId="458DF870">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p>
        </w:tc>
      </w:tr>
    </w:tbl>
    <w:p w14:paraId="57C99C42">
      <w:pPr>
        <w:widowControl/>
        <w:jc w:val="left"/>
        <w:rPr>
          <w:rFonts w:eastAsia="宋体"/>
          <w:sz w:val="24"/>
          <w:highlight w:val="none"/>
        </w:rPr>
      </w:pPr>
      <w:r>
        <w:rPr>
          <w:rFonts w:eastAsia="宋体"/>
          <w:sz w:val="24"/>
          <w:highlight w:val="none"/>
        </w:rPr>
        <w:br w:type="page"/>
      </w:r>
    </w:p>
    <w:p w14:paraId="0D93EC84">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《符合性审查要求》见下表：</w:t>
      </w:r>
    </w:p>
    <w:p w14:paraId="414BC210">
      <w:pPr>
        <w:widowControl/>
        <w:spacing w:line="360" w:lineRule="auto"/>
        <w:jc w:val="center"/>
        <w:rPr>
          <w:rFonts w:eastAsia="宋体"/>
          <w:b/>
          <w:color w:val="000000"/>
          <w:kern w:val="0"/>
          <w:sz w:val="24"/>
          <w:highlight w:val="none"/>
        </w:rPr>
      </w:pPr>
      <w:r>
        <w:rPr>
          <w:rFonts w:eastAsia="宋体"/>
          <w:b/>
          <w:color w:val="000000"/>
          <w:kern w:val="0"/>
          <w:sz w:val="24"/>
          <w:highlight w:val="none"/>
        </w:rPr>
        <w:t>符合性审查要求</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671"/>
        <w:gridCol w:w="5410"/>
        <w:gridCol w:w="1315"/>
      </w:tblGrid>
      <w:tr w14:paraId="1BD0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19" w:type="pct"/>
            <w:shd w:val="clear" w:color="000000" w:fill="FFFFFF"/>
            <w:noWrap w:val="0"/>
            <w:vAlign w:val="center"/>
          </w:tcPr>
          <w:p w14:paraId="655825AC">
            <w:pPr>
              <w:keepNext w:val="0"/>
              <w:keepLines w:val="0"/>
              <w:widowControl/>
              <w:suppressLineNumbers w:val="0"/>
              <w:spacing w:before="0" w:beforeAutospacing="0" w:after="0" w:afterAutospacing="0"/>
              <w:ind w:left="0" w:right="0"/>
              <w:jc w:val="center"/>
              <w:rPr>
                <w:rFonts w:hint="default" w:eastAsia="宋体"/>
                <w:b/>
                <w:color w:val="000000"/>
                <w:kern w:val="0"/>
                <w:sz w:val="24"/>
                <w:highlight w:val="none"/>
              </w:rPr>
            </w:pPr>
            <w:r>
              <w:rPr>
                <w:rFonts w:hint="default" w:eastAsia="宋体"/>
                <w:b/>
                <w:color w:val="000000"/>
                <w:kern w:val="0"/>
                <w:sz w:val="24"/>
                <w:highlight w:val="none"/>
              </w:rPr>
              <w:t>序号</w:t>
            </w:r>
          </w:p>
        </w:tc>
        <w:tc>
          <w:tcPr>
            <w:tcW w:w="911" w:type="pct"/>
            <w:shd w:val="clear" w:color="000000" w:fill="FFFFFF"/>
            <w:noWrap w:val="0"/>
            <w:vAlign w:val="center"/>
          </w:tcPr>
          <w:p w14:paraId="077BE374">
            <w:pPr>
              <w:keepNext w:val="0"/>
              <w:keepLines w:val="0"/>
              <w:widowControl/>
              <w:suppressLineNumbers w:val="0"/>
              <w:spacing w:before="0" w:beforeAutospacing="0" w:after="0" w:afterAutospacing="0"/>
              <w:ind w:left="0" w:right="0"/>
              <w:jc w:val="center"/>
              <w:rPr>
                <w:rFonts w:hint="default" w:eastAsia="宋体"/>
                <w:b/>
                <w:color w:val="000000"/>
                <w:kern w:val="0"/>
                <w:sz w:val="24"/>
                <w:highlight w:val="none"/>
              </w:rPr>
            </w:pPr>
            <w:r>
              <w:rPr>
                <w:rFonts w:hint="default" w:eastAsia="宋体"/>
                <w:b/>
                <w:sz w:val="24"/>
                <w:highlight w:val="none"/>
              </w:rPr>
              <w:t>检查</w:t>
            </w:r>
            <w:r>
              <w:rPr>
                <w:rFonts w:hint="default" w:eastAsia="宋体"/>
                <w:b/>
                <w:color w:val="000000"/>
                <w:kern w:val="0"/>
                <w:sz w:val="24"/>
                <w:highlight w:val="none"/>
              </w:rPr>
              <w:t>因素</w:t>
            </w:r>
          </w:p>
        </w:tc>
        <w:tc>
          <w:tcPr>
            <w:tcW w:w="2950" w:type="pct"/>
            <w:shd w:val="clear" w:color="000000" w:fill="FFFFFF"/>
            <w:noWrap w:val="0"/>
            <w:vAlign w:val="center"/>
          </w:tcPr>
          <w:p w14:paraId="0A7D5D7D">
            <w:pPr>
              <w:keepNext w:val="0"/>
              <w:keepLines w:val="0"/>
              <w:widowControl/>
              <w:suppressLineNumbers w:val="0"/>
              <w:spacing w:before="0" w:beforeAutospacing="0" w:after="0" w:afterAutospacing="0"/>
              <w:ind w:left="0" w:right="0"/>
              <w:jc w:val="center"/>
              <w:rPr>
                <w:rFonts w:hint="default" w:eastAsia="宋体"/>
                <w:b/>
                <w:color w:val="000000"/>
                <w:kern w:val="0"/>
                <w:sz w:val="24"/>
                <w:highlight w:val="none"/>
              </w:rPr>
            </w:pPr>
            <w:r>
              <w:rPr>
                <w:rFonts w:hint="default" w:eastAsia="宋体"/>
                <w:b/>
                <w:sz w:val="24"/>
                <w:highlight w:val="none"/>
              </w:rPr>
              <w:t>检查</w:t>
            </w:r>
            <w:r>
              <w:rPr>
                <w:rFonts w:hint="default" w:eastAsia="宋体"/>
                <w:b/>
                <w:color w:val="000000"/>
                <w:kern w:val="0"/>
                <w:sz w:val="24"/>
                <w:highlight w:val="none"/>
              </w:rPr>
              <w:t>内容</w:t>
            </w:r>
          </w:p>
        </w:tc>
        <w:tc>
          <w:tcPr>
            <w:tcW w:w="717" w:type="pct"/>
            <w:shd w:val="clear" w:color="000000" w:fill="FFFFFF"/>
            <w:noWrap w:val="0"/>
            <w:vAlign w:val="center"/>
          </w:tcPr>
          <w:p w14:paraId="1A4767FD">
            <w:pPr>
              <w:keepNext w:val="0"/>
              <w:keepLines w:val="0"/>
              <w:widowControl/>
              <w:suppressLineNumbers w:val="0"/>
              <w:spacing w:before="0" w:beforeAutospacing="0" w:after="0" w:afterAutospacing="0"/>
              <w:ind w:left="0" w:right="0"/>
              <w:jc w:val="center"/>
              <w:rPr>
                <w:rFonts w:hint="default" w:eastAsia="宋体"/>
                <w:b/>
                <w:color w:val="000000"/>
                <w:kern w:val="0"/>
                <w:sz w:val="24"/>
                <w:highlight w:val="none"/>
              </w:rPr>
            </w:pPr>
            <w:r>
              <w:rPr>
                <w:rFonts w:hint="default" w:eastAsia="宋体"/>
                <w:b/>
                <w:color w:val="000000"/>
                <w:kern w:val="0"/>
                <w:sz w:val="24"/>
                <w:highlight w:val="none"/>
              </w:rPr>
              <w:t>是否允许澄清、说明或者更正</w:t>
            </w:r>
          </w:p>
        </w:tc>
      </w:tr>
      <w:tr w14:paraId="3A02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19" w:type="pct"/>
            <w:shd w:val="clear" w:color="000000" w:fill="FFFFFF"/>
            <w:noWrap w:val="0"/>
            <w:vAlign w:val="center"/>
          </w:tcPr>
          <w:p w14:paraId="16E55A9E">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1</w:t>
            </w:r>
          </w:p>
        </w:tc>
        <w:tc>
          <w:tcPr>
            <w:tcW w:w="911" w:type="pct"/>
            <w:shd w:val="clear" w:color="000000" w:fill="FFFFFF"/>
            <w:noWrap w:val="0"/>
            <w:vAlign w:val="center"/>
          </w:tcPr>
          <w:p w14:paraId="63077B7C">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文件有效期</w:t>
            </w:r>
          </w:p>
        </w:tc>
        <w:tc>
          <w:tcPr>
            <w:tcW w:w="2950" w:type="pct"/>
            <w:shd w:val="clear" w:color="000000" w:fill="FFFFFF"/>
            <w:noWrap w:val="0"/>
            <w:vAlign w:val="center"/>
          </w:tcPr>
          <w:p w14:paraId="0E390AB1">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文件有效期是否符合磋商文件要求</w:t>
            </w:r>
          </w:p>
        </w:tc>
        <w:tc>
          <w:tcPr>
            <w:tcW w:w="717" w:type="pct"/>
            <w:shd w:val="clear" w:color="000000" w:fill="FFFFFF"/>
            <w:noWrap w:val="0"/>
            <w:vAlign w:val="center"/>
          </w:tcPr>
          <w:p w14:paraId="5424D1D1">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default" w:ascii="宋体" w:hAnsi="宋体" w:eastAsia="宋体"/>
                <w:color w:val="000000"/>
                <w:kern w:val="0"/>
                <w:sz w:val="24"/>
                <w:highlight w:val="none"/>
              </w:rPr>
              <w:t>否</w:t>
            </w:r>
          </w:p>
        </w:tc>
      </w:tr>
      <w:tr w14:paraId="269B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19" w:type="pct"/>
            <w:shd w:val="clear" w:color="000000" w:fill="FFFFFF"/>
            <w:noWrap w:val="0"/>
            <w:vAlign w:val="center"/>
          </w:tcPr>
          <w:p w14:paraId="66A11AB3">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2</w:t>
            </w:r>
          </w:p>
        </w:tc>
        <w:tc>
          <w:tcPr>
            <w:tcW w:w="911" w:type="pct"/>
            <w:shd w:val="clear" w:color="000000" w:fill="FFFFFF"/>
            <w:noWrap w:val="0"/>
            <w:vAlign w:val="center"/>
          </w:tcPr>
          <w:p w14:paraId="726575C0">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文件数量</w:t>
            </w:r>
          </w:p>
        </w:tc>
        <w:tc>
          <w:tcPr>
            <w:tcW w:w="2950" w:type="pct"/>
            <w:shd w:val="clear" w:color="000000" w:fill="FFFFFF"/>
            <w:noWrap w:val="0"/>
            <w:vAlign w:val="center"/>
          </w:tcPr>
          <w:p w14:paraId="411DE46F">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文件数量是否符合磋商文件要求</w:t>
            </w:r>
          </w:p>
        </w:tc>
        <w:tc>
          <w:tcPr>
            <w:tcW w:w="717" w:type="pct"/>
            <w:shd w:val="clear" w:color="000000" w:fill="FFFFFF"/>
            <w:noWrap w:val="0"/>
            <w:vAlign w:val="center"/>
          </w:tcPr>
          <w:p w14:paraId="6FCF4FA9">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default" w:ascii="宋体" w:hAnsi="宋体" w:eastAsia="宋体"/>
                <w:color w:val="000000"/>
                <w:kern w:val="0"/>
                <w:sz w:val="24"/>
                <w:highlight w:val="none"/>
              </w:rPr>
              <w:t>否</w:t>
            </w:r>
          </w:p>
        </w:tc>
      </w:tr>
      <w:tr w14:paraId="2BCA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19" w:type="pct"/>
            <w:shd w:val="clear" w:color="000000" w:fill="FFFFFF"/>
            <w:noWrap w:val="0"/>
            <w:vAlign w:val="center"/>
          </w:tcPr>
          <w:p w14:paraId="1AC97BAD">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3</w:t>
            </w:r>
          </w:p>
        </w:tc>
        <w:tc>
          <w:tcPr>
            <w:tcW w:w="911" w:type="pct"/>
            <w:shd w:val="clear" w:color="000000" w:fill="FFFFFF"/>
            <w:noWrap w:val="0"/>
            <w:vAlign w:val="center"/>
          </w:tcPr>
          <w:p w14:paraId="76E3042B">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签字盖章</w:t>
            </w:r>
          </w:p>
        </w:tc>
        <w:tc>
          <w:tcPr>
            <w:tcW w:w="2950" w:type="pct"/>
            <w:shd w:val="clear" w:color="000000" w:fill="FFFFFF"/>
            <w:noWrap w:val="0"/>
            <w:vAlign w:val="center"/>
          </w:tcPr>
          <w:p w14:paraId="1E363EB9">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是否按照磋商文件要求对响应文件进行盖章和签字</w:t>
            </w:r>
          </w:p>
        </w:tc>
        <w:tc>
          <w:tcPr>
            <w:tcW w:w="717" w:type="pct"/>
            <w:shd w:val="clear" w:color="000000" w:fill="FFFFFF"/>
            <w:noWrap w:val="0"/>
            <w:vAlign w:val="center"/>
          </w:tcPr>
          <w:p w14:paraId="1DA9B34B">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default" w:ascii="宋体" w:hAnsi="宋体" w:eastAsia="宋体"/>
                <w:color w:val="000000"/>
                <w:kern w:val="0"/>
                <w:sz w:val="24"/>
                <w:highlight w:val="none"/>
              </w:rPr>
              <w:t>否</w:t>
            </w:r>
          </w:p>
        </w:tc>
      </w:tr>
      <w:tr w14:paraId="2F64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419" w:type="pct"/>
            <w:shd w:val="clear" w:color="000000" w:fill="FFFFFF"/>
            <w:noWrap w:val="0"/>
            <w:vAlign w:val="center"/>
          </w:tcPr>
          <w:p w14:paraId="519BA11D">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4</w:t>
            </w:r>
          </w:p>
        </w:tc>
        <w:tc>
          <w:tcPr>
            <w:tcW w:w="911" w:type="pct"/>
            <w:shd w:val="clear" w:color="000000" w:fill="FFFFFF"/>
            <w:noWrap w:val="0"/>
            <w:vAlign w:val="center"/>
          </w:tcPr>
          <w:p w14:paraId="0ED82FEF">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法定代表人授权委托书</w:t>
            </w:r>
          </w:p>
        </w:tc>
        <w:tc>
          <w:tcPr>
            <w:tcW w:w="2950" w:type="pct"/>
            <w:shd w:val="clear" w:color="000000" w:fill="FFFFFF"/>
            <w:noWrap w:val="0"/>
            <w:vAlign w:val="center"/>
          </w:tcPr>
          <w:p w14:paraId="2DB5FF66">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是否按照磋商文件规定，提供符合要求的法定代表人授权委托书</w:t>
            </w:r>
          </w:p>
        </w:tc>
        <w:tc>
          <w:tcPr>
            <w:tcW w:w="717" w:type="pct"/>
            <w:shd w:val="clear" w:color="000000" w:fill="FFFFFF"/>
            <w:noWrap w:val="0"/>
            <w:vAlign w:val="center"/>
          </w:tcPr>
          <w:p w14:paraId="40574A03">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default" w:ascii="宋体" w:hAnsi="宋体" w:eastAsia="宋体"/>
                <w:color w:val="000000"/>
                <w:kern w:val="0"/>
                <w:sz w:val="24"/>
                <w:highlight w:val="none"/>
              </w:rPr>
              <w:t>否</w:t>
            </w:r>
          </w:p>
        </w:tc>
      </w:tr>
      <w:tr w14:paraId="6A62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19" w:type="pct"/>
            <w:shd w:val="clear" w:color="000000" w:fill="FFFFFF"/>
            <w:noWrap w:val="0"/>
            <w:vAlign w:val="center"/>
          </w:tcPr>
          <w:p w14:paraId="25CDB759">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5</w:t>
            </w:r>
          </w:p>
        </w:tc>
        <w:tc>
          <w:tcPr>
            <w:tcW w:w="911" w:type="pct"/>
            <w:shd w:val="clear" w:color="000000" w:fill="FFFFFF"/>
            <w:noWrap w:val="0"/>
            <w:vAlign w:val="center"/>
          </w:tcPr>
          <w:p w14:paraId="5A281F24">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其它非实质性响应</w:t>
            </w:r>
          </w:p>
        </w:tc>
        <w:tc>
          <w:tcPr>
            <w:tcW w:w="2950" w:type="pct"/>
            <w:shd w:val="clear" w:color="000000" w:fill="FFFFFF"/>
            <w:noWrap w:val="0"/>
            <w:vAlign w:val="center"/>
          </w:tcPr>
          <w:p w14:paraId="09239D82">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default" w:ascii="宋体" w:hAnsi="宋体" w:eastAsia="宋体"/>
                <w:color w:val="000000"/>
                <w:kern w:val="0"/>
                <w:sz w:val="24"/>
                <w:highlight w:val="none"/>
              </w:rPr>
              <w:t>响应文件是否存在</w:t>
            </w:r>
            <w:r>
              <w:rPr>
                <w:rFonts w:hint="eastAsia" w:ascii="宋体" w:hAnsi="宋体" w:eastAsia="宋体"/>
                <w:color w:val="000000"/>
                <w:kern w:val="0"/>
                <w:sz w:val="24"/>
                <w:highlight w:val="none"/>
              </w:rPr>
              <w:t>其它非实质性响应</w:t>
            </w:r>
          </w:p>
        </w:tc>
        <w:tc>
          <w:tcPr>
            <w:tcW w:w="717" w:type="pct"/>
            <w:shd w:val="clear" w:color="000000" w:fill="FFFFFF"/>
            <w:noWrap w:val="0"/>
            <w:vAlign w:val="center"/>
          </w:tcPr>
          <w:p w14:paraId="01EAFAAE">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default" w:ascii="宋体" w:hAnsi="宋体" w:eastAsia="宋体"/>
                <w:color w:val="000000"/>
                <w:kern w:val="0"/>
                <w:sz w:val="24"/>
                <w:highlight w:val="none"/>
              </w:rPr>
              <w:t>否</w:t>
            </w:r>
          </w:p>
        </w:tc>
      </w:tr>
    </w:tbl>
    <w:p w14:paraId="4AC0C0E2">
      <w:pPr>
        <w:tabs>
          <w:tab w:val="left" w:pos="900"/>
          <w:tab w:val="left" w:pos="1080"/>
          <w:tab w:val="left" w:pos="1589"/>
        </w:tabs>
        <w:snapToGrid w:val="0"/>
        <w:spacing w:line="360" w:lineRule="auto"/>
        <w:rPr>
          <w:rFonts w:eastAsia="宋体"/>
          <w:sz w:val="24"/>
          <w:highlight w:val="none"/>
        </w:rPr>
      </w:pPr>
    </w:p>
    <w:p w14:paraId="14DBC1AF">
      <w:pPr>
        <w:numPr>
          <w:ilvl w:val="0"/>
          <w:numId w:val="15"/>
        </w:numPr>
        <w:tabs>
          <w:tab w:val="left" w:pos="360"/>
        </w:tabs>
        <w:snapToGrid w:val="0"/>
        <w:spacing w:line="360" w:lineRule="auto"/>
        <w:outlineLvl w:val="1"/>
        <w:rPr>
          <w:rFonts w:eastAsia="宋体"/>
          <w:sz w:val="24"/>
          <w:highlight w:val="none"/>
        </w:rPr>
      </w:pPr>
      <w:r>
        <w:rPr>
          <w:rFonts w:eastAsia="宋体"/>
          <w:sz w:val="24"/>
          <w:highlight w:val="none"/>
        </w:rPr>
        <w:t>磋商、响应文件有关事项的澄清、说明或者更正和最后报价</w:t>
      </w:r>
    </w:p>
    <w:p w14:paraId="1F14BA14">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磋商小组所有成员</w:t>
      </w:r>
      <w:r>
        <w:rPr>
          <w:rFonts w:hint="eastAsia"/>
          <w:sz w:val="24"/>
          <w:highlight w:val="none"/>
          <w:lang w:val="en-US" w:eastAsia="zh-CN"/>
        </w:rPr>
        <w:t>将</w:t>
      </w:r>
      <w:r>
        <w:rPr>
          <w:rFonts w:eastAsia="宋体"/>
          <w:sz w:val="24"/>
          <w:highlight w:val="none"/>
        </w:rPr>
        <w:t>集中与单一供应商分别进行磋商，并给予所有参加磋商的供应商平等的磋商机会。</w:t>
      </w:r>
    </w:p>
    <w:p w14:paraId="10152CF9">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kern w:val="0"/>
          <w:sz w:val="24"/>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14:paraId="5457A96E">
      <w:pPr>
        <w:numPr>
          <w:ilvl w:val="1"/>
          <w:numId w:val="15"/>
        </w:numPr>
        <w:tabs>
          <w:tab w:val="left" w:pos="1080"/>
          <w:tab w:val="left" w:pos="1872"/>
        </w:tabs>
        <w:snapToGrid w:val="0"/>
        <w:spacing w:line="360" w:lineRule="auto"/>
        <w:ind w:left="1077" w:hanging="720"/>
        <w:rPr>
          <w:rFonts w:eastAsia="宋体"/>
          <w:kern w:val="0"/>
          <w:sz w:val="24"/>
          <w:highlight w:val="none"/>
        </w:rPr>
      </w:pPr>
      <w:r>
        <w:rPr>
          <w:rFonts w:eastAsia="宋体"/>
          <w:kern w:val="0"/>
          <w:sz w:val="24"/>
          <w:highlight w:val="none"/>
        </w:rPr>
        <w:t>对磋商文件作出的实质性变动是磋商文件的有效组成部分，磋商小组应当及时以书面形式同时通知所有参加磋商的供应商。</w:t>
      </w:r>
    </w:p>
    <w:p w14:paraId="17CE2DFD">
      <w:pPr>
        <w:numPr>
          <w:ilvl w:val="1"/>
          <w:numId w:val="15"/>
        </w:numPr>
        <w:tabs>
          <w:tab w:val="left" w:pos="1080"/>
          <w:tab w:val="left" w:pos="1872"/>
        </w:tabs>
        <w:snapToGrid w:val="0"/>
        <w:spacing w:line="360" w:lineRule="auto"/>
        <w:ind w:left="1077" w:hanging="720"/>
        <w:rPr>
          <w:rFonts w:eastAsia="宋体"/>
          <w:kern w:val="0"/>
          <w:sz w:val="24"/>
          <w:highlight w:val="none"/>
        </w:rPr>
      </w:pPr>
      <w:r>
        <w:rPr>
          <w:rFonts w:eastAsia="宋体"/>
          <w:kern w:val="0"/>
          <w:sz w:val="24"/>
          <w:highlight w:val="none"/>
        </w:rPr>
        <w:t>供应商应当按照磋商文件的变动情况和磋商小组的要求重新提交响应文件，并由其法定代表人</w:t>
      </w:r>
      <w:r>
        <w:rPr>
          <w:spacing w:val="2"/>
          <w:sz w:val="24"/>
          <w:szCs w:val="24"/>
          <w:highlight w:val="none"/>
        </w:rPr>
        <w:t>（若供应商为事业单位或其他组织或分支机构</w:t>
      </w:r>
      <w:r>
        <w:rPr>
          <w:spacing w:val="1"/>
          <w:sz w:val="24"/>
          <w:szCs w:val="24"/>
          <w:highlight w:val="none"/>
        </w:rPr>
        <w:t>，可为单位</w:t>
      </w:r>
      <w:r>
        <w:rPr>
          <w:sz w:val="24"/>
          <w:szCs w:val="24"/>
          <w:highlight w:val="none"/>
        </w:rPr>
        <w:t xml:space="preserve"> </w:t>
      </w:r>
      <w:r>
        <w:rPr>
          <w:spacing w:val="2"/>
          <w:sz w:val="24"/>
          <w:szCs w:val="24"/>
          <w:highlight w:val="none"/>
        </w:rPr>
        <w:t>负责人）</w:t>
      </w:r>
      <w:r>
        <w:rPr>
          <w:rFonts w:eastAsia="宋体"/>
          <w:kern w:val="0"/>
          <w:sz w:val="24"/>
          <w:highlight w:val="none"/>
        </w:rPr>
        <w:t>或授权代表签字或者加盖公章。由授权代表签字的，应当附授权委托书。供应商为自然人的，应当由本人签字并附身份证明。</w:t>
      </w:r>
    </w:p>
    <w:p w14:paraId="282AB9FB">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响应文件的澄清、说明或者更正</w:t>
      </w:r>
      <w:r>
        <w:rPr>
          <w:rFonts w:hint="eastAsia" w:eastAsia="宋体"/>
          <w:sz w:val="24"/>
          <w:highlight w:val="none"/>
        </w:rPr>
        <w:t>：</w:t>
      </w:r>
    </w:p>
    <w:p w14:paraId="0902ED7A">
      <w:pPr>
        <w:numPr>
          <w:ilvl w:val="2"/>
          <w:numId w:val="15"/>
        </w:numPr>
        <w:snapToGrid w:val="0"/>
        <w:spacing w:line="360" w:lineRule="auto"/>
        <w:rPr>
          <w:rFonts w:eastAsia="宋体"/>
          <w:sz w:val="24"/>
          <w:highlight w:val="none"/>
        </w:rPr>
      </w:pPr>
      <w:r>
        <w:rPr>
          <w:rFonts w:eastAsia="宋体"/>
          <w:sz w:val="24"/>
          <w:highlight w:val="none"/>
        </w:rPr>
        <w:t>磋商小组在对响应文件的有效性、完整性和响应程度进行审查时，可以要求供应商对响应文件中含义不明确、同类问题表述不一致或者有明显文字和计算错误的内容等作出必要的澄清、说明或者更正。</w:t>
      </w:r>
    </w:p>
    <w:p w14:paraId="0A9FCAAA">
      <w:pPr>
        <w:numPr>
          <w:ilvl w:val="2"/>
          <w:numId w:val="15"/>
        </w:numPr>
        <w:snapToGrid w:val="0"/>
        <w:spacing w:line="360" w:lineRule="auto"/>
        <w:rPr>
          <w:rFonts w:eastAsia="宋体"/>
          <w:sz w:val="24"/>
          <w:highlight w:val="none"/>
        </w:rPr>
      </w:pPr>
      <w:r>
        <w:rPr>
          <w:rFonts w:eastAsia="宋体"/>
          <w:sz w:val="24"/>
          <w:highlight w:val="none"/>
        </w:rPr>
        <w:t>磋商小组对响应文件进行审查，如发现供应商提交的响应文件存在不满足《符合性审查要求》的内容，如属于表中“不允许”澄清、说明或者更正的内容，则供应商响应文件按</w:t>
      </w:r>
      <w:r>
        <w:rPr>
          <w:rFonts w:eastAsia="宋体"/>
          <w:b/>
          <w:sz w:val="24"/>
          <w:highlight w:val="none"/>
        </w:rPr>
        <w:t>无效处理</w:t>
      </w:r>
      <w:r>
        <w:rPr>
          <w:rFonts w:eastAsia="宋体"/>
          <w:sz w:val="24"/>
          <w:highlight w:val="none"/>
        </w:rPr>
        <w:t>；如属于表中的“允许”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Pr>
          <w:rFonts w:eastAsia="宋体"/>
          <w:b/>
          <w:sz w:val="24"/>
          <w:highlight w:val="none"/>
        </w:rPr>
        <w:t>无效处理</w:t>
      </w:r>
      <w:r>
        <w:rPr>
          <w:rFonts w:eastAsia="宋体"/>
          <w:sz w:val="24"/>
          <w:highlight w:val="none"/>
        </w:rPr>
        <w:t>。</w:t>
      </w:r>
    </w:p>
    <w:p w14:paraId="3E687C4B">
      <w:pPr>
        <w:numPr>
          <w:ilvl w:val="2"/>
          <w:numId w:val="15"/>
        </w:numPr>
        <w:snapToGrid w:val="0"/>
        <w:spacing w:line="360" w:lineRule="auto"/>
        <w:rPr>
          <w:rFonts w:eastAsia="宋体"/>
          <w:sz w:val="24"/>
          <w:highlight w:val="none"/>
        </w:rPr>
      </w:pPr>
      <w:r>
        <w:rPr>
          <w:rFonts w:eastAsia="宋体"/>
          <w:sz w:val="24"/>
          <w:highlight w:val="none"/>
        </w:rPr>
        <w:t>供应商的澄清、说明或者更正不得超出响应文件的范围或者改变响应文件的实质性内容。磋商小组要求供应商澄清、说明或者更正响应文件应当以书面形式作出。供应商的澄清、说明或者更正应当由法定代表人</w:t>
      </w:r>
      <w:r>
        <w:rPr>
          <w:spacing w:val="-11"/>
          <w:sz w:val="24"/>
          <w:szCs w:val="24"/>
          <w:highlight w:val="none"/>
        </w:rPr>
        <w:t>（若供应商为事业单位或其他组织或分支机构，</w:t>
      </w:r>
      <w:r>
        <w:rPr>
          <w:spacing w:val="-32"/>
          <w:sz w:val="24"/>
          <w:szCs w:val="24"/>
          <w:highlight w:val="none"/>
        </w:rPr>
        <w:t xml:space="preserve"> </w:t>
      </w:r>
      <w:r>
        <w:rPr>
          <w:spacing w:val="-11"/>
          <w:sz w:val="24"/>
          <w:szCs w:val="24"/>
          <w:highlight w:val="none"/>
        </w:rPr>
        <w:t>可为单位负责人）</w:t>
      </w:r>
      <w:r>
        <w:rPr>
          <w:rFonts w:eastAsia="宋体"/>
          <w:sz w:val="24"/>
          <w:highlight w:val="none"/>
        </w:rPr>
        <w:t>或其授权代表签字或者加盖公章。由授权代表签字的，应当附授权委托书。供应商为自然人的，应当由本人签字并附身份证明。</w:t>
      </w:r>
      <w:r>
        <w:rPr>
          <w:rFonts w:hint="eastAsia" w:eastAsia="宋体"/>
          <w:sz w:val="24"/>
          <w:highlight w:val="none"/>
        </w:rPr>
        <w:t>澄清、说明或者更正文件</w:t>
      </w:r>
      <w:r>
        <w:rPr>
          <w:rFonts w:eastAsia="宋体"/>
          <w:sz w:val="24"/>
          <w:highlight w:val="none"/>
        </w:rPr>
        <w:t>将作为响应文件内容的一部分。</w:t>
      </w:r>
    </w:p>
    <w:p w14:paraId="3D3CEAAE">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磋商结束后，磋商小组将要求所有实质性响应的供应商在规定时间内提交最后报价。最后报价时间为磋商小组指定的时间，具体时间根据磋商进度另行通知。</w:t>
      </w:r>
    </w:p>
    <w:p w14:paraId="05020168">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napToGrid w:val="0"/>
          <w:sz w:val="24"/>
          <w:highlight w:val="none"/>
        </w:rPr>
        <w:t>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Pr>
          <w:rFonts w:eastAsia="宋体"/>
          <w:sz w:val="24"/>
          <w:highlight w:val="none"/>
        </w:rPr>
        <w:t>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w:t>
      </w:r>
    </w:p>
    <w:p w14:paraId="10F84C8A">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最后报价是供应商响应文件的有效组成部分。</w:t>
      </w:r>
    </w:p>
    <w:p w14:paraId="6CA2B170">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已提交响应文件的供应商，在提交最后报价之前，可以根据磋商情况退出磋商。</w:t>
      </w:r>
    </w:p>
    <w:p w14:paraId="2202DF8C">
      <w:pPr>
        <w:numPr>
          <w:ilvl w:val="0"/>
          <w:numId w:val="15"/>
        </w:numPr>
        <w:tabs>
          <w:tab w:val="left" w:pos="360"/>
        </w:tabs>
        <w:snapToGrid w:val="0"/>
        <w:spacing w:line="360" w:lineRule="auto"/>
        <w:outlineLvl w:val="1"/>
        <w:rPr>
          <w:rFonts w:eastAsia="宋体"/>
          <w:sz w:val="24"/>
          <w:highlight w:val="none"/>
        </w:rPr>
      </w:pPr>
      <w:r>
        <w:rPr>
          <w:rFonts w:eastAsia="宋体"/>
          <w:sz w:val="24"/>
          <w:highlight w:val="none"/>
        </w:rPr>
        <w:t>最后报价的算术修正及政策调整</w:t>
      </w:r>
    </w:p>
    <w:p w14:paraId="4C803ED9">
      <w:pPr>
        <w:numPr>
          <w:ilvl w:val="1"/>
          <w:numId w:val="15"/>
        </w:numPr>
        <w:tabs>
          <w:tab w:val="left" w:pos="1080"/>
          <w:tab w:val="left" w:pos="1872"/>
        </w:tabs>
        <w:snapToGrid w:val="0"/>
        <w:spacing w:line="360" w:lineRule="auto"/>
        <w:ind w:left="1077" w:hanging="720"/>
        <w:rPr>
          <w:rFonts w:eastAsia="宋体"/>
          <w:sz w:val="24"/>
          <w:highlight w:val="none"/>
        </w:rPr>
      </w:pPr>
      <w:r>
        <w:rPr>
          <w:rFonts w:hint="eastAsia" w:eastAsia="宋体"/>
          <w:sz w:val="24"/>
          <w:highlight w:val="none"/>
        </w:rPr>
        <w:t>最后报价须包含竞争性磋商文件全部内容，如最后分项报价表有缺漏视为已含在其他各项报价中，将不对最后报价进行调整。磋商小组有权要求供应商 在评审现场合理的时间内对此进行书面确认，供应商不确认的，视为将一个采购包中的内容拆分响应，其</w:t>
      </w:r>
      <w:r>
        <w:rPr>
          <w:rFonts w:hint="eastAsia" w:eastAsia="宋体"/>
          <w:b/>
          <w:bCs/>
          <w:sz w:val="24"/>
          <w:highlight w:val="none"/>
        </w:rPr>
        <w:t>响应无效</w:t>
      </w:r>
      <w:r>
        <w:rPr>
          <w:rFonts w:hint="eastAsia" w:eastAsia="宋体"/>
          <w:sz w:val="24"/>
          <w:highlight w:val="none"/>
        </w:rPr>
        <w:t>。</w:t>
      </w:r>
    </w:p>
    <w:p w14:paraId="36C6B8F4">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最后报价出现前后不一致的，按照下列规定修正：</w:t>
      </w:r>
    </w:p>
    <w:p w14:paraId="64C402EE">
      <w:pPr>
        <w:numPr>
          <w:ilvl w:val="2"/>
          <w:numId w:val="15"/>
        </w:numPr>
        <w:tabs>
          <w:tab w:val="left" w:pos="1080"/>
          <w:tab w:val="left" w:pos="1589"/>
          <w:tab w:val="left" w:pos="2035"/>
          <w:tab w:val="left" w:pos="2114"/>
        </w:tabs>
        <w:snapToGrid w:val="0"/>
        <w:spacing w:line="360" w:lineRule="auto"/>
        <w:ind w:left="2035"/>
        <w:rPr>
          <w:rFonts w:eastAsia="宋体"/>
          <w:sz w:val="24"/>
          <w:highlight w:val="none"/>
        </w:rPr>
      </w:pPr>
      <w:r>
        <w:rPr>
          <w:rFonts w:eastAsia="宋体"/>
          <w:sz w:val="24"/>
          <w:highlight w:val="none"/>
        </w:rPr>
        <w:t>竞争性磋商文件对于报价修正是否另有规定：</w:t>
      </w:r>
    </w:p>
    <w:p w14:paraId="24A243A1">
      <w:pPr>
        <w:tabs>
          <w:tab w:val="left" w:pos="1080"/>
          <w:tab w:val="left" w:pos="1589"/>
          <w:tab w:val="left" w:pos="2035"/>
          <w:tab w:val="left" w:pos="2114"/>
        </w:tabs>
        <w:snapToGrid w:val="0"/>
        <w:spacing w:line="360" w:lineRule="auto"/>
        <w:ind w:left="2035"/>
        <w:rPr>
          <w:rFonts w:eastAsia="宋体"/>
          <w:sz w:val="24"/>
          <w:highlight w:val="none"/>
          <w:u w:val="single"/>
        </w:rPr>
      </w:pPr>
      <w:r>
        <w:rPr>
          <w:rFonts w:eastAsia="宋体"/>
          <w:sz w:val="24"/>
          <w:highlight w:val="none"/>
        </w:rPr>
        <w:t>□有，具体规定为：___________</w:t>
      </w:r>
    </w:p>
    <w:p w14:paraId="6FDA6828">
      <w:pPr>
        <w:tabs>
          <w:tab w:val="left" w:pos="1080"/>
          <w:tab w:val="left" w:pos="1589"/>
          <w:tab w:val="left" w:pos="2035"/>
          <w:tab w:val="left" w:pos="2114"/>
        </w:tabs>
        <w:snapToGrid w:val="0"/>
        <w:spacing w:line="360" w:lineRule="auto"/>
        <w:ind w:left="2035"/>
        <w:rPr>
          <w:rFonts w:eastAsia="宋体"/>
          <w:sz w:val="24"/>
          <w:highlight w:val="none"/>
        </w:rPr>
      </w:pPr>
      <w:r>
        <w:rPr>
          <w:rFonts w:ascii="宋体" w:hAnsi="宋体"/>
          <w:b/>
          <w:sz w:val="24"/>
          <w:highlight w:val="none"/>
        </w:rPr>
        <w:t>■</w:t>
      </w:r>
      <w:r>
        <w:rPr>
          <w:rFonts w:eastAsia="宋体"/>
          <w:sz w:val="24"/>
          <w:highlight w:val="none"/>
        </w:rPr>
        <w:t>无，按下述3.2.2-3.2.5项规定修正。</w:t>
      </w:r>
    </w:p>
    <w:p w14:paraId="66C69055">
      <w:pPr>
        <w:numPr>
          <w:ilvl w:val="2"/>
          <w:numId w:val="15"/>
        </w:numPr>
        <w:tabs>
          <w:tab w:val="left" w:pos="2035"/>
          <w:tab w:val="left" w:pos="2114"/>
          <w:tab w:val="left" w:pos="2977"/>
        </w:tabs>
        <w:snapToGrid w:val="0"/>
        <w:spacing w:line="360" w:lineRule="auto"/>
        <w:ind w:left="2035"/>
        <w:rPr>
          <w:rFonts w:eastAsia="宋体"/>
          <w:color w:val="000000"/>
          <w:sz w:val="24"/>
          <w:highlight w:val="none"/>
        </w:rPr>
      </w:pPr>
      <w:r>
        <w:rPr>
          <w:rFonts w:eastAsia="宋体"/>
          <w:color w:val="000000"/>
          <w:sz w:val="24"/>
          <w:highlight w:val="none"/>
        </w:rPr>
        <w:t>大写金额和小写金额不一致的，以大写金额为准；</w:t>
      </w:r>
    </w:p>
    <w:p w14:paraId="125CB9FB">
      <w:pPr>
        <w:numPr>
          <w:ilvl w:val="2"/>
          <w:numId w:val="15"/>
        </w:numPr>
        <w:tabs>
          <w:tab w:val="left" w:pos="2035"/>
          <w:tab w:val="left" w:pos="2114"/>
          <w:tab w:val="left" w:pos="2977"/>
        </w:tabs>
        <w:snapToGrid w:val="0"/>
        <w:spacing w:line="360" w:lineRule="auto"/>
        <w:ind w:left="2035"/>
        <w:rPr>
          <w:rFonts w:eastAsia="宋体"/>
          <w:color w:val="000000"/>
          <w:sz w:val="24"/>
          <w:highlight w:val="none"/>
        </w:rPr>
      </w:pPr>
      <w:r>
        <w:rPr>
          <w:rFonts w:eastAsia="宋体"/>
          <w:color w:val="000000"/>
          <w:sz w:val="24"/>
          <w:highlight w:val="none"/>
        </w:rPr>
        <w:t>单价金额小数点或者百分比有明显错位的，</w:t>
      </w:r>
      <w:r>
        <w:rPr>
          <w:spacing w:val="-11"/>
          <w:sz w:val="24"/>
          <w:szCs w:val="24"/>
          <w:highlight w:val="none"/>
        </w:rPr>
        <w:t>以总价为准，</w:t>
      </w:r>
      <w:r>
        <w:rPr>
          <w:spacing w:val="-45"/>
          <w:sz w:val="24"/>
          <w:szCs w:val="24"/>
          <w:highlight w:val="none"/>
        </w:rPr>
        <w:t xml:space="preserve"> </w:t>
      </w:r>
      <w:r>
        <w:rPr>
          <w:spacing w:val="-11"/>
          <w:sz w:val="24"/>
          <w:szCs w:val="24"/>
          <w:highlight w:val="none"/>
        </w:rPr>
        <w:t>并修改单价</w:t>
      </w:r>
      <w:r>
        <w:rPr>
          <w:rFonts w:eastAsia="宋体"/>
          <w:color w:val="000000"/>
          <w:sz w:val="24"/>
          <w:highlight w:val="none"/>
        </w:rPr>
        <w:t>；</w:t>
      </w:r>
    </w:p>
    <w:p w14:paraId="0AFC5654">
      <w:pPr>
        <w:numPr>
          <w:ilvl w:val="2"/>
          <w:numId w:val="15"/>
        </w:numPr>
        <w:tabs>
          <w:tab w:val="left" w:pos="2035"/>
          <w:tab w:val="left" w:pos="2114"/>
          <w:tab w:val="left" w:pos="2977"/>
        </w:tabs>
        <w:snapToGrid w:val="0"/>
        <w:spacing w:line="360" w:lineRule="auto"/>
        <w:ind w:left="2035"/>
        <w:rPr>
          <w:rFonts w:eastAsia="宋体"/>
          <w:color w:val="000000"/>
          <w:sz w:val="24"/>
          <w:highlight w:val="none"/>
        </w:rPr>
      </w:pPr>
      <w:r>
        <w:rPr>
          <w:rFonts w:eastAsia="宋体"/>
          <w:color w:val="000000"/>
          <w:sz w:val="24"/>
          <w:highlight w:val="none"/>
        </w:rPr>
        <w:t>总价金额与按单价汇总金额不一致的，以单价金额计算结果为准。</w:t>
      </w:r>
    </w:p>
    <w:p w14:paraId="63349DA8">
      <w:pPr>
        <w:numPr>
          <w:ilvl w:val="2"/>
          <w:numId w:val="15"/>
        </w:numPr>
        <w:tabs>
          <w:tab w:val="left" w:pos="1080"/>
          <w:tab w:val="left" w:pos="1589"/>
          <w:tab w:val="left" w:pos="2035"/>
          <w:tab w:val="left" w:pos="2114"/>
        </w:tabs>
        <w:snapToGrid w:val="0"/>
        <w:spacing w:line="360" w:lineRule="auto"/>
        <w:ind w:left="2035"/>
        <w:rPr>
          <w:rFonts w:eastAsia="宋体"/>
          <w:sz w:val="24"/>
          <w:highlight w:val="none"/>
        </w:rPr>
      </w:pPr>
      <w:r>
        <w:rPr>
          <w:rFonts w:eastAsia="宋体"/>
          <w:sz w:val="24"/>
          <w:highlight w:val="none"/>
        </w:rPr>
        <w:t>同时出现两种以上不一致的，按照前款规定的顺序修正。修正后的报价经供应商书面确认后产生约束力，供应商不确认的，</w:t>
      </w:r>
      <w:r>
        <w:rPr>
          <w:rFonts w:eastAsia="宋体"/>
          <w:b/>
          <w:sz w:val="24"/>
          <w:highlight w:val="none"/>
        </w:rPr>
        <w:t>其响应无效</w:t>
      </w:r>
      <w:r>
        <w:rPr>
          <w:rFonts w:eastAsia="宋体"/>
          <w:sz w:val="24"/>
          <w:highlight w:val="none"/>
        </w:rPr>
        <w:t>。</w:t>
      </w:r>
    </w:p>
    <w:p w14:paraId="02B90250">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落实政府采购政策的价格调整：只有符合第二章《供应商须知》4.2条规定情形的，可以享受中小企业扶持政策，用扣除后的价格参加评审；否则，评审时价格不予扣除。</w:t>
      </w:r>
    </w:p>
    <w:p w14:paraId="4D9C826B">
      <w:pPr>
        <w:numPr>
          <w:ilvl w:val="2"/>
          <w:numId w:val="15"/>
        </w:numPr>
        <w:tabs>
          <w:tab w:val="left" w:pos="1080"/>
          <w:tab w:val="left" w:pos="1589"/>
          <w:tab w:val="left" w:pos="2035"/>
        </w:tabs>
        <w:snapToGrid w:val="0"/>
        <w:spacing w:line="360" w:lineRule="auto"/>
        <w:ind w:left="2035"/>
        <w:rPr>
          <w:rFonts w:eastAsia="宋体"/>
          <w:sz w:val="24"/>
          <w:highlight w:val="none"/>
        </w:rPr>
      </w:pPr>
      <w:r>
        <w:rPr>
          <w:rFonts w:eastAsia="宋体"/>
          <w:sz w:val="24"/>
          <w:highlight w:val="none"/>
        </w:rPr>
        <w:t>对于未预留份额专门面向中小企业采购的采购项目，以及预留份额项目中的非预留部分采购包，对小微企业报价给予_</w:t>
      </w:r>
      <w:r>
        <w:rPr>
          <w:rFonts w:hint="eastAsia"/>
          <w:sz w:val="24"/>
          <w:highlight w:val="none"/>
          <w:lang w:val="en-US" w:eastAsia="zh-CN"/>
        </w:rPr>
        <w:t>10</w:t>
      </w:r>
      <w:r>
        <w:rPr>
          <w:rFonts w:eastAsia="宋体"/>
          <w:sz w:val="24"/>
          <w:highlight w:val="none"/>
        </w:rPr>
        <w:t>_%的扣除，用扣除后的价格参加评审。</w:t>
      </w:r>
    </w:p>
    <w:p w14:paraId="0E924888">
      <w:pPr>
        <w:numPr>
          <w:ilvl w:val="2"/>
          <w:numId w:val="15"/>
        </w:numPr>
        <w:tabs>
          <w:tab w:val="left" w:pos="1080"/>
          <w:tab w:val="left" w:pos="1589"/>
          <w:tab w:val="left" w:pos="2035"/>
        </w:tabs>
        <w:snapToGrid w:val="0"/>
        <w:spacing w:line="360" w:lineRule="auto"/>
        <w:ind w:left="2035"/>
        <w:rPr>
          <w:rFonts w:eastAsia="宋体"/>
          <w:sz w:val="24"/>
          <w:highlight w:val="none"/>
        </w:rPr>
      </w:pPr>
      <w:r>
        <w:rPr>
          <w:rFonts w:eastAsia="宋体"/>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30%以上的联合体或者大中型企业的报价给予_</w:t>
      </w:r>
      <w:r>
        <w:rPr>
          <w:rFonts w:hint="eastAsia"/>
          <w:sz w:val="24"/>
          <w:highlight w:val="none"/>
          <w:lang w:val="en-US" w:eastAsia="zh-CN"/>
        </w:rPr>
        <w:t>6</w:t>
      </w:r>
      <w:r>
        <w:rPr>
          <w:rFonts w:eastAsia="宋体"/>
          <w:sz w:val="24"/>
          <w:highlight w:val="none"/>
        </w:rPr>
        <w:t>_%的扣除，用扣除后的价格参加评审。</w:t>
      </w:r>
    </w:p>
    <w:p w14:paraId="75BCC7C7">
      <w:pPr>
        <w:numPr>
          <w:ilvl w:val="2"/>
          <w:numId w:val="15"/>
        </w:numPr>
        <w:tabs>
          <w:tab w:val="left" w:pos="1080"/>
          <w:tab w:val="left" w:pos="1589"/>
          <w:tab w:val="left" w:pos="2035"/>
        </w:tabs>
        <w:snapToGrid w:val="0"/>
        <w:spacing w:line="360" w:lineRule="auto"/>
        <w:ind w:left="2035"/>
        <w:rPr>
          <w:rFonts w:eastAsia="宋体"/>
          <w:sz w:val="24"/>
          <w:highlight w:val="none"/>
        </w:rPr>
      </w:pPr>
      <w:r>
        <w:rPr>
          <w:rFonts w:eastAsia="宋体"/>
          <w:sz w:val="24"/>
          <w:highlight w:val="none"/>
        </w:rPr>
        <w:t>组成联合体或者接受分包的小微企业与联合体内其他企业、分包企业之间存在直接控股、管理关系的，不享受价格扣除优惠政策。</w:t>
      </w:r>
    </w:p>
    <w:p w14:paraId="6FA65491">
      <w:pPr>
        <w:numPr>
          <w:ilvl w:val="2"/>
          <w:numId w:val="15"/>
        </w:numPr>
        <w:tabs>
          <w:tab w:val="left" w:pos="1080"/>
          <w:tab w:val="left" w:pos="1589"/>
          <w:tab w:val="left" w:pos="2035"/>
        </w:tabs>
        <w:snapToGrid w:val="0"/>
        <w:spacing w:line="360" w:lineRule="auto"/>
        <w:ind w:left="2035"/>
        <w:rPr>
          <w:rFonts w:eastAsia="宋体"/>
          <w:sz w:val="24"/>
          <w:highlight w:val="none"/>
        </w:rPr>
      </w:pPr>
      <w:r>
        <w:rPr>
          <w:rFonts w:eastAsia="宋体"/>
          <w:sz w:val="24"/>
          <w:highlight w:val="none"/>
        </w:rPr>
        <w:t>价格扣除比例对小型企业和微型企业同等对待，不作区分。</w:t>
      </w:r>
    </w:p>
    <w:p w14:paraId="72991ECF">
      <w:pPr>
        <w:numPr>
          <w:ilvl w:val="2"/>
          <w:numId w:val="15"/>
        </w:numPr>
        <w:tabs>
          <w:tab w:val="left" w:pos="1080"/>
          <w:tab w:val="left" w:pos="1589"/>
          <w:tab w:val="left" w:pos="2035"/>
        </w:tabs>
        <w:snapToGrid w:val="0"/>
        <w:spacing w:line="360" w:lineRule="auto"/>
        <w:ind w:left="2035"/>
        <w:rPr>
          <w:rFonts w:eastAsia="宋体"/>
          <w:sz w:val="24"/>
          <w:highlight w:val="none"/>
        </w:rPr>
      </w:pPr>
      <w:r>
        <w:rPr>
          <w:rFonts w:eastAsia="宋体"/>
          <w:color w:val="000000"/>
          <w:sz w:val="24"/>
          <w:highlight w:val="none"/>
        </w:rPr>
        <w:t>中小企业参加政府采购活动，应当按照竞争性磋商文件给定的格式出具《中小企业声明函》，否则不得享受相关中小企业扶持政策。</w:t>
      </w:r>
    </w:p>
    <w:p w14:paraId="3FE39738">
      <w:pPr>
        <w:numPr>
          <w:ilvl w:val="2"/>
          <w:numId w:val="15"/>
        </w:numPr>
        <w:tabs>
          <w:tab w:val="left" w:pos="1080"/>
          <w:tab w:val="left" w:pos="1589"/>
          <w:tab w:val="left" w:pos="2035"/>
        </w:tabs>
        <w:snapToGrid w:val="0"/>
        <w:spacing w:line="360" w:lineRule="auto"/>
        <w:ind w:left="2035"/>
        <w:rPr>
          <w:rFonts w:eastAsia="宋体"/>
          <w:sz w:val="24"/>
          <w:highlight w:val="none"/>
        </w:rPr>
      </w:pPr>
      <w:r>
        <w:rPr>
          <w:rFonts w:eastAsia="宋体"/>
          <w:sz w:val="24"/>
          <w:highlight w:val="none"/>
        </w:rPr>
        <w:t>监狱企业提供了由省级以上监狱管理局、戒毒管理局（含新疆生产建设兵团）出具的属于监狱企业的证明文件的，视同小微企业。</w:t>
      </w:r>
    </w:p>
    <w:p w14:paraId="7AC19267">
      <w:pPr>
        <w:numPr>
          <w:ilvl w:val="2"/>
          <w:numId w:val="15"/>
        </w:numPr>
        <w:tabs>
          <w:tab w:val="left" w:pos="1080"/>
          <w:tab w:val="left" w:pos="1589"/>
          <w:tab w:val="left" w:pos="2035"/>
        </w:tabs>
        <w:snapToGrid w:val="0"/>
        <w:spacing w:line="360" w:lineRule="auto"/>
        <w:ind w:left="2035"/>
        <w:rPr>
          <w:rFonts w:eastAsia="宋体"/>
          <w:sz w:val="24"/>
          <w:highlight w:val="none"/>
        </w:rPr>
      </w:pPr>
      <w:r>
        <w:rPr>
          <w:rFonts w:eastAsia="宋体"/>
          <w:sz w:val="24"/>
          <w:highlight w:val="none"/>
        </w:rPr>
        <w:t>残疾人福利性单位按竞争性磋商文件要求提供了《残疾人福利性单位声明函》的，视同小微企业。</w:t>
      </w:r>
    </w:p>
    <w:p w14:paraId="22EFBCE1">
      <w:pPr>
        <w:numPr>
          <w:ilvl w:val="2"/>
          <w:numId w:val="15"/>
        </w:numPr>
        <w:tabs>
          <w:tab w:val="left" w:pos="1080"/>
          <w:tab w:val="left" w:pos="1589"/>
          <w:tab w:val="left" w:pos="2014"/>
        </w:tabs>
        <w:snapToGrid w:val="0"/>
        <w:spacing w:line="360" w:lineRule="auto"/>
        <w:ind w:left="2035"/>
        <w:rPr>
          <w:rFonts w:eastAsia="宋体"/>
          <w:sz w:val="24"/>
          <w:highlight w:val="none"/>
        </w:rPr>
      </w:pPr>
      <w:r>
        <w:rPr>
          <w:rFonts w:eastAsia="宋体"/>
          <w:sz w:val="24"/>
          <w:highlight w:val="none"/>
        </w:rPr>
        <w:t>若供应商同时属于小型或微型企业、监狱企业、残疾人福利性单位中的两种及以上，将不重复享受小微企业价格扣减的优惠政策。</w:t>
      </w:r>
    </w:p>
    <w:p w14:paraId="15BE0C3C">
      <w:pPr>
        <w:numPr>
          <w:ilvl w:val="2"/>
          <w:numId w:val="15"/>
        </w:numPr>
        <w:tabs>
          <w:tab w:val="left" w:pos="1080"/>
          <w:tab w:val="left" w:pos="1589"/>
          <w:tab w:val="left" w:pos="2014"/>
        </w:tabs>
        <w:snapToGrid w:val="0"/>
        <w:spacing w:line="360" w:lineRule="auto"/>
        <w:ind w:left="2035"/>
        <w:rPr>
          <w:rFonts w:eastAsia="宋体"/>
          <w:sz w:val="24"/>
          <w:highlight w:val="none"/>
        </w:rPr>
      </w:pPr>
      <w:r>
        <w:rPr>
          <w:rFonts w:eastAsia="宋体"/>
          <w:sz w:val="24"/>
          <w:highlight w:val="none"/>
        </w:rPr>
        <w:t>其他为落实政府采购政策实施的优先采购：</w:t>
      </w:r>
      <w:r>
        <w:rPr>
          <w:rFonts w:hint="eastAsia"/>
          <w:sz w:val="24"/>
          <w:highlight w:val="none"/>
          <w:u w:val="single"/>
          <w:lang w:val="en-US" w:eastAsia="zh-CN"/>
        </w:rPr>
        <w:t xml:space="preserve"> / </w:t>
      </w:r>
      <w:r>
        <w:rPr>
          <w:rFonts w:eastAsia="宋体"/>
          <w:sz w:val="24"/>
          <w:highlight w:val="none"/>
        </w:rPr>
        <w:t>。</w:t>
      </w:r>
    </w:p>
    <w:p w14:paraId="2A251DF5">
      <w:pPr>
        <w:numPr>
          <w:ilvl w:val="0"/>
          <w:numId w:val="15"/>
        </w:numPr>
        <w:tabs>
          <w:tab w:val="left" w:pos="360"/>
        </w:tabs>
        <w:snapToGrid w:val="0"/>
        <w:spacing w:line="360" w:lineRule="auto"/>
        <w:outlineLvl w:val="1"/>
        <w:rPr>
          <w:rFonts w:eastAsia="宋体"/>
          <w:sz w:val="24"/>
          <w:highlight w:val="none"/>
        </w:rPr>
      </w:pPr>
      <w:r>
        <w:rPr>
          <w:rFonts w:eastAsia="宋体"/>
          <w:sz w:val="24"/>
          <w:highlight w:val="none"/>
        </w:rPr>
        <w:t>磋商环节及提交最后报价后如出现以下情况的，供应商的</w:t>
      </w:r>
      <w:r>
        <w:rPr>
          <w:rFonts w:eastAsia="宋体"/>
          <w:b/>
          <w:sz w:val="24"/>
          <w:highlight w:val="none"/>
        </w:rPr>
        <w:t>响应文件无效</w:t>
      </w:r>
      <w:r>
        <w:rPr>
          <w:rFonts w:eastAsia="宋体"/>
          <w:sz w:val="24"/>
          <w:highlight w:val="none"/>
        </w:rPr>
        <w:t>：</w:t>
      </w:r>
    </w:p>
    <w:p w14:paraId="796A8315">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供应商对实质性变动不予确认的；</w:t>
      </w:r>
    </w:p>
    <w:p w14:paraId="10554042">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不满足磋商文件</w:t>
      </w:r>
      <w:r>
        <w:rPr>
          <w:rFonts w:ascii="Segoe UI Symbol" w:hAnsi="Segoe UI Symbol" w:eastAsia="宋体" w:cs="Segoe UI Symbol"/>
          <w:sz w:val="24"/>
          <w:highlight w:val="none"/>
        </w:rPr>
        <w:t>★</w:t>
      </w:r>
      <w:r>
        <w:rPr>
          <w:rFonts w:eastAsia="宋体"/>
          <w:sz w:val="24"/>
          <w:highlight w:val="none"/>
        </w:rPr>
        <w:t>号条款或磋商文件技术指标超出磋商文件</w:t>
      </w:r>
      <w:r>
        <w:rPr>
          <w:rFonts w:hint="eastAsia" w:eastAsia="宋体"/>
          <w:sz w:val="24"/>
          <w:highlight w:val="none"/>
        </w:rPr>
        <w:t>《</w:t>
      </w:r>
      <w:r>
        <w:rPr>
          <w:rFonts w:eastAsia="宋体"/>
          <w:sz w:val="24"/>
          <w:highlight w:val="none"/>
        </w:rPr>
        <w:t>采购需求</w:t>
      </w:r>
      <w:r>
        <w:rPr>
          <w:rFonts w:hint="eastAsia" w:eastAsia="宋体"/>
          <w:sz w:val="24"/>
          <w:highlight w:val="none"/>
        </w:rPr>
        <w:t>》</w:t>
      </w:r>
      <w:r>
        <w:rPr>
          <w:rFonts w:eastAsia="宋体"/>
          <w:sz w:val="24"/>
          <w:highlight w:val="none"/>
        </w:rPr>
        <w:t>中主要技术参数允许偏差的最大范围的（如有）；</w:t>
      </w:r>
    </w:p>
    <w:p w14:paraId="4680AF01">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未按照磋商小组规定的时间、逾期提交最后报价的；</w:t>
      </w:r>
    </w:p>
    <w:p w14:paraId="0A0A7424">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如供应商的最后报价超过竞争性磋商文件中规定的项目/采购包预算金额或者项目/采购包最高限价的；</w:t>
      </w:r>
    </w:p>
    <w:p w14:paraId="1532E12F">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响应文件中出现可选择性或可调整的报价的（竞争性磋商文件另有规定的除外）；</w:t>
      </w:r>
    </w:p>
    <w:p w14:paraId="27BE2C3B">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最后报价出现前后不一致，供应商对修正后的报价不予确认的；</w:t>
      </w:r>
    </w:p>
    <w:p w14:paraId="7939F8A0">
      <w:pPr>
        <w:numPr>
          <w:ilvl w:val="1"/>
          <w:numId w:val="15"/>
        </w:numPr>
        <w:shd w:val="clear" w:color="auto" w:fill="auto"/>
        <w:tabs>
          <w:tab w:val="left" w:pos="1080"/>
        </w:tabs>
        <w:snapToGrid w:val="0"/>
        <w:spacing w:line="360" w:lineRule="auto"/>
        <w:ind w:left="1077" w:hanging="720"/>
        <w:rPr>
          <w:rFonts w:ascii="宋体" w:hAnsi="宋体"/>
          <w:sz w:val="24"/>
          <w:highlight w:val="none"/>
        </w:rPr>
      </w:pPr>
      <w:r>
        <w:rPr>
          <w:rFonts w:eastAsia="宋体"/>
          <w:sz w:val="24"/>
          <w:highlight w:val="none"/>
        </w:rPr>
        <w:t>其他：</w:t>
      </w:r>
      <w:r>
        <w:rPr>
          <w:rFonts w:hint="eastAsia" w:ascii="宋体" w:hAnsi="宋体"/>
          <w:sz w:val="24"/>
          <w:highlight w:val="none"/>
          <w:u w:val="single"/>
        </w:rPr>
        <w:t>未按照按磋商小组的要求签署、盖章的</w:t>
      </w:r>
      <w:r>
        <w:rPr>
          <w:rFonts w:hint="eastAsia" w:ascii="宋体" w:hAnsi="宋体"/>
          <w:sz w:val="24"/>
          <w:highlight w:val="none"/>
        </w:rPr>
        <w:t>；</w:t>
      </w:r>
    </w:p>
    <w:p w14:paraId="069890FF">
      <w:pPr>
        <w:shd w:val="clear" w:color="auto" w:fill="auto"/>
        <w:tabs>
          <w:tab w:val="left" w:pos="1080"/>
          <w:tab w:val="left" w:pos="1589"/>
        </w:tabs>
        <w:snapToGrid w:val="0"/>
        <w:spacing w:line="360" w:lineRule="auto"/>
        <w:ind w:left="567" w:leftChars="270" w:firstLine="1200" w:firstLineChars="500"/>
        <w:rPr>
          <w:rFonts w:eastAsia="宋体"/>
          <w:sz w:val="24"/>
          <w:highlight w:val="none"/>
        </w:rPr>
      </w:pPr>
      <w:r>
        <w:rPr>
          <w:rFonts w:ascii="宋体" w:hAnsi="宋体"/>
          <w:sz w:val="24"/>
          <w:highlight w:val="none"/>
          <w:u w:val="single"/>
        </w:rPr>
        <w:t>不符合法律、法规和磋商文件中规定的其他实质性要求的</w:t>
      </w:r>
      <w:r>
        <w:rPr>
          <w:rFonts w:ascii="宋体" w:hAnsi="宋体"/>
          <w:sz w:val="24"/>
          <w:highlight w:val="none"/>
        </w:rPr>
        <w:t>。</w:t>
      </w:r>
    </w:p>
    <w:bookmarkEnd w:id="617"/>
    <w:bookmarkEnd w:id="618"/>
    <w:p w14:paraId="722106FE">
      <w:pPr>
        <w:numPr>
          <w:ilvl w:val="0"/>
          <w:numId w:val="15"/>
        </w:numPr>
        <w:tabs>
          <w:tab w:val="left" w:pos="360"/>
        </w:tabs>
        <w:snapToGrid w:val="0"/>
        <w:spacing w:line="360" w:lineRule="auto"/>
        <w:outlineLvl w:val="1"/>
        <w:rPr>
          <w:rFonts w:eastAsia="宋体"/>
          <w:sz w:val="24"/>
          <w:highlight w:val="none"/>
        </w:rPr>
      </w:pPr>
      <w:r>
        <w:rPr>
          <w:rFonts w:eastAsia="宋体"/>
          <w:sz w:val="24"/>
          <w:highlight w:val="none"/>
        </w:rPr>
        <w:t>评审方法和评审标准</w:t>
      </w:r>
    </w:p>
    <w:p w14:paraId="6FB37979">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26687261">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竞争性磋商文件中没有规定的评审标准不得作为评审依据。</w:t>
      </w:r>
    </w:p>
    <w:p w14:paraId="09AD694E">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非政府强制采购的节能产品或环境标志产品，依据品目清单和认证证书实施政府优先采购。优先采购的具体规定（如涉及）</w:t>
      </w:r>
      <w:r>
        <w:rPr>
          <w:rFonts w:eastAsia="宋体"/>
          <w:sz w:val="24"/>
          <w:highlight w:val="none"/>
          <w:u w:val="single"/>
        </w:rPr>
        <w:t>___</w:t>
      </w:r>
      <w:r>
        <w:rPr>
          <w:rFonts w:hint="eastAsia"/>
          <w:sz w:val="24"/>
          <w:highlight w:val="none"/>
          <w:u w:val="single"/>
          <w:lang w:val="en-US" w:eastAsia="zh-CN"/>
        </w:rPr>
        <w:t>/</w:t>
      </w:r>
      <w:r>
        <w:rPr>
          <w:rFonts w:eastAsia="宋体"/>
          <w:sz w:val="24"/>
          <w:highlight w:val="none"/>
          <w:u w:val="single"/>
        </w:rPr>
        <w:t>___</w:t>
      </w:r>
      <w:r>
        <w:rPr>
          <w:rFonts w:eastAsia="宋体"/>
          <w:sz w:val="24"/>
          <w:highlight w:val="none"/>
        </w:rPr>
        <w:t>。</w:t>
      </w:r>
    </w:p>
    <w:p w14:paraId="22A8CC43">
      <w:pPr>
        <w:numPr>
          <w:ilvl w:val="0"/>
          <w:numId w:val="15"/>
        </w:numPr>
        <w:tabs>
          <w:tab w:val="left" w:pos="360"/>
        </w:tabs>
        <w:snapToGrid w:val="0"/>
        <w:spacing w:line="360" w:lineRule="auto"/>
        <w:outlineLvl w:val="1"/>
        <w:rPr>
          <w:rFonts w:eastAsia="宋体"/>
          <w:sz w:val="24"/>
          <w:highlight w:val="none"/>
        </w:rPr>
      </w:pPr>
      <w:r>
        <w:rPr>
          <w:rFonts w:eastAsia="宋体"/>
          <w:sz w:val="24"/>
          <w:highlight w:val="none"/>
        </w:rPr>
        <w:t>确定</w:t>
      </w:r>
      <w:bookmarkStart w:id="634" w:name="_Toc151193788"/>
      <w:bookmarkStart w:id="635" w:name="_Toc151193644"/>
      <w:bookmarkStart w:id="636" w:name="_Toc226965736"/>
      <w:bookmarkStart w:id="637" w:name="_Toc151193860"/>
      <w:bookmarkStart w:id="638" w:name="_Toc195842911"/>
      <w:bookmarkStart w:id="639" w:name="_Toc150774751"/>
      <w:bookmarkStart w:id="640" w:name="_Toc164229241"/>
      <w:bookmarkStart w:id="641" w:name="_Toc127151747"/>
      <w:bookmarkStart w:id="642" w:name="_Ref467307010"/>
      <w:bookmarkStart w:id="643" w:name="_Toc520356170"/>
      <w:bookmarkStart w:id="644" w:name="_Toc150774646"/>
      <w:bookmarkStart w:id="645" w:name="_Toc305158814"/>
      <w:bookmarkStart w:id="646" w:name="_Toc164351640"/>
      <w:bookmarkStart w:id="647" w:name="_Toc305158888"/>
      <w:bookmarkStart w:id="648" w:name="_Toc150509297"/>
      <w:bookmarkStart w:id="649" w:name="_Toc151193934"/>
      <w:bookmarkStart w:id="650" w:name="_Toc164608660"/>
      <w:bookmarkStart w:id="651" w:name="_Toc164229387"/>
      <w:bookmarkStart w:id="652" w:name="_Toc151190173"/>
      <w:bookmarkStart w:id="653" w:name="_Toc226965819"/>
      <w:bookmarkStart w:id="654" w:name="_Toc150480784"/>
      <w:bookmarkStart w:id="655" w:name="_Toc264969236"/>
      <w:bookmarkStart w:id="656" w:name="_Toc151193716"/>
      <w:bookmarkStart w:id="657" w:name="_Toc142311048"/>
      <w:bookmarkStart w:id="658" w:name="_Toc164608815"/>
      <w:bookmarkStart w:id="659" w:name="_Toc226337242"/>
      <w:bookmarkStart w:id="660" w:name="_Toc149720839"/>
      <w:bookmarkStart w:id="661" w:name="_Toc127161460"/>
      <w:bookmarkStart w:id="662" w:name="_Toc127151546"/>
      <w:bookmarkStart w:id="663" w:name="_Toc226309790"/>
      <w:bookmarkStart w:id="664" w:name="_Toc265228384"/>
      <w:r>
        <w:rPr>
          <w:rFonts w:eastAsia="宋体"/>
          <w:sz w:val="24"/>
          <w:highlight w:val="none"/>
        </w:rPr>
        <w:t>成交候选人名单</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020A5113">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14:paraId="53967004">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kern w:val="0"/>
          <w:sz w:val="24"/>
          <w:szCs w:val="20"/>
          <w:highlight w:val="none"/>
        </w:rPr>
        <w:t>磋商小组根据上述供应商排序，依次推荐排序前</w:t>
      </w:r>
      <w:r>
        <w:rPr>
          <w:sz w:val="24"/>
          <w:highlight w:val="none"/>
          <w:u w:val="none"/>
        </w:rPr>
        <w:t>__</w:t>
      </w:r>
      <w:r>
        <w:rPr>
          <w:rFonts w:hint="eastAsia"/>
          <w:sz w:val="24"/>
          <w:highlight w:val="none"/>
          <w:u w:val="none"/>
          <w:lang w:val="en-US" w:eastAsia="zh-CN"/>
        </w:rPr>
        <w:t>3</w:t>
      </w:r>
      <w:r>
        <w:rPr>
          <w:sz w:val="24"/>
          <w:highlight w:val="none"/>
          <w:u w:val="none"/>
        </w:rPr>
        <w:t>__</w:t>
      </w:r>
      <w:r>
        <w:rPr>
          <w:sz w:val="24"/>
          <w:highlight w:val="none"/>
        </w:rPr>
        <w:t>名</w:t>
      </w:r>
      <w:r>
        <w:rPr>
          <w:rFonts w:eastAsia="宋体"/>
          <w:kern w:val="0"/>
          <w:sz w:val="24"/>
          <w:szCs w:val="20"/>
          <w:highlight w:val="none"/>
        </w:rPr>
        <w:t>的供应商为</w:t>
      </w:r>
      <w:r>
        <w:rPr>
          <w:rFonts w:eastAsia="宋体"/>
          <w:snapToGrid w:val="0"/>
          <w:kern w:val="0"/>
          <w:sz w:val="24"/>
          <w:szCs w:val="21"/>
          <w:highlight w:val="none"/>
        </w:rPr>
        <w:t>成交候选供应商</w:t>
      </w:r>
      <w:r>
        <w:rPr>
          <w:rFonts w:eastAsia="宋体"/>
          <w:kern w:val="0"/>
          <w:sz w:val="24"/>
          <w:szCs w:val="20"/>
          <w:highlight w:val="none"/>
        </w:rPr>
        <w:t>（若在磋商文件允许的情形下提交最后报价的供应商为二家，则依次推荐二名供应商为成交候选供应商），并编写评审报告。</w:t>
      </w:r>
    </w:p>
    <w:p w14:paraId="648F9FC8">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磋商小组要对评分汇总情况进行复核，特别是对排名第一的、报价最低的、响应文件被认定为无效的情形进行重点复核。</w:t>
      </w:r>
    </w:p>
    <w:p w14:paraId="726AC31B">
      <w:pPr>
        <w:numPr>
          <w:ilvl w:val="0"/>
          <w:numId w:val="15"/>
        </w:numPr>
        <w:tabs>
          <w:tab w:val="left" w:pos="360"/>
        </w:tabs>
        <w:snapToGrid w:val="0"/>
        <w:spacing w:line="360" w:lineRule="auto"/>
        <w:outlineLvl w:val="1"/>
        <w:rPr>
          <w:rFonts w:eastAsia="宋体"/>
          <w:sz w:val="24"/>
          <w:highlight w:val="none"/>
        </w:rPr>
      </w:pPr>
      <w:r>
        <w:rPr>
          <w:rFonts w:eastAsia="宋体"/>
          <w:sz w:val="24"/>
          <w:highlight w:val="none"/>
        </w:rPr>
        <w:t>报告违法行为</w:t>
      </w:r>
    </w:p>
    <w:p w14:paraId="147800F7">
      <w:pPr>
        <w:widowControl/>
        <w:numPr>
          <w:ilvl w:val="1"/>
          <w:numId w:val="15"/>
        </w:numPr>
        <w:tabs>
          <w:tab w:val="left" w:pos="1080"/>
          <w:tab w:val="left" w:pos="1872"/>
        </w:tabs>
        <w:snapToGrid w:val="0"/>
        <w:spacing w:line="360" w:lineRule="auto"/>
        <w:ind w:left="1077" w:hanging="720"/>
        <w:jc w:val="left"/>
        <w:rPr>
          <w:rFonts w:eastAsia="宋体"/>
          <w:b/>
          <w:sz w:val="24"/>
          <w:highlight w:val="none"/>
        </w:rPr>
      </w:pPr>
      <w:r>
        <w:rPr>
          <w:rFonts w:eastAsia="宋体"/>
          <w:sz w:val="24"/>
          <w:highlight w:val="none"/>
        </w:rPr>
        <w:t>磋商小组在评审过程中发现供应商有行贿、提供虚假材料或者串通等违法行为时，有向采购人、采购代理机构或者有关部门报告的职责。</w:t>
      </w:r>
      <w:r>
        <w:rPr>
          <w:rFonts w:eastAsia="宋体"/>
          <w:b/>
          <w:sz w:val="24"/>
          <w:highlight w:val="none"/>
        </w:rPr>
        <w:br w:type="page"/>
      </w:r>
    </w:p>
    <w:p w14:paraId="27C54F03">
      <w:pPr>
        <w:pStyle w:val="3"/>
        <w:numPr>
          <w:ilvl w:val="0"/>
          <w:numId w:val="16"/>
        </w:numPr>
        <w:spacing w:before="0" w:line="360" w:lineRule="auto"/>
        <w:rPr>
          <w:rFonts w:ascii="Times New Roman" w:hAnsi="Times New Roman" w:eastAsia="宋体"/>
          <w:sz w:val="24"/>
          <w:szCs w:val="24"/>
          <w:highlight w:val="none"/>
        </w:rPr>
      </w:pPr>
      <w:r>
        <w:rPr>
          <w:rFonts w:ascii="Times New Roman" w:hAnsi="Times New Roman" w:eastAsia="宋体"/>
          <w:sz w:val="24"/>
          <w:szCs w:val="24"/>
          <w:highlight w:val="none"/>
        </w:rPr>
        <w:t>评</w:t>
      </w:r>
      <w:r>
        <w:rPr>
          <w:rFonts w:hint="eastAsia" w:ascii="Times New Roman" w:hAnsi="Times New Roman" w:eastAsia="宋体"/>
          <w:sz w:val="24"/>
          <w:szCs w:val="24"/>
          <w:highlight w:val="none"/>
        </w:rPr>
        <w:t>审</w:t>
      </w:r>
      <w:r>
        <w:rPr>
          <w:rFonts w:ascii="Times New Roman" w:hAnsi="Times New Roman" w:eastAsia="宋体"/>
          <w:sz w:val="24"/>
          <w:szCs w:val="24"/>
          <w:highlight w:val="none"/>
        </w:rPr>
        <w:t>标准</w:t>
      </w:r>
    </w:p>
    <w:p w14:paraId="332D4C7C">
      <w:pPr>
        <w:pStyle w:val="55"/>
        <w:rPr>
          <w:highlight w:val="none"/>
        </w:rPr>
      </w:pPr>
    </w:p>
    <w:p w14:paraId="3C1D3850">
      <w:pPr>
        <w:tabs>
          <w:tab w:val="left" w:pos="360"/>
          <w:tab w:val="left" w:pos="900"/>
          <w:tab w:val="left" w:pos="1080"/>
          <w:tab w:val="left" w:pos="2014"/>
        </w:tabs>
        <w:snapToGrid w:val="0"/>
        <w:spacing w:line="360" w:lineRule="auto"/>
        <w:rPr>
          <w:rFonts w:ascii="宋体" w:hAnsi="宋体" w:cs="宋体"/>
          <w:sz w:val="24"/>
          <w:highlight w:val="none"/>
        </w:rPr>
      </w:pPr>
      <w:r>
        <w:rPr>
          <w:rFonts w:hint="eastAsia" w:ascii="宋体" w:hAnsi="宋体" w:cs="宋体"/>
          <w:b/>
          <w:sz w:val="24"/>
          <w:highlight w:val="none"/>
        </w:rPr>
        <w:t>本项目01包具体评分因素、分值和评分标准如下：</w:t>
      </w:r>
    </w:p>
    <w:tbl>
      <w:tblPr>
        <w:tblStyle w:val="4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7764"/>
        <w:gridCol w:w="700"/>
      </w:tblGrid>
      <w:tr w14:paraId="41E1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blHeader/>
          <w:jc w:val="center"/>
        </w:trPr>
        <w:tc>
          <w:tcPr>
            <w:tcW w:w="379" w:type="pct"/>
            <w:noWrap w:val="0"/>
            <w:vAlign w:val="center"/>
          </w:tcPr>
          <w:p w14:paraId="122E0307">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b/>
                <w:sz w:val="24"/>
              </w:rPr>
            </w:pPr>
            <w:r>
              <w:rPr>
                <w:rFonts w:hint="eastAsia" w:ascii="宋体" w:hAnsi="宋体" w:eastAsia="宋体" w:cs="宋体"/>
                <w:b/>
                <w:sz w:val="24"/>
              </w:rPr>
              <w:t>序号</w:t>
            </w:r>
          </w:p>
        </w:tc>
        <w:tc>
          <w:tcPr>
            <w:tcW w:w="4239" w:type="pct"/>
            <w:noWrap w:val="0"/>
            <w:vAlign w:val="center"/>
          </w:tcPr>
          <w:p w14:paraId="73A8F362">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b/>
                <w:sz w:val="24"/>
              </w:rPr>
            </w:pPr>
            <w:r>
              <w:rPr>
                <w:rFonts w:hint="eastAsia" w:ascii="宋体" w:hAnsi="宋体" w:eastAsia="宋体" w:cs="宋体"/>
                <w:b/>
                <w:sz w:val="24"/>
              </w:rPr>
              <w:t>评审因素及说明</w:t>
            </w:r>
          </w:p>
        </w:tc>
        <w:tc>
          <w:tcPr>
            <w:tcW w:w="380" w:type="pct"/>
            <w:noWrap w:val="0"/>
            <w:vAlign w:val="center"/>
          </w:tcPr>
          <w:p w14:paraId="4D78BDA9">
            <w:pPr>
              <w:keepNext w:val="0"/>
              <w:keepLines w:val="0"/>
              <w:pageBreakBefore w:val="0"/>
              <w:widowControl w:val="0"/>
              <w:suppressLineNumbers w:val="0"/>
              <w:tabs>
                <w:tab w:val="left" w:pos="360"/>
                <w:tab w:val="left" w:pos="900"/>
                <w:tab w:val="left" w:pos="1080"/>
                <w:tab w:val="left" w:pos="2014"/>
              </w:tabs>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宋体" w:hAnsi="宋体" w:eastAsia="宋体" w:cs="宋体"/>
                <w:b/>
                <w:sz w:val="24"/>
              </w:rPr>
            </w:pPr>
            <w:r>
              <w:rPr>
                <w:rFonts w:hint="eastAsia" w:ascii="宋体" w:hAnsi="宋体" w:eastAsia="宋体" w:cs="宋体"/>
                <w:b/>
                <w:sz w:val="24"/>
              </w:rPr>
              <w:t>分值</w:t>
            </w:r>
          </w:p>
        </w:tc>
      </w:tr>
      <w:tr w14:paraId="6C9F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000" w:type="pct"/>
            <w:gridSpan w:val="3"/>
            <w:noWrap w:val="0"/>
            <w:vAlign w:val="center"/>
          </w:tcPr>
          <w:p w14:paraId="7DD7B28F">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b/>
                <w:sz w:val="24"/>
              </w:rPr>
            </w:pPr>
            <w:r>
              <w:rPr>
                <w:rFonts w:hint="eastAsia" w:ascii="宋体" w:hAnsi="宋体" w:eastAsia="宋体" w:cs="宋体"/>
                <w:b/>
                <w:sz w:val="24"/>
              </w:rPr>
              <w:t>一、商务部分（</w:t>
            </w:r>
            <w:r>
              <w:rPr>
                <w:rFonts w:hint="eastAsia" w:ascii="宋体" w:hAnsi="宋体" w:eastAsia="宋体" w:cs="宋体"/>
                <w:b/>
                <w:sz w:val="24"/>
                <w:lang w:val="en-US" w:eastAsia="zh-CN"/>
              </w:rPr>
              <w:t>10</w:t>
            </w:r>
            <w:r>
              <w:rPr>
                <w:rFonts w:hint="eastAsia" w:ascii="宋体" w:hAnsi="宋体" w:eastAsia="宋体" w:cs="宋体"/>
                <w:b/>
                <w:sz w:val="24"/>
              </w:rPr>
              <w:t>分）</w:t>
            </w:r>
          </w:p>
        </w:tc>
      </w:tr>
      <w:tr w14:paraId="492B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79" w:type="pct"/>
            <w:noWrap w:val="0"/>
            <w:vAlign w:val="center"/>
          </w:tcPr>
          <w:p w14:paraId="1752D801">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rPr>
            </w:pPr>
            <w:r>
              <w:rPr>
                <w:rFonts w:hint="eastAsia" w:ascii="宋体" w:hAnsi="宋体" w:eastAsia="宋体" w:cs="宋体"/>
                <w:sz w:val="24"/>
              </w:rPr>
              <w:t>1.1</w:t>
            </w:r>
          </w:p>
        </w:tc>
        <w:tc>
          <w:tcPr>
            <w:tcW w:w="4239" w:type="pct"/>
            <w:noWrap w:val="0"/>
            <w:vAlign w:val="center"/>
          </w:tcPr>
          <w:p w14:paraId="4FA3364E">
            <w:pPr>
              <w:keepNext w:val="0"/>
              <w:keepLines w:val="0"/>
              <w:widowControl/>
              <w:suppressLineNumbers w:val="0"/>
              <w:spacing w:before="0" w:beforeAutospacing="0" w:after="0" w:afterAutospacing="0" w:line="360" w:lineRule="auto"/>
              <w:ind w:left="0" w:right="-57" w:rightChars="-27"/>
              <w:rPr>
                <w:rFonts w:hint="default" w:ascii="宋体" w:hAnsi="宋体" w:eastAsia="宋体" w:cs="Times New Roman"/>
                <w:kern w:val="0"/>
                <w:sz w:val="24"/>
              </w:rPr>
            </w:pPr>
            <w:r>
              <w:rPr>
                <w:rFonts w:hint="eastAsia" w:ascii="宋体" w:hAnsi="宋体" w:eastAsia="宋体" w:cs="Times New Roman"/>
                <w:b/>
                <w:bCs/>
                <w:kern w:val="0"/>
                <w:sz w:val="24"/>
                <w:lang w:val="en-US" w:eastAsia="zh-CN"/>
              </w:rPr>
              <w:t>供应商</w:t>
            </w:r>
            <w:r>
              <w:rPr>
                <w:rFonts w:hint="eastAsia" w:ascii="宋体" w:hAnsi="宋体" w:eastAsia="宋体" w:cs="Times New Roman"/>
                <w:b/>
                <w:bCs/>
                <w:kern w:val="0"/>
                <w:sz w:val="24"/>
              </w:rPr>
              <w:t>相关业绩</w:t>
            </w:r>
            <w:r>
              <w:rPr>
                <w:rFonts w:hint="eastAsia" w:ascii="宋体" w:hAnsi="宋体" w:eastAsia="宋体" w:cs="Times New Roman"/>
                <w:kern w:val="0"/>
                <w:sz w:val="24"/>
              </w:rPr>
              <w:t>：</w:t>
            </w:r>
          </w:p>
          <w:p w14:paraId="615C60A4">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宋体" w:hAnsi="宋体" w:eastAsia="宋体" w:cs="宋体"/>
                <w:sz w:val="24"/>
              </w:rPr>
            </w:pPr>
            <w:r>
              <w:rPr>
                <w:rFonts w:hint="eastAsia" w:ascii="宋体" w:hAnsi="宋体" w:eastAsia="宋体" w:cs="Times New Roman"/>
                <w:kern w:val="0"/>
                <w:sz w:val="24"/>
              </w:rPr>
              <w:t>具有已完成的类似</w:t>
            </w:r>
            <w:r>
              <w:rPr>
                <w:rFonts w:hint="eastAsia" w:ascii="宋体" w:hAnsi="宋体" w:eastAsia="宋体" w:cs="Times New Roman"/>
                <w:kern w:val="0"/>
                <w:sz w:val="24"/>
                <w:lang w:val="en-US" w:eastAsia="zh-CN"/>
              </w:rPr>
              <w:t>本项目的市政</w:t>
            </w:r>
            <w:r>
              <w:rPr>
                <w:rFonts w:hint="eastAsia" w:ascii="宋体" w:hAnsi="宋体" w:eastAsia="宋体" w:cs="Times New Roman"/>
                <w:kern w:val="0"/>
                <w:sz w:val="24"/>
              </w:rPr>
              <w:t>工程EPC项目业绩或者已完成的类似本项目的市政工程施工业绩，每有一个2分，满分</w:t>
            </w:r>
            <w:r>
              <w:rPr>
                <w:rFonts w:hint="eastAsia" w:ascii="宋体" w:hAnsi="宋体" w:eastAsia="宋体" w:cs="Times New Roman"/>
                <w:kern w:val="0"/>
                <w:sz w:val="24"/>
                <w:lang w:val="en-US" w:eastAsia="zh-CN"/>
              </w:rPr>
              <w:t>6</w:t>
            </w:r>
            <w:r>
              <w:rPr>
                <w:rFonts w:hint="eastAsia" w:ascii="宋体" w:hAnsi="宋体" w:eastAsia="宋体" w:cs="Times New Roman"/>
                <w:kern w:val="0"/>
                <w:sz w:val="24"/>
              </w:rPr>
              <w:t xml:space="preserve">分 </w:t>
            </w:r>
          </w:p>
        </w:tc>
        <w:tc>
          <w:tcPr>
            <w:tcW w:w="380" w:type="pct"/>
            <w:noWrap w:val="0"/>
            <w:vAlign w:val="center"/>
          </w:tcPr>
          <w:p w14:paraId="3787D268">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eastAsia" w:ascii="宋体" w:hAnsi="宋体" w:eastAsia="宋体" w:cs="宋体"/>
                <w:sz w:val="24"/>
                <w:lang w:eastAsia="zh-CN"/>
              </w:rPr>
            </w:pPr>
            <w:r>
              <w:rPr>
                <w:rFonts w:hint="eastAsia" w:ascii="宋体" w:hAnsi="宋体" w:eastAsia="宋体" w:cs="宋体"/>
                <w:sz w:val="24"/>
                <w:lang w:val="en-US" w:eastAsia="zh-CN"/>
              </w:rPr>
              <w:t>0-6</w:t>
            </w:r>
          </w:p>
        </w:tc>
      </w:tr>
      <w:tr w14:paraId="548D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79" w:type="pct"/>
            <w:noWrap w:val="0"/>
            <w:vAlign w:val="center"/>
          </w:tcPr>
          <w:p w14:paraId="0BF9CF78">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rPr>
            </w:pPr>
            <w:r>
              <w:rPr>
                <w:rFonts w:hint="eastAsia" w:ascii="宋体" w:hAnsi="宋体" w:eastAsia="宋体" w:cs="宋体"/>
                <w:sz w:val="24"/>
              </w:rPr>
              <w:t>1.2</w:t>
            </w:r>
          </w:p>
        </w:tc>
        <w:tc>
          <w:tcPr>
            <w:tcW w:w="4239" w:type="pct"/>
            <w:noWrap w:val="0"/>
            <w:vAlign w:val="center"/>
          </w:tcPr>
          <w:p w14:paraId="4643CDA6">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宋体" w:hAnsi="宋体" w:eastAsia="宋体" w:cs="宋体"/>
                <w:b/>
                <w:iCs/>
                <w:sz w:val="24"/>
              </w:rPr>
            </w:pPr>
            <w:r>
              <w:rPr>
                <w:rFonts w:hint="eastAsia" w:ascii="宋体" w:hAnsi="宋体" w:eastAsia="宋体" w:cs="宋体"/>
                <w:b/>
                <w:iCs/>
                <w:sz w:val="24"/>
              </w:rPr>
              <w:t>项目经理近3年类似项目业绩：</w:t>
            </w:r>
          </w:p>
          <w:p w14:paraId="560295BA">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Cs/>
                <w:iCs/>
                <w:sz w:val="24"/>
              </w:rPr>
            </w:pPr>
            <w:r>
              <w:rPr>
                <w:rFonts w:hint="eastAsia" w:ascii="宋体" w:hAnsi="宋体" w:eastAsia="宋体" w:cs="宋体"/>
                <w:bCs/>
                <w:iCs/>
                <w:sz w:val="24"/>
              </w:rPr>
              <w:t>具有已完成的类似本项目的市政工程EPC项目业绩或者已完成的类似本项目的市政工程施工业绩，每有一个2分，满分</w:t>
            </w:r>
            <w:r>
              <w:rPr>
                <w:rFonts w:hint="eastAsia" w:ascii="宋体" w:hAnsi="宋体" w:eastAsia="宋体" w:cs="宋体"/>
                <w:bCs/>
                <w:iCs/>
                <w:sz w:val="24"/>
                <w:lang w:val="en-US" w:eastAsia="zh-CN"/>
              </w:rPr>
              <w:t>4</w:t>
            </w:r>
            <w:r>
              <w:rPr>
                <w:rFonts w:hint="eastAsia" w:ascii="宋体" w:hAnsi="宋体" w:eastAsia="宋体" w:cs="宋体"/>
                <w:bCs/>
                <w:iCs/>
                <w:sz w:val="24"/>
              </w:rPr>
              <w:t>分</w:t>
            </w:r>
          </w:p>
          <w:p w14:paraId="1330821E">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Times New Roman" w:hAnsi="Times New Roman" w:eastAsia="宋体" w:cs="Times New Roman"/>
              </w:rPr>
            </w:pPr>
            <w:r>
              <w:rPr>
                <w:rFonts w:hint="eastAsia" w:ascii="宋体" w:hAnsi="宋体" w:eastAsia="宋体" w:cs="宋体"/>
                <w:bCs/>
                <w:iCs/>
                <w:sz w:val="24"/>
              </w:rPr>
              <w:t xml:space="preserve">注：近三年指2022年1月1日至响应文件提交截止日。 </w:t>
            </w:r>
          </w:p>
        </w:tc>
        <w:tc>
          <w:tcPr>
            <w:tcW w:w="380" w:type="pct"/>
            <w:noWrap w:val="0"/>
            <w:vAlign w:val="center"/>
          </w:tcPr>
          <w:p w14:paraId="263F7BB8">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eastAsia" w:ascii="宋体" w:hAnsi="宋体" w:eastAsia="宋体" w:cs="宋体"/>
                <w:sz w:val="24"/>
                <w:lang w:val="en-US" w:eastAsia="zh-CN"/>
              </w:rPr>
            </w:pPr>
            <w:r>
              <w:rPr>
                <w:rFonts w:hint="eastAsia" w:ascii="宋体" w:hAnsi="宋体" w:eastAsia="宋体" w:cs="宋体"/>
                <w:sz w:val="24"/>
              </w:rPr>
              <w:t>0-</w:t>
            </w:r>
            <w:r>
              <w:rPr>
                <w:rFonts w:hint="eastAsia" w:ascii="宋体" w:hAnsi="宋体" w:eastAsia="宋体" w:cs="宋体"/>
                <w:sz w:val="24"/>
                <w:lang w:val="en-US" w:eastAsia="zh-CN"/>
              </w:rPr>
              <w:t>4</w:t>
            </w:r>
          </w:p>
        </w:tc>
      </w:tr>
      <w:tr w14:paraId="2500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000" w:type="pct"/>
            <w:gridSpan w:val="3"/>
            <w:noWrap w:val="0"/>
            <w:vAlign w:val="center"/>
          </w:tcPr>
          <w:p w14:paraId="1DC13DCA">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b/>
                <w:sz w:val="24"/>
              </w:rPr>
            </w:pPr>
            <w:r>
              <w:rPr>
                <w:rFonts w:hint="eastAsia" w:ascii="宋体" w:hAnsi="宋体" w:eastAsia="宋体" w:cs="宋体"/>
                <w:b/>
                <w:sz w:val="24"/>
              </w:rPr>
              <w:t>二、技术部分（6</w:t>
            </w:r>
            <w:r>
              <w:rPr>
                <w:rFonts w:hint="eastAsia" w:ascii="宋体" w:hAnsi="宋体" w:eastAsia="宋体" w:cs="宋体"/>
                <w:b/>
                <w:sz w:val="24"/>
                <w:lang w:val="en-US" w:eastAsia="zh-CN"/>
              </w:rPr>
              <w:t>0</w:t>
            </w:r>
            <w:r>
              <w:rPr>
                <w:rFonts w:hint="eastAsia" w:ascii="宋体" w:hAnsi="宋体" w:eastAsia="宋体" w:cs="宋体"/>
                <w:b/>
                <w:sz w:val="24"/>
              </w:rPr>
              <w:t>分）</w:t>
            </w:r>
          </w:p>
        </w:tc>
      </w:tr>
      <w:tr w14:paraId="0AA0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79" w:type="pct"/>
            <w:noWrap w:val="0"/>
            <w:vAlign w:val="center"/>
          </w:tcPr>
          <w:p w14:paraId="48FAC9E6">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rPr>
            </w:pPr>
            <w:r>
              <w:rPr>
                <w:rFonts w:hint="eastAsia" w:ascii="宋体" w:hAnsi="宋体" w:eastAsia="宋体" w:cs="宋体"/>
                <w:sz w:val="24"/>
              </w:rPr>
              <w:t>2.1</w:t>
            </w:r>
          </w:p>
        </w:tc>
        <w:tc>
          <w:tcPr>
            <w:tcW w:w="4239" w:type="pct"/>
            <w:noWrap w:val="0"/>
            <w:vAlign w:val="center"/>
          </w:tcPr>
          <w:p w14:paraId="0A9ED0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eastAsia" w:ascii="宋体" w:hAnsi="Times New Roman" w:eastAsia="宋体" w:cs="Times New Roman"/>
                <w:b/>
                <w:bCs/>
                <w:kern w:val="0"/>
                <w:sz w:val="24"/>
                <w:szCs w:val="24"/>
                <w:lang w:val="en-US" w:eastAsia="zh-CN" w:bidi="ar-SA"/>
              </w:rPr>
            </w:pPr>
            <w:r>
              <w:rPr>
                <w:rFonts w:hint="eastAsia" w:ascii="宋体" w:hAnsi="Times New Roman" w:eastAsia="宋体" w:cs="Times New Roman"/>
                <w:b/>
                <w:bCs/>
                <w:kern w:val="0"/>
                <w:sz w:val="24"/>
                <w:szCs w:val="24"/>
                <w:lang w:val="en-US" w:eastAsia="zh-CN" w:bidi="ar-SA"/>
              </w:rPr>
              <w:t>设计实用性与美观性：</w:t>
            </w:r>
          </w:p>
          <w:p w14:paraId="67DEA9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eastAsia" w:ascii="宋体" w:hAnsi="Times New Roman" w:eastAsia="宋体" w:cs="Times New Roman"/>
                <w:b w:val="0"/>
                <w:bCs w:val="0"/>
                <w:kern w:val="0"/>
                <w:sz w:val="24"/>
                <w:szCs w:val="24"/>
                <w:lang w:val="en-US" w:eastAsia="zh-CN" w:bidi="ar-SA"/>
              </w:rPr>
            </w:pPr>
            <w:r>
              <w:rPr>
                <w:rFonts w:hint="eastAsia" w:ascii="宋体" w:hAnsi="Times New Roman" w:eastAsia="宋体" w:cs="Times New Roman"/>
                <w:b w:val="0"/>
                <w:bCs w:val="0"/>
                <w:kern w:val="0"/>
                <w:sz w:val="24"/>
                <w:szCs w:val="24"/>
                <w:lang w:val="en-US" w:eastAsia="zh-CN" w:bidi="ar-SA"/>
              </w:rPr>
              <w:t>整体视觉效果、色彩搭配好、与周边环境协调一致性高，高效利用空间，很好地满足项目需求，得10分；</w:t>
            </w:r>
          </w:p>
          <w:p w14:paraId="6EB3D1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ascii="宋体" w:hAnsi="Times New Roman" w:eastAsia="宋体" w:cs="Times New Roman"/>
                <w:b w:val="0"/>
                <w:bCs w:val="0"/>
                <w:kern w:val="0"/>
                <w:sz w:val="24"/>
                <w:szCs w:val="24"/>
                <w:lang w:val="en-US" w:eastAsia="zh-CN" w:bidi="ar-SA"/>
              </w:rPr>
            </w:pPr>
            <w:r>
              <w:rPr>
                <w:rFonts w:hint="default" w:ascii="宋体" w:hAnsi="Times New Roman" w:eastAsia="宋体" w:cs="Times New Roman"/>
                <w:b w:val="0"/>
                <w:bCs w:val="0"/>
                <w:kern w:val="0"/>
                <w:sz w:val="24"/>
                <w:szCs w:val="24"/>
                <w:lang w:val="en-US" w:eastAsia="zh-CN" w:bidi="ar-SA"/>
              </w:rPr>
              <w:t>整体视觉效果、色彩搭配</w:t>
            </w:r>
            <w:r>
              <w:rPr>
                <w:rFonts w:hint="eastAsia" w:ascii="宋体" w:hAnsi="Times New Roman" w:eastAsia="宋体" w:cs="Times New Roman"/>
                <w:b w:val="0"/>
                <w:bCs w:val="0"/>
                <w:kern w:val="0"/>
                <w:sz w:val="24"/>
                <w:szCs w:val="24"/>
                <w:lang w:val="en-US" w:eastAsia="zh-CN" w:bidi="ar-SA"/>
              </w:rPr>
              <w:t>较</w:t>
            </w:r>
            <w:r>
              <w:rPr>
                <w:rFonts w:hint="default" w:ascii="宋体" w:hAnsi="Times New Roman" w:eastAsia="宋体" w:cs="Times New Roman"/>
                <w:b w:val="0"/>
                <w:bCs w:val="0"/>
                <w:kern w:val="0"/>
                <w:sz w:val="24"/>
                <w:szCs w:val="24"/>
                <w:lang w:val="en-US" w:eastAsia="zh-CN" w:bidi="ar-SA"/>
              </w:rPr>
              <w:t>好、与周边环境协调一致性</w:t>
            </w:r>
            <w:r>
              <w:rPr>
                <w:rFonts w:hint="eastAsia" w:ascii="宋体" w:hAnsi="Times New Roman" w:eastAsia="宋体" w:cs="Times New Roman"/>
                <w:b w:val="0"/>
                <w:bCs w:val="0"/>
                <w:kern w:val="0"/>
                <w:sz w:val="24"/>
                <w:szCs w:val="24"/>
                <w:lang w:val="en-US" w:eastAsia="zh-CN" w:bidi="ar-SA"/>
              </w:rPr>
              <w:t>较</w:t>
            </w:r>
            <w:r>
              <w:rPr>
                <w:rFonts w:hint="default" w:ascii="宋体" w:hAnsi="Times New Roman" w:eastAsia="宋体" w:cs="Times New Roman"/>
                <w:b w:val="0"/>
                <w:bCs w:val="0"/>
                <w:kern w:val="0"/>
                <w:sz w:val="24"/>
                <w:szCs w:val="24"/>
                <w:lang w:val="en-US" w:eastAsia="zh-CN" w:bidi="ar-SA"/>
              </w:rPr>
              <w:t>高，</w:t>
            </w:r>
            <w:r>
              <w:rPr>
                <w:rFonts w:hint="eastAsia" w:ascii="宋体" w:hAnsi="Times New Roman" w:eastAsia="宋体" w:cs="Times New Roman"/>
                <w:b w:val="0"/>
                <w:bCs w:val="0"/>
                <w:kern w:val="0"/>
                <w:sz w:val="24"/>
                <w:szCs w:val="24"/>
                <w:lang w:val="en-US" w:eastAsia="zh-CN" w:bidi="ar-SA"/>
              </w:rPr>
              <w:t>较为</w:t>
            </w:r>
            <w:r>
              <w:rPr>
                <w:rFonts w:hint="default" w:ascii="宋体" w:hAnsi="Times New Roman" w:eastAsia="宋体" w:cs="Times New Roman"/>
                <w:b w:val="0"/>
                <w:bCs w:val="0"/>
                <w:kern w:val="0"/>
                <w:sz w:val="24"/>
                <w:szCs w:val="24"/>
                <w:lang w:val="en-US" w:eastAsia="zh-CN" w:bidi="ar-SA"/>
              </w:rPr>
              <w:t>高效利用空间，</w:t>
            </w:r>
            <w:r>
              <w:rPr>
                <w:rFonts w:hint="eastAsia" w:ascii="宋体" w:hAnsi="Times New Roman" w:eastAsia="宋体" w:cs="Times New Roman"/>
                <w:b w:val="0"/>
                <w:bCs w:val="0"/>
                <w:kern w:val="0"/>
                <w:sz w:val="24"/>
                <w:szCs w:val="24"/>
                <w:lang w:val="en-US" w:eastAsia="zh-CN" w:bidi="ar-SA"/>
              </w:rPr>
              <w:t>较</w:t>
            </w:r>
            <w:r>
              <w:rPr>
                <w:rFonts w:hint="default" w:ascii="宋体" w:hAnsi="Times New Roman" w:eastAsia="宋体" w:cs="Times New Roman"/>
                <w:b w:val="0"/>
                <w:bCs w:val="0"/>
                <w:kern w:val="0"/>
                <w:sz w:val="24"/>
                <w:szCs w:val="24"/>
                <w:lang w:val="en-US" w:eastAsia="zh-CN" w:bidi="ar-SA"/>
              </w:rPr>
              <w:t>好地满足项目需求，得</w:t>
            </w:r>
            <w:r>
              <w:rPr>
                <w:rFonts w:hint="eastAsia" w:ascii="宋体" w:hAnsi="Times New Roman" w:eastAsia="宋体" w:cs="Times New Roman"/>
                <w:b w:val="0"/>
                <w:bCs w:val="0"/>
                <w:kern w:val="0"/>
                <w:sz w:val="24"/>
                <w:szCs w:val="24"/>
                <w:lang w:val="en-US" w:eastAsia="zh-CN" w:bidi="ar-SA"/>
              </w:rPr>
              <w:t>7</w:t>
            </w:r>
            <w:r>
              <w:rPr>
                <w:rFonts w:hint="default" w:ascii="宋体" w:hAnsi="Times New Roman" w:eastAsia="宋体" w:cs="Times New Roman"/>
                <w:b w:val="0"/>
                <w:bCs w:val="0"/>
                <w:kern w:val="0"/>
                <w:sz w:val="24"/>
                <w:szCs w:val="24"/>
                <w:lang w:val="en-US" w:eastAsia="zh-CN" w:bidi="ar-SA"/>
              </w:rPr>
              <w:t>分；</w:t>
            </w:r>
          </w:p>
          <w:p w14:paraId="551A93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ascii="宋体" w:hAnsi="Times New Roman" w:eastAsia="宋体" w:cs="Times New Roman"/>
                <w:b w:val="0"/>
                <w:bCs w:val="0"/>
                <w:kern w:val="0"/>
                <w:sz w:val="24"/>
                <w:szCs w:val="24"/>
                <w:lang w:val="en-US" w:eastAsia="zh-CN" w:bidi="ar-SA"/>
              </w:rPr>
            </w:pPr>
            <w:r>
              <w:rPr>
                <w:rFonts w:hint="default" w:ascii="宋体" w:hAnsi="Times New Roman" w:eastAsia="宋体" w:cs="Times New Roman"/>
                <w:b w:val="0"/>
                <w:bCs w:val="0"/>
                <w:kern w:val="0"/>
                <w:sz w:val="24"/>
                <w:szCs w:val="24"/>
                <w:lang w:val="en-US" w:eastAsia="zh-CN" w:bidi="ar-SA"/>
              </w:rPr>
              <w:t>整体视觉效果、色彩搭配</w:t>
            </w:r>
            <w:r>
              <w:rPr>
                <w:rFonts w:hint="eastAsia" w:ascii="宋体" w:hAnsi="Times New Roman" w:eastAsia="宋体" w:cs="Times New Roman"/>
                <w:b w:val="0"/>
                <w:bCs w:val="0"/>
                <w:kern w:val="0"/>
                <w:sz w:val="24"/>
                <w:szCs w:val="24"/>
                <w:lang w:val="en-US" w:eastAsia="zh-CN" w:bidi="ar-SA"/>
              </w:rPr>
              <w:t>一般</w:t>
            </w:r>
            <w:r>
              <w:rPr>
                <w:rFonts w:hint="default" w:ascii="宋体" w:hAnsi="Times New Roman" w:eastAsia="宋体" w:cs="Times New Roman"/>
                <w:b w:val="0"/>
                <w:bCs w:val="0"/>
                <w:kern w:val="0"/>
                <w:sz w:val="24"/>
                <w:szCs w:val="24"/>
                <w:lang w:val="en-US" w:eastAsia="zh-CN" w:bidi="ar-SA"/>
              </w:rPr>
              <w:t>、与周边环境协调一致性一般，利用空间一般，</w:t>
            </w:r>
            <w:r>
              <w:rPr>
                <w:rFonts w:hint="eastAsia" w:ascii="宋体" w:hAnsi="Times New Roman" w:eastAsia="宋体" w:cs="Times New Roman"/>
                <w:b w:val="0"/>
                <w:bCs w:val="0"/>
                <w:kern w:val="0"/>
                <w:sz w:val="24"/>
                <w:szCs w:val="24"/>
                <w:lang w:val="en-US" w:eastAsia="zh-CN" w:bidi="ar-SA"/>
              </w:rPr>
              <w:t>基本</w:t>
            </w:r>
            <w:r>
              <w:rPr>
                <w:rFonts w:hint="default" w:ascii="宋体" w:hAnsi="Times New Roman" w:eastAsia="宋体" w:cs="Times New Roman"/>
                <w:b w:val="0"/>
                <w:bCs w:val="0"/>
                <w:kern w:val="0"/>
                <w:sz w:val="24"/>
                <w:szCs w:val="24"/>
                <w:lang w:val="en-US" w:eastAsia="zh-CN" w:bidi="ar-SA"/>
              </w:rPr>
              <w:t>地满足项目需求，得</w:t>
            </w:r>
            <w:r>
              <w:rPr>
                <w:rFonts w:hint="eastAsia" w:ascii="宋体" w:hAnsi="Times New Roman" w:eastAsia="宋体" w:cs="Times New Roman"/>
                <w:b w:val="0"/>
                <w:bCs w:val="0"/>
                <w:kern w:val="0"/>
                <w:sz w:val="24"/>
                <w:szCs w:val="24"/>
                <w:lang w:val="en-US" w:eastAsia="zh-CN" w:bidi="ar-SA"/>
              </w:rPr>
              <w:t>4</w:t>
            </w:r>
            <w:r>
              <w:rPr>
                <w:rFonts w:hint="default" w:ascii="宋体" w:hAnsi="Times New Roman" w:eastAsia="宋体" w:cs="Times New Roman"/>
                <w:b w:val="0"/>
                <w:bCs w:val="0"/>
                <w:kern w:val="0"/>
                <w:sz w:val="24"/>
                <w:szCs w:val="24"/>
                <w:lang w:val="en-US" w:eastAsia="zh-CN" w:bidi="ar-SA"/>
              </w:rPr>
              <w:t>分；</w:t>
            </w:r>
          </w:p>
          <w:p w14:paraId="62C863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eastAsia" w:ascii="宋体" w:hAnsi="Times New Roman" w:eastAsia="宋体" w:cs="Times New Roman"/>
                <w:b/>
                <w:bCs/>
                <w:kern w:val="0"/>
                <w:sz w:val="24"/>
                <w:szCs w:val="24"/>
                <w:lang w:val="en-US" w:eastAsia="zh-CN" w:bidi="ar-SA"/>
              </w:rPr>
            </w:pPr>
            <w:r>
              <w:rPr>
                <w:rFonts w:hint="default" w:ascii="宋体" w:hAnsi="Times New Roman" w:eastAsia="宋体" w:cs="Times New Roman"/>
                <w:b w:val="0"/>
                <w:bCs w:val="0"/>
                <w:kern w:val="0"/>
                <w:sz w:val="24"/>
                <w:szCs w:val="24"/>
                <w:lang w:val="en-US" w:eastAsia="zh-CN" w:bidi="ar-SA"/>
              </w:rPr>
              <w:t>整体视觉效果、色彩搭配</w:t>
            </w:r>
            <w:r>
              <w:rPr>
                <w:rFonts w:hint="eastAsia" w:ascii="宋体" w:hAnsi="Times New Roman" w:eastAsia="宋体" w:cs="Times New Roman"/>
                <w:b w:val="0"/>
                <w:bCs w:val="0"/>
                <w:kern w:val="0"/>
                <w:sz w:val="24"/>
                <w:szCs w:val="24"/>
                <w:lang w:val="en-US" w:eastAsia="zh-CN" w:bidi="ar-SA"/>
              </w:rPr>
              <w:t>差</w:t>
            </w:r>
            <w:r>
              <w:rPr>
                <w:rFonts w:hint="default" w:ascii="宋体" w:hAnsi="Times New Roman" w:eastAsia="宋体" w:cs="Times New Roman"/>
                <w:b w:val="0"/>
                <w:bCs w:val="0"/>
                <w:kern w:val="0"/>
                <w:sz w:val="24"/>
                <w:szCs w:val="24"/>
                <w:lang w:val="en-US" w:eastAsia="zh-CN" w:bidi="ar-SA"/>
              </w:rPr>
              <w:t>、与周边环境协调一致性</w:t>
            </w:r>
            <w:r>
              <w:rPr>
                <w:rFonts w:hint="eastAsia" w:ascii="宋体" w:hAnsi="Times New Roman" w:eastAsia="宋体" w:cs="Times New Roman"/>
                <w:b w:val="0"/>
                <w:bCs w:val="0"/>
                <w:kern w:val="0"/>
                <w:sz w:val="24"/>
                <w:szCs w:val="24"/>
                <w:lang w:val="en-US" w:eastAsia="zh-CN" w:bidi="ar-SA"/>
              </w:rPr>
              <w:t>低</w:t>
            </w:r>
            <w:r>
              <w:rPr>
                <w:rFonts w:hint="default" w:ascii="宋体" w:hAnsi="Times New Roman" w:eastAsia="宋体" w:cs="Times New Roman"/>
                <w:b w:val="0"/>
                <w:bCs w:val="0"/>
                <w:kern w:val="0"/>
                <w:sz w:val="24"/>
                <w:szCs w:val="24"/>
                <w:lang w:val="en-US" w:eastAsia="zh-CN" w:bidi="ar-SA"/>
              </w:rPr>
              <w:t>，</w:t>
            </w:r>
            <w:r>
              <w:rPr>
                <w:rFonts w:hint="eastAsia" w:ascii="宋体" w:hAnsi="Times New Roman" w:eastAsia="宋体" w:cs="Times New Roman"/>
                <w:b w:val="0"/>
                <w:bCs w:val="0"/>
                <w:kern w:val="0"/>
                <w:sz w:val="24"/>
                <w:szCs w:val="24"/>
                <w:lang w:val="en-US" w:eastAsia="zh-CN" w:bidi="ar-SA"/>
              </w:rPr>
              <w:t>空间利用率低</w:t>
            </w:r>
            <w:r>
              <w:rPr>
                <w:rFonts w:hint="default" w:ascii="宋体" w:hAnsi="Times New Roman" w:eastAsia="宋体" w:cs="Times New Roman"/>
                <w:b w:val="0"/>
                <w:bCs w:val="0"/>
                <w:kern w:val="0"/>
                <w:sz w:val="24"/>
                <w:szCs w:val="24"/>
                <w:lang w:val="en-US" w:eastAsia="zh-CN" w:bidi="ar-SA"/>
              </w:rPr>
              <w:t>，</w:t>
            </w:r>
            <w:r>
              <w:rPr>
                <w:rFonts w:hint="eastAsia" w:ascii="宋体" w:hAnsi="Times New Roman" w:eastAsia="宋体" w:cs="Times New Roman"/>
                <w:b w:val="0"/>
                <w:bCs w:val="0"/>
                <w:kern w:val="0"/>
                <w:sz w:val="24"/>
                <w:szCs w:val="24"/>
                <w:lang w:val="en-US" w:eastAsia="zh-CN" w:bidi="ar-SA"/>
              </w:rPr>
              <w:t>不能</w:t>
            </w:r>
            <w:r>
              <w:rPr>
                <w:rFonts w:hint="default" w:ascii="宋体" w:hAnsi="Times New Roman" w:eastAsia="宋体" w:cs="Times New Roman"/>
                <w:b w:val="0"/>
                <w:bCs w:val="0"/>
                <w:kern w:val="0"/>
                <w:sz w:val="24"/>
                <w:szCs w:val="24"/>
                <w:lang w:val="en-US" w:eastAsia="zh-CN" w:bidi="ar-SA"/>
              </w:rPr>
              <w:t>满足项目需求，得</w:t>
            </w:r>
            <w:r>
              <w:rPr>
                <w:rFonts w:hint="eastAsia" w:ascii="宋体" w:hAnsi="Times New Roman" w:eastAsia="宋体" w:cs="Times New Roman"/>
                <w:b w:val="0"/>
                <w:bCs w:val="0"/>
                <w:kern w:val="0"/>
                <w:sz w:val="24"/>
                <w:szCs w:val="24"/>
                <w:lang w:val="en-US" w:eastAsia="zh-CN" w:bidi="ar-SA"/>
              </w:rPr>
              <w:t>0</w:t>
            </w:r>
            <w:r>
              <w:rPr>
                <w:rFonts w:hint="default" w:ascii="宋体" w:hAnsi="Times New Roman" w:eastAsia="宋体" w:cs="Times New Roman"/>
                <w:b w:val="0"/>
                <w:bCs w:val="0"/>
                <w:kern w:val="0"/>
                <w:sz w:val="24"/>
                <w:szCs w:val="24"/>
                <w:lang w:val="en-US" w:eastAsia="zh-CN" w:bidi="ar-SA"/>
              </w:rPr>
              <w:t>分</w:t>
            </w:r>
            <w:r>
              <w:rPr>
                <w:rFonts w:hint="eastAsia" w:ascii="宋体" w:hAnsi="Times New Roman" w:eastAsia="宋体" w:cs="Times New Roman"/>
                <w:b w:val="0"/>
                <w:bCs w:val="0"/>
                <w:kern w:val="0"/>
                <w:sz w:val="24"/>
                <w:szCs w:val="24"/>
                <w:lang w:val="en-US" w:eastAsia="zh-CN" w:bidi="ar-SA"/>
              </w:rPr>
              <w:t>。</w:t>
            </w:r>
          </w:p>
        </w:tc>
        <w:tc>
          <w:tcPr>
            <w:tcW w:w="380" w:type="pct"/>
            <w:noWrap w:val="0"/>
            <w:vAlign w:val="center"/>
          </w:tcPr>
          <w:p w14:paraId="31C74E2E">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lang w:val="en-US" w:eastAsia="zh-CN"/>
              </w:rPr>
            </w:pPr>
            <w:r>
              <w:rPr>
                <w:rFonts w:hint="eastAsia" w:ascii="宋体" w:hAnsi="宋体" w:eastAsia="宋体" w:cs="宋体"/>
                <w:sz w:val="24"/>
                <w:lang w:val="en-US" w:eastAsia="zh-CN"/>
              </w:rPr>
              <w:t>0-10</w:t>
            </w:r>
          </w:p>
        </w:tc>
      </w:tr>
      <w:tr w14:paraId="2E27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79" w:type="pct"/>
            <w:noWrap w:val="0"/>
            <w:vAlign w:val="center"/>
          </w:tcPr>
          <w:p w14:paraId="3CF65B9B">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rPr>
            </w:pPr>
            <w:r>
              <w:rPr>
                <w:rFonts w:hint="eastAsia" w:ascii="宋体" w:hAnsi="宋体" w:eastAsia="宋体" w:cs="宋体"/>
                <w:sz w:val="24"/>
              </w:rPr>
              <w:t>2.2</w:t>
            </w:r>
          </w:p>
        </w:tc>
        <w:tc>
          <w:tcPr>
            <w:tcW w:w="4239" w:type="pct"/>
            <w:noWrap w:val="0"/>
            <w:vAlign w:val="center"/>
          </w:tcPr>
          <w:p w14:paraId="028E5847">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设计</w:t>
            </w:r>
            <w:r>
              <w:rPr>
                <w:rFonts w:hint="eastAsia" w:ascii="宋体" w:hAnsi="宋体" w:eastAsia="宋体" w:cs="宋体"/>
                <w:b/>
                <w:bCs/>
                <w:sz w:val="24"/>
                <w:szCs w:val="24"/>
              </w:rPr>
              <w:t xml:space="preserve">表达与技术可行性 </w:t>
            </w:r>
            <w:r>
              <w:rPr>
                <w:rFonts w:hint="eastAsia" w:ascii="宋体" w:hAnsi="宋体" w:eastAsia="宋体" w:cs="宋体"/>
                <w:b/>
                <w:bCs/>
                <w:sz w:val="24"/>
                <w:szCs w:val="24"/>
                <w:lang w:eastAsia="zh-CN"/>
              </w:rPr>
              <w:t>：</w:t>
            </w:r>
          </w:p>
          <w:p w14:paraId="3279C2EC">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Times New Roman" w:eastAsia="宋体" w:cs="Times New Roman"/>
                <w:b w:val="0"/>
                <w:bCs w:val="0"/>
                <w:kern w:val="0"/>
                <w:sz w:val="24"/>
                <w:szCs w:val="24"/>
                <w:lang w:val="en-US" w:eastAsia="zh-CN" w:bidi="ar-SA"/>
              </w:rPr>
            </w:pPr>
            <w:r>
              <w:rPr>
                <w:rFonts w:hint="eastAsia" w:ascii="宋体" w:hAnsi="宋体" w:eastAsia="宋体" w:cs="宋体"/>
                <w:b w:val="0"/>
                <w:bCs w:val="0"/>
                <w:sz w:val="24"/>
                <w:szCs w:val="24"/>
                <w:lang w:val="en-US" w:eastAsia="zh-CN"/>
              </w:rPr>
              <w:t>设</w:t>
            </w:r>
            <w:r>
              <w:rPr>
                <w:rFonts w:hint="eastAsia" w:ascii="宋体" w:hAnsi="Times New Roman" w:eastAsia="宋体" w:cs="Times New Roman"/>
                <w:b w:val="0"/>
                <w:bCs w:val="0"/>
                <w:kern w:val="0"/>
                <w:sz w:val="24"/>
                <w:szCs w:val="24"/>
                <w:lang w:val="en-US" w:eastAsia="zh-CN" w:bidi="ar-SA"/>
              </w:rPr>
              <w:t>计说明清晰，逻辑严谨，材料的选择与施工工艺可行合理，得10分；</w:t>
            </w:r>
          </w:p>
          <w:p w14:paraId="6C630BE0">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Times New Roman" w:eastAsia="宋体" w:cs="Times New Roman"/>
                <w:b w:val="0"/>
                <w:bCs w:val="0"/>
                <w:kern w:val="0"/>
                <w:sz w:val="24"/>
                <w:szCs w:val="24"/>
                <w:lang w:val="en-US" w:eastAsia="zh-CN" w:bidi="ar-SA"/>
              </w:rPr>
            </w:pPr>
            <w:r>
              <w:rPr>
                <w:rFonts w:hint="eastAsia" w:ascii="宋体" w:hAnsi="Times New Roman" w:eastAsia="宋体" w:cs="Times New Roman"/>
                <w:b w:val="0"/>
                <w:bCs w:val="0"/>
                <w:kern w:val="0"/>
                <w:sz w:val="24"/>
                <w:szCs w:val="24"/>
                <w:lang w:val="en-US" w:eastAsia="zh-CN" w:bidi="ar-SA"/>
              </w:rPr>
              <w:t>设计说明较清晰，逻辑较严谨，材料的选择与施工工艺较可行合理，得7分；</w:t>
            </w:r>
          </w:p>
          <w:p w14:paraId="51A87944">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设计说明</w:t>
            </w:r>
            <w:r>
              <w:rPr>
                <w:rFonts w:hint="eastAsia" w:ascii="宋体" w:hAnsi="宋体" w:eastAsia="宋体" w:cs="宋体"/>
                <w:b w:val="0"/>
                <w:bCs w:val="0"/>
                <w:sz w:val="24"/>
                <w:szCs w:val="24"/>
                <w:lang w:val="en-US" w:eastAsia="zh-CN"/>
              </w:rPr>
              <w:t>基本</w:t>
            </w:r>
            <w:r>
              <w:rPr>
                <w:rFonts w:hint="default" w:ascii="宋体" w:hAnsi="宋体" w:eastAsia="宋体" w:cs="宋体"/>
                <w:b w:val="0"/>
                <w:bCs w:val="0"/>
                <w:sz w:val="24"/>
                <w:szCs w:val="24"/>
                <w:lang w:val="en-US" w:eastAsia="zh-CN"/>
              </w:rPr>
              <w:t>清晰，逻辑</w:t>
            </w:r>
            <w:r>
              <w:rPr>
                <w:rFonts w:hint="eastAsia" w:ascii="宋体" w:hAnsi="宋体" w:eastAsia="宋体" w:cs="宋体"/>
                <w:b w:val="0"/>
                <w:bCs w:val="0"/>
                <w:sz w:val="24"/>
                <w:szCs w:val="24"/>
                <w:lang w:val="en-US" w:eastAsia="zh-CN"/>
              </w:rPr>
              <w:t>基本</w:t>
            </w:r>
            <w:r>
              <w:rPr>
                <w:rFonts w:hint="default" w:ascii="宋体" w:hAnsi="宋体" w:eastAsia="宋体" w:cs="宋体"/>
                <w:b w:val="0"/>
                <w:bCs w:val="0"/>
                <w:sz w:val="24"/>
                <w:szCs w:val="24"/>
                <w:lang w:val="en-US" w:eastAsia="zh-CN"/>
              </w:rPr>
              <w:t>严谨，材料的选择与施工工艺</w:t>
            </w:r>
            <w:r>
              <w:rPr>
                <w:rFonts w:hint="eastAsia" w:ascii="宋体" w:hAnsi="宋体" w:eastAsia="宋体" w:cs="宋体"/>
                <w:b w:val="0"/>
                <w:bCs w:val="0"/>
                <w:sz w:val="24"/>
                <w:szCs w:val="24"/>
                <w:lang w:val="en-US" w:eastAsia="zh-CN"/>
              </w:rPr>
              <w:t>基本</w:t>
            </w:r>
            <w:r>
              <w:rPr>
                <w:rFonts w:hint="default" w:ascii="宋体" w:hAnsi="宋体" w:eastAsia="宋体" w:cs="宋体"/>
                <w:b w:val="0"/>
                <w:bCs w:val="0"/>
                <w:sz w:val="24"/>
                <w:szCs w:val="24"/>
                <w:lang w:val="en-US" w:eastAsia="zh-CN"/>
              </w:rPr>
              <w:t>可行合理，得</w:t>
            </w:r>
            <w:r>
              <w:rPr>
                <w:rFonts w:hint="eastAsia" w:ascii="宋体" w:hAnsi="宋体" w:eastAsia="宋体" w:cs="宋体"/>
                <w:b w:val="0"/>
                <w:bCs w:val="0"/>
                <w:sz w:val="24"/>
                <w:szCs w:val="24"/>
                <w:lang w:val="en-US" w:eastAsia="zh-CN"/>
              </w:rPr>
              <w:t>4</w:t>
            </w:r>
            <w:r>
              <w:rPr>
                <w:rFonts w:hint="default" w:ascii="宋体" w:hAnsi="宋体" w:eastAsia="宋体" w:cs="宋体"/>
                <w:b w:val="0"/>
                <w:bCs w:val="0"/>
                <w:sz w:val="24"/>
                <w:szCs w:val="24"/>
                <w:lang w:val="en-US" w:eastAsia="zh-CN"/>
              </w:rPr>
              <w:t>分；</w:t>
            </w:r>
          </w:p>
          <w:p w14:paraId="63A9B5CB">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宋体" w:hAnsi="宋体" w:eastAsia="宋体" w:cs="宋体"/>
                <w:b/>
                <w:bCs/>
                <w:sz w:val="24"/>
                <w:szCs w:val="24"/>
                <w:lang w:val="en-US" w:eastAsia="zh-CN"/>
              </w:rPr>
            </w:pPr>
            <w:r>
              <w:rPr>
                <w:rFonts w:hint="default" w:ascii="宋体" w:hAnsi="宋体" w:eastAsia="宋体" w:cs="宋体"/>
                <w:b w:val="0"/>
                <w:bCs w:val="0"/>
                <w:sz w:val="24"/>
                <w:szCs w:val="24"/>
                <w:lang w:val="en-US" w:eastAsia="zh-CN"/>
              </w:rPr>
              <w:t>设计说明</w:t>
            </w:r>
            <w:r>
              <w:rPr>
                <w:rFonts w:hint="eastAsia" w:ascii="宋体" w:hAnsi="宋体" w:eastAsia="宋体" w:cs="宋体"/>
                <w:b w:val="0"/>
                <w:bCs w:val="0"/>
                <w:sz w:val="24"/>
                <w:szCs w:val="24"/>
                <w:lang w:val="en-US" w:eastAsia="zh-CN"/>
              </w:rPr>
              <w:t>不</w:t>
            </w:r>
            <w:r>
              <w:rPr>
                <w:rFonts w:hint="default" w:ascii="宋体" w:hAnsi="宋体" w:eastAsia="宋体" w:cs="宋体"/>
                <w:b w:val="0"/>
                <w:bCs w:val="0"/>
                <w:sz w:val="24"/>
                <w:szCs w:val="24"/>
                <w:lang w:val="en-US" w:eastAsia="zh-CN"/>
              </w:rPr>
              <w:t>清晰，逻辑</w:t>
            </w:r>
            <w:r>
              <w:rPr>
                <w:rFonts w:hint="eastAsia" w:ascii="宋体" w:hAnsi="宋体" w:eastAsia="宋体" w:cs="宋体"/>
                <w:b w:val="0"/>
                <w:bCs w:val="0"/>
                <w:sz w:val="24"/>
                <w:szCs w:val="24"/>
                <w:lang w:val="en-US" w:eastAsia="zh-CN"/>
              </w:rPr>
              <w:t>不</w:t>
            </w:r>
            <w:r>
              <w:rPr>
                <w:rFonts w:hint="default" w:ascii="宋体" w:hAnsi="宋体" w:eastAsia="宋体" w:cs="宋体"/>
                <w:b w:val="0"/>
                <w:bCs w:val="0"/>
                <w:sz w:val="24"/>
                <w:szCs w:val="24"/>
                <w:lang w:val="en-US" w:eastAsia="zh-CN"/>
              </w:rPr>
              <w:t>严谨，材料的选择与施工工艺可行合理</w:t>
            </w:r>
            <w:r>
              <w:rPr>
                <w:rFonts w:hint="eastAsia" w:ascii="宋体" w:hAnsi="宋体" w:eastAsia="宋体" w:cs="宋体"/>
                <w:b w:val="0"/>
                <w:bCs w:val="0"/>
                <w:sz w:val="24"/>
                <w:szCs w:val="24"/>
                <w:lang w:val="en-US" w:eastAsia="zh-CN"/>
              </w:rPr>
              <w:t>性较差</w:t>
            </w:r>
            <w:r>
              <w:rPr>
                <w:rFonts w:hint="default" w:ascii="宋体" w:hAnsi="宋体" w:eastAsia="宋体" w:cs="宋体"/>
                <w:b w:val="0"/>
                <w:bCs w:val="0"/>
                <w:sz w:val="24"/>
                <w:szCs w:val="24"/>
                <w:lang w:val="en-US" w:eastAsia="zh-CN"/>
              </w:rPr>
              <w:t>，得</w:t>
            </w:r>
            <w:r>
              <w:rPr>
                <w:rFonts w:hint="eastAsia" w:ascii="宋体" w:hAnsi="宋体" w:eastAsia="宋体" w:cs="宋体"/>
                <w:b w:val="0"/>
                <w:bCs w:val="0"/>
                <w:sz w:val="24"/>
                <w:szCs w:val="24"/>
                <w:lang w:val="en-US" w:eastAsia="zh-CN"/>
              </w:rPr>
              <w:t>0</w:t>
            </w:r>
            <w:r>
              <w:rPr>
                <w:rFonts w:hint="default" w:ascii="宋体" w:hAnsi="宋体" w:eastAsia="宋体" w:cs="宋体"/>
                <w:b w:val="0"/>
                <w:bCs w:val="0"/>
                <w:sz w:val="24"/>
                <w:szCs w:val="24"/>
                <w:lang w:val="en-US" w:eastAsia="zh-CN"/>
              </w:rPr>
              <w:t>分</w:t>
            </w:r>
            <w:r>
              <w:rPr>
                <w:rFonts w:hint="eastAsia" w:ascii="宋体" w:hAnsi="宋体" w:eastAsia="宋体" w:cs="宋体"/>
                <w:b w:val="0"/>
                <w:bCs w:val="0"/>
                <w:sz w:val="24"/>
                <w:szCs w:val="24"/>
                <w:lang w:val="en-US" w:eastAsia="zh-CN"/>
              </w:rPr>
              <w:t>。</w:t>
            </w:r>
          </w:p>
        </w:tc>
        <w:tc>
          <w:tcPr>
            <w:tcW w:w="380" w:type="pct"/>
            <w:noWrap w:val="0"/>
            <w:vAlign w:val="center"/>
          </w:tcPr>
          <w:p w14:paraId="740AF4A6">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lang w:val="en-US" w:eastAsia="zh-CN"/>
              </w:rPr>
            </w:pPr>
            <w:r>
              <w:rPr>
                <w:rFonts w:hint="eastAsia" w:ascii="宋体" w:hAnsi="宋体" w:eastAsia="宋体" w:cs="宋体"/>
                <w:sz w:val="24"/>
                <w:lang w:val="en-US" w:eastAsia="zh-CN"/>
              </w:rPr>
              <w:t>0-10</w:t>
            </w:r>
          </w:p>
        </w:tc>
      </w:tr>
      <w:tr w14:paraId="0D09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79" w:type="pct"/>
            <w:noWrap w:val="0"/>
            <w:vAlign w:val="center"/>
          </w:tcPr>
          <w:p w14:paraId="6D85119A">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eastAsia" w:ascii="宋体" w:hAnsi="宋体" w:eastAsia="宋体" w:cs="宋体"/>
                <w:sz w:val="24"/>
                <w:lang w:eastAsia="zh-CN"/>
              </w:rPr>
            </w:pPr>
            <w:r>
              <w:rPr>
                <w:rFonts w:hint="eastAsia" w:ascii="宋体" w:hAnsi="宋体" w:eastAsia="宋体" w:cs="宋体"/>
                <w:sz w:val="24"/>
              </w:rPr>
              <w:t>2.</w:t>
            </w:r>
            <w:r>
              <w:rPr>
                <w:rFonts w:hint="eastAsia" w:ascii="宋体" w:hAnsi="宋体" w:cs="宋体"/>
                <w:sz w:val="24"/>
                <w:lang w:val="en-US" w:eastAsia="zh-CN"/>
              </w:rPr>
              <w:t>3</w:t>
            </w:r>
          </w:p>
        </w:tc>
        <w:tc>
          <w:tcPr>
            <w:tcW w:w="4239" w:type="pct"/>
            <w:noWrap w:val="0"/>
            <w:vAlign w:val="center"/>
          </w:tcPr>
          <w:p w14:paraId="1423A231">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施工组织设计</w:t>
            </w:r>
            <w:r>
              <w:rPr>
                <w:rFonts w:hint="eastAsia" w:ascii="宋体" w:hAnsi="宋体" w:eastAsia="宋体" w:cs="宋体"/>
                <w:b/>
                <w:bCs/>
                <w:sz w:val="24"/>
                <w:szCs w:val="24"/>
              </w:rPr>
              <w:t>总体实施方案</w:t>
            </w:r>
            <w:r>
              <w:rPr>
                <w:rFonts w:hint="eastAsia" w:ascii="宋体" w:hAnsi="宋体" w:eastAsia="宋体" w:cs="宋体"/>
                <w:b/>
                <w:bCs/>
                <w:sz w:val="24"/>
                <w:szCs w:val="24"/>
                <w:lang w:eastAsia="zh-CN"/>
              </w:rPr>
              <w:t>：</w:t>
            </w:r>
          </w:p>
          <w:p w14:paraId="32964F4D">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eastAsia="zh-CN"/>
              </w:rPr>
              <w:t>实施组织形式</w:t>
            </w:r>
            <w:r>
              <w:rPr>
                <w:rFonts w:hint="eastAsia" w:ascii="宋体" w:hAnsi="宋体" w:eastAsia="宋体" w:cs="宋体"/>
                <w:b w:val="0"/>
                <w:bCs w:val="0"/>
                <w:sz w:val="24"/>
                <w:szCs w:val="24"/>
                <w:lang w:val="en-US" w:eastAsia="zh-CN"/>
              </w:rPr>
              <w:t>可行性高</w:t>
            </w:r>
            <w:r>
              <w:rPr>
                <w:rFonts w:hint="eastAsia" w:ascii="宋体" w:hAnsi="宋体" w:eastAsia="宋体" w:cs="宋体"/>
                <w:b w:val="0"/>
                <w:bCs w:val="0"/>
                <w:sz w:val="24"/>
                <w:szCs w:val="24"/>
                <w:lang w:eastAsia="zh-CN"/>
              </w:rPr>
              <w:t>、项目阶段划分合理、项目实施步骤</w:t>
            </w:r>
            <w:r>
              <w:rPr>
                <w:rFonts w:hint="eastAsia" w:ascii="宋体" w:hAnsi="宋体" w:eastAsia="宋体" w:cs="宋体"/>
                <w:b w:val="0"/>
                <w:bCs w:val="0"/>
                <w:sz w:val="24"/>
                <w:szCs w:val="24"/>
                <w:lang w:val="en-US" w:eastAsia="zh-CN"/>
              </w:rPr>
              <w:t>详细明确，得10分；</w:t>
            </w:r>
          </w:p>
          <w:p w14:paraId="58B167BD">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实施组织形式可行性</w:t>
            </w:r>
            <w:r>
              <w:rPr>
                <w:rFonts w:hint="eastAsia" w:ascii="宋体" w:hAnsi="宋体" w:eastAsia="宋体" w:cs="宋体"/>
                <w:b w:val="0"/>
                <w:bCs w:val="0"/>
                <w:sz w:val="24"/>
                <w:szCs w:val="24"/>
                <w:lang w:val="en-US" w:eastAsia="zh-CN"/>
              </w:rPr>
              <w:t>较</w:t>
            </w:r>
            <w:r>
              <w:rPr>
                <w:rFonts w:hint="default" w:ascii="宋体" w:hAnsi="宋体" w:eastAsia="宋体" w:cs="宋体"/>
                <w:b w:val="0"/>
                <w:bCs w:val="0"/>
                <w:sz w:val="24"/>
                <w:szCs w:val="24"/>
                <w:lang w:val="en-US" w:eastAsia="zh-CN"/>
              </w:rPr>
              <w:t>高、项目阶段划分</w:t>
            </w:r>
            <w:r>
              <w:rPr>
                <w:rFonts w:hint="eastAsia" w:ascii="宋体" w:hAnsi="宋体" w:eastAsia="宋体" w:cs="宋体"/>
                <w:b w:val="0"/>
                <w:bCs w:val="0"/>
                <w:sz w:val="24"/>
                <w:szCs w:val="24"/>
                <w:lang w:val="en-US" w:eastAsia="zh-CN"/>
              </w:rPr>
              <w:t>较</w:t>
            </w:r>
            <w:r>
              <w:rPr>
                <w:rFonts w:hint="default" w:ascii="宋体" w:hAnsi="宋体" w:eastAsia="宋体" w:cs="宋体"/>
                <w:b w:val="0"/>
                <w:bCs w:val="0"/>
                <w:sz w:val="24"/>
                <w:szCs w:val="24"/>
                <w:lang w:val="en-US" w:eastAsia="zh-CN"/>
              </w:rPr>
              <w:t>合理、项目实施步骤</w:t>
            </w:r>
            <w:r>
              <w:rPr>
                <w:rFonts w:hint="eastAsia" w:ascii="宋体" w:hAnsi="宋体" w:eastAsia="宋体" w:cs="宋体"/>
                <w:b w:val="0"/>
                <w:bCs w:val="0"/>
                <w:sz w:val="24"/>
                <w:szCs w:val="24"/>
                <w:lang w:val="en-US" w:eastAsia="zh-CN"/>
              </w:rPr>
              <w:t>较</w:t>
            </w:r>
            <w:r>
              <w:rPr>
                <w:rFonts w:hint="default" w:ascii="宋体" w:hAnsi="宋体" w:eastAsia="宋体" w:cs="宋体"/>
                <w:b w:val="0"/>
                <w:bCs w:val="0"/>
                <w:sz w:val="24"/>
                <w:szCs w:val="24"/>
                <w:lang w:val="en-US" w:eastAsia="zh-CN"/>
              </w:rPr>
              <w:t>详细明确，得</w:t>
            </w:r>
            <w:r>
              <w:rPr>
                <w:rFonts w:hint="eastAsia" w:ascii="宋体" w:hAnsi="宋体" w:eastAsia="宋体" w:cs="宋体"/>
                <w:b w:val="0"/>
                <w:bCs w:val="0"/>
                <w:sz w:val="24"/>
                <w:szCs w:val="24"/>
                <w:lang w:val="en-US" w:eastAsia="zh-CN"/>
              </w:rPr>
              <w:t>7</w:t>
            </w:r>
            <w:r>
              <w:rPr>
                <w:rFonts w:hint="default" w:ascii="宋体" w:hAnsi="宋体" w:eastAsia="宋体" w:cs="宋体"/>
                <w:b w:val="0"/>
                <w:bCs w:val="0"/>
                <w:sz w:val="24"/>
                <w:szCs w:val="24"/>
                <w:lang w:val="en-US" w:eastAsia="zh-CN"/>
              </w:rPr>
              <w:t>分；</w:t>
            </w:r>
          </w:p>
          <w:p w14:paraId="494905D2">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实施组织形式可行性</w:t>
            </w:r>
            <w:r>
              <w:rPr>
                <w:rFonts w:hint="eastAsia" w:ascii="宋体" w:hAnsi="宋体" w:eastAsia="宋体" w:cs="宋体"/>
                <w:b w:val="0"/>
                <w:bCs w:val="0"/>
                <w:sz w:val="24"/>
                <w:szCs w:val="24"/>
                <w:lang w:val="en-US" w:eastAsia="zh-CN"/>
              </w:rPr>
              <w:t>一般</w:t>
            </w:r>
            <w:r>
              <w:rPr>
                <w:rFonts w:hint="default" w:ascii="宋体" w:hAnsi="宋体" w:eastAsia="宋体" w:cs="宋体"/>
                <w:b w:val="0"/>
                <w:bCs w:val="0"/>
                <w:sz w:val="24"/>
                <w:szCs w:val="24"/>
                <w:lang w:val="en-US" w:eastAsia="zh-CN"/>
              </w:rPr>
              <w:t>、项目阶段划分</w:t>
            </w:r>
            <w:r>
              <w:rPr>
                <w:rFonts w:hint="eastAsia" w:ascii="宋体" w:hAnsi="宋体" w:eastAsia="宋体" w:cs="宋体"/>
                <w:b w:val="0"/>
                <w:bCs w:val="0"/>
                <w:sz w:val="24"/>
                <w:szCs w:val="24"/>
                <w:lang w:val="en-US" w:eastAsia="zh-CN"/>
              </w:rPr>
              <w:t>基本</w:t>
            </w:r>
            <w:r>
              <w:rPr>
                <w:rFonts w:hint="default" w:ascii="宋体" w:hAnsi="宋体" w:eastAsia="宋体" w:cs="宋体"/>
                <w:b w:val="0"/>
                <w:bCs w:val="0"/>
                <w:sz w:val="24"/>
                <w:szCs w:val="24"/>
                <w:lang w:val="en-US" w:eastAsia="zh-CN"/>
              </w:rPr>
              <w:t>合理、项目实施步骤</w:t>
            </w:r>
            <w:r>
              <w:rPr>
                <w:rFonts w:hint="eastAsia" w:ascii="宋体" w:hAnsi="宋体" w:eastAsia="宋体" w:cs="宋体"/>
                <w:b w:val="0"/>
                <w:bCs w:val="0"/>
                <w:sz w:val="24"/>
                <w:szCs w:val="24"/>
                <w:lang w:val="en-US" w:eastAsia="zh-CN"/>
              </w:rPr>
              <w:t>基本</w:t>
            </w:r>
            <w:r>
              <w:rPr>
                <w:rFonts w:hint="default" w:ascii="宋体" w:hAnsi="宋体" w:eastAsia="宋体" w:cs="宋体"/>
                <w:b w:val="0"/>
                <w:bCs w:val="0"/>
                <w:sz w:val="24"/>
                <w:szCs w:val="24"/>
                <w:lang w:val="en-US" w:eastAsia="zh-CN"/>
              </w:rPr>
              <w:t>详细明确，得</w:t>
            </w:r>
            <w:r>
              <w:rPr>
                <w:rFonts w:hint="eastAsia" w:ascii="宋体" w:hAnsi="宋体" w:eastAsia="宋体" w:cs="宋体"/>
                <w:b w:val="0"/>
                <w:bCs w:val="0"/>
                <w:sz w:val="24"/>
                <w:szCs w:val="24"/>
                <w:lang w:val="en-US" w:eastAsia="zh-CN"/>
              </w:rPr>
              <w:t>4</w:t>
            </w:r>
            <w:r>
              <w:rPr>
                <w:rFonts w:hint="default" w:ascii="宋体" w:hAnsi="宋体" w:eastAsia="宋体" w:cs="宋体"/>
                <w:b w:val="0"/>
                <w:bCs w:val="0"/>
                <w:sz w:val="24"/>
                <w:szCs w:val="24"/>
                <w:lang w:val="en-US" w:eastAsia="zh-CN"/>
              </w:rPr>
              <w:t>分；</w:t>
            </w:r>
          </w:p>
          <w:p w14:paraId="74B15FE0">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实施组织形式可行性</w:t>
            </w:r>
            <w:r>
              <w:rPr>
                <w:rFonts w:hint="eastAsia" w:ascii="宋体" w:hAnsi="宋体" w:eastAsia="宋体" w:cs="宋体"/>
                <w:b w:val="0"/>
                <w:bCs w:val="0"/>
                <w:sz w:val="24"/>
                <w:szCs w:val="24"/>
                <w:lang w:val="en-US" w:eastAsia="zh-CN"/>
              </w:rPr>
              <w:t>差</w:t>
            </w:r>
            <w:r>
              <w:rPr>
                <w:rFonts w:hint="default" w:ascii="宋体" w:hAnsi="宋体" w:eastAsia="宋体" w:cs="宋体"/>
                <w:b w:val="0"/>
                <w:bCs w:val="0"/>
                <w:sz w:val="24"/>
                <w:szCs w:val="24"/>
                <w:lang w:val="en-US" w:eastAsia="zh-CN"/>
              </w:rPr>
              <w:t>、项目阶段划分</w:t>
            </w:r>
            <w:r>
              <w:rPr>
                <w:rFonts w:hint="eastAsia" w:ascii="宋体" w:hAnsi="宋体" w:eastAsia="宋体" w:cs="宋体"/>
                <w:b w:val="0"/>
                <w:bCs w:val="0"/>
                <w:sz w:val="24"/>
                <w:szCs w:val="24"/>
                <w:lang w:val="en-US" w:eastAsia="zh-CN"/>
              </w:rPr>
              <w:t>不</w:t>
            </w:r>
            <w:r>
              <w:rPr>
                <w:rFonts w:hint="default" w:ascii="宋体" w:hAnsi="宋体" w:eastAsia="宋体" w:cs="宋体"/>
                <w:b w:val="0"/>
                <w:bCs w:val="0"/>
                <w:sz w:val="24"/>
                <w:szCs w:val="24"/>
                <w:lang w:val="en-US" w:eastAsia="zh-CN"/>
              </w:rPr>
              <w:t>合理、项目实施步骤差，得</w:t>
            </w:r>
            <w:r>
              <w:rPr>
                <w:rFonts w:hint="eastAsia" w:ascii="宋体" w:hAnsi="宋体" w:eastAsia="宋体" w:cs="宋体"/>
                <w:b w:val="0"/>
                <w:bCs w:val="0"/>
                <w:sz w:val="24"/>
                <w:szCs w:val="24"/>
                <w:lang w:val="en-US" w:eastAsia="zh-CN"/>
              </w:rPr>
              <w:t>0</w:t>
            </w:r>
            <w:r>
              <w:rPr>
                <w:rFonts w:hint="default" w:ascii="宋体" w:hAnsi="宋体" w:eastAsia="宋体" w:cs="宋体"/>
                <w:b w:val="0"/>
                <w:bCs w:val="0"/>
                <w:sz w:val="24"/>
                <w:szCs w:val="24"/>
                <w:lang w:val="en-US" w:eastAsia="zh-CN"/>
              </w:rPr>
              <w:t>分</w:t>
            </w:r>
            <w:r>
              <w:rPr>
                <w:rFonts w:hint="eastAsia" w:ascii="宋体" w:hAnsi="宋体" w:eastAsia="宋体" w:cs="宋体"/>
                <w:b w:val="0"/>
                <w:bCs w:val="0"/>
                <w:sz w:val="24"/>
                <w:szCs w:val="24"/>
                <w:lang w:val="en-US" w:eastAsia="zh-CN"/>
              </w:rPr>
              <w:t>。</w:t>
            </w:r>
          </w:p>
        </w:tc>
        <w:tc>
          <w:tcPr>
            <w:tcW w:w="380" w:type="pct"/>
            <w:noWrap w:val="0"/>
            <w:vAlign w:val="center"/>
          </w:tcPr>
          <w:p w14:paraId="4EA6C77F">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lang w:val="en-US" w:eastAsia="zh-CN"/>
              </w:rPr>
            </w:pPr>
            <w:r>
              <w:rPr>
                <w:rFonts w:hint="eastAsia" w:ascii="宋体" w:hAnsi="宋体" w:eastAsia="宋体" w:cs="宋体"/>
                <w:sz w:val="24"/>
                <w:lang w:val="en-US" w:eastAsia="zh-CN"/>
              </w:rPr>
              <w:t>0-10</w:t>
            </w:r>
          </w:p>
        </w:tc>
      </w:tr>
      <w:tr w14:paraId="7F2D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79" w:type="pct"/>
            <w:noWrap w:val="0"/>
            <w:vAlign w:val="center"/>
          </w:tcPr>
          <w:p w14:paraId="0A3E21B1">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eastAsia" w:ascii="宋体" w:hAnsi="宋体" w:eastAsia="宋体" w:cs="宋体"/>
                <w:sz w:val="24"/>
                <w:lang w:eastAsia="zh-CN"/>
              </w:rPr>
            </w:pPr>
            <w:r>
              <w:rPr>
                <w:rFonts w:hint="eastAsia" w:ascii="宋体" w:hAnsi="宋体" w:eastAsia="宋体" w:cs="宋体"/>
                <w:sz w:val="24"/>
              </w:rPr>
              <w:t>2.</w:t>
            </w:r>
            <w:r>
              <w:rPr>
                <w:rFonts w:hint="eastAsia" w:ascii="宋体" w:hAnsi="宋体" w:cs="宋体"/>
                <w:sz w:val="24"/>
                <w:lang w:val="en-US" w:eastAsia="zh-CN"/>
              </w:rPr>
              <w:t>4</w:t>
            </w:r>
          </w:p>
        </w:tc>
        <w:tc>
          <w:tcPr>
            <w:tcW w:w="4239" w:type="pct"/>
            <w:noWrap w:val="0"/>
            <w:vAlign w:val="center"/>
          </w:tcPr>
          <w:p w14:paraId="2FED706F">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bCs/>
                <w:sz w:val="24"/>
                <w:szCs w:val="24"/>
                <w:lang w:eastAsia="zh-CN"/>
              </w:rPr>
            </w:pPr>
            <w:r>
              <w:rPr>
                <w:rFonts w:hint="eastAsia" w:ascii="宋体" w:hAnsi="宋体" w:eastAsia="宋体" w:cs="宋体"/>
                <w:b/>
                <w:bCs/>
                <w:sz w:val="24"/>
                <w:szCs w:val="24"/>
              </w:rPr>
              <w:t xml:space="preserve">项目实施要点 </w:t>
            </w:r>
            <w:r>
              <w:rPr>
                <w:rFonts w:hint="eastAsia" w:ascii="宋体" w:hAnsi="宋体" w:eastAsia="宋体" w:cs="宋体"/>
                <w:b/>
                <w:bCs/>
                <w:sz w:val="24"/>
                <w:szCs w:val="24"/>
                <w:lang w:eastAsia="zh-CN"/>
              </w:rPr>
              <w:t>：</w:t>
            </w:r>
          </w:p>
          <w:p w14:paraId="3A21A68B">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项目实施各阶段要点明确，结合本项目特点，切合实际，可行，具有可操作性，得5分；</w:t>
            </w:r>
          </w:p>
          <w:p w14:paraId="7EFA4E2B">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项目实施各阶段要点</w:t>
            </w:r>
            <w:r>
              <w:rPr>
                <w:rFonts w:hint="eastAsia" w:ascii="宋体" w:hAnsi="宋体" w:eastAsia="宋体" w:cs="宋体"/>
                <w:b w:val="0"/>
                <w:bCs w:val="0"/>
                <w:sz w:val="24"/>
                <w:szCs w:val="24"/>
                <w:lang w:val="en-US" w:eastAsia="zh-CN"/>
              </w:rPr>
              <w:t>基本</w:t>
            </w:r>
            <w:r>
              <w:rPr>
                <w:rFonts w:hint="default" w:ascii="宋体" w:hAnsi="宋体" w:eastAsia="宋体" w:cs="宋体"/>
                <w:b w:val="0"/>
                <w:bCs w:val="0"/>
                <w:sz w:val="24"/>
                <w:szCs w:val="24"/>
                <w:lang w:val="en-US" w:eastAsia="zh-CN"/>
              </w:rPr>
              <w:t>明确，结合本项目特点，切合实际，可行，</w:t>
            </w:r>
            <w:r>
              <w:rPr>
                <w:rFonts w:hint="eastAsia" w:ascii="宋体" w:hAnsi="宋体" w:eastAsia="宋体" w:cs="宋体"/>
                <w:b w:val="0"/>
                <w:bCs w:val="0"/>
                <w:sz w:val="24"/>
                <w:szCs w:val="24"/>
                <w:lang w:val="en-US" w:eastAsia="zh-CN"/>
              </w:rPr>
              <w:t>基本</w:t>
            </w:r>
            <w:r>
              <w:rPr>
                <w:rFonts w:hint="default" w:ascii="宋体" w:hAnsi="宋体" w:eastAsia="宋体" w:cs="宋体"/>
                <w:b w:val="0"/>
                <w:bCs w:val="0"/>
                <w:sz w:val="24"/>
                <w:szCs w:val="24"/>
                <w:lang w:val="en-US" w:eastAsia="zh-CN"/>
              </w:rPr>
              <w:t>具有可操作性，得</w:t>
            </w:r>
            <w:r>
              <w:rPr>
                <w:rFonts w:hint="eastAsia" w:ascii="宋体" w:hAnsi="宋体" w:eastAsia="宋体" w:cs="宋体"/>
                <w:b w:val="0"/>
                <w:bCs w:val="0"/>
                <w:sz w:val="24"/>
                <w:szCs w:val="24"/>
                <w:lang w:val="en-US" w:eastAsia="zh-CN"/>
              </w:rPr>
              <w:t>3</w:t>
            </w:r>
            <w:r>
              <w:rPr>
                <w:rFonts w:hint="default" w:ascii="宋体" w:hAnsi="宋体" w:eastAsia="宋体" w:cs="宋体"/>
                <w:b w:val="0"/>
                <w:bCs w:val="0"/>
                <w:sz w:val="24"/>
                <w:szCs w:val="24"/>
                <w:lang w:val="en-US" w:eastAsia="zh-CN"/>
              </w:rPr>
              <w:t>分；</w:t>
            </w:r>
          </w:p>
          <w:p w14:paraId="46CFD83E">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宋体" w:hAnsi="宋体" w:eastAsia="宋体" w:cs="宋体"/>
                <w:b/>
                <w:bCs/>
                <w:sz w:val="24"/>
                <w:szCs w:val="24"/>
                <w:lang w:val="en-US" w:eastAsia="zh-CN"/>
              </w:rPr>
            </w:pPr>
            <w:r>
              <w:rPr>
                <w:rFonts w:hint="default" w:ascii="宋体" w:hAnsi="宋体" w:eastAsia="宋体" w:cs="宋体"/>
                <w:b w:val="0"/>
                <w:bCs w:val="0"/>
                <w:sz w:val="24"/>
                <w:szCs w:val="24"/>
                <w:lang w:val="en-US" w:eastAsia="zh-CN"/>
              </w:rPr>
              <w:t>项目实施各阶段要点</w:t>
            </w:r>
            <w:r>
              <w:rPr>
                <w:rFonts w:hint="eastAsia" w:ascii="宋体" w:hAnsi="宋体" w:eastAsia="宋体" w:cs="宋体"/>
                <w:b w:val="0"/>
                <w:bCs w:val="0"/>
                <w:sz w:val="24"/>
                <w:szCs w:val="24"/>
                <w:lang w:val="en-US" w:eastAsia="zh-CN"/>
              </w:rPr>
              <w:t>不</w:t>
            </w:r>
            <w:r>
              <w:rPr>
                <w:rFonts w:hint="default" w:ascii="宋体" w:hAnsi="宋体" w:eastAsia="宋体" w:cs="宋体"/>
                <w:b w:val="0"/>
                <w:bCs w:val="0"/>
                <w:sz w:val="24"/>
                <w:szCs w:val="24"/>
                <w:lang w:val="en-US" w:eastAsia="zh-CN"/>
              </w:rPr>
              <w:t>明确，</w:t>
            </w:r>
            <w:r>
              <w:rPr>
                <w:rFonts w:hint="eastAsia" w:ascii="宋体" w:hAnsi="宋体" w:eastAsia="宋体" w:cs="宋体"/>
                <w:b w:val="0"/>
                <w:bCs w:val="0"/>
                <w:sz w:val="24"/>
                <w:szCs w:val="24"/>
                <w:lang w:val="en-US" w:eastAsia="zh-CN"/>
              </w:rPr>
              <w:t>未</w:t>
            </w:r>
            <w:r>
              <w:rPr>
                <w:rFonts w:hint="default" w:ascii="宋体" w:hAnsi="宋体" w:eastAsia="宋体" w:cs="宋体"/>
                <w:b w:val="0"/>
                <w:bCs w:val="0"/>
                <w:sz w:val="24"/>
                <w:szCs w:val="24"/>
                <w:lang w:val="en-US" w:eastAsia="zh-CN"/>
              </w:rPr>
              <w:t>结合本项目特点</w:t>
            </w:r>
            <w:r>
              <w:rPr>
                <w:rFonts w:hint="eastAsia" w:ascii="宋体" w:hAnsi="宋体" w:eastAsia="宋体" w:cs="宋体"/>
                <w:b w:val="0"/>
                <w:bCs w:val="0"/>
                <w:sz w:val="24"/>
                <w:szCs w:val="24"/>
                <w:lang w:val="en-US" w:eastAsia="zh-CN"/>
              </w:rPr>
              <w:t>，</w:t>
            </w:r>
            <w:r>
              <w:rPr>
                <w:rFonts w:hint="default" w:ascii="宋体" w:hAnsi="宋体" w:eastAsia="宋体" w:cs="宋体"/>
                <w:b w:val="0"/>
                <w:bCs w:val="0"/>
                <w:sz w:val="24"/>
                <w:szCs w:val="24"/>
                <w:lang w:val="en-US" w:eastAsia="zh-CN"/>
              </w:rPr>
              <w:t>得</w:t>
            </w:r>
            <w:r>
              <w:rPr>
                <w:rFonts w:hint="eastAsia" w:ascii="宋体" w:hAnsi="宋体" w:eastAsia="宋体" w:cs="宋体"/>
                <w:b w:val="0"/>
                <w:bCs w:val="0"/>
                <w:sz w:val="24"/>
                <w:szCs w:val="24"/>
                <w:lang w:val="en-US" w:eastAsia="zh-CN"/>
              </w:rPr>
              <w:t>0</w:t>
            </w:r>
            <w:r>
              <w:rPr>
                <w:rFonts w:hint="default" w:ascii="宋体" w:hAnsi="宋体" w:eastAsia="宋体" w:cs="宋体"/>
                <w:b w:val="0"/>
                <w:bCs w:val="0"/>
                <w:sz w:val="24"/>
                <w:szCs w:val="24"/>
                <w:lang w:val="en-US" w:eastAsia="zh-CN"/>
              </w:rPr>
              <w:t>分</w:t>
            </w:r>
            <w:r>
              <w:rPr>
                <w:rFonts w:hint="eastAsia" w:ascii="宋体" w:hAnsi="宋体" w:eastAsia="宋体" w:cs="宋体"/>
                <w:b w:val="0"/>
                <w:bCs w:val="0"/>
                <w:sz w:val="24"/>
                <w:szCs w:val="24"/>
                <w:lang w:val="en-US" w:eastAsia="zh-CN"/>
              </w:rPr>
              <w:t>。</w:t>
            </w:r>
          </w:p>
        </w:tc>
        <w:tc>
          <w:tcPr>
            <w:tcW w:w="380" w:type="pct"/>
            <w:noWrap w:val="0"/>
            <w:vAlign w:val="center"/>
          </w:tcPr>
          <w:p w14:paraId="595FC2DE">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eastAsia" w:ascii="宋体" w:hAnsi="宋体" w:eastAsia="宋体" w:cs="宋体"/>
                <w:sz w:val="24"/>
                <w:lang w:val="en-US" w:eastAsia="zh-CN"/>
              </w:rPr>
            </w:pPr>
            <w:r>
              <w:rPr>
                <w:rFonts w:hint="eastAsia" w:ascii="宋体" w:hAnsi="宋体" w:eastAsia="宋体" w:cs="宋体"/>
                <w:sz w:val="24"/>
                <w:lang w:val="en-US" w:eastAsia="zh-CN"/>
              </w:rPr>
              <w:t>0-5</w:t>
            </w:r>
          </w:p>
        </w:tc>
      </w:tr>
      <w:tr w14:paraId="2546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79" w:type="pct"/>
            <w:noWrap w:val="0"/>
            <w:vAlign w:val="center"/>
          </w:tcPr>
          <w:p w14:paraId="66C082BD">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lang w:val="en-US" w:eastAsia="zh-CN"/>
              </w:rPr>
            </w:pPr>
            <w:r>
              <w:rPr>
                <w:rFonts w:hint="eastAsia" w:ascii="宋体" w:hAnsi="宋体" w:eastAsia="宋体" w:cs="宋体"/>
                <w:sz w:val="24"/>
                <w:lang w:val="en-US" w:eastAsia="zh-CN"/>
              </w:rPr>
              <w:t>2.</w:t>
            </w:r>
            <w:r>
              <w:rPr>
                <w:rFonts w:hint="eastAsia" w:ascii="宋体" w:hAnsi="宋体" w:cs="宋体"/>
                <w:sz w:val="24"/>
                <w:lang w:val="en-US" w:eastAsia="zh-CN"/>
              </w:rPr>
              <w:t>5</w:t>
            </w:r>
          </w:p>
        </w:tc>
        <w:tc>
          <w:tcPr>
            <w:tcW w:w="4239" w:type="pct"/>
            <w:noWrap w:val="0"/>
            <w:vAlign w:val="center"/>
          </w:tcPr>
          <w:p w14:paraId="4DC4C7C3">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bCs/>
                <w:sz w:val="24"/>
                <w:szCs w:val="24"/>
                <w:lang w:eastAsia="zh-CN"/>
              </w:rPr>
            </w:pPr>
            <w:r>
              <w:rPr>
                <w:rFonts w:hint="eastAsia" w:ascii="宋体" w:hAnsi="宋体" w:eastAsia="宋体" w:cs="宋体"/>
                <w:b/>
                <w:bCs/>
                <w:sz w:val="24"/>
                <w:szCs w:val="24"/>
              </w:rPr>
              <w:t xml:space="preserve">项目管理要点 </w:t>
            </w:r>
            <w:r>
              <w:rPr>
                <w:rFonts w:hint="eastAsia" w:ascii="宋体" w:hAnsi="宋体" w:eastAsia="宋体" w:cs="宋体"/>
                <w:b/>
                <w:bCs/>
                <w:sz w:val="24"/>
                <w:szCs w:val="24"/>
                <w:lang w:eastAsia="zh-CN"/>
              </w:rPr>
              <w:t>：</w:t>
            </w:r>
          </w:p>
          <w:p w14:paraId="00FD9146">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设计管理要点、采购管理要点、合同管理要点、资源管理要点施工管理要点等结合本项目特点，切合实际，可行，具有可操作性，得5分；</w:t>
            </w:r>
          </w:p>
          <w:p w14:paraId="6A050412">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设计管理要点、采购管理要点、合同管理要点、资源管理要点施工管理要点等</w:t>
            </w:r>
            <w:r>
              <w:rPr>
                <w:rFonts w:hint="eastAsia" w:ascii="宋体" w:hAnsi="宋体" w:eastAsia="宋体" w:cs="宋体"/>
                <w:b w:val="0"/>
                <w:bCs w:val="0"/>
                <w:sz w:val="24"/>
                <w:szCs w:val="24"/>
                <w:lang w:val="en-US" w:eastAsia="zh-CN"/>
              </w:rPr>
              <w:t>基本</w:t>
            </w:r>
            <w:r>
              <w:rPr>
                <w:rFonts w:hint="eastAsia" w:ascii="宋体" w:hAnsi="宋体" w:eastAsia="宋体" w:cs="宋体"/>
                <w:b w:val="0"/>
                <w:bCs w:val="0"/>
                <w:sz w:val="24"/>
                <w:szCs w:val="24"/>
                <w:lang w:eastAsia="zh-CN"/>
              </w:rPr>
              <w:t>结合本项目特点，切合实际，可行，</w:t>
            </w:r>
            <w:r>
              <w:rPr>
                <w:rFonts w:hint="eastAsia" w:ascii="宋体" w:hAnsi="宋体" w:eastAsia="宋体" w:cs="宋体"/>
                <w:b w:val="0"/>
                <w:bCs w:val="0"/>
                <w:sz w:val="24"/>
                <w:szCs w:val="24"/>
                <w:lang w:val="en-US" w:eastAsia="zh-CN"/>
              </w:rPr>
              <w:t>基本</w:t>
            </w:r>
            <w:r>
              <w:rPr>
                <w:rFonts w:hint="eastAsia" w:ascii="宋体" w:hAnsi="宋体" w:eastAsia="宋体" w:cs="宋体"/>
                <w:b w:val="0"/>
                <w:bCs w:val="0"/>
                <w:sz w:val="24"/>
                <w:szCs w:val="24"/>
                <w:lang w:eastAsia="zh-CN"/>
              </w:rPr>
              <w:t>具有可操作性，得</w:t>
            </w: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lang w:eastAsia="zh-CN"/>
              </w:rPr>
              <w:t>分；</w:t>
            </w:r>
          </w:p>
          <w:p w14:paraId="0E3A7FAD">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设计管理要点、采购管理要点、合同管理要点、资源管理要点施工管理要点等</w:t>
            </w:r>
            <w:r>
              <w:rPr>
                <w:rFonts w:hint="eastAsia" w:ascii="宋体" w:hAnsi="宋体" w:eastAsia="宋体" w:cs="宋体"/>
                <w:b w:val="0"/>
                <w:bCs w:val="0"/>
                <w:sz w:val="24"/>
                <w:szCs w:val="24"/>
                <w:lang w:val="en-US" w:eastAsia="zh-CN"/>
              </w:rPr>
              <w:t>未</w:t>
            </w:r>
            <w:r>
              <w:rPr>
                <w:rFonts w:hint="eastAsia" w:ascii="宋体" w:hAnsi="宋体" w:eastAsia="宋体" w:cs="宋体"/>
                <w:b w:val="0"/>
                <w:bCs w:val="0"/>
                <w:sz w:val="24"/>
                <w:szCs w:val="24"/>
                <w:lang w:eastAsia="zh-CN"/>
              </w:rPr>
              <w:t>结合本项目特点，</w:t>
            </w:r>
            <w:r>
              <w:rPr>
                <w:rFonts w:hint="eastAsia" w:ascii="宋体" w:hAnsi="宋体" w:eastAsia="宋体" w:cs="宋体"/>
                <w:b w:val="0"/>
                <w:bCs w:val="0"/>
                <w:sz w:val="24"/>
                <w:szCs w:val="24"/>
                <w:lang w:val="en-US" w:eastAsia="zh-CN"/>
              </w:rPr>
              <w:t>不</w:t>
            </w:r>
            <w:r>
              <w:rPr>
                <w:rFonts w:hint="eastAsia" w:ascii="宋体" w:hAnsi="宋体" w:eastAsia="宋体" w:cs="宋体"/>
                <w:b w:val="0"/>
                <w:bCs w:val="0"/>
                <w:sz w:val="24"/>
                <w:szCs w:val="24"/>
                <w:lang w:eastAsia="zh-CN"/>
              </w:rPr>
              <w:t>具有可操作性，得</w:t>
            </w:r>
            <w:r>
              <w:rPr>
                <w:rFonts w:hint="eastAsia" w:ascii="宋体" w:hAnsi="宋体" w:eastAsia="宋体" w:cs="宋体"/>
                <w:b w:val="0"/>
                <w:bCs w:val="0"/>
                <w:sz w:val="24"/>
                <w:szCs w:val="24"/>
                <w:lang w:val="en-US" w:eastAsia="zh-CN"/>
              </w:rPr>
              <w:t>0</w:t>
            </w:r>
            <w:r>
              <w:rPr>
                <w:rFonts w:hint="eastAsia" w:ascii="宋体" w:hAnsi="宋体" w:eastAsia="宋体" w:cs="宋体"/>
                <w:b w:val="0"/>
                <w:bCs w:val="0"/>
                <w:sz w:val="24"/>
                <w:szCs w:val="24"/>
                <w:lang w:eastAsia="zh-CN"/>
              </w:rPr>
              <w:t>分。</w:t>
            </w:r>
          </w:p>
        </w:tc>
        <w:tc>
          <w:tcPr>
            <w:tcW w:w="380" w:type="pct"/>
            <w:noWrap w:val="0"/>
            <w:vAlign w:val="center"/>
          </w:tcPr>
          <w:p w14:paraId="69BBE43A">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eastAsia" w:ascii="宋体" w:hAnsi="宋体" w:eastAsia="宋体" w:cs="宋体"/>
                <w:sz w:val="24"/>
                <w:lang w:val="en-US" w:eastAsia="zh-CN"/>
              </w:rPr>
            </w:pPr>
            <w:r>
              <w:rPr>
                <w:rFonts w:hint="eastAsia" w:ascii="宋体" w:hAnsi="宋体" w:eastAsia="宋体" w:cs="宋体"/>
                <w:sz w:val="24"/>
                <w:lang w:val="en-US" w:eastAsia="zh-CN"/>
              </w:rPr>
              <w:t>0-5</w:t>
            </w:r>
          </w:p>
        </w:tc>
      </w:tr>
      <w:tr w14:paraId="3838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79" w:type="pct"/>
            <w:noWrap w:val="0"/>
            <w:vAlign w:val="center"/>
          </w:tcPr>
          <w:p w14:paraId="2DAFF4A9">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lang w:val="en-US" w:eastAsia="zh-CN"/>
              </w:rPr>
            </w:pPr>
            <w:r>
              <w:rPr>
                <w:rFonts w:hint="eastAsia" w:ascii="宋体" w:hAnsi="宋体" w:eastAsia="宋体" w:cs="宋体"/>
                <w:sz w:val="24"/>
                <w:lang w:val="en-US" w:eastAsia="zh-CN"/>
              </w:rPr>
              <w:t>2.</w:t>
            </w:r>
            <w:r>
              <w:rPr>
                <w:rFonts w:hint="eastAsia" w:ascii="宋体" w:hAnsi="宋体" w:cs="宋体"/>
                <w:sz w:val="24"/>
                <w:lang w:val="en-US" w:eastAsia="zh-CN"/>
              </w:rPr>
              <w:t>6</w:t>
            </w:r>
          </w:p>
        </w:tc>
        <w:tc>
          <w:tcPr>
            <w:tcW w:w="4239" w:type="pct"/>
            <w:noWrap w:val="0"/>
            <w:vAlign w:val="center"/>
          </w:tcPr>
          <w:p w14:paraId="090FDD02">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bCs/>
                <w:sz w:val="24"/>
                <w:szCs w:val="24"/>
                <w:lang w:eastAsia="zh-CN"/>
              </w:rPr>
            </w:pPr>
            <w:r>
              <w:rPr>
                <w:rFonts w:hint="eastAsia" w:ascii="宋体" w:hAnsi="宋体" w:eastAsia="宋体" w:cs="宋体"/>
                <w:b/>
                <w:bCs/>
                <w:sz w:val="24"/>
                <w:szCs w:val="24"/>
              </w:rPr>
              <w:t xml:space="preserve">设计、采购及施工的配合 </w:t>
            </w:r>
            <w:r>
              <w:rPr>
                <w:rFonts w:hint="eastAsia" w:ascii="宋体" w:hAnsi="宋体" w:eastAsia="宋体" w:cs="宋体"/>
                <w:b/>
                <w:bCs/>
                <w:sz w:val="24"/>
                <w:szCs w:val="24"/>
                <w:lang w:eastAsia="zh-CN"/>
              </w:rPr>
              <w:t>：</w:t>
            </w:r>
          </w:p>
          <w:p w14:paraId="0BE0A50E">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结合本项目特点，切合实际，可行，具有可操作性的提供设计、采购、施工的配合方案及措施，得10分；</w:t>
            </w:r>
          </w:p>
          <w:p w14:paraId="796627CB">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结合本项目特点，切合实际，可行，具有可操作性</w:t>
            </w:r>
            <w:r>
              <w:rPr>
                <w:rFonts w:hint="eastAsia" w:ascii="宋体" w:hAnsi="宋体" w:eastAsia="宋体" w:cs="宋体"/>
                <w:b w:val="0"/>
                <w:bCs w:val="0"/>
                <w:sz w:val="24"/>
                <w:szCs w:val="24"/>
                <w:lang w:val="en-US" w:eastAsia="zh-CN"/>
              </w:rPr>
              <w:t>较好</w:t>
            </w:r>
            <w:r>
              <w:rPr>
                <w:rFonts w:hint="eastAsia" w:ascii="宋体" w:hAnsi="宋体" w:eastAsia="宋体" w:cs="宋体"/>
                <w:b w:val="0"/>
                <w:bCs w:val="0"/>
                <w:sz w:val="24"/>
                <w:szCs w:val="24"/>
                <w:lang w:eastAsia="zh-CN"/>
              </w:rPr>
              <w:t>的提供设计、采购、施工的配合方案及措施，得</w:t>
            </w:r>
            <w:r>
              <w:rPr>
                <w:rFonts w:hint="eastAsia" w:ascii="宋体" w:hAnsi="宋体" w:eastAsia="宋体" w:cs="宋体"/>
                <w:b w:val="0"/>
                <w:bCs w:val="0"/>
                <w:sz w:val="24"/>
                <w:szCs w:val="24"/>
                <w:lang w:val="en-US" w:eastAsia="zh-CN"/>
              </w:rPr>
              <w:t>7</w:t>
            </w:r>
            <w:r>
              <w:rPr>
                <w:rFonts w:hint="eastAsia" w:ascii="宋体" w:hAnsi="宋体" w:eastAsia="宋体" w:cs="宋体"/>
                <w:b w:val="0"/>
                <w:bCs w:val="0"/>
                <w:sz w:val="24"/>
                <w:szCs w:val="24"/>
                <w:lang w:eastAsia="zh-CN"/>
              </w:rPr>
              <w:t>分；</w:t>
            </w:r>
          </w:p>
          <w:p w14:paraId="32F28DFD">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结合本项目特点，切合实际，可行，</w:t>
            </w:r>
            <w:r>
              <w:rPr>
                <w:rFonts w:hint="eastAsia" w:ascii="宋体" w:hAnsi="宋体" w:eastAsia="宋体" w:cs="宋体"/>
                <w:b w:val="0"/>
                <w:bCs w:val="0"/>
                <w:sz w:val="24"/>
                <w:szCs w:val="24"/>
                <w:lang w:val="en-US" w:eastAsia="zh-CN"/>
              </w:rPr>
              <w:t>基本</w:t>
            </w:r>
            <w:r>
              <w:rPr>
                <w:rFonts w:hint="eastAsia" w:ascii="宋体" w:hAnsi="宋体" w:eastAsia="宋体" w:cs="宋体"/>
                <w:b w:val="0"/>
                <w:bCs w:val="0"/>
                <w:sz w:val="24"/>
                <w:szCs w:val="24"/>
                <w:lang w:eastAsia="zh-CN"/>
              </w:rPr>
              <w:t>具有可操作性的提供设计、采购、施工的配合方案及措施，得</w:t>
            </w:r>
            <w:r>
              <w:rPr>
                <w:rFonts w:hint="eastAsia" w:ascii="宋体" w:hAnsi="宋体" w:eastAsia="宋体" w:cs="宋体"/>
                <w:b w:val="0"/>
                <w:bCs w:val="0"/>
                <w:sz w:val="24"/>
                <w:szCs w:val="24"/>
                <w:lang w:val="en-US" w:eastAsia="zh-CN"/>
              </w:rPr>
              <w:t>4</w:t>
            </w:r>
            <w:r>
              <w:rPr>
                <w:rFonts w:hint="eastAsia" w:ascii="宋体" w:hAnsi="宋体" w:eastAsia="宋体" w:cs="宋体"/>
                <w:b w:val="0"/>
                <w:bCs w:val="0"/>
                <w:sz w:val="24"/>
                <w:szCs w:val="24"/>
                <w:lang w:eastAsia="zh-CN"/>
              </w:rPr>
              <w:t>分；</w:t>
            </w:r>
          </w:p>
          <w:p w14:paraId="787C9E6B">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结合本项目特点，切合实际，可行，可操作性</w:t>
            </w:r>
            <w:r>
              <w:rPr>
                <w:rFonts w:hint="eastAsia" w:ascii="宋体" w:hAnsi="宋体" w:eastAsia="宋体" w:cs="宋体"/>
                <w:b w:val="0"/>
                <w:bCs w:val="0"/>
                <w:sz w:val="24"/>
                <w:szCs w:val="24"/>
                <w:lang w:val="en-US" w:eastAsia="zh-CN"/>
              </w:rPr>
              <w:t>差</w:t>
            </w:r>
            <w:r>
              <w:rPr>
                <w:rFonts w:hint="eastAsia" w:ascii="宋体" w:hAnsi="宋体" w:eastAsia="宋体" w:cs="宋体"/>
                <w:b w:val="0"/>
                <w:bCs w:val="0"/>
                <w:sz w:val="24"/>
                <w:szCs w:val="24"/>
                <w:lang w:eastAsia="zh-CN"/>
              </w:rPr>
              <w:t>的提供设计、采购、施工的配合方案及措施，得</w:t>
            </w:r>
            <w:r>
              <w:rPr>
                <w:rFonts w:hint="eastAsia" w:ascii="宋体" w:hAnsi="宋体" w:eastAsia="宋体" w:cs="宋体"/>
                <w:b w:val="0"/>
                <w:bCs w:val="0"/>
                <w:sz w:val="24"/>
                <w:szCs w:val="24"/>
                <w:lang w:val="en-US" w:eastAsia="zh-CN"/>
              </w:rPr>
              <w:t>0</w:t>
            </w:r>
            <w:r>
              <w:rPr>
                <w:rFonts w:hint="eastAsia" w:ascii="宋体" w:hAnsi="宋体" w:eastAsia="宋体" w:cs="宋体"/>
                <w:b w:val="0"/>
                <w:bCs w:val="0"/>
                <w:sz w:val="24"/>
                <w:szCs w:val="24"/>
                <w:lang w:eastAsia="zh-CN"/>
              </w:rPr>
              <w:t>分；</w:t>
            </w:r>
          </w:p>
        </w:tc>
        <w:tc>
          <w:tcPr>
            <w:tcW w:w="380" w:type="pct"/>
            <w:noWrap w:val="0"/>
            <w:vAlign w:val="center"/>
          </w:tcPr>
          <w:p w14:paraId="769623F7">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lang w:val="en-US" w:eastAsia="zh-CN"/>
              </w:rPr>
            </w:pPr>
            <w:r>
              <w:rPr>
                <w:rFonts w:hint="eastAsia" w:ascii="宋体" w:hAnsi="宋体" w:eastAsia="宋体" w:cs="宋体"/>
                <w:sz w:val="24"/>
                <w:lang w:val="en-US" w:eastAsia="zh-CN"/>
              </w:rPr>
              <w:t>0-10</w:t>
            </w:r>
          </w:p>
        </w:tc>
      </w:tr>
      <w:tr w14:paraId="003E8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79" w:type="pct"/>
            <w:noWrap w:val="0"/>
            <w:vAlign w:val="center"/>
          </w:tcPr>
          <w:p w14:paraId="16D12E29">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lang w:val="en-US" w:eastAsia="zh-CN"/>
              </w:rPr>
            </w:pPr>
            <w:r>
              <w:rPr>
                <w:rFonts w:hint="eastAsia" w:ascii="宋体" w:hAnsi="宋体" w:eastAsia="宋体" w:cs="宋体"/>
                <w:sz w:val="24"/>
                <w:lang w:val="en-US" w:eastAsia="zh-CN"/>
              </w:rPr>
              <w:t>2.</w:t>
            </w:r>
            <w:r>
              <w:rPr>
                <w:rFonts w:hint="eastAsia" w:ascii="宋体" w:hAnsi="宋体" w:cs="宋体"/>
                <w:sz w:val="24"/>
                <w:lang w:val="en-US" w:eastAsia="zh-CN"/>
              </w:rPr>
              <w:t>7</w:t>
            </w:r>
          </w:p>
        </w:tc>
        <w:tc>
          <w:tcPr>
            <w:tcW w:w="4239" w:type="pct"/>
            <w:noWrap w:val="0"/>
            <w:vAlign w:val="center"/>
          </w:tcPr>
          <w:p w14:paraId="09AD52FA">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bCs/>
                <w:sz w:val="24"/>
                <w:szCs w:val="24"/>
                <w:lang w:eastAsia="zh-CN"/>
              </w:rPr>
            </w:pPr>
            <w:r>
              <w:rPr>
                <w:rFonts w:hint="eastAsia" w:ascii="宋体" w:hAnsi="宋体" w:eastAsia="宋体" w:cs="宋体"/>
                <w:b/>
                <w:bCs/>
                <w:sz w:val="24"/>
                <w:szCs w:val="24"/>
              </w:rPr>
              <w:t>主要材料、设备采购及供应计划和主要材料的管理措施</w:t>
            </w:r>
            <w:r>
              <w:rPr>
                <w:rFonts w:hint="eastAsia" w:ascii="宋体" w:hAnsi="宋体" w:eastAsia="宋体" w:cs="宋体"/>
                <w:b/>
                <w:bCs/>
                <w:sz w:val="24"/>
                <w:szCs w:val="24"/>
                <w:lang w:eastAsia="zh-CN"/>
              </w:rPr>
              <w:t>：</w:t>
            </w:r>
          </w:p>
          <w:p w14:paraId="51BAC2DC">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结合本项目特点，切合实际，可行，具有可操作性的提供主要材料、设备采购及供应计划和主要材料的管理措施，得10分；</w:t>
            </w:r>
          </w:p>
          <w:p w14:paraId="71073F75">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结合本项目特点，切合实际，可行，具有可操作性较好的提供主要材料、设备采购及供应计划和主要材料的管理措施，得7分；</w:t>
            </w:r>
          </w:p>
          <w:p w14:paraId="10224246">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结合本项目特点，切合实际，可行，基本具有可操作性的提供主要材料、设备采购及供应计划和主要材料的管理措施，得4分；</w:t>
            </w:r>
          </w:p>
          <w:p w14:paraId="5253F892">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bCs/>
                <w:sz w:val="24"/>
                <w:szCs w:val="24"/>
                <w:lang w:eastAsia="zh-CN"/>
              </w:rPr>
            </w:pPr>
            <w:r>
              <w:rPr>
                <w:rFonts w:hint="eastAsia" w:ascii="宋体" w:hAnsi="宋体" w:eastAsia="宋体" w:cs="宋体"/>
                <w:b w:val="0"/>
                <w:bCs w:val="0"/>
                <w:sz w:val="24"/>
                <w:szCs w:val="24"/>
                <w:lang w:eastAsia="zh-CN"/>
              </w:rPr>
              <w:t>结合本项目特点，切合实际，可行，可操作性差的提供主要材料、设备采购及供应计划和主要材料的管理措施，得0分；</w:t>
            </w:r>
          </w:p>
        </w:tc>
        <w:tc>
          <w:tcPr>
            <w:tcW w:w="380" w:type="pct"/>
            <w:noWrap w:val="0"/>
            <w:vAlign w:val="center"/>
          </w:tcPr>
          <w:p w14:paraId="64F7BC60">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lang w:val="en-US" w:eastAsia="zh-CN"/>
              </w:rPr>
            </w:pPr>
            <w:r>
              <w:rPr>
                <w:rFonts w:hint="eastAsia" w:ascii="宋体" w:hAnsi="宋体" w:eastAsia="宋体" w:cs="宋体"/>
                <w:sz w:val="24"/>
                <w:lang w:val="en-US" w:eastAsia="zh-CN"/>
              </w:rPr>
              <w:t>0-10</w:t>
            </w:r>
          </w:p>
        </w:tc>
      </w:tr>
      <w:tr w14:paraId="379F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5000" w:type="pct"/>
            <w:gridSpan w:val="3"/>
            <w:noWrap w:val="0"/>
            <w:vAlign w:val="center"/>
          </w:tcPr>
          <w:p w14:paraId="34EA64DF">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b/>
                <w:sz w:val="24"/>
              </w:rPr>
            </w:pPr>
            <w:r>
              <w:rPr>
                <w:rFonts w:hint="eastAsia" w:ascii="宋体" w:hAnsi="宋体" w:eastAsia="宋体" w:cs="宋体"/>
                <w:b/>
                <w:sz w:val="24"/>
              </w:rPr>
              <w:t>三、价格部分（</w:t>
            </w:r>
            <w:r>
              <w:rPr>
                <w:rFonts w:hint="eastAsia" w:ascii="宋体" w:hAnsi="宋体" w:eastAsia="宋体" w:cs="宋体"/>
                <w:b/>
                <w:sz w:val="24"/>
                <w:lang w:val="en-US" w:eastAsia="zh-CN"/>
              </w:rPr>
              <w:t>3</w:t>
            </w:r>
            <w:r>
              <w:rPr>
                <w:rFonts w:hint="eastAsia" w:ascii="宋体" w:hAnsi="宋体" w:eastAsia="宋体" w:cs="宋体"/>
                <w:b/>
                <w:sz w:val="24"/>
              </w:rPr>
              <w:t>0分）</w:t>
            </w:r>
          </w:p>
        </w:tc>
      </w:tr>
      <w:tr w14:paraId="3F22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379" w:type="pct"/>
            <w:noWrap w:val="0"/>
            <w:vAlign w:val="center"/>
          </w:tcPr>
          <w:p w14:paraId="44430DFC">
            <w:pPr>
              <w:keepNext w:val="0"/>
              <w:keepLines w:val="0"/>
              <w:widowControl/>
              <w:suppressLineNumbers w:val="0"/>
              <w:spacing w:before="0" w:beforeAutospacing="0" w:after="0" w:afterAutospacing="0" w:line="360" w:lineRule="auto"/>
              <w:ind w:left="420" w:right="-57" w:rightChars="-27" w:hanging="420"/>
              <w:jc w:val="center"/>
              <w:rPr>
                <w:rFonts w:hint="default" w:ascii="宋体" w:hAnsi="宋体" w:eastAsia="宋体" w:cs="宋体"/>
                <w:sz w:val="24"/>
              </w:rPr>
            </w:pPr>
            <w:r>
              <w:rPr>
                <w:rFonts w:hint="eastAsia" w:ascii="宋体" w:hAnsi="宋体" w:eastAsia="宋体" w:cs="宋体"/>
                <w:sz w:val="24"/>
              </w:rPr>
              <w:t>3.1</w:t>
            </w:r>
          </w:p>
        </w:tc>
        <w:tc>
          <w:tcPr>
            <w:tcW w:w="4239" w:type="pct"/>
            <w:noWrap w:val="0"/>
            <w:vAlign w:val="center"/>
          </w:tcPr>
          <w:p w14:paraId="133861ED">
            <w:pPr>
              <w:keepNext w:val="0"/>
              <w:keepLines w:val="0"/>
              <w:widowControl/>
              <w:suppressLineNumbers w:val="0"/>
              <w:spacing w:before="0" w:beforeAutospacing="0" w:after="0" w:afterAutospacing="0" w:line="360" w:lineRule="auto"/>
              <w:ind w:left="0" w:right="-57" w:rightChars="-27"/>
              <w:rPr>
                <w:rFonts w:hint="default" w:ascii="宋体" w:hAnsi="宋体" w:eastAsia="宋体" w:cs="宋体"/>
                <w:sz w:val="24"/>
              </w:rPr>
            </w:pPr>
            <w:r>
              <w:rPr>
                <w:rFonts w:hint="eastAsia" w:ascii="宋体" w:hAnsi="宋体" w:eastAsia="宋体" w:cs="宋体"/>
                <w:sz w:val="24"/>
              </w:rPr>
              <w:t>满足磋商文件要求的最后报价最低的供应商的价格为磋商基准价，其价格分为满分。其他供应商的价格分统一按照下列公式计算：</w:t>
            </w:r>
          </w:p>
          <w:p w14:paraId="06E9690A">
            <w:pPr>
              <w:keepNext w:val="0"/>
              <w:keepLines w:val="0"/>
              <w:widowControl/>
              <w:suppressLineNumbers w:val="0"/>
              <w:spacing w:before="0" w:beforeAutospacing="0" w:after="0" w:afterAutospacing="0" w:line="360" w:lineRule="auto"/>
              <w:ind w:left="0" w:right="-57" w:rightChars="-27"/>
              <w:rPr>
                <w:rFonts w:hint="default" w:ascii="宋体" w:hAnsi="宋体" w:eastAsia="宋体" w:cs="宋体"/>
                <w:sz w:val="24"/>
              </w:rPr>
            </w:pPr>
            <w:r>
              <w:rPr>
                <w:rFonts w:hint="eastAsia" w:ascii="宋体" w:hAnsi="宋体" w:eastAsia="宋体" w:cs="宋体"/>
                <w:sz w:val="24"/>
              </w:rPr>
              <w:t>磋商报价得分=（磋商基准价/最后报价）×</w:t>
            </w:r>
            <w:r>
              <w:rPr>
                <w:rFonts w:hint="eastAsia" w:ascii="宋体" w:hAnsi="宋体" w:eastAsia="宋体" w:cs="宋体"/>
                <w:sz w:val="24"/>
                <w:lang w:val="en-US" w:eastAsia="zh-CN"/>
              </w:rPr>
              <w:t>3</w:t>
            </w:r>
            <w:r>
              <w:rPr>
                <w:rFonts w:hint="eastAsia" w:ascii="宋体" w:hAnsi="宋体" w:eastAsia="宋体" w:cs="宋体"/>
                <w:sz w:val="24"/>
              </w:rPr>
              <w:t>0</w:t>
            </w:r>
          </w:p>
          <w:p w14:paraId="75B05DB5">
            <w:pPr>
              <w:keepNext w:val="0"/>
              <w:keepLines w:val="0"/>
              <w:widowControl/>
              <w:suppressLineNumbers w:val="0"/>
              <w:spacing w:before="0" w:beforeAutospacing="0" w:after="0" w:afterAutospacing="0" w:line="360" w:lineRule="auto"/>
              <w:ind w:left="0" w:right="-57" w:rightChars="-27"/>
              <w:rPr>
                <w:rFonts w:hint="default" w:ascii="宋体" w:hAnsi="宋体" w:eastAsia="宋体" w:cs="宋体"/>
                <w:sz w:val="24"/>
              </w:rPr>
            </w:pPr>
            <w:r>
              <w:rPr>
                <w:rFonts w:hint="eastAsia" w:ascii="宋体" w:hAnsi="宋体" w:eastAsia="宋体" w:cs="宋体"/>
                <w:sz w:val="24"/>
              </w:rPr>
              <w:t>说明：此处最后报价指经过报价修正，及因落实政府采购政策进行价格调整后的报价，详见第三章《评审方法和评审标准》3.2、3.3。</w:t>
            </w:r>
          </w:p>
        </w:tc>
        <w:tc>
          <w:tcPr>
            <w:tcW w:w="380" w:type="pct"/>
            <w:noWrap w:val="0"/>
            <w:vAlign w:val="center"/>
          </w:tcPr>
          <w:p w14:paraId="1322569F">
            <w:pPr>
              <w:keepNext w:val="0"/>
              <w:keepLines w:val="0"/>
              <w:widowControl/>
              <w:suppressLineNumbers w:val="0"/>
              <w:spacing w:before="0" w:beforeAutospacing="0" w:after="0" w:afterAutospacing="0" w:line="360" w:lineRule="auto"/>
              <w:ind w:left="420" w:right="-57" w:rightChars="-27" w:hanging="420"/>
              <w:jc w:val="center"/>
              <w:rPr>
                <w:rFonts w:hint="default" w:ascii="宋体" w:hAnsi="宋体" w:eastAsia="宋体" w:cs="宋体"/>
                <w:sz w:val="24"/>
              </w:rPr>
            </w:pPr>
            <w:r>
              <w:rPr>
                <w:rFonts w:hint="eastAsia" w:ascii="宋体" w:hAnsi="宋体" w:eastAsia="宋体" w:cs="宋体"/>
                <w:sz w:val="24"/>
              </w:rPr>
              <w:t>0-</w:t>
            </w:r>
            <w:r>
              <w:rPr>
                <w:rFonts w:hint="eastAsia" w:ascii="宋体" w:hAnsi="宋体" w:eastAsia="宋体" w:cs="宋体"/>
                <w:sz w:val="24"/>
                <w:lang w:val="en-US" w:eastAsia="zh-CN"/>
              </w:rPr>
              <w:t>3</w:t>
            </w:r>
            <w:r>
              <w:rPr>
                <w:rFonts w:hint="eastAsia" w:ascii="宋体" w:hAnsi="宋体" w:eastAsia="宋体" w:cs="宋体"/>
                <w:sz w:val="24"/>
              </w:rPr>
              <w:t>0</w:t>
            </w:r>
          </w:p>
        </w:tc>
      </w:tr>
    </w:tbl>
    <w:p w14:paraId="0F89A6A0">
      <w:pPr>
        <w:widowControl/>
        <w:jc w:val="left"/>
        <w:rPr>
          <w:b/>
          <w:sz w:val="36"/>
          <w:szCs w:val="36"/>
          <w:highlight w:val="none"/>
        </w:rPr>
      </w:pPr>
    </w:p>
    <w:p w14:paraId="30719EE9">
      <w:pPr>
        <w:pStyle w:val="55"/>
        <w:rPr>
          <w:highlight w:val="none"/>
        </w:rPr>
        <w:sectPr>
          <w:footerReference r:id="rId16" w:type="default"/>
          <w:pgSz w:w="11907" w:h="16840"/>
          <w:pgMar w:top="1758" w:right="1701" w:bottom="1588" w:left="1259" w:header="851" w:footer="851" w:gutter="0"/>
          <w:pgNumType w:fmt="decimal"/>
          <w:cols w:space="720" w:num="1"/>
          <w:titlePg/>
          <w:docGrid w:linePitch="462" w:charSpace="0"/>
        </w:sectPr>
      </w:pPr>
    </w:p>
    <w:p w14:paraId="0E5CE16A">
      <w:pPr>
        <w:numPr>
          <w:ilvl w:val="0"/>
          <w:numId w:val="17"/>
        </w:numPr>
        <w:spacing w:line="360" w:lineRule="auto"/>
        <w:jc w:val="center"/>
        <w:outlineLvl w:val="0"/>
        <w:rPr>
          <w:rFonts w:eastAsia="宋体"/>
          <w:b/>
          <w:sz w:val="36"/>
          <w:szCs w:val="36"/>
          <w:highlight w:val="none"/>
        </w:rPr>
      </w:pPr>
      <w:r>
        <w:rPr>
          <w:rFonts w:eastAsia="宋体"/>
          <w:b/>
          <w:sz w:val="36"/>
          <w:szCs w:val="36"/>
          <w:highlight w:val="none"/>
        </w:rPr>
        <w:t xml:space="preserve"> </w:t>
      </w:r>
      <w:r>
        <w:rPr>
          <w:rFonts w:hint="eastAsia"/>
          <w:b/>
          <w:sz w:val="36"/>
          <w:szCs w:val="36"/>
          <w:highlight w:val="none"/>
          <w:lang w:val="en-US" w:eastAsia="zh-CN"/>
        </w:rPr>
        <w:t xml:space="preserve">  </w:t>
      </w:r>
      <w:bookmarkStart w:id="665" w:name="_Toc30550"/>
      <w:r>
        <w:rPr>
          <w:rFonts w:eastAsia="宋体"/>
          <w:b/>
          <w:sz w:val="36"/>
          <w:szCs w:val="36"/>
          <w:highlight w:val="none"/>
        </w:rPr>
        <w:t>采购需求</w:t>
      </w:r>
      <w:bookmarkEnd w:id="665"/>
    </w:p>
    <w:p w14:paraId="17A4AC0D">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一、功能要求</w:t>
      </w:r>
    </w:p>
    <w:p w14:paraId="068CC0CE">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（一）工程目的</w:t>
      </w:r>
    </w:p>
    <w:p w14:paraId="02001ED1">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本项目拟提升北京北站周边交通环境，根据现有条件建设即停即走落客区，缩短北京北站旅客接驳距离，减少旅客接驳时间，消除旅客在西直门北大街辅路上落客的安全隐患，提升北京北站地区的综合服务品质。</w:t>
      </w:r>
    </w:p>
    <w:p w14:paraId="33949A98">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（二）工程规模</w:t>
      </w:r>
    </w:p>
    <w:p w14:paraId="2E6D3A19">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本项目为公交375场站优化提升改造项目-北京北站落客区建设。现状375公交场站占地4962.7㎡（不含路侧绿地），呈南北长条状分布，停车场南北向长度约200m。</w:t>
      </w:r>
    </w:p>
    <w:p w14:paraId="692A00E2">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本次提升改造充分结合车流、人流的使用和设计需求，对车行道、出入口及出入口周边的人行道进行统一规划。主要建设内容如下：</w:t>
      </w:r>
    </w:p>
    <w:p w14:paraId="57318AD1">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（1）重新梳理落客区及出入口周边的场地。拆除部分人行道，扩大现状出入口；划分部分临近人行步道的区域，拓宽现状西直门北大街辅路，同时满足人行步道的基本宽度，服务广大市民；</w:t>
      </w:r>
    </w:p>
    <w:p w14:paraId="498314F1">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（2）拆除场内公交场站岗亭等；</w:t>
      </w:r>
    </w:p>
    <w:p w14:paraId="3D7A077C">
      <w:pPr>
        <w:widowControl/>
        <w:numPr>
          <w:ilvl w:val="-1"/>
          <w:numId w:val="0"/>
        </w:numPr>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（3）设计与建设即停即走落客区，消除旅客车辆停在西直门北大街与二环辅路上对道路交通的影响，港湾内配备车行道、人行道及入口管理岗亭等设施。</w:t>
      </w:r>
    </w:p>
    <w:p w14:paraId="697B2384">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二、工程范围</w:t>
      </w:r>
    </w:p>
    <w:p w14:paraId="308F2A60">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（一）概述</w:t>
      </w:r>
    </w:p>
    <w:p w14:paraId="1E418050">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本项目为北京北站375公交场站改建即停即走落客区项目，整个场站占地面积4962.7平方米，场站改造落客区涉及道路长度约200米，拆除场内公交场站岗亭，拆除后对场地内区域进行合理利用，设计与建设即停即走落客区，消除旅客车辆停在西直门北大街与二环辅路上对道路交通的影响，港湾内配备车行道、人行道及入口管理岗亭等设施。</w:t>
      </w:r>
    </w:p>
    <w:p w14:paraId="25A867EF">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（二）包括的工作</w:t>
      </w:r>
    </w:p>
    <w:p w14:paraId="0A77DC67">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本项目的工程总承包，包括但不限于本项目勘察、初步设计及施工图设计、施工及缺陷责任期修复等。</w:t>
      </w:r>
    </w:p>
    <w:p w14:paraId="6BB9489C">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（三）发包人提供的现场条件</w:t>
      </w:r>
    </w:p>
    <w:p w14:paraId="1FB1F5E7">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1. 施工用电：</w:t>
      </w:r>
      <w:r>
        <w:rPr>
          <w:rFonts w:hint="eastAsia" w:asciiTheme="minorEastAsia" w:hAnsiTheme="minorEastAsia" w:eastAsiaTheme="minorEastAsia" w:cstheme="minorEastAsia"/>
          <w:kern w:val="0"/>
          <w:sz w:val="24"/>
          <w:szCs w:val="20"/>
          <w:u w:val="single"/>
        </w:rPr>
        <w:t>满足项目现场施工要求</w:t>
      </w:r>
      <w:r>
        <w:rPr>
          <w:rFonts w:hint="eastAsia" w:asciiTheme="minorEastAsia" w:hAnsiTheme="minorEastAsia" w:eastAsiaTheme="minorEastAsia" w:cstheme="minorEastAsia"/>
          <w:kern w:val="0"/>
          <w:sz w:val="24"/>
          <w:szCs w:val="20"/>
        </w:rPr>
        <w:t>。</w:t>
      </w:r>
    </w:p>
    <w:p w14:paraId="6E86DCC8">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2. 施工用水：</w:t>
      </w:r>
      <w:r>
        <w:rPr>
          <w:rFonts w:hint="eastAsia" w:asciiTheme="minorEastAsia" w:hAnsiTheme="minorEastAsia" w:eastAsiaTheme="minorEastAsia" w:cstheme="minorEastAsia"/>
          <w:kern w:val="0"/>
          <w:sz w:val="24"/>
          <w:szCs w:val="20"/>
          <w:u w:val="single"/>
        </w:rPr>
        <w:t>满足项目现场施工要求</w:t>
      </w:r>
      <w:r>
        <w:rPr>
          <w:rFonts w:hint="eastAsia" w:asciiTheme="minorEastAsia" w:hAnsiTheme="minorEastAsia" w:eastAsiaTheme="minorEastAsia" w:cstheme="minorEastAsia"/>
          <w:kern w:val="0"/>
          <w:sz w:val="24"/>
          <w:szCs w:val="20"/>
        </w:rPr>
        <w:t>。</w:t>
      </w:r>
    </w:p>
    <w:p w14:paraId="76C8C835">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3. 施工排水：</w:t>
      </w:r>
      <w:r>
        <w:rPr>
          <w:rFonts w:hint="eastAsia" w:asciiTheme="minorEastAsia" w:hAnsiTheme="minorEastAsia" w:eastAsiaTheme="minorEastAsia" w:cstheme="minorEastAsia"/>
          <w:kern w:val="0"/>
          <w:sz w:val="24"/>
          <w:szCs w:val="20"/>
          <w:u w:val="single"/>
        </w:rPr>
        <w:t>满足项目现场施工要求</w:t>
      </w:r>
      <w:r>
        <w:rPr>
          <w:rFonts w:hint="eastAsia" w:asciiTheme="minorEastAsia" w:hAnsiTheme="minorEastAsia" w:eastAsiaTheme="minorEastAsia" w:cstheme="minorEastAsia"/>
          <w:kern w:val="0"/>
          <w:sz w:val="24"/>
          <w:szCs w:val="20"/>
        </w:rPr>
        <w:t>。</w:t>
      </w:r>
    </w:p>
    <w:p w14:paraId="06BB8CEB">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4.</w:t>
      </w:r>
      <w:r>
        <w:rPr>
          <w:rFonts w:hint="eastAsia" w:asciiTheme="minorEastAsia" w:hAnsiTheme="minorEastAsia" w:eastAsiaTheme="minorEastAsia" w:cstheme="minorEastAsia"/>
          <w:kern w:val="0"/>
          <w:sz w:val="24"/>
          <w:szCs w:val="16"/>
        </w:rPr>
        <w:t xml:space="preserve"> </w:t>
      </w:r>
      <w:r>
        <w:rPr>
          <w:rFonts w:hint="eastAsia" w:asciiTheme="minorEastAsia" w:hAnsiTheme="minorEastAsia" w:eastAsiaTheme="minorEastAsia" w:cstheme="minorEastAsia"/>
          <w:kern w:val="0"/>
          <w:sz w:val="24"/>
          <w:szCs w:val="20"/>
        </w:rPr>
        <w:t>施工道路：</w:t>
      </w:r>
      <w:r>
        <w:rPr>
          <w:rFonts w:hint="eastAsia" w:asciiTheme="minorEastAsia" w:hAnsiTheme="minorEastAsia" w:eastAsiaTheme="minorEastAsia" w:cstheme="minorEastAsia"/>
          <w:kern w:val="0"/>
          <w:sz w:val="24"/>
          <w:szCs w:val="20"/>
          <w:u w:val="single"/>
        </w:rPr>
        <w:t>满足项目现场施工要求</w:t>
      </w:r>
      <w:r>
        <w:rPr>
          <w:rFonts w:hint="eastAsia" w:asciiTheme="minorEastAsia" w:hAnsiTheme="minorEastAsia" w:eastAsiaTheme="minorEastAsia" w:cstheme="minorEastAsia"/>
          <w:kern w:val="0"/>
          <w:sz w:val="24"/>
          <w:szCs w:val="20"/>
        </w:rPr>
        <w:t>。</w:t>
      </w:r>
    </w:p>
    <w:p w14:paraId="5F84E121">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（四）发包人提供的技术文件</w:t>
      </w:r>
    </w:p>
    <w:p w14:paraId="0B063DFE">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除另有批准外，承包人的工作需要遵照发包人的下列技术文件:</w:t>
      </w:r>
    </w:p>
    <w:p w14:paraId="17031974">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 xml:space="preserve">1. </w:t>
      </w:r>
      <w:r>
        <w:rPr>
          <w:rFonts w:hint="eastAsia" w:asciiTheme="minorEastAsia" w:hAnsiTheme="minorEastAsia" w:eastAsiaTheme="minorEastAsia" w:cstheme="minorEastAsia"/>
          <w:kern w:val="0"/>
          <w:sz w:val="24"/>
          <w:szCs w:val="20"/>
          <w:u w:val="single"/>
        </w:rPr>
        <w:t>发包人需求任务书（含设计任务书）；</w:t>
      </w:r>
    </w:p>
    <w:p w14:paraId="4A706179">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u w:val="single"/>
        </w:rPr>
      </w:pPr>
      <w:r>
        <w:rPr>
          <w:rFonts w:hint="eastAsia" w:asciiTheme="minorEastAsia" w:hAnsiTheme="minorEastAsia" w:eastAsiaTheme="minorEastAsia" w:cstheme="minorEastAsia"/>
          <w:kern w:val="0"/>
          <w:sz w:val="24"/>
          <w:szCs w:val="20"/>
        </w:rPr>
        <w:t xml:space="preserve">2. </w:t>
      </w:r>
      <w:r>
        <w:rPr>
          <w:rFonts w:hint="eastAsia" w:asciiTheme="minorEastAsia" w:hAnsiTheme="minorEastAsia" w:eastAsiaTheme="minorEastAsia" w:cstheme="minorEastAsia"/>
          <w:kern w:val="0"/>
          <w:sz w:val="24"/>
          <w:szCs w:val="20"/>
          <w:u w:val="single"/>
        </w:rPr>
        <w:t>发包人已完成的设计文件；</w:t>
      </w:r>
    </w:p>
    <w:p w14:paraId="096378E9">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 xml:space="preserve">3. </w:t>
      </w:r>
      <w:r>
        <w:rPr>
          <w:rFonts w:hint="eastAsia" w:asciiTheme="minorEastAsia" w:hAnsiTheme="minorEastAsia" w:eastAsiaTheme="minorEastAsia" w:cstheme="minorEastAsia"/>
          <w:kern w:val="0"/>
          <w:sz w:val="24"/>
          <w:szCs w:val="20"/>
          <w:u w:val="single"/>
        </w:rPr>
        <w:t>发包人提供的其他技术文件。</w:t>
      </w:r>
    </w:p>
    <w:p w14:paraId="2F378C52">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三、时间要求</w:t>
      </w:r>
    </w:p>
    <w:p w14:paraId="305E6445">
      <w:pPr>
        <w:widowControl/>
        <w:wordWrap w:val="0"/>
        <w:topLinePunct/>
        <w:adjustRightInd w:val="0"/>
        <w:snapToGrid w:val="0"/>
        <w:spacing w:after="120" w:afterLines="50" w:line="240" w:lineRule="auto"/>
        <w:ind w:firstLine="482"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b/>
          <w:bCs/>
          <w:kern w:val="0"/>
          <w:sz w:val="24"/>
          <w:szCs w:val="20"/>
        </w:rPr>
        <w:t>（一）开始工作时间：</w:t>
      </w:r>
      <w:r>
        <w:rPr>
          <w:rFonts w:hint="eastAsia" w:asciiTheme="minorEastAsia" w:hAnsiTheme="minorEastAsia" w:eastAsiaTheme="minorEastAsia" w:cstheme="minorEastAsia"/>
          <w:kern w:val="0"/>
          <w:sz w:val="24"/>
          <w:szCs w:val="20"/>
          <w:u w:val="single"/>
        </w:rPr>
        <w:t>自本项目工程总承包合同签订之日起开始</w:t>
      </w:r>
      <w:r>
        <w:rPr>
          <w:rFonts w:hint="eastAsia" w:asciiTheme="minorEastAsia" w:hAnsiTheme="minorEastAsia" w:eastAsiaTheme="minorEastAsia" w:cstheme="minorEastAsia"/>
          <w:kern w:val="0"/>
          <w:sz w:val="24"/>
          <w:szCs w:val="20"/>
        </w:rPr>
        <w:t>。</w:t>
      </w:r>
    </w:p>
    <w:p w14:paraId="27B27DB8">
      <w:pPr>
        <w:widowControl/>
        <w:wordWrap w:val="0"/>
        <w:topLinePunct/>
        <w:adjustRightInd w:val="0"/>
        <w:snapToGrid w:val="0"/>
        <w:spacing w:after="120" w:afterLines="50" w:line="240" w:lineRule="auto"/>
        <w:ind w:firstLine="482"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b/>
          <w:bCs/>
          <w:kern w:val="0"/>
          <w:sz w:val="24"/>
          <w:szCs w:val="20"/>
        </w:rPr>
        <w:t>（二）勘察设计完成时间：</w:t>
      </w:r>
      <w:r>
        <w:rPr>
          <w:rFonts w:hint="eastAsia" w:asciiTheme="minorEastAsia" w:hAnsiTheme="minorEastAsia" w:eastAsiaTheme="minorEastAsia" w:cstheme="minorEastAsia"/>
          <w:kern w:val="0"/>
          <w:sz w:val="24"/>
          <w:szCs w:val="20"/>
          <w:u w:val="single"/>
        </w:rPr>
        <w:t>自本项目工程总承包合同签订之日起15日历天内完成全部勘察及设计工作并提交成果文件（含施工图预算文件）</w:t>
      </w:r>
      <w:r>
        <w:rPr>
          <w:rFonts w:hint="eastAsia" w:asciiTheme="minorEastAsia" w:hAnsiTheme="minorEastAsia" w:eastAsiaTheme="minorEastAsia" w:cstheme="minorEastAsia"/>
          <w:kern w:val="0"/>
          <w:sz w:val="24"/>
          <w:szCs w:val="20"/>
        </w:rPr>
        <w:t>。</w:t>
      </w:r>
    </w:p>
    <w:p w14:paraId="33882CD5">
      <w:pPr>
        <w:widowControl/>
        <w:wordWrap w:val="0"/>
        <w:topLinePunct/>
        <w:adjustRightInd w:val="0"/>
        <w:snapToGrid w:val="0"/>
        <w:spacing w:after="120" w:afterLines="50" w:line="240" w:lineRule="auto"/>
        <w:ind w:firstLine="482"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b/>
          <w:bCs/>
          <w:kern w:val="0"/>
          <w:sz w:val="24"/>
          <w:szCs w:val="20"/>
        </w:rPr>
        <w:t>（三）竣工时间：</w:t>
      </w:r>
      <w:r>
        <w:rPr>
          <w:rFonts w:hint="eastAsia" w:asciiTheme="minorEastAsia" w:hAnsiTheme="minorEastAsia" w:eastAsiaTheme="minorEastAsia" w:cstheme="minorEastAsia"/>
          <w:kern w:val="0"/>
          <w:sz w:val="24"/>
          <w:szCs w:val="20"/>
          <w:u w:val="single"/>
        </w:rPr>
        <w:t>本项目总工期为60日历天，承包人应在规定时间内完成全部工程总承包工作内容</w:t>
      </w:r>
      <w:r>
        <w:rPr>
          <w:rFonts w:hint="eastAsia" w:asciiTheme="minorEastAsia" w:hAnsiTheme="minorEastAsia" w:eastAsiaTheme="minorEastAsia" w:cstheme="minorEastAsia"/>
          <w:kern w:val="0"/>
          <w:sz w:val="24"/>
          <w:szCs w:val="20"/>
        </w:rPr>
        <w:t>。</w:t>
      </w:r>
    </w:p>
    <w:p w14:paraId="0DFC60AE">
      <w:pPr>
        <w:widowControl/>
        <w:wordWrap w:val="0"/>
        <w:topLinePunct/>
        <w:adjustRightInd w:val="0"/>
        <w:snapToGrid w:val="0"/>
        <w:spacing w:after="120" w:afterLines="50" w:line="240" w:lineRule="auto"/>
        <w:ind w:firstLine="482"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b/>
          <w:bCs/>
          <w:kern w:val="0"/>
          <w:sz w:val="24"/>
          <w:szCs w:val="20"/>
        </w:rPr>
        <w:t>（四）缺陷责任期：</w:t>
      </w:r>
      <w:r>
        <w:rPr>
          <w:rFonts w:hint="eastAsia" w:asciiTheme="minorEastAsia" w:hAnsiTheme="minorEastAsia" w:eastAsiaTheme="minorEastAsia" w:cstheme="minorEastAsia"/>
          <w:kern w:val="0"/>
          <w:sz w:val="24"/>
          <w:szCs w:val="20"/>
          <w:u w:val="single"/>
        </w:rPr>
        <w:t>本项目缺陷责任期为24个月</w:t>
      </w:r>
      <w:r>
        <w:rPr>
          <w:rFonts w:hint="eastAsia" w:asciiTheme="minorEastAsia" w:hAnsiTheme="minorEastAsia" w:eastAsiaTheme="minorEastAsia" w:cstheme="minorEastAsia"/>
          <w:kern w:val="0"/>
          <w:sz w:val="24"/>
          <w:szCs w:val="20"/>
        </w:rPr>
        <w:t>。</w:t>
      </w:r>
    </w:p>
    <w:p w14:paraId="1F469041">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四、技术要求</w:t>
      </w:r>
    </w:p>
    <w:p w14:paraId="1732DA53">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（一）勘察阶段要求</w:t>
      </w:r>
    </w:p>
    <w:p w14:paraId="4C82E1A5">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承包人依法进行建设工程勘察，应严格执行工程建设强制性标准，符合国家、北京市最新规范规程要求及勘察招标文件中的相关技术要求，建设工程勘察单位提交的勘察成果文件满足北京市建设工程施工图设计文件审查要求，并对建设工程勘察设计质量负责。</w:t>
      </w:r>
    </w:p>
    <w:p w14:paraId="3D8383A7">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承包人需完成勘察相关工作，包括但不限于：查明沿线水文地质条件、地下水位及其补给来源、有无腐蚀性，包括地下水类型、埋藏条件及变化幅度。提供近3~5年和历史最高水位。查明沿线各地段有无不良地质作用及特殊性岩土，若有查明其成因、类型、性质、空间分布范围等。 探明钻探范围内的土质分布；各土层物理力学指标，提供各土层的地基承载力及基坑支护设计参数。查明地下土质在地震条件是否有液化的可能性。</w:t>
      </w:r>
    </w:p>
    <w:p w14:paraId="5160A4B5">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承包人需提交勘察成果，包括但不限于：拟建场地的工程地质条件、水文地质条件、场地、地基的建筑抗震设计条件、地基、基坑方案及相关建议。</w:t>
      </w:r>
    </w:p>
    <w:p w14:paraId="40B9D690">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承包人负责向发包人提交符合本要求的勘察成果文件，为详勘阶段，勘察成果文件应该符合岩土工程勘察技术规范要求的相关要求，成果包括但不限于：土的物理力学性质综合统计表、各类工程平面图件和地层剖面图件及柱状图、土工试验说明及试验成果、标贯原位测试成果图表、剪切波速测试结果、钻探工作说明。</w:t>
      </w:r>
    </w:p>
    <w:p w14:paraId="579C8F24">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 xml:space="preserve">承包人须提供纸质版6份以及电子版各1份（CAD格式）。 </w:t>
      </w:r>
    </w:p>
    <w:p w14:paraId="5AF75C30">
      <w:pPr>
        <w:widowControl/>
        <w:wordWrap w:val="0"/>
        <w:topLinePunct/>
        <w:adjustRightInd w:val="0"/>
        <w:snapToGrid w:val="0"/>
        <w:spacing w:after="0" w:afterLines="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（二）设计阶段要求</w:t>
      </w:r>
    </w:p>
    <w:p w14:paraId="342DA82A">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设计依据</w:t>
      </w:r>
    </w:p>
    <w:p w14:paraId="2C11A55B">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为了保证本项目的建设、实施质量和后期运行维护水平，本项目设计时应充分参考政策法规文件与国家、行业相关标准，包括并不限于以下：</w:t>
      </w:r>
    </w:p>
    <w:p w14:paraId="2C6B0CDB">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（1）项目通用标准</w:t>
      </w:r>
    </w:p>
    <w:p w14:paraId="13F6945E">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《市政公用工程设计文件编制深度规定》（2013版）</w:t>
      </w:r>
    </w:p>
    <w:p w14:paraId="0224D26F">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《城市道路交通工程项目规范》（GB-55011-2021）</w:t>
      </w:r>
    </w:p>
    <w:p w14:paraId="22A443B1">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《建筑与市政工程无障碍通用规范》（GB55019-2021）</w:t>
      </w:r>
    </w:p>
    <w:p w14:paraId="2ACF79FD">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（2）通用技术导则</w:t>
      </w:r>
    </w:p>
    <w:p w14:paraId="2A660CCF">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《北京市城乡规划条例》</w:t>
      </w:r>
    </w:p>
    <w:p w14:paraId="7DD98DFB">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《北京市慢行系统规划（2020-2035年）》草案</w:t>
      </w:r>
    </w:p>
    <w:p w14:paraId="4AB49F20">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《绿道规划设计导则》</w:t>
      </w:r>
    </w:p>
    <w:p w14:paraId="4E166451">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《北京市城市绿化条例》</w:t>
      </w:r>
    </w:p>
    <w:p w14:paraId="7BD3E090">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（3）北京市地方法规</w:t>
      </w:r>
    </w:p>
    <w:p w14:paraId="75B9B3E2">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【第一部分城乡规划与资源节约】</w:t>
      </w:r>
    </w:p>
    <w:p w14:paraId="54C8373B">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《北京市城乡规划条例》</w:t>
      </w:r>
    </w:p>
    <w:p w14:paraId="12630F50">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《北京市城市更新条例》</w:t>
      </w:r>
    </w:p>
    <w:p w14:paraId="230FFDF2">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《北京市无障碍环境建设条例》</w:t>
      </w:r>
    </w:p>
    <w:p w14:paraId="1975974F">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《北京市节水条例》</w:t>
      </w:r>
    </w:p>
    <w:p w14:paraId="268BF28C">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【第二部分交通安全与交通运输】</w:t>
      </w:r>
    </w:p>
    <w:p w14:paraId="00DCD20E">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《北京市道路运输管理条例》</w:t>
      </w:r>
    </w:p>
    <w:p w14:paraId="0A69C6EB">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《北京市公路条例》</w:t>
      </w:r>
    </w:p>
    <w:p w14:paraId="54F65667">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《北京市机动车停车条例》</w:t>
      </w:r>
    </w:p>
    <w:p w14:paraId="7B087F79">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【第三部分城市公园与绿化】</w:t>
      </w:r>
    </w:p>
    <w:p w14:paraId="71DE736B">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《北京市城市绿化条例》</w:t>
      </w:r>
    </w:p>
    <w:p w14:paraId="1A901CE8">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【第四部分生态环境保护】</w:t>
      </w:r>
    </w:p>
    <w:p w14:paraId="0AEA2BAD">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《北京市环境噪声污染防治办法》</w:t>
      </w:r>
    </w:p>
    <w:p w14:paraId="4D9E8941">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《北京市水污染防治条例》</w:t>
      </w:r>
    </w:p>
    <w:p w14:paraId="3A656899">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《北京市水利工程保护管理条例》</w:t>
      </w:r>
    </w:p>
    <w:p w14:paraId="0749149B">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《北京市河湖保护管理条例》</w:t>
      </w:r>
    </w:p>
    <w:p w14:paraId="7F9DB473">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《北京市大气污染防治条例》</w:t>
      </w:r>
    </w:p>
    <w:p w14:paraId="78F7AA9B">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【第五部分市政综合管理】</w:t>
      </w:r>
    </w:p>
    <w:p w14:paraId="3A144ED1">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《北京市户外广告设施、牌匾标识和标语宣传品设置管理条例》</w:t>
      </w:r>
    </w:p>
    <w:p w14:paraId="63E01C65">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《北京市市容环境卫生条例》</w:t>
      </w:r>
    </w:p>
    <w:p w14:paraId="586B3BFC">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《北京市建筑垃圾处置管理规定》</w:t>
      </w:r>
    </w:p>
    <w:p w14:paraId="3E839475">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《北京市城市管理综合执法分类分级执法工作管理规定(试行)》</w:t>
      </w:r>
    </w:p>
    <w:p w14:paraId="11DBDBCB">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（4）勘查工程</w:t>
      </w:r>
    </w:p>
    <w:p w14:paraId="37C26C92">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《岩土工程勘察规范》（GB 50021－2001，2009年版）</w:t>
      </w:r>
    </w:p>
    <w:p w14:paraId="37C65C35">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《建筑地基基础设计规范》（GB 50007－2011）</w:t>
      </w:r>
    </w:p>
    <w:p w14:paraId="3FC96945">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《建筑抗震设计规范》（GB 50011－2010，2016年版）</w:t>
      </w:r>
    </w:p>
    <w:p w14:paraId="4385EA18">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《中国地震动参数区划图》（GB 18306－2015）</w:t>
      </w:r>
    </w:p>
    <w:p w14:paraId="5E1E2EC5">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《土工试验方法标准》（GB/T 50123－2019）</w:t>
      </w:r>
    </w:p>
    <w:p w14:paraId="101B83DA">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《岩土工程基本术语标准》（GB/T 50279－2014）</w:t>
      </w:r>
    </w:p>
    <w:p w14:paraId="513BB17B">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《土的工程分类标准》（GB/T 50145－2007）</w:t>
      </w:r>
    </w:p>
    <w:p w14:paraId="2E998534">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《工程测量规范》（GB 50026－2007）</w:t>
      </w:r>
    </w:p>
    <w:p w14:paraId="5DF90607">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《建筑工程抗震设防分类标准》（GB 50223－2008）</w:t>
      </w:r>
    </w:p>
    <w:p w14:paraId="57EFD74F">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《给水排水管道工程施工及验收规范》（GB 50268－2008）</w:t>
      </w:r>
    </w:p>
    <w:p w14:paraId="6248A131">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《市政工程勘察规范》（CJJ 56－2012）</w:t>
      </w:r>
    </w:p>
    <w:p w14:paraId="359FA0B8">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《城市测量规范》（CJJ/T 8－2011）</w:t>
      </w:r>
    </w:p>
    <w:p w14:paraId="4A31AEBF">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《建筑工程地质勘探与取样技术规程》（JGJ/T 87－2012）</w:t>
      </w:r>
    </w:p>
    <w:p w14:paraId="7A70EAD1">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《建筑地基处理技术规范》（JGJ 79－2012）</w:t>
      </w:r>
    </w:p>
    <w:p w14:paraId="256924BA">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《建筑桩基技术规范》（JGJ 94－2008）</w:t>
      </w:r>
    </w:p>
    <w:p w14:paraId="46418B7C">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《建筑基坑支护技术规程》（JGJ 120－2012）</w:t>
      </w:r>
    </w:p>
    <w:p w14:paraId="262B7B00">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《房屋建筑和市政基础设施工程勘察文件编制深度规定》（2020年版）</w:t>
      </w:r>
    </w:p>
    <w:p w14:paraId="4BA29CA3">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《市政基础设施岩土工程勘察规范》（DB11/T 1726－2020）</w:t>
      </w:r>
    </w:p>
    <w:p w14:paraId="71748ACD">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《北京地区建筑地基基础勘察设计规范》（DBJ 11－501－2009，2016年版）</w:t>
      </w:r>
    </w:p>
    <w:p w14:paraId="1E9A5C33">
      <w:pPr>
        <w:widowControl/>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《建筑基坑支护技术规程》（DB 11/489－2016）</w:t>
      </w:r>
    </w:p>
    <w:p w14:paraId="7D470B97">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（5）道路工程</w:t>
      </w:r>
    </w:p>
    <w:p w14:paraId="0DD370ED">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《城市综合客运交通枢纽设计规范》（DB11/1666-2019）</w:t>
      </w:r>
    </w:p>
    <w:p w14:paraId="26FE2C92">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《城市客运交通枢纽设计标准》（GB/T51402-2021）</w:t>
      </w:r>
    </w:p>
    <w:p w14:paraId="483DAE25">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《步行和自行车交通环境规划设计标准》（DB11/1761-2020）</w:t>
      </w:r>
    </w:p>
    <w:p w14:paraId="1F807D32">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《城市道路空间规划设计规范》（DB11/1116-2014）</w:t>
      </w:r>
    </w:p>
    <w:p w14:paraId="623B7199">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《城市道路交通工程项目规范》（GB-55011-2021）</w:t>
      </w:r>
    </w:p>
    <w:p w14:paraId="01D2DAC5">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《城市道路工程设计规范》CJJ37-2012（2016年版）</w:t>
      </w:r>
    </w:p>
    <w:p w14:paraId="42C20B3B">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《建筑与市政工程无障碍通用规范》（GB55019-2021）</w:t>
      </w:r>
    </w:p>
    <w:p w14:paraId="1BE80420">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《城市步行和自行车交通系统规划标准》（GBT51439-2021）</w:t>
      </w:r>
    </w:p>
    <w:p w14:paraId="31D0DFA1">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《城镇道路路面设计规范》CJJ169-2012</w:t>
      </w:r>
    </w:p>
    <w:p w14:paraId="2FA96F24">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《城市道路路基设计规范》CJJ194-2013</w:t>
      </w:r>
    </w:p>
    <w:p w14:paraId="46C446C6">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《城市道路交叉口设计规程》CJJ152-2010</w:t>
      </w:r>
    </w:p>
    <w:p w14:paraId="02F71052">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《无障碍设计规范》GB50763-2012</w:t>
      </w:r>
    </w:p>
    <w:p w14:paraId="649E8AA8">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《城市道路路线设计规范》CJJ193-2012</w:t>
      </w:r>
    </w:p>
    <w:p w14:paraId="6CFC7DEB">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《城市道路交通标志和标线设置规范》GB51038-2015</w:t>
      </w:r>
    </w:p>
    <w:p w14:paraId="3447DFB1">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《市政公用工程设计文件编制深度规定》2013</w:t>
      </w:r>
    </w:p>
    <w:p w14:paraId="3F559704">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《公路自然区划标准》JTJ003-86</w:t>
      </w:r>
    </w:p>
    <w:p w14:paraId="1B5C751C">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《公路水泥混凝土路面设计规范》JTGD40-2011</w:t>
      </w:r>
    </w:p>
    <w:p w14:paraId="281F6793">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《公路路基设计规范》JTGD30-2015</w:t>
      </w:r>
    </w:p>
    <w:p w14:paraId="573819EC">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《公路软土地基路堤设计与施工技术细则》JTGTD31-02-2013</w:t>
      </w:r>
    </w:p>
    <w:p w14:paraId="33381066">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《城镇道路工程施工与质量验收规范》CJJ1-2008</w:t>
      </w:r>
    </w:p>
    <w:p w14:paraId="1117ABAC">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《公路水泥混凝土路面施工技术细则》（JTG/TF30-2014）</w:t>
      </w:r>
    </w:p>
    <w:p w14:paraId="424F82CB">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（6）交通工程</w:t>
      </w:r>
    </w:p>
    <w:p w14:paraId="013F51EB">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《城市道路交通组织设计规范》（GB/T36670-2018）</w:t>
      </w:r>
    </w:p>
    <w:p w14:paraId="5732BED6">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《城市道路交通设施设计规范》（GB50688-2011（2019年版）</w:t>
      </w:r>
    </w:p>
    <w:p w14:paraId="1D97F1E9">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《城市道路交通标志和标线设置规范》（GB51038-2015）</w:t>
      </w:r>
    </w:p>
    <w:p w14:paraId="4376A235">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《道路交通标志和标线第1部分：总则》（GB5768.1-2009）</w:t>
      </w:r>
    </w:p>
    <w:p w14:paraId="2BD62FB8">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《道路交通标志和标线第2部分：道路交通标志》（GB5768.2-2022）</w:t>
      </w:r>
    </w:p>
    <w:p w14:paraId="0314B149">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《道路交通标志和标线第3部分：道路交通标线》（GB5768.3-2009）</w:t>
      </w:r>
    </w:p>
    <w:p w14:paraId="5A0E29CF">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《城市道路路内停车位设置规范》（GA/T850-2021）</w:t>
      </w:r>
    </w:p>
    <w:p w14:paraId="2A5C60E4">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《城市道路路内停车泊位设置标准》（GA/T850-2009）</w:t>
      </w:r>
    </w:p>
    <w:p w14:paraId="5D8092BA">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《城市道路路内停车管理设施应用指南》（GA/T1271-2015）</w:t>
      </w:r>
    </w:p>
    <w:p w14:paraId="19276F1C">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（7）建筑工程</w:t>
      </w:r>
    </w:p>
    <w:p w14:paraId="1F4CE345">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《钢结构设计标准》GB 50017-2017</w:t>
      </w:r>
    </w:p>
    <w:p w14:paraId="6CA54CC9">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《民用建筑通用规范》GB 55031-2022</w:t>
      </w:r>
    </w:p>
    <w:p w14:paraId="49CF25C4">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《全国民用建筑工程设计技术措施(规划、建筑、景观)》</w:t>
      </w:r>
    </w:p>
    <w:p w14:paraId="3E9DF603">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《无障碍设计规范》GB 50763-2012</w:t>
      </w:r>
    </w:p>
    <w:p w14:paraId="234C6622">
      <w:pPr>
        <w:widowControl/>
        <w:wordWrap w:val="0"/>
        <w:topLinePunct/>
        <w:adjustRightInd w:val="0"/>
        <w:snapToGrid w:val="0"/>
        <w:spacing w:after="120" w:afterLines="50" w:line="240" w:lineRule="auto"/>
        <w:ind w:firstLine="600" w:firstLineChars="25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《工程结构可靠性设计统一标准》GB50153-2008</w:t>
      </w:r>
    </w:p>
    <w:p w14:paraId="4A6C017E">
      <w:pPr>
        <w:widowControl/>
        <w:wordWrap w:val="0"/>
        <w:topLinePunct/>
        <w:adjustRightInd w:val="0"/>
        <w:snapToGrid w:val="0"/>
        <w:spacing w:after="120" w:afterLines="50" w:line="240" w:lineRule="auto"/>
        <w:ind w:firstLine="600" w:firstLineChars="25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《建筑结构可靠性设计统一标准》GB50068-2018</w:t>
      </w:r>
    </w:p>
    <w:p w14:paraId="15D04A24">
      <w:pPr>
        <w:widowControl/>
        <w:wordWrap w:val="0"/>
        <w:topLinePunct/>
        <w:adjustRightInd w:val="0"/>
        <w:snapToGrid w:val="0"/>
        <w:spacing w:after="120" w:afterLines="50" w:line="240" w:lineRule="auto"/>
        <w:ind w:firstLine="600" w:firstLineChars="25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《建筑结构荷载规范》GB50009-2012</w:t>
      </w:r>
    </w:p>
    <w:p w14:paraId="70E96393">
      <w:pPr>
        <w:widowControl/>
        <w:wordWrap w:val="0"/>
        <w:topLinePunct/>
        <w:adjustRightInd w:val="0"/>
        <w:snapToGrid w:val="0"/>
        <w:spacing w:after="120" w:afterLines="50" w:line="240" w:lineRule="auto"/>
        <w:ind w:firstLine="600" w:firstLineChars="25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《混凝土结构设计规范》GB 50010-2010（2015年版）</w:t>
      </w:r>
    </w:p>
    <w:p w14:paraId="3AD4CB9E">
      <w:pPr>
        <w:widowControl/>
        <w:wordWrap w:val="0"/>
        <w:topLinePunct/>
        <w:adjustRightInd w:val="0"/>
        <w:snapToGrid w:val="0"/>
        <w:spacing w:after="120" w:afterLines="50" w:line="240" w:lineRule="auto"/>
        <w:ind w:firstLine="600" w:firstLineChars="25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《混凝土结构设计标准》GB/T 50010-2010（2024修订）</w:t>
      </w:r>
    </w:p>
    <w:p w14:paraId="53FD2B0B">
      <w:pPr>
        <w:widowControl/>
        <w:wordWrap w:val="0"/>
        <w:topLinePunct/>
        <w:adjustRightInd w:val="0"/>
        <w:snapToGrid w:val="0"/>
        <w:spacing w:after="120" w:afterLines="50" w:line="240" w:lineRule="auto"/>
        <w:ind w:firstLine="600" w:firstLineChars="25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《钢结构设计标准》GB 50017-2017</w:t>
      </w:r>
    </w:p>
    <w:p w14:paraId="14E7DA2A">
      <w:pPr>
        <w:widowControl/>
        <w:numPr>
          <w:ilvl w:val="4"/>
          <w:numId w:val="0"/>
        </w:numPr>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《建筑抗震设计规范》GB50011-2010（2016年版）</w:t>
      </w:r>
    </w:p>
    <w:p w14:paraId="1CC9AECD">
      <w:pPr>
        <w:widowControl/>
        <w:numPr>
          <w:ilvl w:val="4"/>
          <w:numId w:val="0"/>
        </w:numPr>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《建筑抗震设计标准》GB/T50011-2010（2024修订）</w:t>
      </w:r>
    </w:p>
    <w:p w14:paraId="1C64A5F9">
      <w:pPr>
        <w:widowControl/>
        <w:wordWrap w:val="0"/>
        <w:topLinePunct/>
        <w:adjustRightInd w:val="0"/>
        <w:snapToGrid w:val="0"/>
        <w:spacing w:after="120" w:afterLines="50" w:line="240" w:lineRule="auto"/>
        <w:ind w:firstLine="600" w:firstLineChars="25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《建筑地基基础设计规范》GB 50007-2011</w:t>
      </w:r>
    </w:p>
    <w:p w14:paraId="274D1F37">
      <w:pPr>
        <w:widowControl/>
        <w:numPr>
          <w:ilvl w:val="4"/>
          <w:numId w:val="0"/>
        </w:numPr>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《北京地区建筑地基基础勘察设计规范》DBJ11-501-2009（2016年版）</w:t>
      </w:r>
    </w:p>
    <w:p w14:paraId="3515632F">
      <w:pPr>
        <w:widowControl/>
        <w:numPr>
          <w:ilvl w:val="4"/>
          <w:numId w:val="0"/>
        </w:numPr>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《建筑地基处理技术规范》JGJ79-2012</w:t>
      </w:r>
    </w:p>
    <w:p w14:paraId="32A4D40F">
      <w:pPr>
        <w:widowControl/>
        <w:wordWrap w:val="0"/>
        <w:topLinePunct/>
        <w:adjustRightInd w:val="0"/>
        <w:snapToGrid w:val="0"/>
        <w:spacing w:after="120" w:afterLines="50" w:line="240" w:lineRule="auto"/>
        <w:ind w:firstLine="600" w:firstLineChars="25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《民用建筑通用规范》GB 55031-2022</w:t>
      </w:r>
    </w:p>
    <w:p w14:paraId="0704917B">
      <w:pPr>
        <w:widowControl/>
        <w:numPr>
          <w:ilvl w:val="4"/>
          <w:numId w:val="0"/>
        </w:numPr>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《工程结构通用规范》（GB55001-2021）</w:t>
      </w:r>
    </w:p>
    <w:p w14:paraId="039E0006">
      <w:pPr>
        <w:widowControl/>
        <w:numPr>
          <w:ilvl w:val="4"/>
          <w:numId w:val="0"/>
        </w:numPr>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《混凝土结构通用规范》（GB55008-2021）</w:t>
      </w:r>
    </w:p>
    <w:p w14:paraId="00013944">
      <w:pPr>
        <w:widowControl/>
        <w:numPr>
          <w:ilvl w:val="4"/>
          <w:numId w:val="0"/>
        </w:numPr>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《钢结构通用规范》（GB55006-2021）</w:t>
      </w:r>
    </w:p>
    <w:p w14:paraId="55EB9296">
      <w:pPr>
        <w:widowControl/>
        <w:numPr>
          <w:ilvl w:val="4"/>
          <w:numId w:val="0"/>
        </w:numPr>
        <w:wordWrap w:val="0"/>
        <w:topLinePunct/>
        <w:adjustRightInd w:val="0"/>
        <w:snapToGrid w:val="0"/>
        <w:spacing w:after="120" w:afterLines="50" w:line="240" w:lineRule="auto"/>
        <w:ind w:firstLine="600" w:firstLineChars="250"/>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《建筑与市政地基基础通用规范》（GB55003-2021）</w:t>
      </w:r>
    </w:p>
    <w:p w14:paraId="7C32D499">
      <w:pPr>
        <w:widowControl/>
        <w:wordWrap w:val="0"/>
        <w:topLinePunct/>
        <w:adjustRightInd w:val="0"/>
        <w:snapToGrid w:val="0"/>
        <w:spacing w:after="120" w:afterLines="50" w:line="240" w:lineRule="auto"/>
        <w:ind w:firstLine="600" w:firstLineChars="25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bCs/>
          <w:kern w:val="0"/>
          <w:sz w:val="24"/>
          <w:szCs w:val="24"/>
        </w:rPr>
        <w:t>《建筑与市政工程抗震通用规范》（GB55002-2021）</w:t>
      </w:r>
    </w:p>
    <w:p w14:paraId="52B3F6DA">
      <w:pPr>
        <w:widowControl/>
        <w:wordWrap w:val="0"/>
        <w:topLinePunct/>
        <w:adjustRightInd w:val="0"/>
        <w:snapToGrid w:val="0"/>
        <w:spacing w:after="120" w:afterLines="50" w:line="240" w:lineRule="auto"/>
        <w:ind w:firstLine="600" w:firstLineChars="25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《全国民用建筑工程设计技术措施(规划、建筑、景观)》</w:t>
      </w:r>
    </w:p>
    <w:p w14:paraId="53AB1CC7">
      <w:pPr>
        <w:widowControl/>
        <w:wordWrap w:val="0"/>
        <w:topLinePunct/>
        <w:adjustRightInd w:val="0"/>
        <w:snapToGrid w:val="0"/>
        <w:spacing w:after="120" w:afterLines="50" w:line="240" w:lineRule="auto"/>
        <w:ind w:firstLine="600" w:firstLineChars="25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《无障碍设计规范》GB 50763-2012</w:t>
      </w:r>
    </w:p>
    <w:p w14:paraId="4711611A">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（8）弱电系统</w:t>
      </w:r>
    </w:p>
    <w:p w14:paraId="06BCD20B">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《城市道路交通设施设计规范》GB 50688-2011（2019年版）</w:t>
      </w:r>
    </w:p>
    <w:p w14:paraId="01AA7AB0">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《城市道路工程设计规范》CJJ 37-2012（2016年版）</w:t>
      </w:r>
    </w:p>
    <w:p w14:paraId="0D7ED6E0">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《城市道路交通工程项目规范》GB 55011-2021</w:t>
      </w:r>
    </w:p>
    <w:p w14:paraId="7CF3E583">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《民用闭路电视监视系统工程设计规范》GB 50198-2011</w:t>
      </w:r>
    </w:p>
    <w:p w14:paraId="30450A34">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《公共广播系统工程技术标准》GBT50526-2021</w:t>
      </w:r>
    </w:p>
    <w:p w14:paraId="1159CAFA">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《数据中心设计规范》GB 50174-2017</w:t>
      </w:r>
    </w:p>
    <w:p w14:paraId="66C3CFD8">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《公用计算机互联网工程设计规范》（YD/T 5037-2005）</w:t>
      </w:r>
    </w:p>
    <w:p w14:paraId="496DB9C8">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《通信管道与通道工程设计规范》GB50373-2019</w:t>
      </w:r>
    </w:p>
    <w:p w14:paraId="05E9B326">
      <w:pPr>
        <w:widowControl w:val="0"/>
        <w:adjustRightInd w:val="0"/>
        <w:snapToGrid w:val="0"/>
        <w:spacing w:after="120" w:afterLines="5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《通信局(站)防雷与接地工程设计规范》GB50689-2011</w:t>
      </w:r>
    </w:p>
    <w:p w14:paraId="435FAF95">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（9）给排水及消防</w:t>
      </w:r>
    </w:p>
    <w:p w14:paraId="09B9A5BF">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《城市轨道交通工程项目规范》（GB55031-2021）</w:t>
      </w:r>
    </w:p>
    <w:p w14:paraId="14A9A59A">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《建筑给水排水与节水通用规范》（GB55020-2021）</w:t>
      </w:r>
    </w:p>
    <w:p w14:paraId="2BC793C2">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《建筑给水排水设计标准》（GB50015－2019）</w:t>
      </w:r>
    </w:p>
    <w:p w14:paraId="097C5518">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《室外排水设计标准》（GB50014－2021）</w:t>
      </w:r>
    </w:p>
    <w:p w14:paraId="4D3A14F3">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《城市道路工程设计规范》（CJJ37-2012，2016年版）</w:t>
      </w:r>
    </w:p>
    <w:p w14:paraId="72A35E54">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《公路排水设计规范》(JTGTD33-2012)</w:t>
      </w:r>
    </w:p>
    <w:p w14:paraId="0A0E377F">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《城市工程管线综合规划规范》（GB50289-2016）</w:t>
      </w:r>
    </w:p>
    <w:p w14:paraId="7095FA22">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《城市道路公共交通站、场、厂工程设计规范》CJJT15-2011</w:t>
      </w:r>
    </w:p>
    <w:p w14:paraId="44CE567F">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《给水排水构筑物施工及验收规范》（GB50268-2008）</w:t>
      </w:r>
    </w:p>
    <w:p w14:paraId="444766B1">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《城镇雨水系统规划设计暴雨径流计算标准》（DB11/T969-2016）</w:t>
      </w:r>
    </w:p>
    <w:p w14:paraId="2D6D9E1E">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《给水排水管道工程施工及验收规范》（GB50268-2008）</w:t>
      </w:r>
    </w:p>
    <w:p w14:paraId="4D21411A">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（10）动力照明</w:t>
      </w:r>
    </w:p>
    <w:p w14:paraId="4869C7D1">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《民用建筑电气设计标准》(GB51348-2019)</w:t>
      </w:r>
    </w:p>
    <w:p w14:paraId="68BDF16F">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《供配电系统设计规范》(GB50052-2009)</w:t>
      </w:r>
    </w:p>
    <w:p w14:paraId="7E5676A7">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《低压配电设计规范》(GB50054--2011)</w:t>
      </w:r>
    </w:p>
    <w:p w14:paraId="7D6A6486">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《建筑物防雷设计规范》(GB50057-2010) </w:t>
      </w:r>
    </w:p>
    <w:p w14:paraId="030BF40D">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《电力工程电缆设计标准》(GB50217-2018)</w:t>
      </w:r>
    </w:p>
    <w:p w14:paraId="44414E11">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《交流电气装置的接地设计规范》(GB/T 50056-2011)</w:t>
      </w:r>
    </w:p>
    <w:p w14:paraId="104E1E9B">
      <w:pPr>
        <w:widowControl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《城市道路照明设计标准》 (CJJ 45-2015)</w:t>
      </w:r>
    </w:p>
    <w:p w14:paraId="67D5D3DD">
      <w:pPr>
        <w:pageBreakBefore w:val="0"/>
        <w:widowControl/>
        <w:kinsoku/>
        <w:wordWrap w:val="0"/>
        <w:overflowPunct/>
        <w:topLinePunct/>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kern w:val="0"/>
          <w:sz w:val="24"/>
          <w:szCs w:val="24"/>
        </w:rPr>
        <w:t>2.项目用地情况</w:t>
      </w:r>
    </w:p>
    <w:p w14:paraId="28CF00A8">
      <w:pPr>
        <w:pageBreakBefore w:val="0"/>
        <w:widowControl w:val="0"/>
        <w:kinsoku/>
        <w:overflowPunct/>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公交375场站改建落客区后，总占地面积4962.7平方米，其中车行道面积约2435平方米，市政人行道面积约166.2平方米，广场铺装面积613.25平方米， 场地内景观绿化面积119.72平方米，既有建筑占地面积425.3平方米，其他区域硬化面积1203.23平方米。</w:t>
      </w:r>
    </w:p>
    <w:p w14:paraId="4C08C8B0">
      <w:pPr>
        <w:pageBreakBefore w:val="0"/>
        <w:widowControl/>
        <w:kinsoku/>
        <w:wordWrap w:val="0"/>
        <w:overflowPunct/>
        <w:topLinePunct/>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0"/>
        </w:rPr>
        <w:t>（</w:t>
      </w:r>
      <w:r>
        <w:rPr>
          <w:rFonts w:hint="eastAsia" w:asciiTheme="minorEastAsia" w:hAnsiTheme="minorEastAsia" w:eastAsiaTheme="minorEastAsia" w:cstheme="minorEastAsia"/>
          <w:kern w:val="0"/>
          <w:sz w:val="24"/>
          <w:szCs w:val="20"/>
          <w:lang w:val="en-US" w:eastAsia="zh-CN"/>
        </w:rPr>
        <w:t>三</w:t>
      </w:r>
      <w:r>
        <w:rPr>
          <w:rFonts w:hint="eastAsia" w:asciiTheme="minorEastAsia" w:hAnsiTheme="minorEastAsia" w:eastAsiaTheme="minorEastAsia" w:cstheme="minorEastAsia"/>
          <w:kern w:val="0"/>
          <w:sz w:val="24"/>
          <w:szCs w:val="20"/>
        </w:rPr>
        <w:t>）</w:t>
      </w:r>
      <w:r>
        <w:rPr>
          <w:rFonts w:hint="eastAsia" w:asciiTheme="minorEastAsia" w:hAnsiTheme="minorEastAsia" w:eastAsiaTheme="minorEastAsia" w:cstheme="minorEastAsia"/>
          <w:kern w:val="0"/>
          <w:sz w:val="24"/>
          <w:szCs w:val="20"/>
          <w:lang w:val="en-US" w:eastAsia="zh-CN"/>
        </w:rPr>
        <w:t>建设方案</w:t>
      </w:r>
      <w:r>
        <w:rPr>
          <w:rFonts w:hint="eastAsia" w:asciiTheme="minorEastAsia" w:hAnsiTheme="minorEastAsia" w:eastAsiaTheme="minorEastAsia" w:cstheme="minorEastAsia"/>
          <w:kern w:val="0"/>
          <w:sz w:val="24"/>
          <w:szCs w:val="20"/>
        </w:rPr>
        <w:t>要求</w:t>
      </w:r>
    </w:p>
    <w:p w14:paraId="5098F6B1">
      <w:pPr>
        <w:pageBreakBefore w:val="0"/>
        <w:widowControl/>
        <w:kinsoku/>
        <w:wordWrap w:val="0"/>
        <w:overflowPunct/>
        <w:topLinePunct/>
        <w:autoSpaceDE/>
        <w:autoSpaceDN/>
        <w:bidi w:val="0"/>
        <w:adjustRightInd w:val="0"/>
        <w:snapToGrid w:val="0"/>
        <w:spacing w:line="360" w:lineRule="auto"/>
        <w:ind w:firstLine="482" w:firstLineChars="200"/>
        <w:textAlignment w:val="auto"/>
        <w:rPr>
          <w:rFonts w:hint="eastAsia" w:asciiTheme="minorEastAsia" w:hAnsiTheme="minorEastAsia" w:eastAsiaTheme="minorEastAsia" w:cstheme="minorEastAsia"/>
          <w:b/>
          <w:bCs/>
          <w:kern w:val="0"/>
          <w:sz w:val="24"/>
          <w:szCs w:val="24"/>
          <w:lang w:val="en-US" w:eastAsia="zh-CN"/>
        </w:rPr>
      </w:pPr>
      <w:bookmarkStart w:id="666" w:name="_Toc22009"/>
      <w:r>
        <w:rPr>
          <w:rFonts w:hint="eastAsia" w:asciiTheme="minorEastAsia" w:hAnsiTheme="minorEastAsia" w:eastAsiaTheme="minorEastAsia" w:cstheme="minorEastAsia"/>
          <w:b/>
          <w:bCs/>
          <w:kern w:val="0"/>
          <w:sz w:val="24"/>
          <w:szCs w:val="24"/>
          <w:lang w:val="en-US" w:eastAsia="zh-CN"/>
        </w:rPr>
        <w:t>交通工程</w:t>
      </w:r>
      <w:bookmarkEnd w:id="666"/>
    </w:p>
    <w:p w14:paraId="190E0AC1">
      <w:pPr>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1、全线慢行交通设计</w:t>
      </w:r>
    </w:p>
    <w:p w14:paraId="0392B4AC">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（1）慢行交通设置原则</w:t>
      </w:r>
    </w:p>
    <w:p w14:paraId="7B5E2105">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lang w:eastAsia="zh-CN"/>
        </w:rPr>
      </w:pPr>
      <w:r>
        <w:rPr>
          <w:rFonts w:hint="eastAsia" w:asciiTheme="minorEastAsia" w:hAnsiTheme="minorEastAsia" w:eastAsiaTheme="minorEastAsia" w:cstheme="minorEastAsia"/>
          <w:color w:val="000000"/>
          <w:sz w:val="24"/>
          <w:szCs w:val="24"/>
          <w:highlight w:val="none"/>
        </w:rPr>
        <w:t>1）行人：落客区域全线连续设置人行道，人行道净宽度最窄不小于5.1m</w:t>
      </w:r>
      <w:r>
        <w:rPr>
          <w:rFonts w:hint="eastAsia" w:asciiTheme="minorEastAsia" w:hAnsiTheme="minorEastAsia" w:eastAsiaTheme="minorEastAsia" w:cstheme="minorEastAsia"/>
          <w:sz w:val="24"/>
          <w:szCs w:val="24"/>
          <w:lang w:eastAsia="zh-CN"/>
        </w:rPr>
        <w:t>。</w:t>
      </w:r>
    </w:p>
    <w:p w14:paraId="24795D5B">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2）非机动车：落客区内禁止非机动车驶入。</w:t>
      </w:r>
    </w:p>
    <w:p w14:paraId="015008B1">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3）无障碍：充分考虑婴幼儿推车、残障人士及老年人轮椅等爬坡需求，连续设置盲道，确保创造良好的无障碍条件。</w:t>
      </w:r>
    </w:p>
    <w:p w14:paraId="45D55F35">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减速带</w:t>
      </w:r>
      <w:r>
        <w:rPr>
          <w:rFonts w:hint="eastAsia" w:asciiTheme="minorEastAsia" w:hAnsiTheme="minorEastAsia" w:eastAsiaTheme="minorEastAsia" w:cstheme="minorEastAsia"/>
          <w:color w:val="000000"/>
          <w:sz w:val="24"/>
          <w:szCs w:val="24"/>
          <w:highlight w:val="none"/>
          <w:lang w:eastAsia="zh-CN"/>
        </w:rPr>
        <w:t>：</w:t>
      </w:r>
      <w:r>
        <w:rPr>
          <w:rFonts w:hint="eastAsia" w:asciiTheme="minorEastAsia" w:hAnsiTheme="minorEastAsia" w:eastAsiaTheme="minorEastAsia" w:cstheme="minorEastAsia"/>
          <w:color w:val="000000"/>
          <w:sz w:val="24"/>
          <w:szCs w:val="24"/>
          <w:highlight w:val="none"/>
        </w:rPr>
        <w:t>落客区内部每隔30m设置减速带，降低车辆行驶速度，保证落客区行人安全。</w:t>
      </w:r>
    </w:p>
    <w:p w14:paraId="184C6282">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lang w:eastAsia="zh-CN"/>
        </w:rPr>
        <w:t>立道牙：人行道与行车道通过</w:t>
      </w:r>
      <w:r>
        <w:rPr>
          <w:rFonts w:hint="eastAsia" w:asciiTheme="minorEastAsia" w:hAnsiTheme="minorEastAsia" w:eastAsiaTheme="minorEastAsia" w:cstheme="minorEastAsia"/>
          <w:color w:val="000000"/>
          <w:sz w:val="24"/>
          <w:szCs w:val="24"/>
          <w:highlight w:val="none"/>
          <w:lang w:val="en-US" w:eastAsia="zh-CN"/>
        </w:rPr>
        <w:t>15cm高立缘石衔接，满足防冲撞需要，降低行人安全隐患。</w:t>
      </w:r>
    </w:p>
    <w:p w14:paraId="4A95A17B">
      <w:pPr>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2、道路交通标志设计</w:t>
      </w:r>
    </w:p>
    <w:p w14:paraId="4191FA40">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（1）标志设计原则</w:t>
      </w:r>
    </w:p>
    <w:p w14:paraId="019FAEF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设置交通标志的目的是确保交通畅通和行车安全，交通标志的设置应结合道路线形、交通状况、相交道路、沿线设施等情况综合考虑，确保向道路使用者提供正确的、及时的信息。本工程主要遵循以下原则布设：</w:t>
      </w:r>
    </w:p>
    <w:p w14:paraId="42F485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1）以完全不熟悉本路段及周围路网体系的司机为设计对象；</w:t>
      </w:r>
    </w:p>
    <w:p w14:paraId="3F57A4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2）充分考虑交通标志的总体布局，防止出现信息不足或重复现象；</w:t>
      </w:r>
    </w:p>
    <w:p w14:paraId="003255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3）交通标志设置的位置需留有足够的前置距离和给驾驶员充分的采取行动的时间；</w:t>
      </w:r>
    </w:p>
    <w:p w14:paraId="1D31A0C5">
      <w:pPr>
        <w:keepNext w:val="0"/>
        <w:keepLines w:val="0"/>
        <w:pageBreakBefore w:val="0"/>
        <w:widowControl w:val="0"/>
        <w:numPr>
          <w:ilvl w:val="255"/>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4）交通标志设在道路使用者最容易看见的地方；</w:t>
      </w:r>
    </w:p>
    <w:p w14:paraId="11B302E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5）标志的结构设计体现“充分满足功能要求、尽量降低造价并尽量考虑美观”的原则。</w:t>
      </w:r>
    </w:p>
    <w:p w14:paraId="382C82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（2）标志设置及方式</w:t>
      </w:r>
    </w:p>
    <w:p w14:paraId="2721237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1）标志设置</w:t>
      </w:r>
    </w:p>
    <w:p w14:paraId="43DD2922">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交通标志设置的位置及主要内容包括：</w:t>
      </w:r>
    </w:p>
    <w:p w14:paraId="48341FB9">
      <w:pPr>
        <w:pageBreakBefore w:val="0"/>
        <w:numPr>
          <w:ilvl w:val="0"/>
          <w:numId w:val="18"/>
        </w:numPr>
        <w:kinsoku/>
        <w:wordWrap/>
        <w:overflowPunct/>
        <w:topLinePunct w:val="0"/>
        <w:autoSpaceDE/>
        <w:autoSpaceDN/>
        <w:bidi w:val="0"/>
        <w:spacing w:line="360" w:lineRule="auto"/>
        <w:ind w:left="951" w:firstLine="0" w:firstLineChars="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落客区入口与出口交通指示牌</w:t>
      </w:r>
    </w:p>
    <w:p w14:paraId="71F33C8F">
      <w:pPr>
        <w:pageBreakBefore w:val="0"/>
        <w:numPr>
          <w:ilvl w:val="0"/>
          <w:numId w:val="18"/>
        </w:numPr>
        <w:kinsoku/>
        <w:wordWrap/>
        <w:overflowPunct/>
        <w:topLinePunct w:val="0"/>
        <w:autoSpaceDE/>
        <w:autoSpaceDN/>
        <w:bidi w:val="0"/>
        <w:spacing w:line="360" w:lineRule="auto"/>
        <w:ind w:left="951" w:firstLine="0" w:firstLineChars="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落客区内部车道指示牌、人行指示牌</w:t>
      </w:r>
    </w:p>
    <w:p w14:paraId="77E49AC8">
      <w:pPr>
        <w:pageBreakBefore w:val="0"/>
        <w:numPr>
          <w:ilvl w:val="0"/>
          <w:numId w:val="18"/>
        </w:numPr>
        <w:kinsoku/>
        <w:wordWrap/>
        <w:overflowPunct/>
        <w:topLinePunct w:val="0"/>
        <w:autoSpaceDE/>
        <w:autoSpaceDN/>
        <w:bidi w:val="0"/>
        <w:spacing w:line="360" w:lineRule="auto"/>
        <w:ind w:left="951" w:firstLine="0" w:firstLineChars="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限时停车指示牌</w:t>
      </w:r>
    </w:p>
    <w:p w14:paraId="7A6E923F">
      <w:pPr>
        <w:pageBreakBefore w:val="0"/>
        <w:numPr>
          <w:ilvl w:val="0"/>
          <w:numId w:val="18"/>
        </w:numPr>
        <w:kinsoku/>
        <w:wordWrap/>
        <w:overflowPunct/>
        <w:topLinePunct w:val="0"/>
        <w:autoSpaceDE/>
        <w:autoSpaceDN/>
        <w:bidi w:val="0"/>
        <w:spacing w:line="360" w:lineRule="auto"/>
        <w:ind w:left="951" w:firstLine="0" w:firstLineChars="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入口禁止人行指示牌</w:t>
      </w:r>
    </w:p>
    <w:p w14:paraId="18524895">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2）标志的设置方式、功能</w:t>
      </w:r>
    </w:p>
    <w:p w14:paraId="347D9BD5">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本次设计中，交通标志共设置了3类，即警告标志、禁令标志和指路标志。警告标志的颜色为黄底、黑边、黑图案，形状为等边三角形，顶角朝上。禁令标志版面为圆形，其颜色为白底、红边、黑图案、黑字符、白衬边。指路标志为蓝底、白图案、白字符、白边框。标志字符均使用A型交通标志专用字体。其它标志的形状、图案、颜色等应严格执行相关规范。</w:t>
      </w:r>
    </w:p>
    <w:p w14:paraId="01681C14">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为了满足驾驶员对标志信息的视认要求，指路标志汉字高度为35cm。指路标志板面基本为统一规格。标志的版面设计按相关规范有关规定执行。</w:t>
      </w:r>
    </w:p>
    <w:p w14:paraId="4C791DB2">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版面尺寸是按不同版面内容确定的，尽量达到统一，汉字间隔、笔划粗度、最小行距边距等均以国标为依据。为使标志版面更加美观，以增加文字的视认效果，在版面边缘处设有与字符反光颜色相同的边框。各种版面尺寸、内容、边框在标志版面上的位置及边框的取值详见标志版面设计。</w:t>
      </w:r>
    </w:p>
    <w:p w14:paraId="5CC52638">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标志牌支撑形式为单柱式、悬臂式（与路灯杆共杆设置）及附着式三种。</w:t>
      </w:r>
    </w:p>
    <w:p w14:paraId="2FB2B820">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标志基础埋设在路缘石外侧，标志基础内侧不得侵占路缘石，并与路缘石外边缘平齐。标志板距离路面不小于25cm。</w:t>
      </w:r>
    </w:p>
    <w:p w14:paraId="0C470E2E">
      <w:pPr>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3、道路交通标线设计</w:t>
      </w:r>
    </w:p>
    <w:p w14:paraId="493E1406">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标线的作用是管制和引导交通，并与标志相配合，诱导交通行驶方向，指引车辆驶入合适的车道，加强行驶纪律和秩序，减少事故。本次设计中，交通标线共分9种：</w:t>
      </w:r>
    </w:p>
    <w:p w14:paraId="17B853D2">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（1）车行道边缘线，白实线，线宽0.15m，设置于道路边缘。</w:t>
      </w:r>
    </w:p>
    <w:p w14:paraId="50DAE253">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（2）可跨越同向车道分界线，白虚线，线宽0.15m，设置于车行道与车行道之间，白虚线为2m线长4m间隔的“2－4线”。</w:t>
      </w:r>
    </w:p>
    <w:p w14:paraId="0D45277D">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（3）导向车道线，设置于路口驶入段的车行道分界线称作导向车道线，用以指示车辆应按导向方向行驶的导向车道的位置。白色实线，线宽为15cm，交叉口导向车道线长为30m。</w:t>
      </w:r>
    </w:p>
    <w:p w14:paraId="21690AE0">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（4）导向箭头：白色，长300cm。用以表示车辆的行驶方向。</w:t>
      </w:r>
    </w:p>
    <w:p w14:paraId="21E2F6A3">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（5）停止线：白色实线，宽度为40cm。设在灯控路口，距人行横道300cm，表示车辆等候放行的停车位置。</w:t>
      </w:r>
    </w:p>
    <w:p w14:paraId="0D16E2F3">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（6）人行横道线：一组白色平行实线，线宽0.4m，线长5m，线间净距0.6m。设置于交叉口行人过街的位置。</w:t>
      </w:r>
    </w:p>
    <w:p w14:paraId="2F1342B5">
      <w:pPr>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（7）导流线：颜色为白色。标线形式为斜纹线。外围线宽15cm，内部填充线宽为45cm，间隔100cm，倾斜角为45度。表示车辆需按规定的路线行驶，不得压线或越线行驶。</w:t>
      </w:r>
    </w:p>
    <w:p w14:paraId="684E2B2D">
      <w:pPr>
        <w:keepNext/>
        <w:keepLines/>
        <w:pageBreakBefore w:val="0"/>
        <w:widowControl w:val="0"/>
        <w:numPr>
          <w:ilvl w:val="2"/>
          <w:numId w:val="0"/>
        </w:numPr>
        <w:kinsoku/>
        <w:wordWrap/>
        <w:overflowPunct/>
        <w:topLinePunct w:val="0"/>
        <w:autoSpaceDE/>
        <w:autoSpaceDN/>
        <w:bidi w:val="0"/>
        <w:spacing w:after="0" w:afterLines="0" w:line="360" w:lineRule="auto"/>
        <w:ind w:firstLine="482" w:firstLineChars="200"/>
        <w:jc w:val="both"/>
        <w:textAlignment w:val="auto"/>
        <w:outlineLvl w:val="2"/>
        <w:rPr>
          <w:rFonts w:hint="eastAsia" w:asciiTheme="minorEastAsia" w:hAnsiTheme="minorEastAsia" w:eastAsiaTheme="minorEastAsia" w:cstheme="minorEastAsia"/>
          <w:b/>
          <w:bCs/>
          <w:color w:val="000000"/>
          <w:kern w:val="2"/>
          <w:sz w:val="24"/>
          <w:szCs w:val="24"/>
          <w:highlight w:val="none"/>
          <w:lang w:val="en-US" w:eastAsia="zh-CN" w:bidi="ar-SA"/>
        </w:rPr>
      </w:pPr>
      <w:bookmarkStart w:id="667" w:name="_Toc28425"/>
      <w:r>
        <w:rPr>
          <w:rFonts w:hint="eastAsia" w:asciiTheme="minorEastAsia" w:hAnsiTheme="minorEastAsia" w:eastAsiaTheme="minorEastAsia" w:cstheme="minorEastAsia"/>
          <w:b/>
          <w:bCs/>
          <w:color w:val="000000"/>
          <w:kern w:val="2"/>
          <w:sz w:val="24"/>
          <w:szCs w:val="24"/>
          <w:highlight w:val="none"/>
          <w:lang w:val="en-US" w:eastAsia="zh-CN" w:bidi="ar-SA"/>
        </w:rPr>
        <w:t>建筑工程</w:t>
      </w:r>
      <w:bookmarkEnd w:id="667"/>
    </w:p>
    <w:p w14:paraId="12155349">
      <w:pPr>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1、建筑概况</w:t>
      </w:r>
    </w:p>
    <w:p w14:paraId="41618EB6">
      <w:pPr>
        <w:pStyle w:val="264"/>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场地小楼西侧108米长、1.6米高护栏需除锈刷漆，北侧围栏除锈刷漆加装铁皮围挡66.</w:t>
      </w:r>
      <w:r>
        <w:rPr>
          <w:rFonts w:hint="eastAsia" w:asciiTheme="minorEastAsia" w:hAnsiTheme="minorEastAsia" w:eastAsiaTheme="minorEastAsia" w:cstheme="minorEastAsia"/>
          <w:sz w:val="24"/>
          <w:szCs w:val="24"/>
          <w:highlight w:val="none"/>
          <w:lang w:val="en-US" w:eastAsia="zh-CN"/>
        </w:rPr>
        <w:t>95</w:t>
      </w:r>
      <w:r>
        <w:rPr>
          <w:rFonts w:hint="eastAsia" w:asciiTheme="minorEastAsia" w:hAnsiTheme="minorEastAsia" w:eastAsiaTheme="minorEastAsia" w:cstheme="minorEastAsia"/>
          <w:sz w:val="24"/>
          <w:szCs w:val="24"/>
          <w:highlight w:val="none"/>
        </w:rPr>
        <w:t>米，其中刷漆围栏2.0m高，新加围挡2.5高。新建0.3m高矮墙+1.6m高围栏</w:t>
      </w:r>
      <w:r>
        <w:rPr>
          <w:rFonts w:hint="eastAsia" w:asciiTheme="minorEastAsia" w:hAnsiTheme="minorEastAsia" w:eastAsiaTheme="minorEastAsia" w:cstheme="minorEastAsia"/>
          <w:sz w:val="24"/>
          <w:szCs w:val="24"/>
          <w:highlight w:val="none"/>
          <w:lang w:val="en-US" w:eastAsia="zh-CN"/>
        </w:rPr>
        <w:t>13.03</w:t>
      </w:r>
      <w:r>
        <w:rPr>
          <w:rFonts w:hint="eastAsia" w:asciiTheme="minorEastAsia" w:hAnsiTheme="minorEastAsia" w:eastAsiaTheme="minorEastAsia" w:cstheme="minorEastAsia"/>
          <w:sz w:val="24"/>
          <w:szCs w:val="24"/>
          <w:highlight w:val="none"/>
        </w:rPr>
        <w:t>米长。拆除狗笼处西侧现状</w:t>
      </w:r>
      <w:r>
        <w:rPr>
          <w:rFonts w:hint="eastAsia" w:asciiTheme="minorEastAsia" w:hAnsiTheme="minorEastAsia" w:eastAsiaTheme="minorEastAsia" w:cstheme="minorEastAsia"/>
          <w:sz w:val="24"/>
          <w:szCs w:val="24"/>
          <w:highlight w:val="none"/>
          <w:lang w:val="en-US" w:eastAsia="zh-CN"/>
        </w:rPr>
        <w:t>2.2</w:t>
      </w:r>
      <w:r>
        <w:rPr>
          <w:rFonts w:hint="eastAsia" w:asciiTheme="minorEastAsia" w:hAnsiTheme="minorEastAsia" w:eastAsiaTheme="minorEastAsia" w:cstheme="minorEastAsia"/>
          <w:sz w:val="24"/>
          <w:szCs w:val="24"/>
          <w:highlight w:val="none"/>
        </w:rPr>
        <w:t>米高挡墙与护栏29.</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米长。新建狗笼处西侧挡墙水泥抹面，顶部加1.6m高护栏29.</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米长。拆除道路1.2m高东挡土矮墙</w:t>
      </w:r>
      <w:r>
        <w:rPr>
          <w:rFonts w:hint="eastAsia" w:asciiTheme="minorEastAsia" w:hAnsiTheme="minorEastAsia" w:eastAsiaTheme="minorEastAsia" w:cstheme="minorEastAsia"/>
          <w:sz w:val="24"/>
          <w:szCs w:val="24"/>
          <w:highlight w:val="none"/>
          <w:lang w:val="en-US" w:eastAsia="zh-CN"/>
        </w:rPr>
        <w:t>183</w:t>
      </w:r>
      <w:r>
        <w:rPr>
          <w:rFonts w:hint="eastAsia" w:asciiTheme="minorEastAsia" w:hAnsiTheme="minorEastAsia" w:eastAsiaTheme="minorEastAsia" w:cstheme="minorEastAsia"/>
          <w:sz w:val="24"/>
          <w:szCs w:val="24"/>
          <w:highlight w:val="none"/>
        </w:rPr>
        <w:t>米长，新建道路1.2m高东挡土矮墙</w:t>
      </w:r>
      <w:r>
        <w:rPr>
          <w:rFonts w:hint="eastAsia" w:asciiTheme="minorEastAsia" w:hAnsiTheme="minorEastAsia" w:eastAsiaTheme="minorEastAsia" w:cstheme="minorEastAsia"/>
          <w:sz w:val="24"/>
          <w:szCs w:val="24"/>
          <w:highlight w:val="none"/>
          <w:lang w:val="en-US" w:eastAsia="zh-CN"/>
        </w:rPr>
        <w:t>145.4</w:t>
      </w:r>
      <w:r>
        <w:rPr>
          <w:rFonts w:hint="eastAsia" w:asciiTheme="minorEastAsia" w:hAnsiTheme="minorEastAsia" w:eastAsiaTheme="minorEastAsia" w:cstheme="minorEastAsia"/>
          <w:sz w:val="24"/>
          <w:szCs w:val="24"/>
          <w:highlight w:val="none"/>
        </w:rPr>
        <w:t>米长。修整道路1.0m高东挡土矮墙</w:t>
      </w:r>
      <w:r>
        <w:rPr>
          <w:rFonts w:hint="eastAsia" w:asciiTheme="minorEastAsia" w:hAnsiTheme="minorEastAsia" w:eastAsiaTheme="minorEastAsia" w:cstheme="minorEastAsia"/>
          <w:sz w:val="24"/>
          <w:szCs w:val="24"/>
          <w:highlight w:val="none"/>
          <w:lang w:val="en-US" w:eastAsia="zh-CN"/>
        </w:rPr>
        <w:t>44.8米</w:t>
      </w:r>
      <w:r>
        <w:rPr>
          <w:rFonts w:hint="eastAsia" w:asciiTheme="minorEastAsia" w:hAnsiTheme="minorEastAsia" w:eastAsiaTheme="minorEastAsia" w:cstheme="minorEastAsia"/>
          <w:sz w:val="24"/>
          <w:szCs w:val="24"/>
          <w:highlight w:val="none"/>
        </w:rPr>
        <w:t>长，拆除出口处绿地内1.0m高矮墙8.86米长，拆除南侧与站前广场连接处的2米高栏杆</w:t>
      </w:r>
      <w:r>
        <w:rPr>
          <w:rFonts w:hint="eastAsia" w:asciiTheme="minorEastAsia" w:hAnsiTheme="minorEastAsia" w:eastAsiaTheme="minorEastAsia" w:cstheme="minorEastAsia"/>
          <w:sz w:val="24"/>
          <w:szCs w:val="24"/>
          <w:highlight w:val="none"/>
          <w:lang w:eastAsia="zh-CN"/>
        </w:rPr>
        <w:t>及矮墙</w:t>
      </w:r>
      <w:r>
        <w:rPr>
          <w:rFonts w:hint="eastAsia" w:asciiTheme="minorEastAsia" w:hAnsiTheme="minorEastAsia" w:eastAsiaTheme="minorEastAsia" w:cstheme="minorEastAsia"/>
          <w:sz w:val="24"/>
          <w:szCs w:val="24"/>
          <w:highlight w:val="none"/>
          <w:lang w:val="en-US" w:eastAsia="zh-CN"/>
        </w:rPr>
        <w:t>30</w:t>
      </w:r>
      <w:r>
        <w:rPr>
          <w:rFonts w:hint="eastAsia" w:asciiTheme="minorEastAsia" w:hAnsiTheme="minorEastAsia" w:eastAsiaTheme="minorEastAsia" w:cstheme="minorEastAsia"/>
          <w:sz w:val="24"/>
          <w:szCs w:val="24"/>
          <w:highlight w:val="none"/>
        </w:rPr>
        <w:t>米长。</w:t>
      </w:r>
    </w:p>
    <w:p w14:paraId="7964B434">
      <w:pPr>
        <w:pStyle w:val="264"/>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路西侧需灌溉，种植海棠，地被种植大叶黄杨篱及马蔺115.2平方米，小楼刷漆面积</w:t>
      </w:r>
      <w:r>
        <w:rPr>
          <w:rFonts w:hint="eastAsia" w:asciiTheme="minorEastAsia" w:hAnsiTheme="minorEastAsia" w:eastAsiaTheme="minorEastAsia" w:cstheme="minorEastAsia"/>
          <w:sz w:val="24"/>
          <w:szCs w:val="24"/>
          <w:highlight w:val="none"/>
          <w:lang w:val="en-US" w:eastAsia="zh-CN"/>
        </w:rPr>
        <w:t>575.28</w:t>
      </w:r>
      <w:r>
        <w:rPr>
          <w:rFonts w:hint="eastAsia" w:asciiTheme="minorEastAsia" w:hAnsiTheme="minorEastAsia" w:eastAsiaTheme="minorEastAsia" w:cstheme="minorEastAsia"/>
          <w:sz w:val="24"/>
          <w:szCs w:val="24"/>
          <w:highlight w:val="none"/>
        </w:rPr>
        <w:t>平方米，</w:t>
      </w:r>
      <w:r>
        <w:rPr>
          <w:rFonts w:hint="eastAsia" w:asciiTheme="minorEastAsia" w:hAnsiTheme="minorEastAsia" w:eastAsiaTheme="minorEastAsia" w:cstheme="minorEastAsia"/>
          <w:sz w:val="24"/>
          <w:szCs w:val="24"/>
          <w:highlight w:val="none"/>
          <w:lang w:eastAsia="zh-CN"/>
        </w:rPr>
        <w:t>入口管理</w:t>
      </w:r>
      <w:r>
        <w:rPr>
          <w:rFonts w:hint="eastAsia" w:asciiTheme="minorEastAsia" w:hAnsiTheme="minorEastAsia" w:eastAsiaTheme="minorEastAsia" w:cstheme="minorEastAsia"/>
          <w:sz w:val="24"/>
          <w:szCs w:val="24"/>
          <w:highlight w:val="none"/>
        </w:rPr>
        <w:t>岗亭2米长、1.8米宽，设置1个灯箱标识，设置排水篦子500mm*500mm*150.0米长，</w:t>
      </w:r>
      <w:r>
        <w:rPr>
          <w:rFonts w:hint="eastAsia" w:asciiTheme="minorEastAsia" w:hAnsiTheme="minorEastAsia" w:eastAsiaTheme="minorEastAsia" w:cstheme="minorEastAsia"/>
          <w:sz w:val="24"/>
          <w:szCs w:val="24"/>
          <w:highlight w:val="none"/>
          <w:lang w:eastAsia="zh-CN"/>
        </w:rPr>
        <w:t>石材铺装面积</w:t>
      </w:r>
      <w:r>
        <w:rPr>
          <w:rFonts w:hint="eastAsia" w:asciiTheme="minorEastAsia" w:hAnsiTheme="minorEastAsia" w:eastAsiaTheme="minorEastAsia" w:cstheme="minorEastAsia"/>
          <w:sz w:val="24"/>
          <w:szCs w:val="24"/>
          <w:highlight w:val="none"/>
          <w:lang w:val="en-US" w:eastAsia="zh-CN"/>
        </w:rPr>
        <w:t>613.25平方米（包括盲道）。设置盲道</w:t>
      </w:r>
      <w:r>
        <w:rPr>
          <w:rFonts w:hint="eastAsia" w:asciiTheme="minorEastAsia" w:hAnsiTheme="minorEastAsia" w:eastAsiaTheme="minorEastAsia" w:cstheme="minorEastAsia"/>
          <w:sz w:val="24"/>
          <w:szCs w:val="24"/>
          <w:highlight w:val="none"/>
        </w:rPr>
        <w:t>400mm*400mm</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125.53米。</w:t>
      </w:r>
    </w:p>
    <w:p w14:paraId="29EEE55C">
      <w:pPr>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lang w:val="en-US" w:eastAsia="zh-CN"/>
        </w:rPr>
        <w:t>2、景观平面</w:t>
      </w:r>
      <w:r>
        <w:rPr>
          <w:rFonts w:hint="eastAsia" w:asciiTheme="minorEastAsia" w:hAnsiTheme="minorEastAsia" w:eastAsiaTheme="minorEastAsia" w:cstheme="minorEastAsia"/>
          <w:sz w:val="24"/>
          <w:szCs w:val="24"/>
        </w:rPr>
        <w:drawing>
          <wp:anchor distT="0" distB="0" distL="114935" distR="114935" simplePos="0" relativeHeight="251664384" behindDoc="0" locked="0" layoutInCell="1" allowOverlap="1">
            <wp:simplePos x="0" y="0"/>
            <wp:positionH relativeFrom="column">
              <wp:posOffset>128905</wp:posOffset>
            </wp:positionH>
            <wp:positionV relativeFrom="paragraph">
              <wp:posOffset>494030</wp:posOffset>
            </wp:positionV>
            <wp:extent cx="5645785" cy="2981325"/>
            <wp:effectExtent l="0" t="0" r="12065" b="9525"/>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4"/>
                    <a:stretch>
                      <a:fillRect/>
                    </a:stretch>
                  </pic:blipFill>
                  <pic:spPr>
                    <a:xfrm>
                      <a:off x="0" y="0"/>
                      <a:ext cx="5645785" cy="2981325"/>
                    </a:xfrm>
                    <a:prstGeom prst="rect">
                      <a:avLst/>
                    </a:prstGeom>
                    <a:noFill/>
                    <a:ln>
                      <a:noFill/>
                    </a:ln>
                  </pic:spPr>
                </pic:pic>
              </a:graphicData>
            </a:graphic>
          </wp:anchor>
        </w:drawing>
      </w:r>
    </w:p>
    <w:p w14:paraId="62F1FD84">
      <w:pPr>
        <w:pStyle w:val="264"/>
        <w:pageBreakBefore w:val="0"/>
        <w:kinsoku/>
        <w:wordWrap/>
        <w:overflowPunct/>
        <w:topLinePunct w:val="0"/>
        <w:autoSpaceDE/>
        <w:autoSpaceDN/>
        <w:bidi w:val="0"/>
        <w:spacing w:line="240" w:lineRule="auto"/>
        <w:jc w:val="center"/>
        <w:rPr>
          <w:rFonts w:hint="eastAsia" w:asciiTheme="minorEastAsia" w:hAnsiTheme="minorEastAsia" w:eastAsiaTheme="minorEastAsia" w:cstheme="minorEastAsia"/>
          <w:b w:val="0"/>
          <w:bCs w:val="0"/>
          <w:sz w:val="24"/>
          <w:szCs w:val="24"/>
          <w:highlight w:val="none"/>
        </w:rPr>
      </w:pPr>
      <w:r>
        <w:rPr>
          <w:rFonts w:hint="eastAsia" w:asciiTheme="minorEastAsia" w:hAnsiTheme="minorEastAsia" w:eastAsiaTheme="minorEastAsia" w:cstheme="minorEastAsia"/>
          <w:b w:val="0"/>
          <w:bCs w:val="0"/>
          <w:sz w:val="24"/>
          <w:szCs w:val="24"/>
          <w:highlight w:val="none"/>
        </w:rPr>
        <w:t>景观平面图</w:t>
      </w:r>
    </w:p>
    <w:p w14:paraId="3B34C785">
      <w:pPr>
        <w:keepNext/>
        <w:keepLines/>
        <w:pageBreakBefore w:val="0"/>
        <w:widowControl w:val="0"/>
        <w:numPr>
          <w:ilvl w:val="2"/>
          <w:numId w:val="0"/>
        </w:numPr>
        <w:kinsoku/>
        <w:wordWrap/>
        <w:overflowPunct/>
        <w:topLinePunct w:val="0"/>
        <w:autoSpaceDE/>
        <w:autoSpaceDN/>
        <w:bidi w:val="0"/>
        <w:adjustRightInd/>
        <w:snapToGrid/>
        <w:spacing w:line="360" w:lineRule="auto"/>
        <w:ind w:left="426" w:leftChars="202" w:hanging="2" w:hangingChars="1"/>
        <w:jc w:val="both"/>
        <w:textAlignment w:val="auto"/>
        <w:outlineLvl w:val="2"/>
        <w:rPr>
          <w:rFonts w:hint="eastAsia" w:asciiTheme="minorEastAsia" w:hAnsiTheme="minorEastAsia" w:eastAsiaTheme="minorEastAsia" w:cstheme="minorEastAsia"/>
          <w:b/>
          <w:bCs/>
          <w:color w:val="000000"/>
          <w:kern w:val="2"/>
          <w:sz w:val="24"/>
          <w:szCs w:val="24"/>
          <w:highlight w:val="none"/>
          <w:lang w:val="en-US" w:eastAsia="zh-CN" w:bidi="ar-SA"/>
        </w:rPr>
      </w:pPr>
      <w:bookmarkStart w:id="668" w:name="_Toc22499"/>
      <w:bookmarkStart w:id="669" w:name="_Toc26832"/>
      <w:r>
        <w:rPr>
          <w:rFonts w:hint="eastAsia" w:asciiTheme="minorEastAsia" w:hAnsiTheme="minorEastAsia" w:eastAsiaTheme="minorEastAsia" w:cstheme="minorEastAsia"/>
          <w:b/>
          <w:bCs/>
          <w:color w:val="000000"/>
          <w:kern w:val="2"/>
          <w:sz w:val="24"/>
          <w:szCs w:val="24"/>
          <w:highlight w:val="none"/>
          <w:lang w:val="en-US" w:eastAsia="zh-CN" w:bidi="ar-SA"/>
        </w:rPr>
        <w:t>道路工程</w:t>
      </w:r>
      <w:bookmarkEnd w:id="668"/>
    </w:p>
    <w:p w14:paraId="6BD589A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color w:val="000000"/>
          <w:sz w:val="24"/>
          <w:szCs w:val="24"/>
          <w:highlight w:val="none"/>
          <w:lang w:val="en-US" w:eastAsia="zh-CN"/>
        </w:rPr>
        <w:t>1、平面设计</w:t>
      </w:r>
    </w:p>
    <w:p w14:paraId="5A8CE4E1">
      <w:pPr>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sz w:val="24"/>
          <w:szCs w:val="24"/>
          <w:highlight w:val="none"/>
        </w:rPr>
      </w:pPr>
      <w:bookmarkStart w:id="670" w:name="_Hlk178336727"/>
      <w:r>
        <w:rPr>
          <w:rFonts w:hint="eastAsia" w:asciiTheme="minorEastAsia" w:hAnsiTheme="minorEastAsia" w:eastAsiaTheme="minorEastAsia" w:cstheme="minorEastAsia"/>
          <w:color w:val="000000"/>
          <w:sz w:val="24"/>
          <w:szCs w:val="24"/>
          <w:highlight w:val="none"/>
        </w:rPr>
        <w:t>本项目平面线型与现状道路平面方案基本一致，涉及部分现状人行道拆除和和道路路面的新增，同时结合周边现状道路，做好衔接工作。</w:t>
      </w:r>
    </w:p>
    <w:p w14:paraId="38F848A2">
      <w:pPr>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（1）设计原则</w:t>
      </w:r>
    </w:p>
    <w:p w14:paraId="2E28414C">
      <w:pPr>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1）平面设计服从总体规划与城市设计；</w:t>
      </w:r>
    </w:p>
    <w:p w14:paraId="2C20EB64">
      <w:pPr>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2）平面设计尊重交通管理，有利于开发建设；</w:t>
      </w:r>
    </w:p>
    <w:p w14:paraId="0592C698">
      <w:pPr>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3）强调立体线形设计中平、纵、横面的合理配合，路线设计在保证行车安全、舒适、快捷的前提下，结合已建或在建道路的关系、地形地貌、工程地质及地物等控制因素，尽量减少工程量，以获取最大的工程经济效益和最佳的运输经济效果。</w:t>
      </w:r>
    </w:p>
    <w:p w14:paraId="67B8A2B4">
      <w:pPr>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（2）设计内容</w:t>
      </w:r>
    </w:p>
    <w:bookmarkEnd w:id="670"/>
    <w:p w14:paraId="75B4F6BD">
      <w:pPr>
        <w:pStyle w:val="264"/>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bookmarkStart w:id="671" w:name="_Toc134627476"/>
      <w:r>
        <w:rPr>
          <w:rFonts w:hint="eastAsia" w:asciiTheme="minorEastAsia" w:hAnsiTheme="minorEastAsia" w:eastAsiaTheme="minorEastAsia" w:cstheme="minorEastAsia"/>
          <w:sz w:val="24"/>
          <w:szCs w:val="24"/>
          <w:highlight w:val="none"/>
        </w:rPr>
        <w:t>本工程呈南北走向，设计起点为K0+000，坐标X=308519.608，Y=499895.426，北侧入口与南侧出口都与现状西直门外大街衔接，49.5~50.9m，终点为K0+228.525，坐标X=308333.433，Y=499820.42。落客区内道路全长228.5m，设计车速10km/h。</w:t>
      </w:r>
    </w:p>
    <w:p w14:paraId="5AF1C61A">
      <w:pPr>
        <w:pStyle w:val="264"/>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本次设计平面线形主要由直线、圆曲线（半径最大267.5m、最小42.5m）组成。根据《城市道路路线规范》（CJJ193-2012）要求，当圆曲线半径小于等于250m时，应设置加宽，本次道路设计按规范要求进行小半径加宽处理。</w:t>
      </w:r>
    </w:p>
    <w:p w14:paraId="5B333512">
      <w:pPr>
        <w:pStyle w:val="264"/>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北京北站即停即走落客区平面设计方案拆除人行道32.5㎡，拆除后对场地内区域进行合理利用。即停即走落客港湾采用车道边的形式，长度约186米，能同时停放约23辆车(100m标准段车位数14个)。</w:t>
      </w:r>
    </w:p>
    <w:p w14:paraId="529F154E">
      <w:pPr>
        <w:pStyle w:val="264"/>
        <w:keepNext w:val="0"/>
        <w:keepLines w:val="0"/>
        <w:pageBreakBefore w:val="0"/>
        <w:widowControl w:val="0"/>
        <w:kinsoku/>
        <w:wordWrap w:val="0"/>
        <w:overflowPunct/>
        <w:topLinePunct/>
        <w:autoSpaceDE/>
        <w:autoSpaceDN/>
        <w:bidi w:val="0"/>
        <w:adjustRightInd/>
        <w:snapToGrid/>
        <w:spacing w:line="360" w:lineRule="auto"/>
        <w:ind w:left="0" w:leftChars="0" w:firstLine="0" w:firstLineChars="0"/>
        <w:jc w:val="center"/>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drawing>
          <wp:inline distT="0" distB="0" distL="114300" distR="114300">
            <wp:extent cx="5376545" cy="3006725"/>
            <wp:effectExtent l="9525" t="9525" r="24130" b="165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5"/>
                    <a:stretch>
                      <a:fillRect/>
                    </a:stretch>
                  </pic:blipFill>
                  <pic:spPr>
                    <a:xfrm>
                      <a:off x="0" y="0"/>
                      <a:ext cx="5376545" cy="3006725"/>
                    </a:xfrm>
                    <a:prstGeom prst="rect">
                      <a:avLst/>
                    </a:prstGeom>
                    <a:ln w="3175">
                      <a:solidFill>
                        <a:schemeClr val="tx1"/>
                      </a:solidFill>
                    </a:ln>
                  </pic:spPr>
                </pic:pic>
              </a:graphicData>
            </a:graphic>
          </wp:inline>
        </w:drawing>
      </w:r>
    </w:p>
    <w:p w14:paraId="7C2CEE95">
      <w:pPr>
        <w:pStyle w:val="264"/>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北京北站落客区平面示意图</w:t>
      </w:r>
    </w:p>
    <w:p w14:paraId="30785AB1">
      <w:pPr>
        <w:pageBreakBefore w:val="0"/>
        <w:widowControl w:val="0"/>
        <w:numPr>
          <w:ilvl w:val="0"/>
          <w:numId w:val="19"/>
        </w:numPr>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纵断面设计</w:t>
      </w:r>
    </w:p>
    <w:p w14:paraId="4CD4D2F7">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道路纵断面设计拟合道路现状，同时综合考虑与相交道路的衔接关系，保证行车安全、舒适、纵坡缓顺、路面排水通畅、沿线环境、景观协调。</w:t>
      </w:r>
    </w:p>
    <w:p w14:paraId="35327A04">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（1）设计原则</w:t>
      </w:r>
    </w:p>
    <w:p w14:paraId="7FCAD2C9">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1）道路平、纵线形的技术指标应大小均衡，相互重合，且平曲线应包住竖曲线，使线形在视觉上、心理上保持协调；</w:t>
      </w:r>
    </w:p>
    <w:p w14:paraId="1FFBFBF7">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2）纵断面设计应当参照城市规划控制标高，应适应临街立面布置，确保沿街范围内地面上雨水迅速排除；</w:t>
      </w:r>
    </w:p>
    <w:p w14:paraId="28ECB70D">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3）为确保车辆能以一定的速度安全、舒适地行驶，纵坡应当具有一定的平顺性，起伏不宜过大或者过于频繁；</w:t>
      </w:r>
    </w:p>
    <w:p w14:paraId="52BC2728">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4）纵坡设计应尽量考虑施工中的土方平衡，最大限度减少废方和借方，从而降低工程造价、节省土地；</w:t>
      </w:r>
    </w:p>
    <w:p w14:paraId="01D6C2E1">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5）道路纵坡度在有条件处尽量大于0.5％，以利于路面排水；</w:t>
      </w:r>
    </w:p>
    <w:p w14:paraId="0456C9E3">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6）与相交道路做好设计衔接和预留工作，保证道路全线线形满足技术标准要求。</w:t>
      </w:r>
    </w:p>
    <w:p w14:paraId="52EC29FD">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（2）控制因素</w:t>
      </w:r>
    </w:p>
    <w:p w14:paraId="15AA75DC">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1）满足相应设计速度的纵断面技术指标，保证车辆的行驶安全、通畅和舒适；</w:t>
      </w:r>
    </w:p>
    <w:p w14:paraId="188AD2CD">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2）道路沿线地坪现状及规划控制标高；</w:t>
      </w:r>
    </w:p>
    <w:p w14:paraId="776A2896">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3）相交道路交叉口控制标高，包括现状和规划路口标高；</w:t>
      </w:r>
    </w:p>
    <w:p w14:paraId="181317E9">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4）道路最小排水纵坡要求或各类管线埋深要求；</w:t>
      </w:r>
    </w:p>
    <w:p w14:paraId="0DC9B2D0">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5）与后续工程设计纵坡和设计标高做好衔接预留；</w:t>
      </w:r>
    </w:p>
    <w:p w14:paraId="71F6696A">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（3）设计内容</w:t>
      </w:r>
    </w:p>
    <w:p w14:paraId="762D1F44">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拟合道路现状纵断面。</w:t>
      </w:r>
    </w:p>
    <w:p w14:paraId="02E05EF0">
      <w:pPr>
        <w:pageBreakBefore w:val="0"/>
        <w:widowControl w:val="0"/>
        <w:numPr>
          <w:ilvl w:val="0"/>
          <w:numId w:val="19"/>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横断面设计</w:t>
      </w:r>
    </w:p>
    <w:p w14:paraId="631C915A">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（1）横断面设计原则</w:t>
      </w:r>
    </w:p>
    <w:p w14:paraId="4D7EC1E6">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1）依据规划的要求为基础，根据道路等级，使用功能并定性分析其流量流向，使道路能满足远期使用要求，体现其系统性与连续性。</w:t>
      </w:r>
    </w:p>
    <w:p w14:paraId="06136DEE">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2）道路横断面布置在考虑其功能的前提下应注重景观设计，提高道路的宜人氛围。</w:t>
      </w:r>
    </w:p>
    <w:p w14:paraId="5C577A54">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3）道路横断面布置应合理确定行车道宽度，近远期结合，节约道路用地资源、降低工程造价。</w:t>
      </w:r>
    </w:p>
    <w:p w14:paraId="760F96EE">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4）道路横断面布置还必须综合协调交通需要、建筑艺术、道路景观、生态环境建设、日照通风、减灾防灾、埋设各种地下管线的横向布设宽度等方面要求。</w:t>
      </w:r>
    </w:p>
    <w:p w14:paraId="107CDE91">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5）道路横断面布置应满足交通服务功能，并与该区域的路网相协调。</w:t>
      </w:r>
    </w:p>
    <w:p w14:paraId="1E85B8FE">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6）道路横断面布置应在建筑密集区，合理布置断面形式，采取工程措施减小道路用地，尽可能少拆迁。</w:t>
      </w:r>
    </w:p>
    <w:p w14:paraId="08B43682">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7）道路横断面布置应考虑近远期结合，预留管线位置，为远景发展留有适当的余地。</w:t>
      </w:r>
    </w:p>
    <w:p w14:paraId="0F202120">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（2）设计内容</w:t>
      </w:r>
    </w:p>
    <w:p w14:paraId="41679A93">
      <w:pPr>
        <w:pStyle w:val="264"/>
        <w:keepNext w:val="0"/>
        <w:keepLines w:val="0"/>
        <w:pageBreakBefore w:val="0"/>
        <w:widowControl w:val="0"/>
        <w:kinsoku/>
        <w:wordWrap w:val="0"/>
        <w:overflowPunct/>
        <w:topLinePunct/>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本次北京北站落客区道路横断面设计，综合考虑道路功能及规划，港湾内部车流只有一个方向，落客区标准段单向3车道</w:t>
      </w:r>
      <w:r>
        <w:rPr>
          <w:rFonts w:hint="eastAsia" w:asciiTheme="minorEastAsia" w:hAnsiTheme="minorEastAsia" w:eastAsiaTheme="minorEastAsia" w:cstheme="minorEastAsia"/>
          <w:sz w:val="24"/>
          <w:szCs w:val="24"/>
          <w:highlight w:val="none"/>
          <w:lang w:eastAsia="zh-CN"/>
        </w:rPr>
        <w:t>，出口处收窄为两车道</w:t>
      </w:r>
      <w:r>
        <w:rPr>
          <w:rFonts w:hint="eastAsia" w:asciiTheme="minorEastAsia" w:hAnsiTheme="minorEastAsia" w:eastAsiaTheme="minorEastAsia" w:cstheme="minorEastAsia"/>
          <w:sz w:val="24"/>
          <w:szCs w:val="24"/>
          <w:highlight w:val="none"/>
        </w:rPr>
        <w:t>。落客区标准横断面布置为：6m（人行道）+3.25m（即停即走车道）+3.25m（即停即走车道）+3.5m（机动车行车道）+0.25m（路缘带），场内禁止非机动车行驶，</w:t>
      </w:r>
      <w:r>
        <w:rPr>
          <w:rFonts w:hint="eastAsia" w:asciiTheme="minorEastAsia" w:hAnsiTheme="minorEastAsia" w:eastAsiaTheme="minorEastAsia" w:cstheme="minorEastAsia"/>
          <w:sz w:val="24"/>
          <w:szCs w:val="24"/>
        </w:rPr>
        <w:t>人行道横坡2%，机动车道横坡1.5%</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eastAsia="zh-CN"/>
        </w:rPr>
        <w:t>机动车道与人行道衔接处，设</w:t>
      </w:r>
      <w:r>
        <w:rPr>
          <w:rFonts w:hint="eastAsia" w:asciiTheme="minorEastAsia" w:hAnsiTheme="minorEastAsia" w:eastAsiaTheme="minorEastAsia" w:cstheme="minorEastAsia"/>
          <w:sz w:val="24"/>
          <w:szCs w:val="24"/>
          <w:highlight w:val="none"/>
          <w:lang w:val="en-US" w:eastAsia="zh-CN"/>
        </w:rPr>
        <w:t>15cm立缘石。</w:t>
      </w:r>
    </w:p>
    <w:p w14:paraId="1D22EB9F">
      <w:pPr>
        <w:pStyle w:val="264"/>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Theme="minorEastAsia" w:hAnsiTheme="minorEastAsia" w:eastAsiaTheme="minorEastAsia" w:cstheme="minorEastAsia"/>
          <w:color w:val="000000"/>
          <w:sz w:val="24"/>
          <w:szCs w:val="24"/>
          <w:highlight w:val="none"/>
          <w:lang w:eastAsia="zh-CN"/>
        </w:rPr>
      </w:pPr>
      <w:r>
        <w:rPr>
          <w:rFonts w:hint="eastAsia" w:asciiTheme="minorEastAsia" w:hAnsiTheme="minorEastAsia" w:eastAsiaTheme="minorEastAsia" w:cstheme="minorEastAsia"/>
          <w:sz w:val="24"/>
          <w:szCs w:val="24"/>
        </w:rPr>
        <w:drawing>
          <wp:inline distT="0" distB="0" distL="114300" distR="114300">
            <wp:extent cx="3746500" cy="3513455"/>
            <wp:effectExtent l="0" t="0" r="2540" b="6985"/>
            <wp:docPr id="6" name="图片 4"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图示&#10;&#10;AI 生成的内容可能不正确。"/>
                    <pic:cNvPicPr>
                      <a:picLocks noChangeAspect="1"/>
                    </pic:cNvPicPr>
                  </pic:nvPicPr>
                  <pic:blipFill>
                    <a:blip r:embed="rId46"/>
                    <a:stretch>
                      <a:fillRect/>
                    </a:stretch>
                  </pic:blipFill>
                  <pic:spPr>
                    <a:xfrm>
                      <a:off x="0" y="0"/>
                      <a:ext cx="3746500" cy="3513455"/>
                    </a:xfrm>
                    <a:prstGeom prst="rect">
                      <a:avLst/>
                    </a:prstGeom>
                    <a:noFill/>
                    <a:ln>
                      <a:noFill/>
                    </a:ln>
                  </pic:spPr>
                </pic:pic>
              </a:graphicData>
            </a:graphic>
          </wp:inline>
        </w:drawing>
      </w:r>
    </w:p>
    <w:p w14:paraId="5608F740">
      <w:pPr>
        <w:pStyle w:val="264"/>
        <w:pageBreakBefore w:val="0"/>
        <w:kinsoku/>
        <w:wordWrap/>
        <w:overflowPunct/>
        <w:topLinePunct w:val="0"/>
        <w:autoSpaceDE/>
        <w:autoSpaceDN/>
        <w:bidi w:val="0"/>
        <w:spacing w:line="24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落客区标准横断面</w:t>
      </w:r>
    </w:p>
    <w:p w14:paraId="2A4018B3">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路面结构设计</w:t>
      </w:r>
    </w:p>
    <w:p w14:paraId="0C99E5D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（1）设计原则</w:t>
      </w:r>
    </w:p>
    <w:p w14:paraId="097573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路面设计根据本路使用要求以及气候、水文、地质等自然条件和交通量，遵循因地制宜、合理选材、方便施工、利于养护、节约投资的原则，并结合类似已建次干道路面结构的综合比选进行方案设计。</w:t>
      </w:r>
    </w:p>
    <w:p w14:paraId="1027A90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本次路面设计考虑以下因素：交通量、交通组成和道路等级，道路使用性质对路面以及面层的功能要求。</w:t>
      </w:r>
    </w:p>
    <w:p w14:paraId="35686B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经过综合比较，结合本片区的建设投资现状，提高城市形象，采用沥青混凝土路面，标准轴载为100KN，设计弯沉值采用沥青层层底拉应力控制。沥青混凝土路面结构主要特点是：一次施工成型，路面平整美观、无接缝、行车舒适、耐磨防滑、噪音较低、养护维修简便</w:t>
      </w:r>
      <w:r>
        <w:rPr>
          <w:rFonts w:hint="eastAsia" w:asciiTheme="minorEastAsia" w:hAnsiTheme="minorEastAsia" w:eastAsiaTheme="minorEastAsia" w:cstheme="minorEastAsia"/>
          <w:color w:val="000000"/>
          <w:sz w:val="24"/>
          <w:szCs w:val="24"/>
          <w:highlight w:val="none"/>
          <w:lang w:eastAsia="zh-CN"/>
        </w:rPr>
        <w:t>。</w:t>
      </w:r>
    </w:p>
    <w:p w14:paraId="19036E6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（2）设计标准</w:t>
      </w:r>
    </w:p>
    <w:p w14:paraId="1BFFFD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1）标准轴载：双轮组单轴载100kN为标准轴载，以BZZ-100表示；</w:t>
      </w:r>
    </w:p>
    <w:p w14:paraId="014AFEA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2）沥青路面结构设计工作年限：支路10年；</w:t>
      </w:r>
    </w:p>
    <w:p w14:paraId="4340315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（3）路面结构设计方案</w:t>
      </w:r>
    </w:p>
    <w:p w14:paraId="10194D6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通过结构验算、参考已建道路以及技术经济综合比较，为保证行驶条件下的行车舒适性，路面结构采用沥青路面。</w:t>
      </w:r>
    </w:p>
    <w:p w14:paraId="40D3F8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1）机动车道</w:t>
      </w:r>
    </w:p>
    <w:p w14:paraId="1E5D09F1">
      <w:pPr>
        <w:pageBreakBefore w:val="0"/>
        <w:kinsoku/>
        <w:wordWrap/>
        <w:overflowPunct/>
        <w:topLinePunct w:val="0"/>
        <w:autoSpaceDE/>
        <w:autoSpaceDN/>
        <w:bidi w:val="0"/>
        <w:snapToGrid w:val="0"/>
        <w:spacing w:line="240" w:lineRule="auto"/>
        <w:ind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路面结构组合表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5050"/>
        <w:gridCol w:w="936"/>
        <w:gridCol w:w="1981"/>
      </w:tblGrid>
      <w:tr w14:paraId="744C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trPr>
        <w:tc>
          <w:tcPr>
            <w:tcW w:w="3289" w:type="pct"/>
            <w:gridSpan w:val="2"/>
            <w:tcBorders>
              <w:top w:val="single" w:color="auto" w:sz="4" w:space="0"/>
              <w:left w:val="single" w:color="auto" w:sz="4" w:space="0"/>
              <w:bottom w:val="single" w:color="auto" w:sz="4" w:space="0"/>
              <w:right w:val="single" w:color="auto" w:sz="4" w:space="0"/>
            </w:tcBorders>
            <w:vAlign w:val="center"/>
          </w:tcPr>
          <w:p w14:paraId="4B962C9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项目名称</w:t>
            </w:r>
          </w:p>
        </w:tc>
        <w:tc>
          <w:tcPr>
            <w:tcW w:w="549" w:type="pct"/>
            <w:tcBorders>
              <w:top w:val="single" w:color="auto" w:sz="4" w:space="0"/>
              <w:left w:val="single" w:color="auto" w:sz="4" w:space="0"/>
              <w:bottom w:val="single" w:color="auto" w:sz="4" w:space="0"/>
              <w:right w:val="single" w:color="auto" w:sz="4" w:space="0"/>
            </w:tcBorders>
            <w:vAlign w:val="center"/>
          </w:tcPr>
          <w:p w14:paraId="1AD4B012">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单位</w:t>
            </w:r>
          </w:p>
        </w:tc>
        <w:tc>
          <w:tcPr>
            <w:tcW w:w="1162" w:type="pct"/>
            <w:tcBorders>
              <w:top w:val="single" w:color="auto" w:sz="4" w:space="0"/>
              <w:left w:val="single" w:color="auto" w:sz="4" w:space="0"/>
              <w:bottom w:val="single" w:color="auto" w:sz="4" w:space="0"/>
              <w:right w:val="single" w:color="auto" w:sz="4" w:space="0"/>
            </w:tcBorders>
            <w:vAlign w:val="center"/>
          </w:tcPr>
          <w:p w14:paraId="0CDDC6D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厚度</w:t>
            </w:r>
          </w:p>
        </w:tc>
      </w:tr>
      <w:tr w14:paraId="32C8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26" w:type="pct"/>
            <w:vMerge w:val="restart"/>
            <w:tcBorders>
              <w:top w:val="single" w:color="auto" w:sz="4" w:space="0"/>
              <w:left w:val="single" w:color="auto" w:sz="4" w:space="0"/>
              <w:bottom w:val="single" w:color="auto" w:sz="4" w:space="0"/>
              <w:right w:val="single" w:color="auto" w:sz="4" w:space="0"/>
            </w:tcBorders>
            <w:vAlign w:val="center"/>
          </w:tcPr>
          <w:p w14:paraId="3125C372">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机</w:t>
            </w:r>
          </w:p>
          <w:p w14:paraId="062B8B3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动</w:t>
            </w:r>
          </w:p>
          <w:p w14:paraId="10361A89">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车</w:t>
            </w:r>
          </w:p>
          <w:p w14:paraId="5F1C704E">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道</w:t>
            </w:r>
          </w:p>
        </w:tc>
        <w:tc>
          <w:tcPr>
            <w:tcW w:w="2963" w:type="pct"/>
            <w:tcBorders>
              <w:top w:val="single" w:color="auto" w:sz="4" w:space="0"/>
              <w:left w:val="single" w:color="auto" w:sz="4" w:space="0"/>
              <w:bottom w:val="single" w:color="auto" w:sz="4" w:space="0"/>
              <w:right w:val="single" w:color="auto" w:sz="4" w:space="0"/>
            </w:tcBorders>
            <w:vAlign w:val="center"/>
          </w:tcPr>
          <w:p w14:paraId="3F8B390F">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上面层：细粒式改性沥青混凝土（AC-13C）（SBS）</w:t>
            </w:r>
          </w:p>
        </w:tc>
        <w:tc>
          <w:tcPr>
            <w:tcW w:w="549" w:type="pct"/>
            <w:tcBorders>
              <w:top w:val="single" w:color="auto" w:sz="4" w:space="0"/>
              <w:left w:val="single" w:color="auto" w:sz="4" w:space="0"/>
              <w:bottom w:val="single" w:color="auto" w:sz="4" w:space="0"/>
              <w:right w:val="single" w:color="auto" w:sz="4" w:space="0"/>
            </w:tcBorders>
            <w:vAlign w:val="center"/>
          </w:tcPr>
          <w:p w14:paraId="1230CF3E">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cm</w:t>
            </w:r>
          </w:p>
        </w:tc>
        <w:tc>
          <w:tcPr>
            <w:tcW w:w="1162" w:type="pct"/>
            <w:tcBorders>
              <w:top w:val="single" w:color="auto" w:sz="4" w:space="0"/>
              <w:left w:val="single" w:color="auto" w:sz="4" w:space="0"/>
              <w:bottom w:val="single" w:color="auto" w:sz="4" w:space="0"/>
              <w:right w:val="single" w:color="auto" w:sz="4" w:space="0"/>
            </w:tcBorders>
            <w:vAlign w:val="center"/>
          </w:tcPr>
          <w:p w14:paraId="168F6CDC">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4</w:t>
            </w:r>
          </w:p>
        </w:tc>
      </w:tr>
      <w:tr w14:paraId="3ACF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21D48D4">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kern w:val="2"/>
                <w:sz w:val="24"/>
                <w:szCs w:val="24"/>
                <w:highlight w:val="none"/>
              </w:rPr>
            </w:pPr>
          </w:p>
        </w:tc>
        <w:tc>
          <w:tcPr>
            <w:tcW w:w="2963" w:type="pct"/>
            <w:tcBorders>
              <w:top w:val="single" w:color="auto" w:sz="4" w:space="0"/>
              <w:left w:val="single" w:color="auto" w:sz="4" w:space="0"/>
              <w:bottom w:val="single" w:color="auto" w:sz="4" w:space="0"/>
              <w:right w:val="single" w:color="auto" w:sz="4" w:space="0"/>
            </w:tcBorders>
            <w:vAlign w:val="center"/>
          </w:tcPr>
          <w:p w14:paraId="2A623A4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下面层：中粒式沥青混凝土（AC-20C）</w:t>
            </w:r>
          </w:p>
        </w:tc>
        <w:tc>
          <w:tcPr>
            <w:tcW w:w="549" w:type="pct"/>
            <w:tcBorders>
              <w:top w:val="single" w:color="auto" w:sz="4" w:space="0"/>
              <w:left w:val="single" w:color="auto" w:sz="4" w:space="0"/>
              <w:bottom w:val="single" w:color="auto" w:sz="4" w:space="0"/>
              <w:right w:val="single" w:color="auto" w:sz="4" w:space="0"/>
            </w:tcBorders>
            <w:vAlign w:val="center"/>
          </w:tcPr>
          <w:p w14:paraId="5FC49C3B">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cm</w:t>
            </w:r>
          </w:p>
        </w:tc>
        <w:tc>
          <w:tcPr>
            <w:tcW w:w="1162" w:type="pct"/>
            <w:tcBorders>
              <w:top w:val="single" w:color="auto" w:sz="4" w:space="0"/>
              <w:left w:val="single" w:color="auto" w:sz="4" w:space="0"/>
              <w:bottom w:val="single" w:color="auto" w:sz="4" w:space="0"/>
              <w:right w:val="single" w:color="auto" w:sz="4" w:space="0"/>
            </w:tcBorders>
            <w:vAlign w:val="center"/>
          </w:tcPr>
          <w:p w14:paraId="62221455">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6</w:t>
            </w:r>
          </w:p>
        </w:tc>
      </w:tr>
      <w:tr w14:paraId="1802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9BC8F8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kern w:val="2"/>
                <w:sz w:val="24"/>
                <w:szCs w:val="24"/>
                <w:highlight w:val="none"/>
              </w:rPr>
            </w:pPr>
          </w:p>
        </w:tc>
        <w:tc>
          <w:tcPr>
            <w:tcW w:w="2963" w:type="pct"/>
            <w:tcBorders>
              <w:top w:val="single" w:color="auto" w:sz="4" w:space="0"/>
              <w:left w:val="single" w:color="auto" w:sz="4" w:space="0"/>
              <w:bottom w:val="single" w:color="auto" w:sz="4" w:space="0"/>
              <w:right w:val="single" w:color="auto" w:sz="4" w:space="0"/>
            </w:tcBorders>
            <w:vAlign w:val="center"/>
          </w:tcPr>
          <w:p w14:paraId="26261251">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基层：5%水泥稳定碎石</w:t>
            </w:r>
          </w:p>
        </w:tc>
        <w:tc>
          <w:tcPr>
            <w:tcW w:w="549" w:type="pct"/>
            <w:tcBorders>
              <w:top w:val="single" w:color="auto" w:sz="4" w:space="0"/>
              <w:left w:val="single" w:color="auto" w:sz="4" w:space="0"/>
              <w:bottom w:val="single" w:color="auto" w:sz="4" w:space="0"/>
              <w:right w:val="single" w:color="auto" w:sz="4" w:space="0"/>
            </w:tcBorders>
            <w:vAlign w:val="center"/>
          </w:tcPr>
          <w:p w14:paraId="5E09F010">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cm</w:t>
            </w:r>
          </w:p>
        </w:tc>
        <w:tc>
          <w:tcPr>
            <w:tcW w:w="1162" w:type="pct"/>
            <w:tcBorders>
              <w:top w:val="single" w:color="auto" w:sz="4" w:space="0"/>
              <w:left w:val="single" w:color="auto" w:sz="4" w:space="0"/>
              <w:bottom w:val="single" w:color="auto" w:sz="4" w:space="0"/>
              <w:right w:val="single" w:color="auto" w:sz="4" w:space="0"/>
            </w:tcBorders>
            <w:vAlign w:val="center"/>
          </w:tcPr>
          <w:p w14:paraId="45BDFC8B">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18</w:t>
            </w:r>
          </w:p>
        </w:tc>
      </w:tr>
      <w:tr w14:paraId="0EA2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1A12D45">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kern w:val="2"/>
                <w:sz w:val="24"/>
                <w:szCs w:val="24"/>
                <w:highlight w:val="none"/>
              </w:rPr>
            </w:pPr>
          </w:p>
        </w:tc>
        <w:tc>
          <w:tcPr>
            <w:tcW w:w="2963" w:type="pct"/>
            <w:tcBorders>
              <w:top w:val="single" w:color="auto" w:sz="4" w:space="0"/>
              <w:left w:val="single" w:color="auto" w:sz="4" w:space="0"/>
              <w:bottom w:val="single" w:color="auto" w:sz="4" w:space="0"/>
              <w:right w:val="single" w:color="auto" w:sz="4" w:space="0"/>
            </w:tcBorders>
            <w:vAlign w:val="center"/>
          </w:tcPr>
          <w:p w14:paraId="1E09A22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基层：4%水泥稳定碎石</w:t>
            </w:r>
          </w:p>
        </w:tc>
        <w:tc>
          <w:tcPr>
            <w:tcW w:w="549" w:type="pct"/>
            <w:tcBorders>
              <w:top w:val="single" w:color="auto" w:sz="4" w:space="0"/>
              <w:left w:val="single" w:color="auto" w:sz="4" w:space="0"/>
              <w:bottom w:val="single" w:color="auto" w:sz="4" w:space="0"/>
              <w:right w:val="single" w:color="auto" w:sz="4" w:space="0"/>
            </w:tcBorders>
            <w:vAlign w:val="center"/>
          </w:tcPr>
          <w:p w14:paraId="4BAD71B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cm</w:t>
            </w:r>
          </w:p>
        </w:tc>
        <w:tc>
          <w:tcPr>
            <w:tcW w:w="1162" w:type="pct"/>
            <w:tcBorders>
              <w:top w:val="single" w:color="auto" w:sz="4" w:space="0"/>
              <w:left w:val="single" w:color="auto" w:sz="4" w:space="0"/>
              <w:bottom w:val="single" w:color="auto" w:sz="4" w:space="0"/>
              <w:right w:val="single" w:color="auto" w:sz="4" w:space="0"/>
            </w:tcBorders>
            <w:vAlign w:val="center"/>
          </w:tcPr>
          <w:p w14:paraId="24C96EBA">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18</w:t>
            </w:r>
          </w:p>
        </w:tc>
      </w:tr>
      <w:tr w14:paraId="6884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7D0C261">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kern w:val="2"/>
                <w:sz w:val="24"/>
                <w:szCs w:val="24"/>
                <w:highlight w:val="none"/>
              </w:rPr>
            </w:pPr>
          </w:p>
        </w:tc>
        <w:tc>
          <w:tcPr>
            <w:tcW w:w="2963" w:type="pct"/>
            <w:tcBorders>
              <w:top w:val="single" w:color="auto" w:sz="4" w:space="0"/>
              <w:left w:val="single" w:color="auto" w:sz="4" w:space="0"/>
              <w:bottom w:val="single" w:color="auto" w:sz="4" w:space="0"/>
              <w:right w:val="single" w:color="auto" w:sz="4" w:space="0"/>
            </w:tcBorders>
            <w:vAlign w:val="center"/>
          </w:tcPr>
          <w:p w14:paraId="360D9819">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底基层：级配碎石</w:t>
            </w:r>
          </w:p>
        </w:tc>
        <w:tc>
          <w:tcPr>
            <w:tcW w:w="549" w:type="pct"/>
            <w:tcBorders>
              <w:top w:val="single" w:color="auto" w:sz="4" w:space="0"/>
              <w:left w:val="single" w:color="auto" w:sz="4" w:space="0"/>
              <w:bottom w:val="single" w:color="auto" w:sz="4" w:space="0"/>
              <w:right w:val="single" w:color="auto" w:sz="4" w:space="0"/>
            </w:tcBorders>
            <w:vAlign w:val="center"/>
          </w:tcPr>
          <w:p w14:paraId="14F49CFD">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cm</w:t>
            </w:r>
          </w:p>
        </w:tc>
        <w:tc>
          <w:tcPr>
            <w:tcW w:w="1162" w:type="pct"/>
            <w:tcBorders>
              <w:top w:val="single" w:color="auto" w:sz="4" w:space="0"/>
              <w:left w:val="single" w:color="auto" w:sz="4" w:space="0"/>
              <w:bottom w:val="single" w:color="auto" w:sz="4" w:space="0"/>
              <w:right w:val="single" w:color="auto" w:sz="4" w:space="0"/>
            </w:tcBorders>
            <w:vAlign w:val="center"/>
          </w:tcPr>
          <w:p w14:paraId="6282237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20</w:t>
            </w:r>
          </w:p>
        </w:tc>
      </w:tr>
      <w:tr w14:paraId="0888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3FDAE94">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kern w:val="2"/>
                <w:sz w:val="24"/>
                <w:szCs w:val="24"/>
                <w:highlight w:val="none"/>
              </w:rPr>
            </w:pPr>
          </w:p>
        </w:tc>
        <w:tc>
          <w:tcPr>
            <w:tcW w:w="2963" w:type="pct"/>
            <w:tcBorders>
              <w:top w:val="single" w:color="auto" w:sz="4" w:space="0"/>
              <w:left w:val="single" w:color="auto" w:sz="4" w:space="0"/>
              <w:bottom w:val="single" w:color="auto" w:sz="4" w:space="0"/>
              <w:right w:val="single" w:color="auto" w:sz="4" w:space="0"/>
            </w:tcBorders>
            <w:vAlign w:val="center"/>
          </w:tcPr>
          <w:p w14:paraId="5CBDC3F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总厚度合计</w:t>
            </w:r>
          </w:p>
        </w:tc>
        <w:tc>
          <w:tcPr>
            <w:tcW w:w="549" w:type="pct"/>
            <w:tcBorders>
              <w:top w:val="single" w:color="auto" w:sz="4" w:space="0"/>
              <w:left w:val="single" w:color="auto" w:sz="4" w:space="0"/>
              <w:bottom w:val="single" w:color="auto" w:sz="4" w:space="0"/>
              <w:right w:val="single" w:color="auto" w:sz="4" w:space="0"/>
            </w:tcBorders>
            <w:vAlign w:val="center"/>
          </w:tcPr>
          <w:p w14:paraId="01766AA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cm</w:t>
            </w:r>
          </w:p>
        </w:tc>
        <w:tc>
          <w:tcPr>
            <w:tcW w:w="1162" w:type="pct"/>
            <w:tcBorders>
              <w:top w:val="single" w:color="auto" w:sz="4" w:space="0"/>
              <w:left w:val="single" w:color="auto" w:sz="4" w:space="0"/>
              <w:bottom w:val="single" w:color="auto" w:sz="4" w:space="0"/>
              <w:right w:val="single" w:color="auto" w:sz="4" w:space="0"/>
            </w:tcBorders>
            <w:vAlign w:val="center"/>
          </w:tcPr>
          <w:p w14:paraId="1073BCC5">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66</w:t>
            </w:r>
          </w:p>
        </w:tc>
      </w:tr>
    </w:tbl>
    <w:p w14:paraId="6663CA6D">
      <w:pPr>
        <w:pStyle w:val="26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kern w:val="2"/>
          <w:sz w:val="24"/>
          <w:szCs w:val="24"/>
          <w:highlight w:val="none"/>
        </w:rPr>
      </w:pPr>
      <w:r>
        <w:rPr>
          <w:rFonts w:hint="eastAsia" w:asciiTheme="minorEastAsia" w:hAnsiTheme="minorEastAsia" w:eastAsiaTheme="minorEastAsia" w:cstheme="minorEastAsia"/>
          <w:sz w:val="24"/>
          <w:szCs w:val="24"/>
          <w:highlight w:val="none"/>
        </w:rPr>
        <w:t>2)人行道路面结构</w:t>
      </w:r>
    </w:p>
    <w:p w14:paraId="2D229746">
      <w:pPr>
        <w:pStyle w:val="26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本项目涉及部分市政人行道路的拆除与增设。</w:t>
      </w:r>
    </w:p>
    <w:p w14:paraId="5F6A8DEE">
      <w:pPr>
        <w:pStyle w:val="26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a.人行步道设计原则</w:t>
      </w:r>
    </w:p>
    <w:p w14:paraId="3D603C33">
      <w:pPr>
        <w:pStyle w:val="26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人行步道表面层应有较好的抗滑性，具备良好的平整度，满足行人步行的安全性、舒适性。</w:t>
      </w:r>
    </w:p>
    <w:p w14:paraId="56636757">
      <w:pPr>
        <w:pStyle w:val="26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人行步道应满足《无障碍设计规范》（GB50763-2012）以及《建筑与市政无障碍通用规范》的要求，系统合理的设置盲道、无障碍坡道等设施，保障残疾人安全、方便的使用道路设施。</w:t>
      </w:r>
    </w:p>
    <w:p w14:paraId="374956A4">
      <w:pPr>
        <w:pStyle w:val="26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人行步道设计应综合考虑景观因素、使用性能与经济因素，既要满足基本的使用要求，又要使人行步道与城市景观有机融合，同时不应为了追求较高的景观效果而造成铺张浪费。</w:t>
      </w:r>
    </w:p>
    <w:p w14:paraId="5A313E61">
      <w:pPr>
        <w:pStyle w:val="26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b.铺面材料的选择</w:t>
      </w:r>
    </w:p>
    <w:p w14:paraId="0ED34577">
      <w:pPr>
        <w:pStyle w:val="26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本次设计结合当地实际情况，考虑使用与现状人行步道相同的花岗岩步道砖。</w:t>
      </w:r>
    </w:p>
    <w:p w14:paraId="2E8E52C8">
      <w:pPr>
        <w:pStyle w:val="26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花岗岩步道砖具有强度高、耐磨损、色彩及纹理自然美观、易切割、易清洗、景观效果好的优点，但其造价相对较高，而且透水性、透气性也较差，一般在景观要求比较高的道路上采用。</w:t>
      </w:r>
    </w:p>
    <w:p w14:paraId="77B9FE93">
      <w:pPr>
        <w:pStyle w:val="266"/>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drawing>
          <wp:inline distT="0" distB="0" distL="0" distR="0">
            <wp:extent cx="3599180" cy="2653665"/>
            <wp:effectExtent l="0" t="0" r="12700" b="13335"/>
            <wp:docPr id="1052" name="图片 76"/>
            <wp:cNvGraphicFramePr/>
            <a:graphic xmlns:a="http://schemas.openxmlformats.org/drawingml/2006/main">
              <a:graphicData uri="http://schemas.openxmlformats.org/drawingml/2006/picture">
                <pic:pic xmlns:pic="http://schemas.openxmlformats.org/drawingml/2006/picture">
                  <pic:nvPicPr>
                    <pic:cNvPr id="1052" name="图片 76"/>
                    <pic:cNvPicPr/>
                  </pic:nvPicPr>
                  <pic:blipFill>
                    <a:blip r:embed="rId47" cstate="print"/>
                    <a:srcRect/>
                    <a:stretch>
                      <a:fillRect/>
                    </a:stretch>
                  </pic:blipFill>
                  <pic:spPr>
                    <a:xfrm>
                      <a:off x="0" y="0"/>
                      <a:ext cx="3599814" cy="2653665"/>
                    </a:xfrm>
                    <a:prstGeom prst="rect">
                      <a:avLst/>
                    </a:prstGeom>
                    <a:ln>
                      <a:noFill/>
                    </a:ln>
                  </pic:spPr>
                </pic:pic>
              </a:graphicData>
            </a:graphic>
          </wp:inline>
        </w:drawing>
      </w:r>
    </w:p>
    <w:p w14:paraId="587C365C">
      <w:pPr>
        <w:pStyle w:val="266"/>
        <w:pageBreakBefore w:val="0"/>
        <w:kinsoku/>
        <w:wordWrap/>
        <w:overflowPunct/>
        <w:topLinePunct w:val="0"/>
        <w:autoSpaceDE/>
        <w:autoSpaceDN/>
        <w:bidi w:val="0"/>
        <w:spacing w:line="240" w:lineRule="auto"/>
        <w:ind w:left="0" w:leftChars="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b w:val="0"/>
          <w:bCs/>
          <w:color w:val="000000"/>
          <w:sz w:val="24"/>
          <w:szCs w:val="24"/>
          <w:highlight w:val="none"/>
        </w:rPr>
        <w:t>花岗岩步道砖</w:t>
      </w:r>
    </w:p>
    <w:p w14:paraId="50911A9D">
      <w:pPr>
        <w:pStyle w:val="268"/>
        <w:pageBreakBefore w:val="0"/>
        <w:kinsoku/>
        <w:wordWrap/>
        <w:overflowPunct/>
        <w:topLinePunct w:val="0"/>
        <w:autoSpaceDE/>
        <w:autoSpaceDN/>
        <w:bidi w:val="0"/>
        <w:spacing w:line="240" w:lineRule="auto"/>
        <w:ind w:left="0" w:leftChars="0" w:firstLine="0" w:firstLineChars="0"/>
        <w:jc w:val="both"/>
        <w:rPr>
          <w:rFonts w:hint="eastAsia" w:asciiTheme="minorEastAsia" w:hAnsiTheme="minorEastAsia" w:eastAsiaTheme="minorEastAsia" w:cstheme="minorEastAsia"/>
          <w:color w:val="000000"/>
          <w:sz w:val="24"/>
          <w:szCs w:val="24"/>
          <w:highlight w:val="none"/>
        </w:rPr>
      </w:pPr>
    </w:p>
    <w:p w14:paraId="0027A7FF">
      <w:pPr>
        <w:pStyle w:val="268"/>
        <w:pageBreakBefore w:val="0"/>
        <w:kinsoku/>
        <w:wordWrap/>
        <w:overflowPunct/>
        <w:topLinePunct w:val="0"/>
        <w:autoSpaceDE/>
        <w:autoSpaceDN/>
        <w:bidi w:val="0"/>
        <w:spacing w:line="240" w:lineRule="auto"/>
        <w:ind w:left="0" w:leftChars="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道路人行道路面结构表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4675"/>
        <w:gridCol w:w="936"/>
        <w:gridCol w:w="1981"/>
      </w:tblGrid>
      <w:tr w14:paraId="2DA4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289" w:type="pct"/>
            <w:gridSpan w:val="2"/>
            <w:tcBorders>
              <w:top w:val="single" w:color="auto" w:sz="4" w:space="0"/>
              <w:left w:val="single" w:color="auto" w:sz="4" w:space="0"/>
              <w:bottom w:val="single" w:color="auto" w:sz="4" w:space="0"/>
              <w:right w:val="single" w:color="auto" w:sz="4" w:space="0"/>
            </w:tcBorders>
            <w:vAlign w:val="center"/>
          </w:tcPr>
          <w:p w14:paraId="3067403C">
            <w:pPr>
              <w:pStyle w:val="26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项目名称</w:t>
            </w:r>
          </w:p>
        </w:tc>
        <w:tc>
          <w:tcPr>
            <w:tcW w:w="549" w:type="pct"/>
            <w:tcBorders>
              <w:top w:val="single" w:color="auto" w:sz="4" w:space="0"/>
              <w:left w:val="single" w:color="auto" w:sz="4" w:space="0"/>
              <w:bottom w:val="single" w:color="auto" w:sz="4" w:space="0"/>
              <w:right w:val="single" w:color="auto" w:sz="4" w:space="0"/>
            </w:tcBorders>
            <w:vAlign w:val="center"/>
          </w:tcPr>
          <w:p w14:paraId="7ED7216D">
            <w:pPr>
              <w:pStyle w:val="26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单位</w:t>
            </w:r>
          </w:p>
        </w:tc>
        <w:tc>
          <w:tcPr>
            <w:tcW w:w="1162" w:type="pct"/>
            <w:tcBorders>
              <w:top w:val="single" w:color="auto" w:sz="4" w:space="0"/>
              <w:left w:val="single" w:color="auto" w:sz="4" w:space="0"/>
              <w:bottom w:val="single" w:color="auto" w:sz="4" w:space="0"/>
              <w:right w:val="single" w:color="auto" w:sz="4" w:space="0"/>
            </w:tcBorders>
            <w:vAlign w:val="center"/>
          </w:tcPr>
          <w:p w14:paraId="387B8E2F">
            <w:pPr>
              <w:pStyle w:val="26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厚度</w:t>
            </w:r>
          </w:p>
        </w:tc>
      </w:tr>
      <w:tr w14:paraId="010A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546" w:type="pct"/>
            <w:vMerge w:val="restart"/>
            <w:tcBorders>
              <w:top w:val="single" w:color="auto" w:sz="4" w:space="0"/>
              <w:left w:val="single" w:color="auto" w:sz="4" w:space="0"/>
              <w:bottom w:val="single" w:color="auto" w:sz="4" w:space="0"/>
              <w:right w:val="single" w:color="auto" w:sz="4" w:space="0"/>
            </w:tcBorders>
            <w:vAlign w:val="center"/>
          </w:tcPr>
          <w:p w14:paraId="6742F674">
            <w:pPr>
              <w:pStyle w:val="26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人行道</w:t>
            </w:r>
          </w:p>
        </w:tc>
        <w:tc>
          <w:tcPr>
            <w:tcW w:w="4783" w:type="dxa"/>
            <w:tcBorders>
              <w:top w:val="single" w:color="auto" w:sz="4" w:space="0"/>
              <w:left w:val="single" w:color="auto" w:sz="4" w:space="0"/>
              <w:bottom w:val="single" w:color="auto" w:sz="4" w:space="0"/>
              <w:right w:val="single" w:color="auto" w:sz="4" w:space="0"/>
            </w:tcBorders>
            <w:vAlign w:val="center"/>
          </w:tcPr>
          <w:p w14:paraId="6C8F463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lang w:val="en-US" w:eastAsia="zh-CN"/>
              </w:rPr>
              <w:t>花岗岩</w:t>
            </w:r>
            <w:r>
              <w:rPr>
                <w:rFonts w:hint="eastAsia" w:asciiTheme="minorEastAsia" w:hAnsiTheme="minorEastAsia" w:eastAsiaTheme="minorEastAsia" w:cstheme="minorEastAsia"/>
                <w:color w:val="000000"/>
                <w:sz w:val="24"/>
                <w:szCs w:val="24"/>
                <w:highlight w:val="none"/>
              </w:rPr>
              <w:t>步道砖</w:t>
            </w:r>
          </w:p>
        </w:tc>
        <w:tc>
          <w:tcPr>
            <w:tcW w:w="549" w:type="pct"/>
            <w:tcBorders>
              <w:top w:val="single" w:color="auto" w:sz="4" w:space="0"/>
              <w:left w:val="single" w:color="auto" w:sz="4" w:space="0"/>
              <w:bottom w:val="single" w:color="auto" w:sz="4" w:space="0"/>
              <w:right w:val="single" w:color="auto" w:sz="4" w:space="0"/>
            </w:tcBorders>
            <w:vAlign w:val="center"/>
          </w:tcPr>
          <w:p w14:paraId="61268D9D">
            <w:pPr>
              <w:pStyle w:val="26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cm</w:t>
            </w:r>
          </w:p>
        </w:tc>
        <w:tc>
          <w:tcPr>
            <w:tcW w:w="1162" w:type="pct"/>
            <w:tcBorders>
              <w:top w:val="single" w:color="auto" w:sz="4" w:space="0"/>
              <w:left w:val="single" w:color="auto" w:sz="4" w:space="0"/>
              <w:bottom w:val="single" w:color="auto" w:sz="4" w:space="0"/>
              <w:right w:val="single" w:color="auto" w:sz="4" w:space="0"/>
            </w:tcBorders>
            <w:vAlign w:val="center"/>
          </w:tcPr>
          <w:p w14:paraId="1DDD896D">
            <w:pPr>
              <w:pStyle w:val="26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6</w:t>
            </w:r>
          </w:p>
        </w:tc>
      </w:tr>
      <w:tr w14:paraId="04F58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7ABD3D3">
            <w:pPr>
              <w:pStyle w:val="26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480" w:right="0" w:firstLine="0" w:firstLineChars="0"/>
              <w:jc w:val="center"/>
              <w:rPr>
                <w:rFonts w:hint="eastAsia" w:asciiTheme="minorEastAsia" w:hAnsiTheme="minorEastAsia" w:eastAsiaTheme="minorEastAsia" w:cstheme="minorEastAsia"/>
                <w:color w:val="000000"/>
                <w:kern w:val="2"/>
                <w:sz w:val="24"/>
                <w:szCs w:val="24"/>
                <w:highlight w:val="none"/>
              </w:rPr>
            </w:pPr>
          </w:p>
        </w:tc>
        <w:tc>
          <w:tcPr>
            <w:tcW w:w="4783" w:type="dxa"/>
            <w:tcBorders>
              <w:top w:val="single" w:color="auto" w:sz="4" w:space="0"/>
              <w:left w:val="single" w:color="auto" w:sz="4" w:space="0"/>
              <w:bottom w:val="single" w:color="auto" w:sz="4" w:space="0"/>
              <w:right w:val="single" w:color="auto" w:sz="4" w:space="0"/>
            </w:tcBorders>
            <w:vAlign w:val="center"/>
          </w:tcPr>
          <w:p w14:paraId="5353FDE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M10水泥砂浆</w:t>
            </w:r>
          </w:p>
        </w:tc>
        <w:tc>
          <w:tcPr>
            <w:tcW w:w="549" w:type="pct"/>
            <w:tcBorders>
              <w:top w:val="single" w:color="auto" w:sz="4" w:space="0"/>
              <w:left w:val="single" w:color="auto" w:sz="4" w:space="0"/>
              <w:bottom w:val="single" w:color="auto" w:sz="4" w:space="0"/>
              <w:right w:val="single" w:color="auto" w:sz="4" w:space="0"/>
            </w:tcBorders>
            <w:vAlign w:val="center"/>
          </w:tcPr>
          <w:p w14:paraId="6C11FF07">
            <w:pPr>
              <w:pStyle w:val="26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cm</w:t>
            </w:r>
          </w:p>
        </w:tc>
        <w:tc>
          <w:tcPr>
            <w:tcW w:w="1162" w:type="pct"/>
            <w:tcBorders>
              <w:top w:val="single" w:color="auto" w:sz="4" w:space="0"/>
              <w:left w:val="single" w:color="auto" w:sz="4" w:space="0"/>
              <w:bottom w:val="single" w:color="auto" w:sz="4" w:space="0"/>
              <w:right w:val="single" w:color="auto" w:sz="4" w:space="0"/>
            </w:tcBorders>
            <w:vAlign w:val="center"/>
          </w:tcPr>
          <w:p w14:paraId="03879D58">
            <w:pPr>
              <w:pStyle w:val="26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3</w:t>
            </w:r>
          </w:p>
        </w:tc>
      </w:tr>
      <w:tr w14:paraId="3ECF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DD9B599">
            <w:pPr>
              <w:pStyle w:val="26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480" w:right="0" w:firstLine="0" w:firstLineChars="0"/>
              <w:jc w:val="center"/>
              <w:rPr>
                <w:rFonts w:hint="eastAsia" w:asciiTheme="minorEastAsia" w:hAnsiTheme="minorEastAsia" w:eastAsiaTheme="minorEastAsia" w:cstheme="minorEastAsia"/>
                <w:color w:val="000000"/>
                <w:kern w:val="2"/>
                <w:sz w:val="24"/>
                <w:szCs w:val="24"/>
                <w:highlight w:val="none"/>
              </w:rPr>
            </w:pPr>
          </w:p>
        </w:tc>
        <w:tc>
          <w:tcPr>
            <w:tcW w:w="4783" w:type="dxa"/>
            <w:tcBorders>
              <w:top w:val="single" w:color="auto" w:sz="4" w:space="0"/>
              <w:left w:val="single" w:color="auto" w:sz="4" w:space="0"/>
              <w:bottom w:val="single" w:color="auto" w:sz="4" w:space="0"/>
              <w:right w:val="single" w:color="auto" w:sz="4" w:space="0"/>
            </w:tcBorders>
            <w:vAlign w:val="center"/>
          </w:tcPr>
          <w:p w14:paraId="5E04FD5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无砂混凝土</w:t>
            </w:r>
          </w:p>
        </w:tc>
        <w:tc>
          <w:tcPr>
            <w:tcW w:w="549" w:type="pct"/>
            <w:tcBorders>
              <w:top w:val="single" w:color="auto" w:sz="4" w:space="0"/>
              <w:left w:val="single" w:color="auto" w:sz="4" w:space="0"/>
              <w:bottom w:val="single" w:color="auto" w:sz="4" w:space="0"/>
              <w:right w:val="single" w:color="auto" w:sz="4" w:space="0"/>
            </w:tcBorders>
            <w:vAlign w:val="center"/>
          </w:tcPr>
          <w:p w14:paraId="7CD176A3">
            <w:pPr>
              <w:pStyle w:val="26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cm</w:t>
            </w:r>
          </w:p>
        </w:tc>
        <w:tc>
          <w:tcPr>
            <w:tcW w:w="1162" w:type="pct"/>
            <w:tcBorders>
              <w:top w:val="single" w:color="auto" w:sz="4" w:space="0"/>
              <w:left w:val="single" w:color="auto" w:sz="4" w:space="0"/>
              <w:bottom w:val="single" w:color="auto" w:sz="4" w:space="0"/>
              <w:right w:val="single" w:color="auto" w:sz="4" w:space="0"/>
            </w:tcBorders>
            <w:vAlign w:val="center"/>
          </w:tcPr>
          <w:p w14:paraId="46197C3B">
            <w:pPr>
              <w:pStyle w:val="26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15</w:t>
            </w:r>
          </w:p>
        </w:tc>
      </w:tr>
      <w:tr w14:paraId="7AA4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A83EB6F">
            <w:pPr>
              <w:pStyle w:val="26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480" w:right="0" w:firstLine="0" w:firstLineChars="0"/>
              <w:jc w:val="center"/>
              <w:rPr>
                <w:rFonts w:hint="eastAsia" w:asciiTheme="minorEastAsia" w:hAnsiTheme="minorEastAsia" w:eastAsiaTheme="minorEastAsia" w:cstheme="minorEastAsia"/>
                <w:color w:val="000000"/>
                <w:kern w:val="2"/>
                <w:sz w:val="24"/>
                <w:szCs w:val="24"/>
                <w:highlight w:val="none"/>
              </w:rPr>
            </w:pPr>
          </w:p>
        </w:tc>
        <w:tc>
          <w:tcPr>
            <w:tcW w:w="4783" w:type="dxa"/>
            <w:tcBorders>
              <w:top w:val="single" w:color="auto" w:sz="4" w:space="0"/>
              <w:left w:val="single" w:color="auto" w:sz="4" w:space="0"/>
              <w:bottom w:val="single" w:color="auto" w:sz="4" w:space="0"/>
              <w:right w:val="single" w:color="auto" w:sz="4" w:space="0"/>
            </w:tcBorders>
            <w:vAlign w:val="center"/>
          </w:tcPr>
          <w:p w14:paraId="6A4351A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粗砂垫层</w:t>
            </w:r>
          </w:p>
        </w:tc>
        <w:tc>
          <w:tcPr>
            <w:tcW w:w="549" w:type="pct"/>
            <w:tcBorders>
              <w:top w:val="single" w:color="auto" w:sz="4" w:space="0"/>
              <w:left w:val="single" w:color="auto" w:sz="4" w:space="0"/>
              <w:bottom w:val="single" w:color="auto" w:sz="4" w:space="0"/>
              <w:right w:val="single" w:color="auto" w:sz="4" w:space="0"/>
            </w:tcBorders>
            <w:vAlign w:val="center"/>
          </w:tcPr>
          <w:p w14:paraId="3574F41F">
            <w:pPr>
              <w:pStyle w:val="26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cm</w:t>
            </w:r>
          </w:p>
        </w:tc>
        <w:tc>
          <w:tcPr>
            <w:tcW w:w="1162" w:type="pct"/>
            <w:tcBorders>
              <w:top w:val="single" w:color="auto" w:sz="4" w:space="0"/>
              <w:left w:val="single" w:color="auto" w:sz="4" w:space="0"/>
              <w:bottom w:val="single" w:color="auto" w:sz="4" w:space="0"/>
              <w:right w:val="single" w:color="auto" w:sz="4" w:space="0"/>
            </w:tcBorders>
            <w:vAlign w:val="center"/>
          </w:tcPr>
          <w:p w14:paraId="5C2B4E07">
            <w:pPr>
              <w:pStyle w:val="26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8</w:t>
            </w:r>
          </w:p>
        </w:tc>
      </w:tr>
      <w:tr w14:paraId="63CB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B23F1BC">
            <w:pPr>
              <w:pStyle w:val="26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480" w:right="0" w:firstLine="0" w:firstLineChars="0"/>
              <w:jc w:val="center"/>
              <w:rPr>
                <w:rFonts w:hint="eastAsia" w:asciiTheme="minorEastAsia" w:hAnsiTheme="minorEastAsia" w:eastAsiaTheme="minorEastAsia" w:cstheme="minorEastAsia"/>
                <w:color w:val="000000"/>
                <w:kern w:val="2"/>
                <w:sz w:val="24"/>
                <w:szCs w:val="24"/>
                <w:highlight w:val="none"/>
              </w:rPr>
            </w:pPr>
          </w:p>
        </w:tc>
        <w:tc>
          <w:tcPr>
            <w:tcW w:w="2743" w:type="pct"/>
            <w:tcBorders>
              <w:top w:val="single" w:color="auto" w:sz="4" w:space="0"/>
              <w:left w:val="single" w:color="auto" w:sz="4" w:space="0"/>
              <w:bottom w:val="single" w:color="auto" w:sz="4" w:space="0"/>
              <w:right w:val="single" w:color="auto" w:sz="4" w:space="0"/>
            </w:tcBorders>
            <w:vAlign w:val="center"/>
          </w:tcPr>
          <w:p w14:paraId="5A33F3EC">
            <w:pPr>
              <w:pStyle w:val="26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总厚度合计</w:t>
            </w:r>
          </w:p>
        </w:tc>
        <w:tc>
          <w:tcPr>
            <w:tcW w:w="549" w:type="pct"/>
            <w:tcBorders>
              <w:top w:val="single" w:color="auto" w:sz="4" w:space="0"/>
              <w:left w:val="single" w:color="auto" w:sz="4" w:space="0"/>
              <w:bottom w:val="single" w:color="auto" w:sz="4" w:space="0"/>
              <w:right w:val="single" w:color="auto" w:sz="4" w:space="0"/>
            </w:tcBorders>
            <w:vAlign w:val="center"/>
          </w:tcPr>
          <w:p w14:paraId="288C3CAD">
            <w:pPr>
              <w:pStyle w:val="26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cm</w:t>
            </w:r>
          </w:p>
        </w:tc>
        <w:tc>
          <w:tcPr>
            <w:tcW w:w="1162" w:type="pct"/>
            <w:tcBorders>
              <w:top w:val="single" w:color="auto" w:sz="4" w:space="0"/>
              <w:left w:val="single" w:color="auto" w:sz="4" w:space="0"/>
              <w:bottom w:val="single" w:color="auto" w:sz="4" w:space="0"/>
              <w:right w:val="single" w:color="auto" w:sz="4" w:space="0"/>
            </w:tcBorders>
            <w:vAlign w:val="center"/>
          </w:tcPr>
          <w:p w14:paraId="707876F2">
            <w:pPr>
              <w:pStyle w:val="26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32</w:t>
            </w:r>
          </w:p>
        </w:tc>
      </w:tr>
    </w:tbl>
    <w:p w14:paraId="244E8695">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路基设计</w:t>
      </w:r>
    </w:p>
    <w:p w14:paraId="6F371843">
      <w:pPr>
        <w:pStyle w:val="26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（1）设计原则</w:t>
      </w:r>
    </w:p>
    <w:p w14:paraId="630D7713">
      <w:pPr>
        <w:pStyle w:val="26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1）结合沿线地质水文、土壤情况进行设计，保证路基强度和稳定性；</w:t>
      </w:r>
    </w:p>
    <w:p w14:paraId="5E3CD27E">
      <w:pPr>
        <w:pStyle w:val="26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2）尽量利用附近取土和工业废料，因地制宜，就地取材，方便施工，节约造价；</w:t>
      </w:r>
    </w:p>
    <w:p w14:paraId="16E221F5">
      <w:pPr>
        <w:pStyle w:val="26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3）采用新技术、新材料、新工艺、注意环保。</w:t>
      </w:r>
    </w:p>
    <w:p w14:paraId="2C68E2C1">
      <w:pPr>
        <w:pStyle w:val="26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4）路基均匀、稳定，应具有足够承载力，路床上部应达到干燥或中湿状态，主路路床顶面回弹模量不小于30MPa。</w:t>
      </w:r>
    </w:p>
    <w:p w14:paraId="758FAB7E">
      <w:pPr>
        <w:pStyle w:val="26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5）新老路基结合需保证现有路基的稳定，减少新旧路基的差异沉降。采取必要的措施延缓和减少新旧拼接路面的纵向裂缝。</w:t>
      </w:r>
    </w:p>
    <w:p w14:paraId="615363E2">
      <w:pPr>
        <w:pStyle w:val="26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（2）路基填筑与压实</w:t>
      </w:r>
    </w:p>
    <w:p w14:paraId="6457F282">
      <w:pPr>
        <w:pStyle w:val="26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路基填料宜选用水稳定性好、压缩性小的土、石材料，并根据路基不同层位，选用性能不同填料，一般是越靠近路面层，填料性质要求越高。路基应分层填筑、均匀压实，路基压实采用重型击实标准，路床填料及压实标准应严格按要求执行，以确保土路基顶面回弹模量不小于30MPa。</w:t>
      </w:r>
    </w:p>
    <w:p w14:paraId="67BB51C4">
      <w:pPr>
        <w:pStyle w:val="264"/>
        <w:pageBreakBefore w:val="0"/>
        <w:kinsoku/>
        <w:wordWrap/>
        <w:overflowPunct/>
        <w:topLinePunct w:val="0"/>
        <w:autoSpaceDE/>
        <w:autoSpaceDN/>
        <w:bidi w:val="0"/>
        <w:spacing w:line="240" w:lineRule="auto"/>
        <w:ind w:left="0" w:leftChars="0" w:firstLine="0" w:firstLineChars="0"/>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0" distR="0">
            <wp:extent cx="5295900" cy="2425065"/>
            <wp:effectExtent l="0" t="0" r="7620" b="13335"/>
            <wp:docPr id="1054" name="图片 1256587319"/>
            <wp:cNvGraphicFramePr/>
            <a:graphic xmlns:a="http://schemas.openxmlformats.org/drawingml/2006/main">
              <a:graphicData uri="http://schemas.openxmlformats.org/drawingml/2006/picture">
                <pic:pic xmlns:pic="http://schemas.openxmlformats.org/drawingml/2006/picture">
                  <pic:nvPicPr>
                    <pic:cNvPr id="1054" name="图片 1256587319"/>
                    <pic:cNvPicPr/>
                  </pic:nvPicPr>
                  <pic:blipFill>
                    <a:blip r:embed="rId48" cstate="print"/>
                    <a:srcRect t="28483"/>
                    <a:stretch>
                      <a:fillRect/>
                    </a:stretch>
                  </pic:blipFill>
                  <pic:spPr>
                    <a:xfrm>
                      <a:off x="0" y="0"/>
                      <a:ext cx="5295900" cy="2425065"/>
                    </a:xfrm>
                    <a:prstGeom prst="rect">
                      <a:avLst/>
                    </a:prstGeom>
                  </pic:spPr>
                </pic:pic>
              </a:graphicData>
            </a:graphic>
          </wp:inline>
        </w:drawing>
      </w:r>
    </w:p>
    <w:p w14:paraId="4B298207">
      <w:pPr>
        <w:pStyle w:val="26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（3）一般路基设计</w:t>
      </w:r>
    </w:p>
    <w:p w14:paraId="7746BC38">
      <w:pPr>
        <w:pStyle w:val="264"/>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路基填料可采用石质土、砾类土、砂性土，不得采用液限大于50%、塑性指数大于26的土作为路基填料；本项目取土较方便，直接采用土质路堤填筑；泥炭淤泥、有机质土等不得作为填料。为保证路基边缘压实度，路基填方宽度每侧超填50cm。填方路基应分层填筑，分层压实，机械压实，各种填土松铺厚度应通过试验确定。每层铺宽应超过路堤的设计宽度，以保证完工后的路堤边缘有足够的压实度。</w:t>
      </w:r>
    </w:p>
    <w:p w14:paraId="4B86B9A4">
      <w:pPr>
        <w:pStyle w:val="26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路堤填料的分层压实采用城市次干路重型标准，路基压实度标准及填料强度要求见下表：</w:t>
      </w:r>
    </w:p>
    <w:p w14:paraId="5FDAB3D6">
      <w:pPr>
        <w:pStyle w:val="268"/>
        <w:keepNext w:val="0"/>
        <w:keepLines w:val="0"/>
        <w:pageBreakBefore w:val="0"/>
        <w:widowControl w:val="0"/>
        <w:kinsoku/>
        <w:wordWrap/>
        <w:overflowPunct/>
        <w:topLinePunct w:val="0"/>
        <w:autoSpaceDE/>
        <w:autoSpaceDN/>
        <w:bidi w:val="0"/>
        <w:adjustRightInd/>
        <w:snapToGrid w:val="0"/>
        <w:spacing w:line="240" w:lineRule="auto"/>
        <w:ind w:left="482" w:firstLine="0" w:firstLineChars="0"/>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路基压实度标准及填料强度要求</w:t>
      </w:r>
    </w:p>
    <w:tbl>
      <w:tblPr>
        <w:tblStyle w:val="44"/>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autofit"/>
        <w:tblCellMar>
          <w:top w:w="0" w:type="dxa"/>
          <w:left w:w="108" w:type="dxa"/>
          <w:bottom w:w="0" w:type="dxa"/>
          <w:right w:w="108" w:type="dxa"/>
        </w:tblCellMar>
      </w:tblPr>
      <w:tblGrid>
        <w:gridCol w:w="1420"/>
        <w:gridCol w:w="2425"/>
        <w:gridCol w:w="1652"/>
        <w:gridCol w:w="1053"/>
        <w:gridCol w:w="1972"/>
      </w:tblGrid>
      <w:tr w14:paraId="35831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34" w:hRule="atLeast"/>
          <w:jc w:val="center"/>
        </w:trPr>
        <w:tc>
          <w:tcPr>
            <w:tcW w:w="833" w:type="pct"/>
            <w:tcBorders>
              <w:top w:val="single" w:color="auto" w:sz="6" w:space="0"/>
              <w:left w:val="single" w:color="auto" w:sz="6" w:space="0"/>
              <w:bottom w:val="single" w:color="auto" w:sz="6" w:space="0"/>
              <w:right w:val="single" w:color="auto" w:sz="6" w:space="0"/>
            </w:tcBorders>
            <w:shd w:val="clear" w:color="auto" w:fill="FFFFFF"/>
            <w:vAlign w:val="center"/>
          </w:tcPr>
          <w:p w14:paraId="2A5E007F">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lang w:val="zh-CN"/>
              </w:rPr>
            </w:pPr>
            <w:r>
              <w:rPr>
                <w:rFonts w:hint="eastAsia" w:asciiTheme="minorEastAsia" w:hAnsiTheme="minorEastAsia" w:eastAsiaTheme="minorEastAsia" w:cstheme="minorEastAsia"/>
                <w:color w:val="000000"/>
                <w:sz w:val="24"/>
                <w:szCs w:val="24"/>
                <w:highlight w:val="none"/>
                <w:lang w:val="zh-CN"/>
              </w:rPr>
              <w:t>项目分类</w:t>
            </w:r>
          </w:p>
        </w:tc>
        <w:tc>
          <w:tcPr>
            <w:tcW w:w="1423" w:type="pct"/>
            <w:tcBorders>
              <w:top w:val="single" w:color="auto" w:sz="6" w:space="0"/>
              <w:left w:val="single" w:color="auto" w:sz="6" w:space="0"/>
              <w:bottom w:val="single" w:color="auto" w:sz="6" w:space="0"/>
              <w:right w:val="single" w:color="auto" w:sz="6" w:space="0"/>
            </w:tcBorders>
            <w:shd w:val="clear" w:color="auto" w:fill="FFFFFF"/>
            <w:vAlign w:val="center"/>
          </w:tcPr>
          <w:p w14:paraId="7C7C3087">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lang w:val="zh-CN"/>
              </w:rPr>
            </w:pPr>
            <w:r>
              <w:rPr>
                <w:rFonts w:hint="eastAsia" w:asciiTheme="minorEastAsia" w:hAnsiTheme="minorEastAsia" w:eastAsiaTheme="minorEastAsia" w:cstheme="minorEastAsia"/>
                <w:color w:val="000000"/>
                <w:sz w:val="24"/>
                <w:szCs w:val="24"/>
                <w:highlight w:val="none"/>
                <w:lang w:val="zh-CN"/>
              </w:rPr>
              <w:t>路面底面以下深度（m）</w:t>
            </w:r>
          </w:p>
        </w:tc>
        <w:tc>
          <w:tcPr>
            <w:tcW w:w="969" w:type="pct"/>
            <w:tcBorders>
              <w:top w:val="single" w:color="auto" w:sz="6" w:space="0"/>
              <w:left w:val="single" w:color="auto" w:sz="6" w:space="0"/>
              <w:bottom w:val="single" w:color="auto" w:sz="6" w:space="0"/>
              <w:right w:val="single" w:color="auto" w:sz="6" w:space="0"/>
            </w:tcBorders>
            <w:shd w:val="clear" w:color="auto" w:fill="FFFFFF"/>
            <w:vAlign w:val="center"/>
          </w:tcPr>
          <w:p w14:paraId="5631DA16">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lang w:val="zh-CN"/>
              </w:rPr>
            </w:pPr>
            <w:r>
              <w:rPr>
                <w:rFonts w:hint="eastAsia" w:asciiTheme="minorEastAsia" w:hAnsiTheme="minorEastAsia" w:eastAsiaTheme="minorEastAsia" w:cstheme="minorEastAsia"/>
                <w:color w:val="000000"/>
                <w:sz w:val="24"/>
                <w:szCs w:val="24"/>
                <w:highlight w:val="none"/>
                <w:lang w:val="zh-CN"/>
              </w:rPr>
              <w:t>填料最小强度(CBR)(%)</w:t>
            </w:r>
          </w:p>
        </w:tc>
        <w:tc>
          <w:tcPr>
            <w:tcW w:w="618" w:type="pct"/>
            <w:tcBorders>
              <w:top w:val="single" w:color="auto" w:sz="6" w:space="0"/>
              <w:left w:val="single" w:color="auto" w:sz="6" w:space="0"/>
              <w:bottom w:val="single" w:color="auto" w:sz="6" w:space="0"/>
              <w:right w:val="single" w:color="auto" w:sz="6" w:space="0"/>
            </w:tcBorders>
            <w:shd w:val="clear" w:color="auto" w:fill="FFFFFF"/>
            <w:vAlign w:val="center"/>
          </w:tcPr>
          <w:p w14:paraId="3A0FF13C">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kern w:val="2"/>
                <w:sz w:val="24"/>
                <w:szCs w:val="24"/>
                <w:highlight w:val="none"/>
                <w:lang w:val="zh-CN"/>
              </w:rPr>
            </w:pPr>
            <w:r>
              <w:rPr>
                <w:rFonts w:hint="eastAsia" w:asciiTheme="minorEastAsia" w:hAnsiTheme="minorEastAsia" w:eastAsiaTheme="minorEastAsia" w:cstheme="minorEastAsia"/>
                <w:color w:val="000000"/>
                <w:sz w:val="24"/>
                <w:szCs w:val="24"/>
                <w:highlight w:val="none"/>
                <w:lang w:val="zh-CN"/>
              </w:rPr>
              <w:t>压实度</w:t>
            </w:r>
          </w:p>
          <w:p w14:paraId="0D24C3D5">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lang w:val="zh-CN"/>
              </w:rPr>
            </w:pPr>
            <w:r>
              <w:rPr>
                <w:rFonts w:hint="eastAsia" w:asciiTheme="minorEastAsia" w:hAnsiTheme="minorEastAsia" w:eastAsiaTheme="minorEastAsia" w:cstheme="minorEastAsia"/>
                <w:color w:val="000000"/>
                <w:sz w:val="24"/>
                <w:szCs w:val="24"/>
                <w:highlight w:val="none"/>
                <w:lang w:val="zh-CN"/>
              </w:rPr>
              <w:t>（%）</w:t>
            </w:r>
          </w:p>
        </w:tc>
        <w:tc>
          <w:tcPr>
            <w:tcW w:w="1157" w:type="pct"/>
            <w:tcBorders>
              <w:top w:val="single" w:color="auto" w:sz="6" w:space="0"/>
              <w:left w:val="single" w:color="auto" w:sz="6" w:space="0"/>
              <w:bottom w:val="single" w:color="auto" w:sz="6" w:space="0"/>
              <w:right w:val="single" w:color="auto" w:sz="6" w:space="0"/>
            </w:tcBorders>
            <w:shd w:val="clear" w:color="auto" w:fill="FFFFFF"/>
            <w:vAlign w:val="center"/>
          </w:tcPr>
          <w:p w14:paraId="2765E88D">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lang w:val="zh-CN"/>
              </w:rPr>
            </w:pPr>
            <w:r>
              <w:rPr>
                <w:rFonts w:hint="eastAsia" w:asciiTheme="minorEastAsia" w:hAnsiTheme="minorEastAsia" w:eastAsiaTheme="minorEastAsia" w:cstheme="minorEastAsia"/>
                <w:color w:val="000000"/>
                <w:sz w:val="24"/>
                <w:szCs w:val="24"/>
                <w:highlight w:val="none"/>
                <w:lang w:val="zh-CN"/>
              </w:rPr>
              <w:t>填料最大粒径(cm)</w:t>
            </w:r>
          </w:p>
        </w:tc>
      </w:tr>
      <w:tr w14:paraId="5E37D7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cantSplit/>
          <w:trHeight w:val="434" w:hRule="atLeast"/>
          <w:jc w:val="center"/>
        </w:trPr>
        <w:tc>
          <w:tcPr>
            <w:tcW w:w="833" w:type="pct"/>
            <w:vMerge w:val="restart"/>
            <w:tcBorders>
              <w:top w:val="single" w:color="auto" w:sz="6" w:space="0"/>
              <w:left w:val="single" w:color="auto" w:sz="6" w:space="0"/>
              <w:bottom w:val="single" w:color="auto" w:sz="6" w:space="0"/>
              <w:right w:val="single" w:color="auto" w:sz="6" w:space="0"/>
            </w:tcBorders>
            <w:shd w:val="clear" w:color="auto" w:fill="FFFFFF"/>
            <w:vAlign w:val="center"/>
          </w:tcPr>
          <w:p w14:paraId="079E1BC4">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填方路基</w:t>
            </w:r>
          </w:p>
        </w:tc>
        <w:tc>
          <w:tcPr>
            <w:tcW w:w="1423" w:type="pct"/>
            <w:tcBorders>
              <w:top w:val="single" w:color="auto" w:sz="6" w:space="0"/>
              <w:left w:val="single" w:color="auto" w:sz="6" w:space="0"/>
              <w:bottom w:val="single" w:color="auto" w:sz="6" w:space="0"/>
              <w:right w:val="single" w:color="auto" w:sz="6" w:space="0"/>
            </w:tcBorders>
            <w:shd w:val="clear" w:color="auto" w:fill="FFFFFF"/>
            <w:vAlign w:val="center"/>
          </w:tcPr>
          <w:p w14:paraId="1BFB8833">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0.0～0.3</w:t>
            </w:r>
          </w:p>
        </w:tc>
        <w:tc>
          <w:tcPr>
            <w:tcW w:w="969" w:type="pct"/>
            <w:tcBorders>
              <w:top w:val="single" w:color="auto" w:sz="6" w:space="0"/>
              <w:left w:val="single" w:color="auto" w:sz="6" w:space="0"/>
              <w:bottom w:val="single" w:color="auto" w:sz="6" w:space="0"/>
              <w:right w:val="single" w:color="auto" w:sz="6" w:space="0"/>
            </w:tcBorders>
            <w:shd w:val="clear" w:color="auto" w:fill="FFFFFF"/>
            <w:vAlign w:val="center"/>
          </w:tcPr>
          <w:p w14:paraId="4B6171AB">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6</w:t>
            </w:r>
          </w:p>
        </w:tc>
        <w:tc>
          <w:tcPr>
            <w:tcW w:w="618" w:type="pct"/>
            <w:tcBorders>
              <w:top w:val="single" w:color="auto" w:sz="6" w:space="0"/>
              <w:left w:val="single" w:color="auto" w:sz="6" w:space="0"/>
              <w:bottom w:val="single" w:color="auto" w:sz="6" w:space="0"/>
              <w:right w:val="single" w:color="auto" w:sz="6" w:space="0"/>
            </w:tcBorders>
            <w:shd w:val="clear" w:color="auto" w:fill="FFFFFF"/>
            <w:vAlign w:val="center"/>
          </w:tcPr>
          <w:p w14:paraId="7BF367B1">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94</w:t>
            </w:r>
          </w:p>
        </w:tc>
        <w:tc>
          <w:tcPr>
            <w:tcW w:w="1157" w:type="pct"/>
            <w:tcBorders>
              <w:top w:val="single" w:color="auto" w:sz="6" w:space="0"/>
              <w:left w:val="single" w:color="auto" w:sz="6" w:space="0"/>
              <w:bottom w:val="single" w:color="auto" w:sz="6" w:space="0"/>
              <w:right w:val="single" w:color="auto" w:sz="6" w:space="0"/>
            </w:tcBorders>
            <w:shd w:val="clear" w:color="auto" w:fill="FFFFFF"/>
            <w:vAlign w:val="center"/>
          </w:tcPr>
          <w:p w14:paraId="40A21BFA">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10</w:t>
            </w:r>
          </w:p>
        </w:tc>
      </w:tr>
      <w:tr w14:paraId="5583F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cantSplit/>
          <w:trHeight w:val="434" w:hRule="atLeast"/>
          <w:jc w:val="center"/>
        </w:trPr>
        <w:tc>
          <w:tcPr>
            <w:tcW w:w="0" w:type="auto"/>
            <w:vMerge w:val="continue"/>
            <w:tcBorders>
              <w:top w:val="single" w:color="auto" w:sz="6" w:space="0"/>
              <w:left w:val="single" w:color="auto" w:sz="6" w:space="0"/>
              <w:bottom w:val="single" w:color="auto" w:sz="6" w:space="0"/>
              <w:right w:val="single" w:color="auto" w:sz="6" w:space="0"/>
            </w:tcBorders>
            <w:shd w:val="clear" w:color="auto" w:fill="FFFFFF"/>
            <w:vAlign w:val="center"/>
          </w:tcPr>
          <w:p w14:paraId="221932D1">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2" w:right="0" w:firstLine="0" w:firstLineChars="0"/>
              <w:jc w:val="center"/>
              <w:textAlignment w:val="auto"/>
              <w:rPr>
                <w:rFonts w:hint="eastAsia" w:asciiTheme="minorEastAsia" w:hAnsiTheme="minorEastAsia" w:eastAsiaTheme="minorEastAsia" w:cstheme="minorEastAsia"/>
                <w:color w:val="000000"/>
                <w:kern w:val="2"/>
                <w:sz w:val="24"/>
                <w:szCs w:val="24"/>
                <w:highlight w:val="none"/>
              </w:rPr>
            </w:pPr>
          </w:p>
        </w:tc>
        <w:tc>
          <w:tcPr>
            <w:tcW w:w="1423" w:type="pct"/>
            <w:tcBorders>
              <w:top w:val="single" w:color="auto" w:sz="6" w:space="0"/>
              <w:left w:val="single" w:color="auto" w:sz="6" w:space="0"/>
              <w:bottom w:val="single" w:color="auto" w:sz="6" w:space="0"/>
              <w:right w:val="single" w:color="auto" w:sz="6" w:space="0"/>
            </w:tcBorders>
            <w:shd w:val="clear" w:color="auto" w:fill="FFFFFF"/>
            <w:vAlign w:val="center"/>
          </w:tcPr>
          <w:p w14:paraId="37C8ACD3">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0.3～0.8</w:t>
            </w:r>
          </w:p>
        </w:tc>
        <w:tc>
          <w:tcPr>
            <w:tcW w:w="969" w:type="pct"/>
            <w:tcBorders>
              <w:top w:val="single" w:color="auto" w:sz="6" w:space="0"/>
              <w:left w:val="single" w:color="auto" w:sz="6" w:space="0"/>
              <w:bottom w:val="single" w:color="auto" w:sz="6" w:space="0"/>
              <w:right w:val="single" w:color="auto" w:sz="6" w:space="0"/>
            </w:tcBorders>
            <w:shd w:val="clear" w:color="auto" w:fill="FFFFFF"/>
            <w:vAlign w:val="center"/>
          </w:tcPr>
          <w:p w14:paraId="5CA83096">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4</w:t>
            </w:r>
          </w:p>
        </w:tc>
        <w:tc>
          <w:tcPr>
            <w:tcW w:w="618" w:type="pct"/>
            <w:tcBorders>
              <w:top w:val="single" w:color="auto" w:sz="6" w:space="0"/>
              <w:left w:val="single" w:color="auto" w:sz="6" w:space="0"/>
              <w:bottom w:val="single" w:color="auto" w:sz="6" w:space="0"/>
              <w:right w:val="single" w:color="auto" w:sz="6" w:space="0"/>
            </w:tcBorders>
            <w:shd w:val="clear" w:color="auto" w:fill="FFFFFF"/>
            <w:vAlign w:val="center"/>
          </w:tcPr>
          <w:p w14:paraId="516C2F98">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94</w:t>
            </w:r>
          </w:p>
        </w:tc>
        <w:tc>
          <w:tcPr>
            <w:tcW w:w="1157" w:type="pct"/>
            <w:tcBorders>
              <w:top w:val="single" w:color="auto" w:sz="6" w:space="0"/>
              <w:left w:val="single" w:color="auto" w:sz="6" w:space="0"/>
              <w:bottom w:val="single" w:color="auto" w:sz="6" w:space="0"/>
              <w:right w:val="single" w:color="auto" w:sz="6" w:space="0"/>
            </w:tcBorders>
            <w:shd w:val="clear" w:color="auto" w:fill="FFFFFF"/>
            <w:vAlign w:val="center"/>
          </w:tcPr>
          <w:p w14:paraId="6807B446">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10</w:t>
            </w:r>
          </w:p>
        </w:tc>
      </w:tr>
      <w:tr w14:paraId="7570B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cantSplit/>
          <w:trHeight w:val="434" w:hRule="atLeast"/>
          <w:jc w:val="center"/>
        </w:trPr>
        <w:tc>
          <w:tcPr>
            <w:tcW w:w="0" w:type="auto"/>
            <w:vMerge w:val="continue"/>
            <w:tcBorders>
              <w:top w:val="single" w:color="auto" w:sz="6" w:space="0"/>
              <w:left w:val="single" w:color="auto" w:sz="6" w:space="0"/>
              <w:bottom w:val="single" w:color="auto" w:sz="6" w:space="0"/>
              <w:right w:val="single" w:color="auto" w:sz="6" w:space="0"/>
            </w:tcBorders>
            <w:shd w:val="clear" w:color="auto" w:fill="FFFFFF"/>
            <w:vAlign w:val="center"/>
          </w:tcPr>
          <w:p w14:paraId="6E27977F">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2" w:right="0" w:firstLine="0" w:firstLineChars="0"/>
              <w:jc w:val="center"/>
              <w:textAlignment w:val="auto"/>
              <w:rPr>
                <w:rFonts w:hint="eastAsia" w:asciiTheme="minorEastAsia" w:hAnsiTheme="minorEastAsia" w:eastAsiaTheme="minorEastAsia" w:cstheme="minorEastAsia"/>
                <w:color w:val="000000"/>
                <w:kern w:val="2"/>
                <w:sz w:val="24"/>
                <w:szCs w:val="24"/>
                <w:highlight w:val="none"/>
              </w:rPr>
            </w:pPr>
          </w:p>
        </w:tc>
        <w:tc>
          <w:tcPr>
            <w:tcW w:w="1423" w:type="pct"/>
            <w:tcBorders>
              <w:top w:val="single" w:color="auto" w:sz="6" w:space="0"/>
              <w:left w:val="single" w:color="auto" w:sz="6" w:space="0"/>
              <w:bottom w:val="single" w:color="auto" w:sz="6" w:space="0"/>
              <w:right w:val="single" w:color="auto" w:sz="6" w:space="0"/>
            </w:tcBorders>
            <w:shd w:val="clear" w:color="auto" w:fill="FFFFFF"/>
            <w:vAlign w:val="center"/>
          </w:tcPr>
          <w:p w14:paraId="20D95DA6">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0.8～1.5</w:t>
            </w:r>
          </w:p>
        </w:tc>
        <w:tc>
          <w:tcPr>
            <w:tcW w:w="969" w:type="pct"/>
            <w:tcBorders>
              <w:top w:val="single" w:color="auto" w:sz="6" w:space="0"/>
              <w:left w:val="single" w:color="auto" w:sz="6" w:space="0"/>
              <w:bottom w:val="single" w:color="auto" w:sz="6" w:space="0"/>
              <w:right w:val="single" w:color="auto" w:sz="6" w:space="0"/>
            </w:tcBorders>
            <w:shd w:val="clear" w:color="auto" w:fill="FFFFFF"/>
            <w:vAlign w:val="center"/>
          </w:tcPr>
          <w:p w14:paraId="4910BC75">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3</w:t>
            </w:r>
          </w:p>
        </w:tc>
        <w:tc>
          <w:tcPr>
            <w:tcW w:w="618" w:type="pct"/>
            <w:tcBorders>
              <w:top w:val="single" w:color="auto" w:sz="6" w:space="0"/>
              <w:left w:val="single" w:color="auto" w:sz="6" w:space="0"/>
              <w:bottom w:val="single" w:color="auto" w:sz="6" w:space="0"/>
              <w:right w:val="single" w:color="auto" w:sz="6" w:space="0"/>
            </w:tcBorders>
            <w:shd w:val="clear" w:color="auto" w:fill="FFFFFF"/>
            <w:vAlign w:val="center"/>
          </w:tcPr>
          <w:p w14:paraId="5989314C">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92</w:t>
            </w:r>
          </w:p>
        </w:tc>
        <w:tc>
          <w:tcPr>
            <w:tcW w:w="1157" w:type="pct"/>
            <w:tcBorders>
              <w:top w:val="single" w:color="auto" w:sz="6" w:space="0"/>
              <w:left w:val="single" w:color="auto" w:sz="6" w:space="0"/>
              <w:bottom w:val="single" w:color="auto" w:sz="6" w:space="0"/>
              <w:right w:val="single" w:color="auto" w:sz="6" w:space="0"/>
            </w:tcBorders>
            <w:shd w:val="clear" w:color="auto" w:fill="FFFFFF"/>
            <w:vAlign w:val="center"/>
          </w:tcPr>
          <w:p w14:paraId="6BB6C616">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15</w:t>
            </w:r>
          </w:p>
        </w:tc>
      </w:tr>
      <w:tr w14:paraId="39F00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cantSplit/>
          <w:trHeight w:val="434" w:hRule="atLeast"/>
          <w:jc w:val="center"/>
        </w:trPr>
        <w:tc>
          <w:tcPr>
            <w:tcW w:w="0" w:type="auto"/>
            <w:vMerge w:val="continue"/>
            <w:tcBorders>
              <w:top w:val="single" w:color="auto" w:sz="6" w:space="0"/>
              <w:left w:val="single" w:color="auto" w:sz="6" w:space="0"/>
              <w:bottom w:val="single" w:color="auto" w:sz="6" w:space="0"/>
              <w:right w:val="single" w:color="auto" w:sz="6" w:space="0"/>
            </w:tcBorders>
            <w:shd w:val="clear" w:color="auto" w:fill="FFFFFF"/>
            <w:vAlign w:val="center"/>
          </w:tcPr>
          <w:p w14:paraId="0EB87135">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2" w:right="0" w:firstLine="0" w:firstLineChars="0"/>
              <w:jc w:val="center"/>
              <w:textAlignment w:val="auto"/>
              <w:rPr>
                <w:rFonts w:hint="eastAsia" w:asciiTheme="minorEastAsia" w:hAnsiTheme="minorEastAsia" w:eastAsiaTheme="minorEastAsia" w:cstheme="minorEastAsia"/>
                <w:color w:val="000000"/>
                <w:kern w:val="2"/>
                <w:sz w:val="24"/>
                <w:szCs w:val="24"/>
                <w:highlight w:val="none"/>
              </w:rPr>
            </w:pPr>
          </w:p>
        </w:tc>
        <w:tc>
          <w:tcPr>
            <w:tcW w:w="1423" w:type="pct"/>
            <w:tcBorders>
              <w:top w:val="single" w:color="auto" w:sz="6" w:space="0"/>
              <w:left w:val="single" w:color="auto" w:sz="6" w:space="0"/>
              <w:bottom w:val="single" w:color="auto" w:sz="6" w:space="0"/>
              <w:right w:val="single" w:color="auto" w:sz="6" w:space="0"/>
            </w:tcBorders>
            <w:shd w:val="clear" w:color="auto" w:fill="FFFFFF"/>
            <w:vAlign w:val="center"/>
          </w:tcPr>
          <w:p w14:paraId="7766EFEE">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&gt;1.5</w:t>
            </w:r>
          </w:p>
        </w:tc>
        <w:tc>
          <w:tcPr>
            <w:tcW w:w="969" w:type="pct"/>
            <w:tcBorders>
              <w:top w:val="single" w:color="auto" w:sz="6" w:space="0"/>
              <w:left w:val="single" w:color="auto" w:sz="6" w:space="0"/>
              <w:bottom w:val="single" w:color="auto" w:sz="6" w:space="0"/>
              <w:right w:val="single" w:color="auto" w:sz="6" w:space="0"/>
            </w:tcBorders>
            <w:shd w:val="clear" w:color="auto" w:fill="FFFFFF"/>
            <w:vAlign w:val="center"/>
          </w:tcPr>
          <w:p w14:paraId="53799738">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w:t>
            </w:r>
          </w:p>
        </w:tc>
        <w:tc>
          <w:tcPr>
            <w:tcW w:w="618" w:type="pct"/>
            <w:tcBorders>
              <w:top w:val="single" w:color="auto" w:sz="6" w:space="0"/>
              <w:left w:val="single" w:color="auto" w:sz="6" w:space="0"/>
              <w:bottom w:val="single" w:color="auto" w:sz="6" w:space="0"/>
              <w:right w:val="single" w:color="auto" w:sz="6" w:space="0"/>
            </w:tcBorders>
            <w:shd w:val="clear" w:color="auto" w:fill="FFFFFF"/>
            <w:vAlign w:val="center"/>
          </w:tcPr>
          <w:p w14:paraId="1682610B">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91</w:t>
            </w:r>
          </w:p>
        </w:tc>
        <w:tc>
          <w:tcPr>
            <w:tcW w:w="1157" w:type="pct"/>
            <w:tcBorders>
              <w:top w:val="single" w:color="auto" w:sz="6" w:space="0"/>
              <w:left w:val="single" w:color="auto" w:sz="6" w:space="0"/>
              <w:bottom w:val="single" w:color="auto" w:sz="6" w:space="0"/>
              <w:right w:val="single" w:color="auto" w:sz="6" w:space="0"/>
            </w:tcBorders>
            <w:shd w:val="clear" w:color="auto" w:fill="FFFFFF"/>
            <w:vAlign w:val="center"/>
          </w:tcPr>
          <w:p w14:paraId="627D748F">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15</w:t>
            </w:r>
          </w:p>
        </w:tc>
      </w:tr>
      <w:tr w14:paraId="189A5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cantSplit/>
          <w:trHeight w:val="434" w:hRule="atLeast"/>
          <w:jc w:val="center"/>
        </w:trPr>
        <w:tc>
          <w:tcPr>
            <w:tcW w:w="833" w:type="pct"/>
            <w:vMerge w:val="restart"/>
            <w:tcBorders>
              <w:top w:val="single" w:color="auto" w:sz="6" w:space="0"/>
              <w:left w:val="single" w:color="auto" w:sz="6" w:space="0"/>
              <w:bottom w:val="single" w:color="auto" w:sz="6" w:space="0"/>
              <w:right w:val="single" w:color="auto" w:sz="6" w:space="0"/>
            </w:tcBorders>
            <w:shd w:val="clear" w:color="auto" w:fill="FFFFFF"/>
            <w:vAlign w:val="center"/>
          </w:tcPr>
          <w:p w14:paraId="3F52D5B2">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零填及挖方路基</w:t>
            </w:r>
          </w:p>
        </w:tc>
        <w:tc>
          <w:tcPr>
            <w:tcW w:w="1423" w:type="pct"/>
            <w:tcBorders>
              <w:top w:val="single" w:color="auto" w:sz="6" w:space="0"/>
              <w:left w:val="single" w:color="auto" w:sz="6" w:space="0"/>
              <w:bottom w:val="single" w:color="auto" w:sz="6" w:space="0"/>
              <w:right w:val="single" w:color="auto" w:sz="6" w:space="0"/>
            </w:tcBorders>
            <w:shd w:val="clear" w:color="auto" w:fill="FFFFFF"/>
            <w:vAlign w:val="center"/>
          </w:tcPr>
          <w:p w14:paraId="1DDE6721">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0～0.3</w:t>
            </w:r>
          </w:p>
        </w:tc>
        <w:tc>
          <w:tcPr>
            <w:tcW w:w="969" w:type="pct"/>
            <w:tcBorders>
              <w:top w:val="single" w:color="auto" w:sz="6" w:space="0"/>
              <w:left w:val="single" w:color="auto" w:sz="6" w:space="0"/>
              <w:bottom w:val="single" w:color="auto" w:sz="6" w:space="0"/>
              <w:right w:val="single" w:color="auto" w:sz="6" w:space="0"/>
            </w:tcBorders>
            <w:shd w:val="clear" w:color="auto" w:fill="FFFFFF"/>
            <w:vAlign w:val="center"/>
          </w:tcPr>
          <w:p w14:paraId="53A40E76">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6</w:t>
            </w:r>
          </w:p>
        </w:tc>
        <w:tc>
          <w:tcPr>
            <w:tcW w:w="618" w:type="pct"/>
            <w:tcBorders>
              <w:top w:val="single" w:color="auto" w:sz="6" w:space="0"/>
              <w:left w:val="single" w:color="auto" w:sz="6" w:space="0"/>
              <w:bottom w:val="single" w:color="auto" w:sz="6" w:space="0"/>
              <w:right w:val="single" w:color="auto" w:sz="6" w:space="0"/>
            </w:tcBorders>
            <w:shd w:val="clear" w:color="auto" w:fill="FFFFFF"/>
            <w:vAlign w:val="center"/>
          </w:tcPr>
          <w:p w14:paraId="633EE340">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94</w:t>
            </w:r>
          </w:p>
        </w:tc>
        <w:tc>
          <w:tcPr>
            <w:tcW w:w="1157" w:type="pct"/>
            <w:tcBorders>
              <w:top w:val="single" w:color="auto" w:sz="6" w:space="0"/>
              <w:left w:val="single" w:color="auto" w:sz="6" w:space="0"/>
              <w:bottom w:val="single" w:color="auto" w:sz="6" w:space="0"/>
              <w:right w:val="single" w:color="auto" w:sz="6" w:space="0"/>
            </w:tcBorders>
            <w:shd w:val="clear" w:color="auto" w:fill="FFFFFF"/>
            <w:vAlign w:val="center"/>
          </w:tcPr>
          <w:p w14:paraId="0C3FDDDE">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10</w:t>
            </w:r>
          </w:p>
        </w:tc>
      </w:tr>
      <w:tr w14:paraId="683094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cantSplit/>
          <w:trHeight w:val="434" w:hRule="atLeast"/>
          <w:jc w:val="center"/>
        </w:trPr>
        <w:tc>
          <w:tcPr>
            <w:tcW w:w="0" w:type="auto"/>
            <w:vMerge w:val="continue"/>
            <w:tcBorders>
              <w:top w:val="single" w:color="auto" w:sz="6" w:space="0"/>
              <w:left w:val="single" w:color="auto" w:sz="6" w:space="0"/>
              <w:bottom w:val="single" w:color="auto" w:sz="6" w:space="0"/>
              <w:right w:val="single" w:color="auto" w:sz="6" w:space="0"/>
            </w:tcBorders>
            <w:shd w:val="clear" w:color="auto" w:fill="FFFFFF"/>
            <w:vAlign w:val="center"/>
          </w:tcPr>
          <w:p w14:paraId="133CB7A5">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2" w:right="0" w:firstLine="0" w:firstLineChars="0"/>
              <w:jc w:val="center"/>
              <w:textAlignment w:val="auto"/>
              <w:rPr>
                <w:rFonts w:hint="eastAsia" w:asciiTheme="minorEastAsia" w:hAnsiTheme="minorEastAsia" w:eastAsiaTheme="minorEastAsia" w:cstheme="minorEastAsia"/>
                <w:color w:val="000000"/>
                <w:kern w:val="2"/>
                <w:sz w:val="24"/>
                <w:szCs w:val="24"/>
                <w:highlight w:val="none"/>
              </w:rPr>
            </w:pPr>
          </w:p>
        </w:tc>
        <w:tc>
          <w:tcPr>
            <w:tcW w:w="1423" w:type="pct"/>
            <w:tcBorders>
              <w:top w:val="single" w:color="auto" w:sz="6" w:space="0"/>
              <w:left w:val="single" w:color="auto" w:sz="6" w:space="0"/>
              <w:bottom w:val="single" w:color="auto" w:sz="6" w:space="0"/>
              <w:right w:val="single" w:color="auto" w:sz="6" w:space="0"/>
            </w:tcBorders>
            <w:shd w:val="clear" w:color="auto" w:fill="FFFFFF"/>
            <w:vAlign w:val="center"/>
          </w:tcPr>
          <w:p w14:paraId="79E1EA8F">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0.3～0.8</w:t>
            </w:r>
          </w:p>
        </w:tc>
        <w:tc>
          <w:tcPr>
            <w:tcW w:w="969" w:type="pct"/>
            <w:tcBorders>
              <w:top w:val="single" w:color="auto" w:sz="6" w:space="0"/>
              <w:left w:val="single" w:color="auto" w:sz="6" w:space="0"/>
              <w:bottom w:val="single" w:color="auto" w:sz="6" w:space="0"/>
              <w:right w:val="single" w:color="auto" w:sz="6" w:space="0"/>
            </w:tcBorders>
            <w:shd w:val="clear" w:color="auto" w:fill="FFFFFF"/>
            <w:vAlign w:val="center"/>
          </w:tcPr>
          <w:p w14:paraId="3C5CAF2E">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4</w:t>
            </w:r>
          </w:p>
        </w:tc>
        <w:tc>
          <w:tcPr>
            <w:tcW w:w="618" w:type="pct"/>
            <w:tcBorders>
              <w:top w:val="single" w:color="auto" w:sz="6" w:space="0"/>
              <w:left w:val="single" w:color="auto" w:sz="6" w:space="0"/>
              <w:bottom w:val="single" w:color="auto" w:sz="6" w:space="0"/>
              <w:right w:val="single" w:color="auto" w:sz="6" w:space="0"/>
            </w:tcBorders>
            <w:shd w:val="clear" w:color="auto" w:fill="FFFFFF"/>
            <w:vAlign w:val="center"/>
          </w:tcPr>
          <w:p w14:paraId="214BD648">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1157" w:type="pct"/>
            <w:tcBorders>
              <w:top w:val="single" w:color="auto" w:sz="6" w:space="0"/>
              <w:left w:val="single" w:color="auto" w:sz="6" w:space="0"/>
              <w:bottom w:val="single" w:color="auto" w:sz="6" w:space="0"/>
              <w:right w:val="single" w:color="auto" w:sz="6" w:space="0"/>
            </w:tcBorders>
            <w:shd w:val="clear" w:color="auto" w:fill="FFFFFF"/>
            <w:vAlign w:val="center"/>
          </w:tcPr>
          <w:p w14:paraId="78BF8839">
            <w:pPr>
              <w:pStyle w:val="26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10</w:t>
            </w:r>
          </w:p>
        </w:tc>
      </w:tr>
    </w:tbl>
    <w:p w14:paraId="179B9A23">
      <w:pPr>
        <w:pStyle w:val="26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kern w:val="2"/>
          <w:sz w:val="24"/>
          <w:szCs w:val="24"/>
          <w:highlight w:val="none"/>
        </w:rPr>
      </w:pPr>
      <w:r>
        <w:rPr>
          <w:rFonts w:hint="eastAsia" w:asciiTheme="minorEastAsia" w:hAnsiTheme="minorEastAsia" w:eastAsiaTheme="minorEastAsia" w:cstheme="minorEastAsia"/>
          <w:sz w:val="24"/>
          <w:szCs w:val="24"/>
          <w:highlight w:val="none"/>
        </w:rPr>
        <w:t>填方路基须经试验确认合格后方可填筑，每层填料的规格、强度及压实度均须满足本设计要求。用不同填料填筑路基时，须分层填筑，每一水平层应选用同类填料。每层填土一般最大松铺厚度不大于30cm，且不小于10cm，压实厚度建议控制在30cm左右，具体每层的填筑厚度及碾压遍数等均应根据填料和压实机械通过路基试验段确定，同种材料的填筑累计厚度不小于30cm，每层填平应整平成路拱。</w:t>
      </w:r>
    </w:p>
    <w:p w14:paraId="7FF6F35D">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主要附属工程设计</w:t>
      </w:r>
    </w:p>
    <w:p w14:paraId="16E1CA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（1）无障碍设计</w:t>
      </w:r>
    </w:p>
    <w:p w14:paraId="6717ABD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无障碍设施是为保证残疾人、老年人、伤病人、儿童和其他社会成员的通行安全和使用便利，在道路、公共建筑、居住建筑和居住区等建设工程中配套建设的服务设施。无障碍设施建设，是物质文明和精神文明的集中体现，是社会进步的重要标志。</w:t>
      </w:r>
    </w:p>
    <w:p w14:paraId="012E518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 w:val="0"/>
          <w:bCs w:val="0"/>
          <w:color w:val="000000"/>
          <w:sz w:val="24"/>
          <w:szCs w:val="24"/>
          <w:highlight w:val="none"/>
        </w:rPr>
      </w:pPr>
      <w:r>
        <w:rPr>
          <w:rFonts w:hint="eastAsia" w:asciiTheme="minorEastAsia" w:hAnsiTheme="minorEastAsia" w:eastAsiaTheme="minorEastAsia" w:cstheme="minorEastAsia"/>
          <w:color w:val="000000"/>
          <w:sz w:val="24"/>
          <w:szCs w:val="24"/>
          <w:highlight w:val="none"/>
        </w:rPr>
        <w:t>随着人们生活水平的提高、人口老龄化的加剧以及残障人群逐步融入社会，人们对于道路的无障碍要求也越来越高。无障碍道路的修建不仅能够方便老弱病残人员的通行，而且能够为普通人群提供便利。</w:t>
      </w:r>
    </w:p>
    <w:p w14:paraId="37150D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在进行道路无障碍设计时，应当遵循以下原则：</w:t>
      </w:r>
    </w:p>
    <w:p w14:paraId="4BF7C90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1）保证障碍人员能够在无障碍设施的帮助下，顺利抵达预定地点；</w:t>
      </w:r>
    </w:p>
    <w:p w14:paraId="6C156BE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2）保证障碍人员在使用无障碍设施时，不出现危及人员安全的情况，降低由于偶然动作和失误而产生的危害及负面后果；</w:t>
      </w:r>
    </w:p>
    <w:p w14:paraId="0AB757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无障碍设施要满足各种障碍人群的需要，不对普通人群的通行带来障碍。针对障碍人员的日常通行需要，所有的无障碍设施在设计时，尽可能的考虑到所有障碍人员的要求，同时避免对普通人群带来通行障碍。</w:t>
      </w:r>
    </w:p>
    <w:p w14:paraId="4A06A2A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为满足视力残疾者与肢体残疾者以及体弱老人、儿童等利用道路交通设施出行的需要，我国已有国家行业标准《建筑与市政工程无障碍通用规范》（GB550193-2021）予以了明确规定。</w:t>
      </w:r>
    </w:p>
    <w:p w14:paraId="4D56C0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工程无障碍设施，在道路上铺设视力残疾者行进盲道，以引导视力残疾者利用脚底的触感行走。行进盲道在路段上连续铺设，无障碍盲道铺设位置一般距绿化带或行道树树穴≥0.5m，行进盲道宽度0.3~0.6m。行进盲道转折处设提示盲道。对于确实存在的障碍物，或可能引起视残者危险的物体，采用提示盲道圈围，以提醒视残者绕开。同时，路段人行道上不得有突然的高差与横坎，以方便肢残者利用轮椅行进。如有高差或横坎，以斜坡过渡，单面缘石坡道不大于1：20，三面缘石坡道不大于1：12。</w:t>
      </w:r>
    </w:p>
    <w:p w14:paraId="5AFC72AD">
      <w:pPr>
        <w:pageBreakBefore w:val="0"/>
        <w:kinsoku/>
        <w:wordWrap/>
        <w:overflowPunct/>
        <w:topLinePunct w:val="0"/>
        <w:autoSpaceDE/>
        <w:autoSpaceDN/>
        <w:bidi w:val="0"/>
        <w:snapToGrid w:val="0"/>
        <w:spacing w:line="240" w:lineRule="auto"/>
        <w:ind w:firstLine="0" w:firstLineChars="0"/>
        <w:jc w:val="center"/>
        <w:rPr>
          <w:rFonts w:hint="eastAsia" w:asciiTheme="minorEastAsia" w:hAnsiTheme="minorEastAsia" w:eastAsiaTheme="minorEastAsia" w:cstheme="minorEastAsia"/>
          <w:b/>
          <w:color w:val="000000"/>
          <w:kern w:val="2"/>
          <w:sz w:val="24"/>
          <w:szCs w:val="24"/>
          <w:highlight w:val="none"/>
        </w:rPr>
      </w:pPr>
      <w:r>
        <w:rPr>
          <w:rFonts w:hint="eastAsia" w:asciiTheme="minorEastAsia" w:hAnsiTheme="minorEastAsia" w:eastAsiaTheme="minorEastAsia" w:cstheme="minorEastAsia"/>
          <w:b/>
          <w:color w:val="000000"/>
          <w:sz w:val="24"/>
          <w:szCs w:val="24"/>
          <w:highlight w:val="none"/>
        </w:rPr>
        <w:drawing>
          <wp:inline distT="0" distB="0" distL="0" distR="0">
            <wp:extent cx="4316095" cy="1905635"/>
            <wp:effectExtent l="0" t="0" r="12065" b="14605"/>
            <wp:docPr id="1055" name="图片 81"/>
            <wp:cNvGraphicFramePr/>
            <a:graphic xmlns:a="http://schemas.openxmlformats.org/drawingml/2006/main">
              <a:graphicData uri="http://schemas.openxmlformats.org/drawingml/2006/picture">
                <pic:pic xmlns:pic="http://schemas.openxmlformats.org/drawingml/2006/picture">
                  <pic:nvPicPr>
                    <pic:cNvPr id="1055" name="图片 81"/>
                    <pic:cNvPicPr/>
                  </pic:nvPicPr>
                  <pic:blipFill>
                    <a:blip r:embed="rId49" cstate="print"/>
                    <a:srcRect/>
                    <a:stretch>
                      <a:fillRect/>
                    </a:stretch>
                  </pic:blipFill>
                  <pic:spPr>
                    <a:xfrm>
                      <a:off x="0" y="0"/>
                      <a:ext cx="4316095" cy="1905635"/>
                    </a:xfrm>
                    <a:prstGeom prst="rect">
                      <a:avLst/>
                    </a:prstGeom>
                    <a:ln>
                      <a:noFill/>
                    </a:ln>
                  </pic:spPr>
                </pic:pic>
              </a:graphicData>
            </a:graphic>
          </wp:inline>
        </w:drawing>
      </w:r>
    </w:p>
    <w:p w14:paraId="404EEF72">
      <w:pPr>
        <w:pageBreakBefore w:val="0"/>
        <w:kinsoku/>
        <w:wordWrap/>
        <w:overflowPunct/>
        <w:topLinePunct w:val="0"/>
        <w:autoSpaceDE/>
        <w:autoSpaceDN/>
        <w:bidi w:val="0"/>
        <w:snapToGrid w:val="0"/>
        <w:spacing w:line="240" w:lineRule="auto"/>
        <w:ind w:firstLine="0" w:firstLineChars="0"/>
        <w:jc w:val="center"/>
        <w:rPr>
          <w:rFonts w:hint="eastAsia" w:asciiTheme="minorEastAsia" w:hAnsiTheme="minorEastAsia" w:eastAsiaTheme="minorEastAsia" w:cstheme="minorEastAsia"/>
          <w:b w:val="0"/>
          <w:bCs/>
          <w:color w:val="000000"/>
          <w:sz w:val="24"/>
          <w:szCs w:val="24"/>
          <w:highlight w:val="none"/>
        </w:rPr>
      </w:pPr>
      <w:r>
        <w:rPr>
          <w:rFonts w:hint="eastAsia" w:asciiTheme="minorEastAsia" w:hAnsiTheme="minorEastAsia" w:eastAsiaTheme="minorEastAsia" w:cstheme="minorEastAsia"/>
          <w:b w:val="0"/>
          <w:bCs/>
          <w:color w:val="000000"/>
          <w:sz w:val="24"/>
          <w:szCs w:val="24"/>
          <w:highlight w:val="none"/>
        </w:rPr>
        <w:t>三面缘石坡道</w:t>
      </w:r>
    </w:p>
    <w:p w14:paraId="0DB4E698">
      <w:pPr>
        <w:pageBreakBefore w:val="0"/>
        <w:kinsoku/>
        <w:wordWrap/>
        <w:overflowPunct/>
        <w:topLinePunct w:val="0"/>
        <w:autoSpaceDE/>
        <w:autoSpaceDN/>
        <w:bidi w:val="0"/>
        <w:snapToGrid w:val="0"/>
        <w:spacing w:line="240" w:lineRule="auto"/>
        <w:ind w:firstLine="0" w:firstLineChars="0"/>
        <w:jc w:val="center"/>
        <w:rPr>
          <w:rFonts w:hint="eastAsia" w:asciiTheme="minorEastAsia" w:hAnsiTheme="minorEastAsia" w:eastAsiaTheme="minorEastAsia" w:cstheme="minorEastAsia"/>
          <w:b/>
          <w:color w:val="000000"/>
          <w:sz w:val="24"/>
          <w:szCs w:val="24"/>
          <w:highlight w:val="none"/>
        </w:rPr>
      </w:pPr>
      <w:r>
        <w:rPr>
          <w:rFonts w:hint="eastAsia" w:asciiTheme="minorEastAsia" w:hAnsiTheme="minorEastAsia" w:eastAsiaTheme="minorEastAsia" w:cstheme="minorEastAsia"/>
          <w:b/>
          <w:color w:val="000000"/>
          <w:sz w:val="24"/>
          <w:szCs w:val="24"/>
          <w:highlight w:val="none"/>
        </w:rPr>
        <w:drawing>
          <wp:inline distT="0" distB="0" distL="0" distR="0">
            <wp:extent cx="1937385" cy="1649095"/>
            <wp:effectExtent l="0" t="0" r="13335" b="12065"/>
            <wp:docPr id="1056" name="图片 82"/>
            <wp:cNvGraphicFramePr/>
            <a:graphic xmlns:a="http://schemas.openxmlformats.org/drawingml/2006/main">
              <a:graphicData uri="http://schemas.openxmlformats.org/drawingml/2006/picture">
                <pic:pic xmlns:pic="http://schemas.openxmlformats.org/drawingml/2006/picture">
                  <pic:nvPicPr>
                    <pic:cNvPr id="1056" name="图片 82"/>
                    <pic:cNvPicPr/>
                  </pic:nvPicPr>
                  <pic:blipFill>
                    <a:blip r:embed="rId50" cstate="print">
                      <a:lum contrast="-12000"/>
                    </a:blip>
                    <a:srcRect t="-491"/>
                    <a:stretch>
                      <a:fillRect/>
                    </a:stretch>
                  </pic:blipFill>
                  <pic:spPr>
                    <a:xfrm>
                      <a:off x="0" y="0"/>
                      <a:ext cx="1937385" cy="1649729"/>
                    </a:xfrm>
                    <a:prstGeom prst="rect">
                      <a:avLst/>
                    </a:prstGeom>
                    <a:ln>
                      <a:noFill/>
                    </a:ln>
                  </pic:spPr>
                </pic:pic>
              </a:graphicData>
            </a:graphic>
          </wp:inline>
        </w:drawing>
      </w:r>
      <w:r>
        <w:rPr>
          <w:rFonts w:hint="eastAsia" w:asciiTheme="minorEastAsia" w:hAnsiTheme="minorEastAsia" w:eastAsiaTheme="minorEastAsia" w:cstheme="minorEastAsia"/>
          <w:b/>
          <w:color w:val="000000"/>
          <w:sz w:val="24"/>
          <w:szCs w:val="24"/>
          <w:highlight w:val="none"/>
        </w:rPr>
        <w:drawing>
          <wp:inline distT="0" distB="0" distL="0" distR="0">
            <wp:extent cx="1866900" cy="1662430"/>
            <wp:effectExtent l="0" t="0" r="7620" b="13970"/>
            <wp:docPr id="1057" name="图片 83"/>
            <wp:cNvGraphicFramePr/>
            <a:graphic xmlns:a="http://schemas.openxmlformats.org/drawingml/2006/main">
              <a:graphicData uri="http://schemas.openxmlformats.org/drawingml/2006/picture">
                <pic:pic xmlns:pic="http://schemas.openxmlformats.org/drawingml/2006/picture">
                  <pic:nvPicPr>
                    <pic:cNvPr id="1057" name="图片 83"/>
                    <pic:cNvPicPr/>
                  </pic:nvPicPr>
                  <pic:blipFill>
                    <a:blip r:embed="rId51" cstate="print">
                      <a:lum contrast="-12000"/>
                    </a:blip>
                    <a:srcRect/>
                    <a:stretch>
                      <a:fillRect/>
                    </a:stretch>
                  </pic:blipFill>
                  <pic:spPr>
                    <a:xfrm>
                      <a:off x="0" y="0"/>
                      <a:ext cx="1866900" cy="1662430"/>
                    </a:xfrm>
                    <a:prstGeom prst="rect">
                      <a:avLst/>
                    </a:prstGeom>
                    <a:ln>
                      <a:noFill/>
                    </a:ln>
                  </pic:spPr>
                </pic:pic>
              </a:graphicData>
            </a:graphic>
          </wp:inline>
        </w:drawing>
      </w:r>
    </w:p>
    <w:p w14:paraId="41ECCAFC">
      <w:pPr>
        <w:pStyle w:val="269"/>
        <w:pageBreakBefore w:val="0"/>
        <w:kinsoku/>
        <w:wordWrap/>
        <w:overflowPunct/>
        <w:topLinePunct w:val="0"/>
        <w:autoSpaceDE/>
        <w:autoSpaceDN/>
        <w:bidi w:val="0"/>
        <w:spacing w:before="166" w:after="166" w:line="240" w:lineRule="auto"/>
        <w:ind w:firstLine="52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行进盲道图提示盲道</w:t>
      </w:r>
    </w:p>
    <w:p w14:paraId="1C6175A1">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rPr>
        <w:t>道路交叉口人行道在对应人行横道线的缘石部位设置缘石坡道，其中单面坡缘石坡道坡度为1：20、三面坡缘石坡道坡度为1：12。坡道下口与车行道路面之间的高差应为0。交叉口人行横道线贯通道路两侧，经过道路分隔带处压低高度，满足轮椅车通行。在交叉口处设置提示盲道，提示盲道与人行道的行进盲道连接。同时还设置音响设施，以使视残者确认可以通过交叉口。</w:t>
      </w:r>
    </w:p>
    <w:bookmarkEnd w:id="671"/>
    <w:p w14:paraId="14095DE6">
      <w:pPr>
        <w:keepNext/>
        <w:keepLines/>
        <w:pageBreakBefore w:val="0"/>
        <w:widowControl w:val="0"/>
        <w:numPr>
          <w:ilvl w:val="2"/>
          <w:numId w:val="0"/>
        </w:numPr>
        <w:kinsoku/>
        <w:wordWrap/>
        <w:overflowPunct/>
        <w:topLinePunct w:val="0"/>
        <w:autoSpaceDE/>
        <w:autoSpaceDN/>
        <w:bidi w:val="0"/>
        <w:adjustRightInd/>
        <w:snapToGrid/>
        <w:spacing w:line="360" w:lineRule="auto"/>
        <w:ind w:left="426" w:leftChars="202" w:hanging="2" w:hangingChars="1"/>
        <w:jc w:val="both"/>
        <w:textAlignment w:val="auto"/>
        <w:outlineLvl w:val="2"/>
        <w:rPr>
          <w:rFonts w:hint="eastAsia" w:asciiTheme="minorEastAsia" w:hAnsiTheme="minorEastAsia" w:eastAsiaTheme="minorEastAsia" w:cstheme="minorEastAsia"/>
          <w:b/>
          <w:bCs/>
          <w:color w:val="000000"/>
          <w:kern w:val="2"/>
          <w:sz w:val="24"/>
          <w:szCs w:val="24"/>
          <w:highlight w:val="none"/>
          <w:lang w:val="en-US" w:eastAsia="zh-CN" w:bidi="ar-SA"/>
        </w:rPr>
      </w:pPr>
      <w:r>
        <w:rPr>
          <w:rFonts w:hint="eastAsia" w:asciiTheme="minorEastAsia" w:hAnsiTheme="minorEastAsia" w:eastAsiaTheme="minorEastAsia" w:cstheme="minorEastAsia"/>
          <w:b/>
          <w:bCs/>
          <w:color w:val="000000"/>
          <w:kern w:val="2"/>
          <w:sz w:val="24"/>
          <w:szCs w:val="24"/>
          <w:highlight w:val="none"/>
          <w:lang w:val="en-US" w:eastAsia="zh-CN" w:bidi="ar-SA"/>
        </w:rPr>
        <w:t>照明工程</w:t>
      </w:r>
      <w:bookmarkEnd w:id="669"/>
    </w:p>
    <w:p w14:paraId="48053C89">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1、动力照明系统</w:t>
      </w:r>
    </w:p>
    <w:p w14:paraId="6EDF0A17">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本工程旨在提升北京北站周边交通环境，根据现有条件建设即停即走落客区，为新增区域进行配电，电源引自临近区域。改造范围内在门卫附近设置一处总配电箱，为其改造范围内所有负荷配电。新设道路两侧设置路灯，为其提供照明。</w:t>
      </w:r>
    </w:p>
    <w:p w14:paraId="68965598">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改造范围内沿道路均设路灯照明，道路平均亮度按0.5cd/平方米设计，平均照度按8-10lx设计，均匀度不小于0.4，路灯的间距为15-20m左右，路灯灯杆旁设工作井。路灯两侧对称布置，路灯接地采用局部TT系统。路灯电缆穿镀锌钢管敷设，埋设深度为地面0.8米以下。路灯的控制在门卫附近的配电箱上采用时间控制，也可转换为手动控制。</w:t>
      </w:r>
    </w:p>
    <w:p w14:paraId="6DCFC231">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位于道路和人行道上的电缆井井口与道路及广场路面齐平，位于绿地上的井口高出绿化带覆土5cm。电缆井的做法详见07SD101-8 《电力电缆井设计和安装》以及12D101-5《110kV及以下电缆敷设》。</w:t>
      </w:r>
    </w:p>
    <w:p w14:paraId="2FC45C58">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在路灯配电箱进线回路上需加装电涌保护器，各弱电系统的配电箱的进线回路上加装电涌保护器。</w:t>
      </w:r>
    </w:p>
    <w:p w14:paraId="220C19E7">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防雷设计参照《建筑物防雷设计规范》（GB50057-2010）</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路灯接地采用局部TT系统，路灯作防雷接地保护，每相邻三个路灯在附近便于施工及维修位置设一组接地装置，接地电阻不大于10欧姆。做法：采用镀锌圆钢沿路灯电缆敷设路径，将灯杆外露可导电部分与接地装置相联结。路灯控制柜内加装浪涌保护，每组回路加装漏电开关(500mA 1s)，由厂家完成，设计进行确认。</w:t>
      </w:r>
    </w:p>
    <w:p w14:paraId="5013F73A">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照明采用高效节能光源和效率高的灯具，以适应当前的绿色照明要求， 各单体及其路灯的灯具光源采用LED。</w:t>
      </w:r>
    </w:p>
    <w:p w14:paraId="52D80737">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电缆采用阻燃铜芯WDZB2-YJY-电缆，电线采用阻燃铜芯WDZB2-BYJB2-电线。</w:t>
      </w:r>
    </w:p>
    <w:p w14:paraId="0371154A">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所选用电气设备的防护等级、防潮、防霉、防腐性能要满足当地的气候特征。所有低压开关均选用具有隔离、抗湿热功能的产品。</w:t>
      </w:r>
    </w:p>
    <w:p w14:paraId="7FBE82A6">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2、拆改管线</w:t>
      </w:r>
    </w:p>
    <w:p w14:paraId="06D8DB9D">
      <w:pPr>
        <w:keepNext/>
        <w:keepLines/>
        <w:pageBreakBefore w:val="0"/>
        <w:widowControl w:val="0"/>
        <w:numPr>
          <w:ilvl w:val="2"/>
          <w:numId w:val="0"/>
        </w:numPr>
        <w:kinsoku/>
        <w:wordWrap/>
        <w:overflowPunct/>
        <w:topLinePunct w:val="0"/>
        <w:autoSpaceDE/>
        <w:autoSpaceDN/>
        <w:bidi w:val="0"/>
        <w:adjustRightInd/>
        <w:snapToGrid/>
        <w:spacing w:line="360" w:lineRule="auto"/>
        <w:ind w:left="426" w:leftChars="202" w:hanging="2" w:hangingChars="1"/>
        <w:jc w:val="both"/>
        <w:textAlignment w:val="auto"/>
        <w:outlineLvl w:val="2"/>
        <w:rPr>
          <w:rFonts w:hint="eastAsia" w:asciiTheme="minorEastAsia" w:hAnsiTheme="minorEastAsia" w:eastAsiaTheme="minorEastAsia" w:cstheme="minorEastAsia"/>
          <w:b/>
          <w:bCs/>
          <w:color w:val="000000"/>
          <w:kern w:val="2"/>
          <w:sz w:val="24"/>
          <w:szCs w:val="24"/>
          <w:highlight w:val="none"/>
          <w:lang w:val="en-US" w:eastAsia="zh-CN" w:bidi="ar-SA"/>
        </w:rPr>
      </w:pPr>
      <w:r>
        <w:rPr>
          <w:rFonts w:hint="eastAsia" w:asciiTheme="minorEastAsia" w:hAnsiTheme="minorEastAsia" w:eastAsiaTheme="minorEastAsia" w:cstheme="minorEastAsia"/>
          <w:b/>
          <w:bCs/>
          <w:kern w:val="2"/>
          <w:sz w:val="24"/>
          <w:szCs w:val="24"/>
          <w:highlight w:val="none"/>
          <w:lang w:val="en-US" w:eastAsia="zh-CN" w:bidi="ar-SA"/>
        </w:rPr>
        <w:t>对既有路面下的管线进行拆改，需要继续用的进行保护。</w:t>
      </w:r>
      <w:bookmarkStart w:id="672" w:name="_Toc113575861"/>
      <w:bookmarkEnd w:id="672"/>
      <w:bookmarkStart w:id="673" w:name="_Toc113575860"/>
      <w:bookmarkEnd w:id="673"/>
      <w:bookmarkStart w:id="674" w:name="_Toc113575862"/>
      <w:bookmarkEnd w:id="674"/>
      <w:bookmarkStart w:id="675" w:name="_Toc28613"/>
      <w:r>
        <w:rPr>
          <w:rFonts w:hint="eastAsia" w:asciiTheme="minorEastAsia" w:hAnsiTheme="minorEastAsia" w:eastAsiaTheme="minorEastAsia" w:cstheme="minorEastAsia"/>
          <w:b/>
          <w:bCs/>
          <w:color w:val="000000"/>
          <w:kern w:val="2"/>
          <w:sz w:val="24"/>
          <w:szCs w:val="24"/>
          <w:highlight w:val="none"/>
          <w:lang w:val="en-US" w:eastAsia="zh-CN" w:bidi="ar-SA"/>
        </w:rPr>
        <w:t>弱电系统</w:t>
      </w:r>
      <w:bookmarkEnd w:id="675"/>
    </w:p>
    <w:p w14:paraId="23AF3662">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1、既有设备拆除</w:t>
      </w:r>
    </w:p>
    <w:p w14:paraId="6C9F6B7E">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本项目拆除既有375场站摄像机设备，共计18套，不对既有视频监视系统的功能进行改造。</w:t>
      </w:r>
    </w:p>
    <w:p w14:paraId="56E71BFB">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本项目拆除既有公交375场站出入口道闸一体机设备，共计2套。</w:t>
      </w:r>
    </w:p>
    <w:p w14:paraId="365E6058">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2、综合布线系统</w:t>
      </w:r>
    </w:p>
    <w:p w14:paraId="0BEAB81B">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（1）系统概述</w:t>
      </w:r>
    </w:p>
    <w:p w14:paraId="76EE3029">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综合布线系统是建筑物信息化、网络化、办公自动化的基础。本项目预留视频监视、公共广播、乘客信息等系统设备的光缆路由。</w:t>
      </w:r>
    </w:p>
    <w:p w14:paraId="35842CF0">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（2）系统方案及构成</w:t>
      </w:r>
    </w:p>
    <w:p w14:paraId="2373F7AD">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本项目采用接入既有信息化系统的方案，不对既有信息化系统的功能进行改造。针对本区域的管理中心机房与落客场区各综合布线箱之间需设置垂直干线子系统。垂直干线子系统由本区域的管理中心机房内的主配线架、跳线以及主配线架至落客场区各综合布线设备的干线光、电缆组成。垂直子系统数据干线采用2根4芯室外单模光缆，一端终接于主配线柜，另一端终接于落客场区各综合布线箱，光缆成端于场区内新设的综合布线箱内，综合布线箱配置1套8芯光缆终端盒，并预留空间考虑日后增加网络设备及布线。</w:t>
      </w:r>
    </w:p>
    <w:p w14:paraId="5E0126C7">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垂直干线电缆由照明工程统筹考虑。弱电系统负责室外电缆引入综合布线箱处的浪涌保护器及电源空开设备。</w:t>
      </w:r>
    </w:p>
    <w:p w14:paraId="7B17447D">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综合布线箱内的电气和电子设备的金属外壳、机柜、机架、金属管（槽）、屏蔽线缆外层、信息设备防静电接地、安全保护接地、浪涌保护器接地等均应以最短的距离与等电位联结网络可靠联结。</w:t>
      </w:r>
    </w:p>
    <w:p w14:paraId="4FCFAAE1">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接地施工工艺按国家标准执行，不能使用铁管代替接地线。有有接地要求的设备、线路均应按相应规范，准确、可靠地做接地处理；接地汇流排上的每个螺丝只能接一根地线，接地线接触良好并做好防氧化处理；所有接地线缆在地线排端要有标识，各接地线缆采用多股铜芯阻燃电缆，其截面大小应符合有关规定。</w:t>
      </w:r>
    </w:p>
    <w:p w14:paraId="159CCC4D">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3、车辆出入管理系统</w:t>
      </w:r>
    </w:p>
    <w:p w14:paraId="11193983">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（1）出入口设备</w:t>
      </w:r>
    </w:p>
    <w:p w14:paraId="1961F07D">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出入口设备包括车牌识别与电子显示一体机、数字道闸、车辆检测器和其他附属设备设施。</w:t>
      </w:r>
    </w:p>
    <w:p w14:paraId="25E5F4AB">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车牌识别与电子显示一体机集识别摄像机、显示屏、补光灯和语音模块于一体，可实现车牌识别、显示和语音播报等功能。</w:t>
      </w:r>
    </w:p>
    <w:p w14:paraId="1D270D34">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数字道闸根据车牌识别结果抬杆，为了防止道闸砸车，每个出（入）口设置1套车辆检测器，车辆检测器用于车辆存在的检测，并将检测信号传送至道闸主机，确保有车不落杆，车过自动落杆。</w:t>
      </w:r>
    </w:p>
    <w:p w14:paraId="7B3FF3F9">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（2）中心管理平台</w:t>
      </w:r>
    </w:p>
    <w:p w14:paraId="4E7447E2">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在出入口管理终端设置1套系统中心管理平台，实现车辆出入口的管理。</w:t>
      </w:r>
    </w:p>
    <w:p w14:paraId="324250FA">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中心管理平台主要包括管理终端和管理软件，中心管理平台负责车牌录入、停车收费及车辆出入数据的存储、更新、备份、维护等。</w:t>
      </w:r>
    </w:p>
    <w:p w14:paraId="2B38E0B4">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（3）传输部分</w:t>
      </w:r>
    </w:p>
    <w:p w14:paraId="68A0E123">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由车辆出入口敷设至既有光缆引入点，通过交换机组网，接入本区域的管理中心既有信息化系统中，实现数据的高效、无损耗传输。</w:t>
      </w:r>
    </w:p>
    <w:p w14:paraId="58241B8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4、光、电缆传输线路</w:t>
      </w:r>
    </w:p>
    <w:p w14:paraId="1D8D1B7C">
      <w:pPr>
        <w:pStyle w:val="26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（1）光缆选择</w:t>
      </w:r>
    </w:p>
    <w:p w14:paraId="0A2DA32C">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为满足光缆在敷设时机械强度、防电磁干扰影响等特殊要求，推荐光缆采用非金属加强构件、松套层绞油膏填充式、阻燃、铝-聚乙烯粘结护套、皱纹钢带铠装、聚乙烯外护套的通信用室外光缆。光缆应具有防潮层、具有防鼠措施，应符合低烟、无卤、阻燃、防蚀标准。光缆的结构型式为GYFTZA53。</w:t>
      </w:r>
    </w:p>
    <w:p w14:paraId="2E0C921B">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（2）光缆径路选择及敷设方案</w:t>
      </w:r>
    </w:p>
    <w:p w14:paraId="7E819C5E">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本项目光缆敷设采用管道敷设方式，沿道路旁侧敷设弱电系统光缆。</w:t>
      </w:r>
    </w:p>
    <w:p w14:paraId="25D237AC">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至本区域的管理中心（既有）径路：光缆引入点位于场区</w:t>
      </w:r>
      <w:r>
        <w:rPr>
          <w:rFonts w:hint="eastAsia" w:asciiTheme="minorEastAsia" w:hAnsiTheme="minorEastAsia" w:eastAsiaTheme="minorEastAsia" w:cstheme="minorEastAsia"/>
          <w:sz w:val="24"/>
          <w:szCs w:val="24"/>
          <w:highlight w:val="none"/>
          <w:lang w:eastAsia="zh-CN"/>
        </w:rPr>
        <w:t>现状</w:t>
      </w:r>
      <w:r>
        <w:rPr>
          <w:rFonts w:hint="eastAsia" w:asciiTheme="minorEastAsia" w:hAnsiTheme="minorEastAsia" w:eastAsiaTheme="minorEastAsia" w:cstheme="minorEastAsia"/>
          <w:sz w:val="24"/>
          <w:szCs w:val="24"/>
          <w:highlight w:val="none"/>
        </w:rPr>
        <w:t>南侧岗亭旁，西直门北大街道路灯杆既有设备箱内，本项目敷设2根4芯室外型铠装光缆在既有设备箱成端，利用信息化系统既有光缆回至本区域的管理中心。</w:t>
      </w:r>
    </w:p>
    <w:p w14:paraId="274F257D">
      <w:pPr>
        <w:keepNext/>
        <w:keepLines/>
        <w:pageBreakBefore w:val="0"/>
        <w:widowControl w:val="0"/>
        <w:numPr>
          <w:ilvl w:val="2"/>
          <w:numId w:val="0"/>
        </w:numPr>
        <w:kinsoku/>
        <w:wordWrap/>
        <w:overflowPunct/>
        <w:topLinePunct w:val="0"/>
        <w:autoSpaceDE/>
        <w:autoSpaceDN/>
        <w:bidi w:val="0"/>
        <w:adjustRightInd/>
        <w:snapToGrid/>
        <w:spacing w:line="360" w:lineRule="auto"/>
        <w:ind w:left="426" w:leftChars="202" w:hanging="2" w:hangingChars="1"/>
        <w:jc w:val="both"/>
        <w:textAlignment w:val="auto"/>
        <w:outlineLvl w:val="2"/>
        <w:rPr>
          <w:rFonts w:hint="eastAsia" w:asciiTheme="minorEastAsia" w:hAnsiTheme="minorEastAsia" w:eastAsiaTheme="minorEastAsia" w:cstheme="minorEastAsia"/>
          <w:b/>
          <w:bCs/>
          <w:color w:val="000000"/>
          <w:kern w:val="2"/>
          <w:sz w:val="24"/>
          <w:szCs w:val="24"/>
          <w:highlight w:val="none"/>
          <w:lang w:val="en-US" w:eastAsia="zh-CN" w:bidi="ar-SA"/>
        </w:rPr>
      </w:pPr>
      <w:bookmarkStart w:id="676" w:name="_Toc29815"/>
      <w:r>
        <w:rPr>
          <w:rFonts w:hint="eastAsia" w:asciiTheme="minorEastAsia" w:hAnsiTheme="minorEastAsia" w:eastAsiaTheme="minorEastAsia" w:cstheme="minorEastAsia"/>
          <w:b/>
          <w:bCs/>
          <w:color w:val="000000"/>
          <w:kern w:val="2"/>
          <w:sz w:val="24"/>
          <w:szCs w:val="24"/>
          <w:highlight w:val="none"/>
          <w:lang w:val="en-US" w:eastAsia="zh-CN" w:bidi="ar-SA"/>
        </w:rPr>
        <w:t>给排水工程</w:t>
      </w:r>
      <w:bookmarkEnd w:id="676"/>
    </w:p>
    <w:p w14:paraId="70353D56">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1、现状管线情况</w:t>
      </w:r>
    </w:p>
    <w:p w14:paraId="12026E21">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根据现状管线资料以及现场勘查，北京公交集团西直门北场站（375场站），沿线道路分别埋设有通信、给水、电力、绿化用水、天然气、污水等现状管线，管道具体分布情况：</w:t>
      </w:r>
    </w:p>
    <w:p w14:paraId="3EED5644">
      <w:pPr>
        <w:pageBreakBefore w:val="0"/>
        <w:kinsoku/>
        <w:wordWrap/>
        <w:overflowPunct/>
        <w:topLinePunct w:val="0"/>
        <w:autoSpaceDE/>
        <w:autoSpaceDN/>
        <w:bidi w:val="0"/>
        <w:spacing w:line="240" w:lineRule="auto"/>
        <w:ind w:firstLine="480" w:firstLineChars="200"/>
        <w:jc w:val="center"/>
        <w:rPr>
          <w:rFonts w:hint="eastAsia" w:asciiTheme="minorEastAsia" w:hAnsiTheme="minorEastAsia" w:eastAsiaTheme="minorEastAsia" w:cstheme="minorEastAsia"/>
          <w:sz w:val="24"/>
          <w:szCs w:val="24"/>
        </w:rPr>
      </w:pPr>
    </w:p>
    <w:p w14:paraId="7CBD35E8">
      <w:pPr>
        <w:pageBreakBefore w:val="0"/>
        <w:kinsoku/>
        <w:wordWrap/>
        <w:overflowPunct/>
        <w:topLinePunct w:val="0"/>
        <w:autoSpaceDE/>
        <w:autoSpaceDN/>
        <w:bidi w:val="0"/>
        <w:spacing w:line="240" w:lineRule="auto"/>
        <w:ind w:firstLine="480" w:firstLineChars="200"/>
        <w:jc w:val="center"/>
        <w:rPr>
          <w:rFonts w:hint="eastAsia" w:asciiTheme="minorEastAsia" w:hAnsiTheme="minorEastAsia" w:eastAsiaTheme="minorEastAsia" w:cstheme="minorEastAsia"/>
          <w:sz w:val="24"/>
          <w:szCs w:val="24"/>
        </w:rPr>
      </w:pPr>
    </w:p>
    <w:p w14:paraId="29624B74">
      <w:pPr>
        <w:pageBreakBefore w:val="0"/>
        <w:kinsoku/>
        <w:wordWrap/>
        <w:overflowPunct/>
        <w:topLinePunct w:val="0"/>
        <w:autoSpaceDE/>
        <w:autoSpaceDN/>
        <w:bidi w:val="0"/>
        <w:spacing w:line="240" w:lineRule="auto"/>
        <w:ind w:firstLine="480" w:firstLineChars="200"/>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drawing>
          <wp:anchor distT="0" distB="0" distL="114935" distR="114935" simplePos="0" relativeHeight="251663360" behindDoc="0" locked="0" layoutInCell="1" allowOverlap="1">
            <wp:simplePos x="0" y="0"/>
            <wp:positionH relativeFrom="column">
              <wp:posOffset>41910</wp:posOffset>
            </wp:positionH>
            <wp:positionV relativeFrom="paragraph">
              <wp:posOffset>57785</wp:posOffset>
            </wp:positionV>
            <wp:extent cx="5394960" cy="1908810"/>
            <wp:effectExtent l="0" t="0" r="15240" b="15240"/>
            <wp:wrapTopAndBottom/>
            <wp:docPr id="4" name="图片 4" descr="c833165a2eef2610215cb1489a921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833165a2eef2610215cb1489a921cb2"/>
                    <pic:cNvPicPr>
                      <a:picLocks noChangeAspect="1"/>
                    </pic:cNvPicPr>
                  </pic:nvPicPr>
                  <pic:blipFill>
                    <a:blip r:embed="rId52"/>
                    <a:stretch>
                      <a:fillRect/>
                    </a:stretch>
                  </pic:blipFill>
                  <pic:spPr>
                    <a:xfrm>
                      <a:off x="0" y="0"/>
                      <a:ext cx="5394960" cy="1908810"/>
                    </a:xfrm>
                    <a:prstGeom prst="rect">
                      <a:avLst/>
                    </a:prstGeom>
                  </pic:spPr>
                </pic:pic>
              </a:graphicData>
            </a:graphic>
          </wp:anchor>
        </w:drawing>
      </w:r>
      <w:r>
        <w:rPr>
          <w:rFonts w:hint="eastAsia" w:asciiTheme="minorEastAsia" w:hAnsiTheme="minorEastAsia" w:eastAsiaTheme="minorEastAsia" w:cstheme="minorEastAsia"/>
          <w:sz w:val="24"/>
          <w:szCs w:val="24"/>
          <w:highlight w:val="none"/>
        </w:rPr>
        <w:t>西直门北场站（375场站）道路现状管线横断面图</w:t>
      </w:r>
    </w:p>
    <w:p w14:paraId="0010A4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本项目不进行管线综合排布调整的相关研究，对于局部道路下的管线，各专业考虑相关加固措施。</w:t>
      </w:r>
    </w:p>
    <w:p w14:paraId="59CE8E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1）既有给水管线</w:t>
      </w:r>
    </w:p>
    <w:p w14:paraId="4196CB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给水现状管线从西至东依次为DN800市政给水管线、DN80绿化用水管线、DN1100市政给水管线。</w:t>
      </w:r>
    </w:p>
    <w:p w14:paraId="7E190C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N800市政给水管线主要位于机动车道下方，主要用于供给公交场站及北京北站给水引入管，至公交场业务楼南侧截止（业务楼入户管DN20），设置有两座给水钢筋混凝土阀门井。DN80绿化用水管线及DN1100市政给水管线位于机动车道东侧绿化区域内。DN80绿化用水管主要供给室外场地冲洗及绿化浇洒，整幅道路敷设，设置有一座钢筋混凝土给水阀门井，绿化用水管线是否为“中水”待进一步核查。DN1100市政给水管线为市政给水干管，引自西直门北大街给水环网，设置有一座钢筋混凝土给水阀门井。</w:t>
      </w:r>
    </w:p>
    <w:p w14:paraId="68666F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2）既有污水管线</w:t>
      </w:r>
    </w:p>
    <w:p w14:paraId="561A70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由公交场业务楼南侧至西直门北大街，存在一根DN200污水管，在南侧井位处变径至DN600，主要收集业务楼污水，排放至西直门北大街市政污水干管处。在业务楼南侧设置有化粪池一座，化粪池距离建筑外墙2.5米，沿途设置有6座钢筋混凝土污水检查井。</w:t>
      </w:r>
    </w:p>
    <w:p w14:paraId="496E99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3）本工程道路内局部存在雨水篦子，无雨水管线，雨水篦子排水接至北京北站区域雨水管线。局部道路雨水排水利用西直门北大街雨水排水系统进行雨水排水。</w:t>
      </w:r>
    </w:p>
    <w:p w14:paraId="41CBE7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2、给水系统修缮方案</w:t>
      </w:r>
    </w:p>
    <w:p w14:paraId="0C4A39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1）道路改造后、DN1100及DN80市政给水管线仍然位于绿地内，且不提供改造道路及周边建筑用水，此给水管线不进行开挖及修缮。</w:t>
      </w:r>
    </w:p>
    <w:p w14:paraId="0CE97459">
      <w:pPr>
        <w:pStyle w:val="26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2）道路南侧存在DN20给水支管，此阀门井进行修缮，并在新修缮的绿化区域设置预留阀门井，共四处，为后期中水绿化预留条件。</w:t>
      </w:r>
    </w:p>
    <w:p w14:paraId="16378B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3）DN800给水管线主要用于供给公交场站及北京北站给水引入管，给水管线的管径与位置不进行改造，在道路开挖时对该管线进行临时保护。道路开挖施工期间施工作业范围内的管线保护方式如下：</w:t>
      </w:r>
    </w:p>
    <w:p w14:paraId="0BA4BE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管线采用覆土500mm以内时，采用人工开挖；管道上方覆土回填后进行夯实，回填夯实需求如下图所示：</w:t>
      </w:r>
    </w:p>
    <w:p w14:paraId="0A923509">
      <w:pPr>
        <w:pageBreakBefore w:val="0"/>
        <w:kinsoku/>
        <w:wordWrap/>
        <w:overflowPunct/>
        <w:topLinePunct w:val="0"/>
        <w:autoSpaceDE/>
        <w:autoSpaceDN/>
        <w:bidi w:val="0"/>
        <w:spacing w:line="240" w:lineRule="auto"/>
        <w:ind w:firstLine="480" w:firstLineChars="200"/>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0" distR="0">
            <wp:extent cx="4792345" cy="2571115"/>
            <wp:effectExtent l="0" t="0" r="8255" b="635"/>
            <wp:docPr id="1063" name="图片 1342411289"/>
            <wp:cNvGraphicFramePr/>
            <a:graphic xmlns:a="http://schemas.openxmlformats.org/drawingml/2006/main">
              <a:graphicData uri="http://schemas.openxmlformats.org/drawingml/2006/picture">
                <pic:pic xmlns:pic="http://schemas.openxmlformats.org/drawingml/2006/picture">
                  <pic:nvPicPr>
                    <pic:cNvPr id="1063" name="图片 1342411289"/>
                    <pic:cNvPicPr/>
                  </pic:nvPicPr>
                  <pic:blipFill>
                    <a:blip r:embed="rId53" cstate="print"/>
                    <a:srcRect/>
                    <a:stretch>
                      <a:fillRect/>
                    </a:stretch>
                  </pic:blipFill>
                  <pic:spPr>
                    <a:xfrm>
                      <a:off x="0" y="0"/>
                      <a:ext cx="4792345" cy="2571115"/>
                    </a:xfrm>
                    <a:prstGeom prst="rect">
                      <a:avLst/>
                    </a:prstGeom>
                  </pic:spPr>
                </pic:pic>
              </a:graphicData>
            </a:graphic>
          </wp:inline>
        </w:drawing>
      </w:r>
    </w:p>
    <w:p w14:paraId="23319F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3、污水系统维持既有</w:t>
      </w:r>
    </w:p>
    <w:p w14:paraId="3692FD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1）本工程污水管线所服务的区域仅为公交场业务楼，现在排水状况良好，不进行改造。</w:t>
      </w:r>
    </w:p>
    <w:p w14:paraId="4846BB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4、雨水系统改造方案</w:t>
      </w:r>
    </w:p>
    <w:p w14:paraId="65FA79F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进行雨污分流，路上利用既有排水条件，合理配置雨水篦子，并与新建排水沟衔接排水。</w:t>
      </w:r>
    </w:p>
    <w:p w14:paraId="77DD11B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计算指标：</w:t>
      </w:r>
    </w:p>
    <w:p w14:paraId="5A7DA98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eastAsiaTheme="minorEastAsia" w:cstheme="minorEastAsia"/>
          <w:sz w:val="24"/>
          <w:szCs w:val="24"/>
          <w:highlight w:val="none"/>
        </w:rPr>
        <w:t>暴雨强度计算标准：</w:t>
      </w:r>
    </w:p>
    <w:p w14:paraId="25BC1F0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雨水流量计算范围为道路两侧慢行系统区域，采用暴雨强度公式：</w:t>
      </w:r>
    </w:p>
    <w:p w14:paraId="3213AA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m:oMathPara>
        <m:oMath>
          <m:r>
            <m:rPr>
              <m:sty m:val="p"/>
            </m:rPr>
            <w:rPr>
              <w:rFonts w:hint="eastAsia" w:ascii="Cambria Math" w:hAnsi="Cambria Math" w:eastAsiaTheme="minorEastAsia" w:cstheme="minorEastAsia"/>
              <w:sz w:val="24"/>
              <w:szCs w:val="24"/>
              <w:highlight w:val="none"/>
            </w:rPr>
            <m:t>q=</m:t>
          </m:r>
          <m:f>
            <m:fPr>
              <m:ctrlPr>
                <w:rPr>
                  <w:rFonts w:hint="eastAsia" w:ascii="Cambria Math" w:hAnsi="Cambria Math" w:eastAsiaTheme="minorEastAsia" w:cstheme="minorEastAsia"/>
                  <w:sz w:val="24"/>
                  <w:szCs w:val="24"/>
                  <w:highlight w:val="none"/>
                </w:rPr>
              </m:ctrlPr>
            </m:fPr>
            <m:num>
              <m:r>
                <m:rPr>
                  <m:sty m:val="p"/>
                </m:rPr>
                <w:rPr>
                  <w:rFonts w:hint="eastAsia" w:ascii="Cambria Math" w:hAnsi="Cambria Math" w:eastAsiaTheme="minorEastAsia" w:cstheme="minorEastAsia"/>
                  <w:sz w:val="24"/>
                  <w:szCs w:val="24"/>
                  <w:highlight w:val="none"/>
                </w:rPr>
                <m:t>1602（1+1.037lgP）</m:t>
              </m:r>
              <m:ctrlPr>
                <w:rPr>
                  <w:rFonts w:hint="eastAsia" w:ascii="Cambria Math" w:hAnsi="Cambria Math" w:eastAsiaTheme="minorEastAsia" w:cstheme="minorEastAsia"/>
                  <w:sz w:val="24"/>
                  <w:szCs w:val="24"/>
                  <w:highlight w:val="none"/>
                </w:rPr>
              </m:ctrlPr>
            </m:num>
            <m:den>
              <m:r>
                <m:rPr>
                  <m:sty m:val="p"/>
                </m:rPr>
                <w:rPr>
                  <w:rFonts w:hint="eastAsia" w:ascii="Cambria Math" w:hAnsi="Cambria Math" w:eastAsiaTheme="minorEastAsia" w:cstheme="minorEastAsia"/>
                  <w:sz w:val="24"/>
                  <w:szCs w:val="24"/>
                  <w:highlight w:val="none"/>
                </w:rPr>
                <m:t>（t+11.593</m:t>
              </m:r>
              <m:sSup>
                <m:sSupPr>
                  <m:ctrlPr>
                    <w:rPr>
                      <w:rFonts w:hint="eastAsia" w:ascii="Cambria Math" w:hAnsi="Cambria Math" w:eastAsiaTheme="minorEastAsia" w:cstheme="minorEastAsia"/>
                      <w:sz w:val="24"/>
                      <w:szCs w:val="24"/>
                      <w:highlight w:val="none"/>
                    </w:rPr>
                  </m:ctrlPr>
                </m:sSupPr>
                <m:e>
                  <m:r>
                    <m:rPr>
                      <m:sty m:val="p"/>
                    </m:rPr>
                    <w:rPr>
                      <w:rFonts w:hint="eastAsia" w:ascii="Cambria Math" w:hAnsi="Cambria Math" w:eastAsiaTheme="minorEastAsia" w:cstheme="minorEastAsia"/>
                      <w:sz w:val="24"/>
                      <w:szCs w:val="24"/>
                      <w:highlight w:val="none"/>
                    </w:rPr>
                    <m:t>）</m:t>
                  </m:r>
                  <m:ctrlPr>
                    <w:rPr>
                      <w:rFonts w:hint="eastAsia" w:ascii="Cambria Math" w:hAnsi="Cambria Math" w:eastAsiaTheme="minorEastAsia" w:cstheme="minorEastAsia"/>
                      <w:sz w:val="24"/>
                      <w:szCs w:val="24"/>
                      <w:highlight w:val="none"/>
                    </w:rPr>
                  </m:ctrlPr>
                </m:e>
                <m:sup>
                  <m:r>
                    <m:rPr>
                      <m:sty m:val="p"/>
                    </m:rPr>
                    <w:rPr>
                      <w:rFonts w:hint="eastAsia" w:ascii="Cambria Math" w:hAnsi="Cambria Math" w:eastAsiaTheme="minorEastAsia" w:cstheme="minorEastAsia"/>
                      <w:sz w:val="24"/>
                      <w:szCs w:val="24"/>
                      <w:highlight w:val="none"/>
                    </w:rPr>
                    <m:t>0.681</m:t>
                  </m:r>
                  <m:ctrlPr>
                    <w:rPr>
                      <w:rFonts w:hint="eastAsia" w:ascii="Cambria Math" w:hAnsi="Cambria Math" w:eastAsiaTheme="minorEastAsia" w:cstheme="minorEastAsia"/>
                      <w:sz w:val="24"/>
                      <w:szCs w:val="24"/>
                      <w:highlight w:val="none"/>
                    </w:rPr>
                  </m:ctrlPr>
                </m:sup>
              </m:sSup>
              <m:ctrlPr>
                <w:rPr>
                  <w:rFonts w:hint="eastAsia" w:ascii="Cambria Math" w:hAnsi="Cambria Math" w:eastAsiaTheme="minorEastAsia" w:cstheme="minorEastAsia"/>
                  <w:sz w:val="24"/>
                  <w:szCs w:val="24"/>
                  <w:highlight w:val="none"/>
                </w:rPr>
              </m:ctrlPr>
            </m:den>
          </m:f>
        </m:oMath>
      </m:oMathPara>
    </w:p>
    <w:p w14:paraId="62979F9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式中：</w:t>
      </w:r>
    </w:p>
    <w:p w14:paraId="22D8E90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q— 设计暴雨强度（［L/(s•hm2)］）；</w:t>
      </w:r>
    </w:p>
    <w:p w14:paraId="4E0FEF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P — 重现期，降雨重现期取5年一遇；</w:t>
      </w:r>
    </w:p>
    <w:p w14:paraId="3FFB15F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t——降雨历时，t=t1+t2；</w:t>
      </w:r>
    </w:p>
    <w:p w14:paraId="06966D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t1——地面集水时间，取t1=10分钟；</w:t>
      </w:r>
    </w:p>
    <w:p w14:paraId="23874FE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t2——管渠内雨水流行时间。</w:t>
      </w:r>
    </w:p>
    <w:p w14:paraId="1A85E03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室外设计暴雨重现期按5年设计，地面汇流时间取值为10min计算，即3.41L/s•100m2。汇水面积4962.70m2，其中硬化面积4912.79m2，综合径流系数取值0.80，则总雨水排水量为135.38L/s。</w:t>
      </w:r>
    </w:p>
    <w:p w14:paraId="38E89A3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雨水系统</w:t>
      </w:r>
    </w:p>
    <w:p w14:paraId="4ED08A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雨水系统接入北京北站停车场内的市政排水接驳井，此井受水单位为北排集团，目前已征得受水单位同意。结合道路下管线，本工程沿道路敷设DN500重力流雨水管，管道坡度0.003，坡至市政雨水接驳井附近。部分区域采用雨水沟排水，排水沟内净尺寸500*500，排水沟相关设计由建筑专业确定。间距50米以上位置和管道转折位置设置钢筋混凝土排水检查井。同时对北京北站两口现状雨水井进行修缮维护，如下图：</w:t>
      </w:r>
    </w:p>
    <w:p w14:paraId="5DE3806A">
      <w:pPr>
        <w:pageBreakBefore w:val="0"/>
        <w:kinsoku/>
        <w:wordWrap/>
        <w:overflowPunct/>
        <w:topLinePunct w:val="0"/>
        <w:autoSpaceDE/>
        <w:autoSpaceDN/>
        <w:bidi w:val="0"/>
        <w:spacing w:line="240" w:lineRule="auto"/>
        <w:ind w:firstLine="480" w:firstLineChars="200"/>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0" distR="0">
            <wp:extent cx="2553970" cy="2505710"/>
            <wp:effectExtent l="0" t="0" r="17780" b="8890"/>
            <wp:docPr id="1064" name="图片 1268979021"/>
            <wp:cNvGraphicFramePr/>
            <a:graphic xmlns:a="http://schemas.openxmlformats.org/drawingml/2006/main">
              <a:graphicData uri="http://schemas.openxmlformats.org/drawingml/2006/picture">
                <pic:pic xmlns:pic="http://schemas.openxmlformats.org/drawingml/2006/picture">
                  <pic:nvPicPr>
                    <pic:cNvPr id="1064" name="图片 1268979021"/>
                    <pic:cNvPicPr/>
                  </pic:nvPicPr>
                  <pic:blipFill>
                    <a:blip r:embed="rId54" cstate="print"/>
                    <a:srcRect/>
                    <a:stretch>
                      <a:fillRect/>
                    </a:stretch>
                  </pic:blipFill>
                  <pic:spPr>
                    <a:xfrm>
                      <a:off x="0" y="0"/>
                      <a:ext cx="2553970" cy="2505710"/>
                    </a:xfrm>
                    <a:prstGeom prst="rect">
                      <a:avLst/>
                    </a:prstGeom>
                  </pic:spPr>
                </pic:pic>
              </a:graphicData>
            </a:graphic>
          </wp:inline>
        </w:drawing>
      </w:r>
    </w:p>
    <w:p w14:paraId="25E42A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雨水检查井衔接雨水篦子，篦子过流量，单篦20L/s，双篦35L/s。雨水篦子连接管DN300，坡度0.02，坡向检查井，每处长度控制50米以内。既有雨水篦子及雨水篦子连接管，拆除后不进行利旧，道路上的雨水口采用混凝土模块砌体平箅式雨水口，上配球墨铸铁雨水篦子。道路、广场上的雨水口采用混凝土模块砌体，雨水口形式及上配雨水篦子形式结合景观效果选用。</w:t>
      </w:r>
    </w:p>
    <w:p w14:paraId="1944049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管道回填材料从管道基础面至管顶0,5米范围内沟槽回填材料采用中粗砂，回填方式如下图所示：</w:t>
      </w:r>
    </w:p>
    <w:p w14:paraId="0B923FE1">
      <w:pPr>
        <w:pageBreakBefore w:val="0"/>
        <w:kinsoku/>
        <w:wordWrap/>
        <w:overflowPunct/>
        <w:topLinePunct w:val="0"/>
        <w:autoSpaceDE/>
        <w:autoSpaceDN/>
        <w:bidi w:val="0"/>
        <w:spacing w:line="240" w:lineRule="auto"/>
        <w:ind w:firstLine="480" w:firstLineChars="200"/>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0" distR="0">
            <wp:extent cx="4572000" cy="2011045"/>
            <wp:effectExtent l="0" t="0" r="0" b="8255"/>
            <wp:docPr id="1065" name="图片 472601429"/>
            <wp:cNvGraphicFramePr/>
            <a:graphic xmlns:a="http://schemas.openxmlformats.org/drawingml/2006/main">
              <a:graphicData uri="http://schemas.openxmlformats.org/drawingml/2006/picture">
                <pic:pic xmlns:pic="http://schemas.openxmlformats.org/drawingml/2006/picture">
                  <pic:nvPicPr>
                    <pic:cNvPr id="1065" name="图片 472601429"/>
                    <pic:cNvPicPr/>
                  </pic:nvPicPr>
                  <pic:blipFill>
                    <a:blip r:embed="rId55" cstate="print"/>
                    <a:srcRect/>
                    <a:stretch>
                      <a:fillRect/>
                    </a:stretch>
                  </pic:blipFill>
                  <pic:spPr>
                    <a:xfrm>
                      <a:off x="0" y="0"/>
                      <a:ext cx="4572000" cy="2011045"/>
                    </a:xfrm>
                    <a:prstGeom prst="rect">
                      <a:avLst/>
                    </a:prstGeom>
                  </pic:spPr>
                </pic:pic>
              </a:graphicData>
            </a:graphic>
          </wp:inline>
        </w:drawing>
      </w:r>
    </w:p>
    <w:p w14:paraId="107884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管材、管道接口及基础</w:t>
      </w:r>
    </w:p>
    <w:p w14:paraId="2F3AE84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1）管材</w:t>
      </w:r>
    </w:p>
    <w:p w14:paraId="4D65D4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绿化用水管均采用PE管，承插热熔连接；雨水管均采用HDPE双壁波纹管（SN8），双密封圈承插连接。管基如落在不均匀软土地区等不良路段时，应结合路基处理，管道需要满足以下要求：管基、井室、管沟地基处理后承载力不小于100KPa；管基尽量均匀一致，防止不均匀沉降而发生断管事故发生。管槽回填做法详国标图集。其他回填部位按《给水排水管道工程施工及验收规范》GB50268-2008。</w:t>
      </w:r>
    </w:p>
    <w:p w14:paraId="5DACC28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2）构筑物</w:t>
      </w:r>
    </w:p>
    <w:p w14:paraId="0006ED5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绿化用水预留阀门井及排水检查井均采用钢筋混凝土材质。雨水口采用混凝土模块砌体、成品雨水口。喷灌微灌阀门井采用成品阀门井。构筑物井盖均采用五防井盖，井盖位于道路位置采用重型可过车井盖，位于人行道、绿地内，可采用轻型井盖。</w:t>
      </w:r>
    </w:p>
    <w:p w14:paraId="6E6A1FF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3）永久管线保护措施</w:t>
      </w:r>
    </w:p>
    <w:p w14:paraId="21E1A38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道路下1.0米以内的管线，需要进行管线混凝土包封。混凝土强度不小于C20，具体如下图所示：</w:t>
      </w:r>
    </w:p>
    <w:p w14:paraId="6E539844">
      <w:pPr>
        <w:pageBreakBefore w:val="0"/>
        <w:kinsoku/>
        <w:wordWrap/>
        <w:overflowPunct/>
        <w:topLinePunct w:val="0"/>
        <w:autoSpaceDE/>
        <w:autoSpaceDN/>
        <w:bidi w:val="0"/>
        <w:spacing w:line="240" w:lineRule="auto"/>
        <w:ind w:firstLine="480" w:firstLineChars="20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具体参数如下表：</w:t>
      </w:r>
      <w:r>
        <w:rPr>
          <w:rFonts w:hint="eastAsia" w:asciiTheme="minorEastAsia" w:hAnsiTheme="minorEastAsia" w:eastAsiaTheme="minorEastAsia" w:cstheme="minorEastAsia"/>
          <w:sz w:val="24"/>
          <w:szCs w:val="24"/>
          <w:highlight w:val="none"/>
        </w:rPr>
        <w:drawing>
          <wp:anchor distT="0" distB="0" distL="0" distR="0" simplePos="0" relativeHeight="251662336" behindDoc="0" locked="0" layoutInCell="1" allowOverlap="1">
            <wp:simplePos x="0" y="0"/>
            <wp:positionH relativeFrom="column">
              <wp:posOffset>657225</wp:posOffset>
            </wp:positionH>
            <wp:positionV relativeFrom="paragraph">
              <wp:posOffset>158115</wp:posOffset>
            </wp:positionV>
            <wp:extent cx="4025900" cy="2819400"/>
            <wp:effectExtent l="0" t="0" r="12700" b="0"/>
            <wp:wrapTopAndBottom/>
            <wp:docPr id="1066" name="图片 1268512889"/>
            <wp:cNvGraphicFramePr/>
            <a:graphic xmlns:a="http://schemas.openxmlformats.org/drawingml/2006/main">
              <a:graphicData uri="http://schemas.openxmlformats.org/drawingml/2006/picture">
                <pic:pic xmlns:pic="http://schemas.openxmlformats.org/drawingml/2006/picture">
                  <pic:nvPicPr>
                    <pic:cNvPr id="1066" name="图片 1268512889"/>
                    <pic:cNvPicPr/>
                  </pic:nvPicPr>
                  <pic:blipFill>
                    <a:blip r:embed="rId56" cstate="print"/>
                    <a:srcRect/>
                    <a:stretch>
                      <a:fillRect/>
                    </a:stretch>
                  </pic:blipFill>
                  <pic:spPr>
                    <a:xfrm>
                      <a:off x="0" y="0"/>
                      <a:ext cx="4025900" cy="2819400"/>
                    </a:xfrm>
                    <a:prstGeom prst="rect">
                      <a:avLst/>
                    </a:prstGeom>
                  </pic:spPr>
                </pic:pic>
              </a:graphicData>
            </a:graphic>
          </wp:anchor>
        </w:drawing>
      </w:r>
    </w:p>
    <w:p w14:paraId="2C43E780">
      <w:pPr>
        <w:pageBreakBefore w:val="0"/>
        <w:kinsoku/>
        <w:wordWrap/>
        <w:overflowPunct/>
        <w:topLinePunct w:val="0"/>
        <w:autoSpaceDE/>
        <w:autoSpaceDN/>
        <w:bidi w:val="0"/>
        <w:spacing w:line="240" w:lineRule="auto"/>
        <w:ind w:firstLine="480" w:firstLineChars="200"/>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6、主要设备材料表</w:t>
      </w:r>
    </w:p>
    <w:tbl>
      <w:tblPr>
        <w:tblStyle w:val="44"/>
        <w:tblW w:w="8404" w:type="dxa"/>
        <w:jc w:val="center"/>
        <w:tblLayout w:type="fixed"/>
        <w:tblCellMar>
          <w:top w:w="0" w:type="dxa"/>
          <w:left w:w="108" w:type="dxa"/>
          <w:bottom w:w="0" w:type="dxa"/>
          <w:right w:w="108" w:type="dxa"/>
        </w:tblCellMar>
      </w:tblPr>
      <w:tblGrid>
        <w:gridCol w:w="1575"/>
        <w:gridCol w:w="1559"/>
        <w:gridCol w:w="1041"/>
        <w:gridCol w:w="943"/>
        <w:gridCol w:w="993"/>
        <w:gridCol w:w="2293"/>
      </w:tblGrid>
      <w:tr w14:paraId="1324F75C">
        <w:tblPrEx>
          <w:tblCellMar>
            <w:top w:w="0" w:type="dxa"/>
            <w:left w:w="108" w:type="dxa"/>
            <w:bottom w:w="0" w:type="dxa"/>
            <w:right w:w="108" w:type="dxa"/>
          </w:tblCellMar>
        </w:tblPrEx>
        <w:trPr>
          <w:trHeight w:val="560" w:hRule="atLeast"/>
          <w:jc w:val="center"/>
        </w:trPr>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DF30D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440" w:firstLineChars="0"/>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类型</w:t>
            </w:r>
          </w:p>
        </w:tc>
        <w:tc>
          <w:tcPr>
            <w:tcW w:w="1559" w:type="dxa"/>
            <w:tcBorders>
              <w:top w:val="single" w:color="auto" w:sz="4" w:space="0"/>
              <w:left w:val="nil"/>
              <w:bottom w:val="single" w:color="auto" w:sz="4" w:space="0"/>
              <w:right w:val="single" w:color="auto" w:sz="4" w:space="0"/>
            </w:tcBorders>
            <w:shd w:val="clear" w:color="auto" w:fill="auto"/>
            <w:noWrap/>
            <w:vAlign w:val="center"/>
          </w:tcPr>
          <w:p w14:paraId="56F441F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规格</w:t>
            </w:r>
          </w:p>
        </w:tc>
        <w:tc>
          <w:tcPr>
            <w:tcW w:w="1041" w:type="dxa"/>
            <w:tcBorders>
              <w:top w:val="single" w:color="auto" w:sz="4" w:space="0"/>
              <w:left w:val="nil"/>
              <w:bottom w:val="single" w:color="auto" w:sz="4" w:space="0"/>
              <w:right w:val="single" w:color="auto" w:sz="4" w:space="0"/>
            </w:tcBorders>
            <w:shd w:val="clear" w:color="auto" w:fill="auto"/>
            <w:vAlign w:val="center"/>
          </w:tcPr>
          <w:p w14:paraId="106C63F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新增工程量</w:t>
            </w:r>
          </w:p>
        </w:tc>
        <w:tc>
          <w:tcPr>
            <w:tcW w:w="943" w:type="dxa"/>
            <w:tcBorders>
              <w:top w:val="single" w:color="auto" w:sz="4" w:space="0"/>
              <w:left w:val="nil"/>
              <w:bottom w:val="single" w:color="auto" w:sz="4" w:space="0"/>
              <w:right w:val="single" w:color="auto" w:sz="4" w:space="0"/>
            </w:tcBorders>
            <w:shd w:val="clear" w:color="auto" w:fill="auto"/>
            <w:vAlign w:val="center"/>
          </w:tcPr>
          <w:p w14:paraId="7230649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修缮工程量</w:t>
            </w:r>
          </w:p>
        </w:tc>
        <w:tc>
          <w:tcPr>
            <w:tcW w:w="993" w:type="dxa"/>
            <w:tcBorders>
              <w:top w:val="single" w:color="auto" w:sz="4" w:space="0"/>
              <w:left w:val="nil"/>
              <w:bottom w:val="single" w:color="auto" w:sz="4" w:space="0"/>
              <w:right w:val="single" w:color="auto" w:sz="4" w:space="0"/>
            </w:tcBorders>
            <w:shd w:val="clear" w:color="auto" w:fill="auto"/>
            <w:vAlign w:val="center"/>
          </w:tcPr>
          <w:p w14:paraId="50D3917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拆除工程量</w:t>
            </w:r>
          </w:p>
        </w:tc>
        <w:tc>
          <w:tcPr>
            <w:tcW w:w="2293" w:type="dxa"/>
            <w:tcBorders>
              <w:top w:val="single" w:color="auto" w:sz="4" w:space="0"/>
              <w:left w:val="nil"/>
              <w:bottom w:val="single" w:color="auto" w:sz="4" w:space="0"/>
              <w:right w:val="single" w:color="auto" w:sz="4" w:space="0"/>
            </w:tcBorders>
            <w:shd w:val="clear" w:color="auto" w:fill="auto"/>
            <w:noWrap/>
            <w:vAlign w:val="center"/>
          </w:tcPr>
          <w:p w14:paraId="7521D73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备注</w:t>
            </w:r>
          </w:p>
        </w:tc>
      </w:tr>
      <w:tr w14:paraId="05179026">
        <w:tblPrEx>
          <w:tblCellMar>
            <w:top w:w="0" w:type="dxa"/>
            <w:left w:w="108" w:type="dxa"/>
            <w:bottom w:w="0" w:type="dxa"/>
            <w:right w:w="108" w:type="dxa"/>
          </w:tblCellMar>
        </w:tblPrEx>
        <w:trPr>
          <w:trHeight w:val="280" w:hRule="atLeast"/>
          <w:jc w:val="center"/>
        </w:trPr>
        <w:tc>
          <w:tcPr>
            <w:tcW w:w="8404" w:type="dxa"/>
            <w:gridSpan w:val="6"/>
            <w:tcBorders>
              <w:top w:val="single" w:color="auto" w:sz="4" w:space="0"/>
              <w:left w:val="single" w:color="auto" w:sz="4" w:space="0"/>
              <w:bottom w:val="single" w:color="auto" w:sz="4" w:space="0"/>
              <w:right w:val="single" w:color="000000" w:sz="4" w:space="0"/>
            </w:tcBorders>
            <w:shd w:val="clear" w:color="auto" w:fill="auto"/>
            <w:noWrap/>
            <w:vAlign w:val="center"/>
          </w:tcPr>
          <w:p w14:paraId="4C72BC9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室外部分</w:t>
            </w:r>
          </w:p>
        </w:tc>
      </w:tr>
      <w:tr w14:paraId="26D16355">
        <w:tblPrEx>
          <w:tblCellMar>
            <w:top w:w="0" w:type="dxa"/>
            <w:left w:w="108" w:type="dxa"/>
            <w:bottom w:w="0" w:type="dxa"/>
            <w:right w:w="108" w:type="dxa"/>
          </w:tblCellMar>
        </w:tblPrEx>
        <w:trPr>
          <w:trHeight w:val="840" w:hRule="atLeast"/>
          <w:jc w:val="center"/>
        </w:trPr>
        <w:tc>
          <w:tcPr>
            <w:tcW w:w="1575" w:type="dxa"/>
            <w:tcBorders>
              <w:top w:val="nil"/>
              <w:left w:val="single" w:color="auto" w:sz="4" w:space="0"/>
              <w:bottom w:val="single" w:color="auto" w:sz="4" w:space="0"/>
              <w:right w:val="single" w:color="auto" w:sz="4" w:space="0"/>
            </w:tcBorders>
            <w:shd w:val="clear" w:color="auto" w:fill="auto"/>
            <w:noWrap/>
            <w:vAlign w:val="center"/>
          </w:tcPr>
          <w:p w14:paraId="2BE1325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钢筋混凝土阀门井</w:t>
            </w:r>
          </w:p>
        </w:tc>
        <w:tc>
          <w:tcPr>
            <w:tcW w:w="1559" w:type="dxa"/>
            <w:tcBorders>
              <w:top w:val="nil"/>
              <w:left w:val="nil"/>
              <w:bottom w:val="single" w:color="auto" w:sz="4" w:space="0"/>
              <w:right w:val="single" w:color="auto" w:sz="4" w:space="0"/>
            </w:tcBorders>
            <w:shd w:val="clear" w:color="auto" w:fill="auto"/>
            <w:noWrap/>
            <w:vAlign w:val="center"/>
          </w:tcPr>
          <w:p w14:paraId="7F69448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直径1600</w:t>
            </w:r>
          </w:p>
        </w:tc>
        <w:tc>
          <w:tcPr>
            <w:tcW w:w="1041" w:type="dxa"/>
            <w:tcBorders>
              <w:top w:val="nil"/>
              <w:left w:val="nil"/>
              <w:bottom w:val="single" w:color="auto" w:sz="4" w:space="0"/>
              <w:right w:val="single" w:color="auto" w:sz="4" w:space="0"/>
            </w:tcBorders>
            <w:shd w:val="clear" w:color="auto" w:fill="auto"/>
            <w:noWrap/>
            <w:vAlign w:val="center"/>
          </w:tcPr>
          <w:p w14:paraId="67B6A46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3座</w:t>
            </w:r>
          </w:p>
        </w:tc>
        <w:tc>
          <w:tcPr>
            <w:tcW w:w="943" w:type="dxa"/>
            <w:tcBorders>
              <w:top w:val="nil"/>
              <w:left w:val="nil"/>
              <w:bottom w:val="single" w:color="auto" w:sz="4" w:space="0"/>
              <w:right w:val="single" w:color="auto" w:sz="4" w:space="0"/>
            </w:tcBorders>
            <w:shd w:val="clear" w:color="auto" w:fill="auto"/>
            <w:noWrap/>
            <w:vAlign w:val="center"/>
          </w:tcPr>
          <w:p w14:paraId="5341860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1座</w:t>
            </w:r>
          </w:p>
        </w:tc>
        <w:tc>
          <w:tcPr>
            <w:tcW w:w="993" w:type="dxa"/>
            <w:tcBorders>
              <w:top w:val="nil"/>
              <w:left w:val="nil"/>
              <w:bottom w:val="single" w:color="auto" w:sz="4" w:space="0"/>
              <w:right w:val="single" w:color="auto" w:sz="4" w:space="0"/>
            </w:tcBorders>
            <w:shd w:val="clear" w:color="auto" w:fill="auto"/>
            <w:noWrap/>
            <w:vAlign w:val="center"/>
          </w:tcPr>
          <w:p w14:paraId="570FFB4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2293" w:type="dxa"/>
            <w:tcBorders>
              <w:top w:val="nil"/>
              <w:left w:val="nil"/>
              <w:bottom w:val="single" w:color="auto" w:sz="4" w:space="0"/>
              <w:right w:val="single" w:color="auto" w:sz="4" w:space="0"/>
            </w:tcBorders>
            <w:shd w:val="clear" w:color="auto" w:fill="auto"/>
            <w:vAlign w:val="center"/>
          </w:tcPr>
          <w:p w14:paraId="1981201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内配50米洒水软管，计量水表、止回阀、闸阀、盲板、泄水阀</w:t>
            </w:r>
          </w:p>
        </w:tc>
      </w:tr>
      <w:tr w14:paraId="495F2C24">
        <w:tblPrEx>
          <w:tblCellMar>
            <w:top w:w="0" w:type="dxa"/>
            <w:left w:w="108" w:type="dxa"/>
            <w:bottom w:w="0" w:type="dxa"/>
            <w:right w:w="108" w:type="dxa"/>
          </w:tblCellMar>
        </w:tblPrEx>
        <w:trPr>
          <w:trHeight w:val="1870" w:hRule="atLeast"/>
          <w:jc w:val="center"/>
        </w:trPr>
        <w:tc>
          <w:tcPr>
            <w:tcW w:w="1575" w:type="dxa"/>
            <w:tcBorders>
              <w:top w:val="nil"/>
              <w:left w:val="single" w:color="auto" w:sz="4" w:space="0"/>
              <w:bottom w:val="single" w:color="auto" w:sz="4" w:space="0"/>
              <w:right w:val="single" w:color="auto" w:sz="4" w:space="0"/>
            </w:tcBorders>
            <w:shd w:val="clear" w:color="auto" w:fill="auto"/>
            <w:noWrap/>
            <w:vAlign w:val="center"/>
          </w:tcPr>
          <w:p w14:paraId="1E2BEDD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雨水管线</w:t>
            </w:r>
          </w:p>
        </w:tc>
        <w:tc>
          <w:tcPr>
            <w:tcW w:w="1559" w:type="dxa"/>
            <w:tcBorders>
              <w:top w:val="nil"/>
              <w:left w:val="nil"/>
              <w:bottom w:val="single" w:color="auto" w:sz="4" w:space="0"/>
              <w:right w:val="single" w:color="auto" w:sz="4" w:space="0"/>
            </w:tcBorders>
            <w:shd w:val="clear" w:color="auto" w:fill="auto"/>
            <w:noWrap/>
            <w:vAlign w:val="center"/>
          </w:tcPr>
          <w:p w14:paraId="018BBD5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DN500</w:t>
            </w:r>
          </w:p>
        </w:tc>
        <w:tc>
          <w:tcPr>
            <w:tcW w:w="1041" w:type="dxa"/>
            <w:tcBorders>
              <w:top w:val="nil"/>
              <w:left w:val="nil"/>
              <w:bottom w:val="single" w:color="auto" w:sz="4" w:space="0"/>
              <w:right w:val="single" w:color="auto" w:sz="4" w:space="0"/>
            </w:tcBorders>
            <w:shd w:val="clear" w:color="auto" w:fill="auto"/>
            <w:noWrap/>
            <w:vAlign w:val="center"/>
          </w:tcPr>
          <w:p w14:paraId="2A4475C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130米</w:t>
            </w:r>
          </w:p>
        </w:tc>
        <w:tc>
          <w:tcPr>
            <w:tcW w:w="943" w:type="dxa"/>
            <w:tcBorders>
              <w:top w:val="nil"/>
              <w:left w:val="nil"/>
              <w:bottom w:val="single" w:color="auto" w:sz="4" w:space="0"/>
              <w:right w:val="single" w:color="auto" w:sz="4" w:space="0"/>
            </w:tcBorders>
            <w:shd w:val="clear" w:color="auto" w:fill="auto"/>
            <w:noWrap/>
            <w:vAlign w:val="center"/>
          </w:tcPr>
          <w:p w14:paraId="547B083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993" w:type="dxa"/>
            <w:tcBorders>
              <w:top w:val="nil"/>
              <w:left w:val="nil"/>
              <w:bottom w:val="single" w:color="auto" w:sz="4" w:space="0"/>
              <w:right w:val="single" w:color="auto" w:sz="4" w:space="0"/>
            </w:tcBorders>
            <w:shd w:val="clear" w:color="auto" w:fill="auto"/>
            <w:noWrap/>
            <w:vAlign w:val="center"/>
          </w:tcPr>
          <w:p w14:paraId="060DA43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2293" w:type="dxa"/>
            <w:tcBorders>
              <w:top w:val="nil"/>
              <w:left w:val="nil"/>
              <w:bottom w:val="single" w:color="auto" w:sz="4" w:space="0"/>
              <w:right w:val="single" w:color="auto" w:sz="4" w:space="0"/>
            </w:tcBorders>
            <w:shd w:val="clear" w:color="auto" w:fill="auto"/>
            <w:noWrap/>
            <w:vAlign w:val="center"/>
          </w:tcPr>
          <w:p w14:paraId="69806AC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HDPE双壁波纹管（SN8）</w:t>
            </w:r>
          </w:p>
        </w:tc>
      </w:tr>
      <w:tr w14:paraId="3285776A">
        <w:tblPrEx>
          <w:tblCellMar>
            <w:top w:w="0" w:type="dxa"/>
            <w:left w:w="108" w:type="dxa"/>
            <w:bottom w:w="0" w:type="dxa"/>
            <w:right w:w="108" w:type="dxa"/>
          </w:tblCellMar>
        </w:tblPrEx>
        <w:trPr>
          <w:trHeight w:val="280" w:hRule="atLeast"/>
          <w:jc w:val="center"/>
        </w:trPr>
        <w:tc>
          <w:tcPr>
            <w:tcW w:w="1575" w:type="dxa"/>
            <w:tcBorders>
              <w:top w:val="nil"/>
              <w:left w:val="single" w:color="auto" w:sz="4" w:space="0"/>
              <w:bottom w:val="single" w:color="auto" w:sz="4" w:space="0"/>
              <w:right w:val="single" w:color="auto" w:sz="4" w:space="0"/>
            </w:tcBorders>
            <w:shd w:val="clear" w:color="auto" w:fill="auto"/>
            <w:noWrap/>
            <w:vAlign w:val="center"/>
          </w:tcPr>
          <w:p w14:paraId="1EEAA36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雨水管线</w:t>
            </w:r>
          </w:p>
        </w:tc>
        <w:tc>
          <w:tcPr>
            <w:tcW w:w="1559" w:type="dxa"/>
            <w:tcBorders>
              <w:top w:val="nil"/>
              <w:left w:val="nil"/>
              <w:bottom w:val="single" w:color="auto" w:sz="4" w:space="0"/>
              <w:right w:val="single" w:color="auto" w:sz="4" w:space="0"/>
            </w:tcBorders>
            <w:shd w:val="clear" w:color="auto" w:fill="auto"/>
            <w:noWrap/>
            <w:vAlign w:val="center"/>
          </w:tcPr>
          <w:p w14:paraId="01F1E43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DN300</w:t>
            </w:r>
          </w:p>
        </w:tc>
        <w:tc>
          <w:tcPr>
            <w:tcW w:w="1041" w:type="dxa"/>
            <w:tcBorders>
              <w:top w:val="nil"/>
              <w:left w:val="nil"/>
              <w:bottom w:val="single" w:color="auto" w:sz="4" w:space="0"/>
              <w:right w:val="single" w:color="auto" w:sz="4" w:space="0"/>
            </w:tcBorders>
            <w:shd w:val="clear" w:color="auto" w:fill="auto"/>
            <w:noWrap/>
            <w:vAlign w:val="center"/>
          </w:tcPr>
          <w:p w14:paraId="69DF636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300米</w:t>
            </w:r>
          </w:p>
        </w:tc>
        <w:tc>
          <w:tcPr>
            <w:tcW w:w="943" w:type="dxa"/>
            <w:tcBorders>
              <w:top w:val="nil"/>
              <w:left w:val="nil"/>
              <w:bottom w:val="single" w:color="auto" w:sz="4" w:space="0"/>
              <w:right w:val="single" w:color="auto" w:sz="4" w:space="0"/>
            </w:tcBorders>
            <w:shd w:val="clear" w:color="auto" w:fill="auto"/>
            <w:noWrap/>
            <w:vAlign w:val="center"/>
          </w:tcPr>
          <w:p w14:paraId="753A0C4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993" w:type="dxa"/>
            <w:tcBorders>
              <w:top w:val="nil"/>
              <w:left w:val="nil"/>
              <w:bottom w:val="single" w:color="auto" w:sz="4" w:space="0"/>
              <w:right w:val="single" w:color="auto" w:sz="4" w:space="0"/>
            </w:tcBorders>
            <w:shd w:val="clear" w:color="auto" w:fill="auto"/>
            <w:noWrap/>
            <w:vAlign w:val="center"/>
          </w:tcPr>
          <w:p w14:paraId="62EF5B5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100米</w:t>
            </w:r>
          </w:p>
        </w:tc>
        <w:tc>
          <w:tcPr>
            <w:tcW w:w="2293" w:type="dxa"/>
            <w:tcBorders>
              <w:top w:val="nil"/>
              <w:left w:val="nil"/>
              <w:bottom w:val="single" w:color="auto" w:sz="4" w:space="0"/>
              <w:right w:val="single" w:color="auto" w:sz="4" w:space="0"/>
            </w:tcBorders>
            <w:shd w:val="clear" w:color="auto" w:fill="auto"/>
            <w:noWrap/>
            <w:vAlign w:val="center"/>
          </w:tcPr>
          <w:p w14:paraId="58CE164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HDPE双壁波纹管（SN8）</w:t>
            </w:r>
          </w:p>
        </w:tc>
      </w:tr>
      <w:tr w14:paraId="11A366ED">
        <w:tblPrEx>
          <w:tblCellMar>
            <w:top w:w="0" w:type="dxa"/>
            <w:left w:w="108" w:type="dxa"/>
            <w:bottom w:w="0" w:type="dxa"/>
            <w:right w:w="108" w:type="dxa"/>
          </w:tblCellMar>
        </w:tblPrEx>
        <w:trPr>
          <w:trHeight w:val="560" w:hRule="atLeast"/>
          <w:jc w:val="center"/>
        </w:trPr>
        <w:tc>
          <w:tcPr>
            <w:tcW w:w="1575" w:type="dxa"/>
            <w:tcBorders>
              <w:top w:val="nil"/>
              <w:left w:val="single" w:color="auto" w:sz="4" w:space="0"/>
              <w:bottom w:val="single" w:color="auto" w:sz="4" w:space="0"/>
              <w:right w:val="single" w:color="auto" w:sz="4" w:space="0"/>
            </w:tcBorders>
            <w:shd w:val="clear" w:color="auto" w:fill="auto"/>
            <w:noWrap/>
            <w:vAlign w:val="center"/>
          </w:tcPr>
          <w:p w14:paraId="5F16121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管线挖方量</w:t>
            </w:r>
          </w:p>
        </w:tc>
        <w:tc>
          <w:tcPr>
            <w:tcW w:w="1559" w:type="dxa"/>
            <w:tcBorders>
              <w:top w:val="nil"/>
              <w:left w:val="nil"/>
              <w:bottom w:val="single" w:color="auto" w:sz="4" w:space="0"/>
              <w:right w:val="single" w:color="auto" w:sz="4" w:space="0"/>
            </w:tcBorders>
            <w:shd w:val="clear" w:color="auto" w:fill="auto"/>
            <w:noWrap/>
            <w:vAlign w:val="center"/>
          </w:tcPr>
          <w:p w14:paraId="54E8D50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土</w:t>
            </w:r>
          </w:p>
        </w:tc>
        <w:tc>
          <w:tcPr>
            <w:tcW w:w="1041" w:type="dxa"/>
            <w:tcBorders>
              <w:top w:val="nil"/>
              <w:left w:val="nil"/>
              <w:bottom w:val="single" w:color="auto" w:sz="4" w:space="0"/>
              <w:right w:val="single" w:color="auto" w:sz="4" w:space="0"/>
            </w:tcBorders>
            <w:shd w:val="clear" w:color="auto" w:fill="auto"/>
            <w:vAlign w:val="center"/>
          </w:tcPr>
          <w:p w14:paraId="1AED3AB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1018.1立方米</w:t>
            </w:r>
          </w:p>
        </w:tc>
        <w:tc>
          <w:tcPr>
            <w:tcW w:w="943" w:type="dxa"/>
            <w:tcBorders>
              <w:top w:val="nil"/>
              <w:left w:val="nil"/>
              <w:bottom w:val="single" w:color="auto" w:sz="4" w:space="0"/>
              <w:right w:val="single" w:color="auto" w:sz="4" w:space="0"/>
            </w:tcBorders>
            <w:shd w:val="clear" w:color="auto" w:fill="auto"/>
            <w:noWrap/>
            <w:vAlign w:val="center"/>
          </w:tcPr>
          <w:p w14:paraId="08654B5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993" w:type="dxa"/>
            <w:tcBorders>
              <w:top w:val="nil"/>
              <w:left w:val="nil"/>
              <w:bottom w:val="single" w:color="auto" w:sz="4" w:space="0"/>
              <w:right w:val="single" w:color="auto" w:sz="4" w:space="0"/>
            </w:tcBorders>
            <w:shd w:val="clear" w:color="auto" w:fill="auto"/>
            <w:noWrap/>
            <w:vAlign w:val="center"/>
          </w:tcPr>
          <w:p w14:paraId="125E96E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2293" w:type="dxa"/>
            <w:tcBorders>
              <w:top w:val="nil"/>
              <w:left w:val="nil"/>
              <w:bottom w:val="single" w:color="auto" w:sz="4" w:space="0"/>
              <w:right w:val="single" w:color="auto" w:sz="4" w:space="0"/>
            </w:tcBorders>
            <w:shd w:val="clear" w:color="auto" w:fill="auto"/>
            <w:noWrap/>
            <w:vAlign w:val="center"/>
          </w:tcPr>
          <w:p w14:paraId="2E49891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　</w:t>
            </w:r>
          </w:p>
        </w:tc>
      </w:tr>
      <w:tr w14:paraId="6A1473A4">
        <w:tblPrEx>
          <w:tblCellMar>
            <w:top w:w="0" w:type="dxa"/>
            <w:left w:w="108" w:type="dxa"/>
            <w:bottom w:w="0" w:type="dxa"/>
            <w:right w:w="108" w:type="dxa"/>
          </w:tblCellMar>
        </w:tblPrEx>
        <w:trPr>
          <w:trHeight w:val="280" w:hRule="atLeast"/>
          <w:jc w:val="center"/>
        </w:trPr>
        <w:tc>
          <w:tcPr>
            <w:tcW w:w="1575" w:type="dxa"/>
            <w:tcBorders>
              <w:top w:val="nil"/>
              <w:left w:val="single" w:color="auto" w:sz="4" w:space="0"/>
              <w:bottom w:val="single" w:color="auto" w:sz="4" w:space="0"/>
              <w:right w:val="single" w:color="auto" w:sz="4" w:space="0"/>
            </w:tcBorders>
            <w:shd w:val="clear" w:color="auto" w:fill="auto"/>
            <w:noWrap/>
            <w:vAlign w:val="center"/>
          </w:tcPr>
          <w:p w14:paraId="486F236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砂垫层量</w:t>
            </w:r>
          </w:p>
        </w:tc>
        <w:tc>
          <w:tcPr>
            <w:tcW w:w="1559" w:type="dxa"/>
            <w:tcBorders>
              <w:top w:val="nil"/>
              <w:left w:val="nil"/>
              <w:bottom w:val="single" w:color="auto" w:sz="4" w:space="0"/>
              <w:right w:val="single" w:color="auto" w:sz="4" w:space="0"/>
            </w:tcBorders>
            <w:shd w:val="clear" w:color="auto" w:fill="auto"/>
            <w:noWrap/>
            <w:vAlign w:val="center"/>
          </w:tcPr>
          <w:p w14:paraId="7088A74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土</w:t>
            </w:r>
          </w:p>
        </w:tc>
        <w:tc>
          <w:tcPr>
            <w:tcW w:w="1041" w:type="dxa"/>
            <w:tcBorders>
              <w:top w:val="nil"/>
              <w:left w:val="nil"/>
              <w:bottom w:val="single" w:color="auto" w:sz="4" w:space="0"/>
              <w:right w:val="single" w:color="auto" w:sz="4" w:space="0"/>
            </w:tcBorders>
            <w:shd w:val="clear" w:color="auto" w:fill="auto"/>
            <w:vAlign w:val="center"/>
          </w:tcPr>
          <w:p w14:paraId="1D23307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44立方米</w:t>
            </w:r>
          </w:p>
        </w:tc>
        <w:tc>
          <w:tcPr>
            <w:tcW w:w="943" w:type="dxa"/>
            <w:tcBorders>
              <w:top w:val="nil"/>
              <w:left w:val="nil"/>
              <w:bottom w:val="single" w:color="auto" w:sz="4" w:space="0"/>
              <w:right w:val="single" w:color="auto" w:sz="4" w:space="0"/>
            </w:tcBorders>
            <w:shd w:val="clear" w:color="auto" w:fill="auto"/>
            <w:noWrap/>
            <w:vAlign w:val="center"/>
          </w:tcPr>
          <w:p w14:paraId="79232E7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993" w:type="dxa"/>
            <w:tcBorders>
              <w:top w:val="nil"/>
              <w:left w:val="nil"/>
              <w:bottom w:val="single" w:color="auto" w:sz="4" w:space="0"/>
              <w:right w:val="single" w:color="auto" w:sz="4" w:space="0"/>
            </w:tcBorders>
            <w:shd w:val="clear" w:color="auto" w:fill="auto"/>
            <w:noWrap/>
            <w:vAlign w:val="center"/>
          </w:tcPr>
          <w:p w14:paraId="2CFB2B4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2293" w:type="dxa"/>
            <w:tcBorders>
              <w:top w:val="nil"/>
              <w:left w:val="nil"/>
              <w:bottom w:val="single" w:color="auto" w:sz="4" w:space="0"/>
              <w:right w:val="single" w:color="auto" w:sz="4" w:space="0"/>
            </w:tcBorders>
            <w:shd w:val="clear" w:color="auto" w:fill="auto"/>
            <w:noWrap/>
            <w:vAlign w:val="center"/>
          </w:tcPr>
          <w:p w14:paraId="0CB780E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　</w:t>
            </w:r>
          </w:p>
        </w:tc>
      </w:tr>
      <w:tr w14:paraId="2F119ACF">
        <w:tblPrEx>
          <w:tblCellMar>
            <w:top w:w="0" w:type="dxa"/>
            <w:left w:w="108" w:type="dxa"/>
            <w:bottom w:w="0" w:type="dxa"/>
            <w:right w:w="108" w:type="dxa"/>
          </w:tblCellMar>
        </w:tblPrEx>
        <w:trPr>
          <w:trHeight w:val="560" w:hRule="atLeast"/>
          <w:jc w:val="center"/>
        </w:trPr>
        <w:tc>
          <w:tcPr>
            <w:tcW w:w="1575" w:type="dxa"/>
            <w:tcBorders>
              <w:top w:val="nil"/>
              <w:left w:val="single" w:color="auto" w:sz="4" w:space="0"/>
              <w:bottom w:val="single" w:color="auto" w:sz="4" w:space="0"/>
              <w:right w:val="single" w:color="auto" w:sz="4" w:space="0"/>
            </w:tcBorders>
            <w:shd w:val="clear" w:color="auto" w:fill="auto"/>
            <w:noWrap/>
            <w:vAlign w:val="center"/>
          </w:tcPr>
          <w:p w14:paraId="0E2A1EC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管道基础</w:t>
            </w:r>
          </w:p>
        </w:tc>
        <w:tc>
          <w:tcPr>
            <w:tcW w:w="1559" w:type="dxa"/>
            <w:tcBorders>
              <w:top w:val="nil"/>
              <w:left w:val="nil"/>
              <w:bottom w:val="single" w:color="auto" w:sz="4" w:space="0"/>
              <w:right w:val="single" w:color="auto" w:sz="4" w:space="0"/>
            </w:tcBorders>
            <w:shd w:val="clear" w:color="auto" w:fill="auto"/>
            <w:noWrap/>
            <w:vAlign w:val="center"/>
          </w:tcPr>
          <w:p w14:paraId="0ECD5AA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砂石基础</w:t>
            </w:r>
          </w:p>
        </w:tc>
        <w:tc>
          <w:tcPr>
            <w:tcW w:w="1041" w:type="dxa"/>
            <w:tcBorders>
              <w:top w:val="nil"/>
              <w:left w:val="nil"/>
              <w:bottom w:val="single" w:color="auto" w:sz="4" w:space="0"/>
              <w:right w:val="single" w:color="auto" w:sz="4" w:space="0"/>
            </w:tcBorders>
            <w:shd w:val="clear" w:color="auto" w:fill="auto"/>
            <w:vAlign w:val="center"/>
          </w:tcPr>
          <w:p w14:paraId="20C8A4F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212.5立方米</w:t>
            </w:r>
          </w:p>
        </w:tc>
        <w:tc>
          <w:tcPr>
            <w:tcW w:w="943" w:type="dxa"/>
            <w:tcBorders>
              <w:top w:val="nil"/>
              <w:left w:val="nil"/>
              <w:bottom w:val="single" w:color="auto" w:sz="4" w:space="0"/>
              <w:right w:val="single" w:color="auto" w:sz="4" w:space="0"/>
            </w:tcBorders>
            <w:shd w:val="clear" w:color="auto" w:fill="auto"/>
            <w:noWrap/>
            <w:vAlign w:val="center"/>
          </w:tcPr>
          <w:p w14:paraId="466AC2A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993" w:type="dxa"/>
            <w:tcBorders>
              <w:top w:val="nil"/>
              <w:left w:val="nil"/>
              <w:bottom w:val="single" w:color="auto" w:sz="4" w:space="0"/>
              <w:right w:val="single" w:color="auto" w:sz="4" w:space="0"/>
            </w:tcBorders>
            <w:shd w:val="clear" w:color="auto" w:fill="auto"/>
            <w:noWrap/>
            <w:vAlign w:val="center"/>
          </w:tcPr>
          <w:p w14:paraId="2877C1A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2293" w:type="dxa"/>
            <w:tcBorders>
              <w:top w:val="nil"/>
              <w:left w:val="nil"/>
              <w:bottom w:val="single" w:color="auto" w:sz="4" w:space="0"/>
              <w:right w:val="single" w:color="auto" w:sz="4" w:space="0"/>
            </w:tcBorders>
            <w:shd w:val="clear" w:color="auto" w:fill="auto"/>
            <w:noWrap/>
            <w:vAlign w:val="center"/>
          </w:tcPr>
          <w:p w14:paraId="2A7DC30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　</w:t>
            </w:r>
          </w:p>
        </w:tc>
      </w:tr>
      <w:tr w14:paraId="2E12AB5A">
        <w:tblPrEx>
          <w:tblCellMar>
            <w:top w:w="0" w:type="dxa"/>
            <w:left w:w="108" w:type="dxa"/>
            <w:bottom w:w="0" w:type="dxa"/>
            <w:right w:w="108" w:type="dxa"/>
          </w:tblCellMar>
        </w:tblPrEx>
        <w:trPr>
          <w:trHeight w:val="560" w:hRule="atLeast"/>
          <w:jc w:val="center"/>
        </w:trPr>
        <w:tc>
          <w:tcPr>
            <w:tcW w:w="1575" w:type="dxa"/>
            <w:tcBorders>
              <w:top w:val="nil"/>
              <w:left w:val="single" w:color="auto" w:sz="4" w:space="0"/>
              <w:bottom w:val="single" w:color="auto" w:sz="4" w:space="0"/>
              <w:right w:val="single" w:color="auto" w:sz="4" w:space="0"/>
            </w:tcBorders>
            <w:shd w:val="clear" w:color="auto" w:fill="auto"/>
            <w:noWrap/>
            <w:vAlign w:val="center"/>
          </w:tcPr>
          <w:p w14:paraId="1574E91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管线填方量</w:t>
            </w:r>
          </w:p>
        </w:tc>
        <w:tc>
          <w:tcPr>
            <w:tcW w:w="1559" w:type="dxa"/>
            <w:tcBorders>
              <w:top w:val="nil"/>
              <w:left w:val="nil"/>
              <w:bottom w:val="single" w:color="auto" w:sz="4" w:space="0"/>
              <w:right w:val="single" w:color="auto" w:sz="4" w:space="0"/>
            </w:tcBorders>
            <w:shd w:val="clear" w:color="auto" w:fill="auto"/>
            <w:noWrap/>
            <w:vAlign w:val="center"/>
          </w:tcPr>
          <w:p w14:paraId="3707748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中粗砂</w:t>
            </w:r>
          </w:p>
        </w:tc>
        <w:tc>
          <w:tcPr>
            <w:tcW w:w="1041" w:type="dxa"/>
            <w:tcBorders>
              <w:top w:val="nil"/>
              <w:left w:val="nil"/>
              <w:bottom w:val="single" w:color="auto" w:sz="4" w:space="0"/>
              <w:right w:val="single" w:color="auto" w:sz="4" w:space="0"/>
            </w:tcBorders>
            <w:shd w:val="clear" w:color="auto" w:fill="auto"/>
            <w:vAlign w:val="center"/>
          </w:tcPr>
          <w:p w14:paraId="3A6E7B4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341.6立方米</w:t>
            </w:r>
          </w:p>
        </w:tc>
        <w:tc>
          <w:tcPr>
            <w:tcW w:w="943" w:type="dxa"/>
            <w:tcBorders>
              <w:top w:val="nil"/>
              <w:left w:val="nil"/>
              <w:bottom w:val="single" w:color="auto" w:sz="4" w:space="0"/>
              <w:right w:val="single" w:color="auto" w:sz="4" w:space="0"/>
            </w:tcBorders>
            <w:shd w:val="clear" w:color="auto" w:fill="auto"/>
            <w:noWrap/>
            <w:vAlign w:val="center"/>
          </w:tcPr>
          <w:p w14:paraId="051AC52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993" w:type="dxa"/>
            <w:tcBorders>
              <w:top w:val="nil"/>
              <w:left w:val="nil"/>
              <w:bottom w:val="single" w:color="auto" w:sz="4" w:space="0"/>
              <w:right w:val="single" w:color="auto" w:sz="4" w:space="0"/>
            </w:tcBorders>
            <w:shd w:val="clear" w:color="auto" w:fill="auto"/>
            <w:noWrap/>
            <w:vAlign w:val="center"/>
          </w:tcPr>
          <w:p w14:paraId="06A6B83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2293" w:type="dxa"/>
            <w:tcBorders>
              <w:top w:val="nil"/>
              <w:left w:val="nil"/>
              <w:bottom w:val="single" w:color="auto" w:sz="4" w:space="0"/>
              <w:right w:val="single" w:color="auto" w:sz="4" w:space="0"/>
            </w:tcBorders>
            <w:shd w:val="clear" w:color="auto" w:fill="auto"/>
            <w:noWrap/>
            <w:vAlign w:val="center"/>
          </w:tcPr>
          <w:p w14:paraId="43B56E7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　</w:t>
            </w:r>
          </w:p>
        </w:tc>
      </w:tr>
      <w:tr w14:paraId="16E82D09">
        <w:tblPrEx>
          <w:tblCellMar>
            <w:top w:w="0" w:type="dxa"/>
            <w:left w:w="108" w:type="dxa"/>
            <w:bottom w:w="0" w:type="dxa"/>
            <w:right w:w="108" w:type="dxa"/>
          </w:tblCellMar>
        </w:tblPrEx>
        <w:trPr>
          <w:trHeight w:val="560" w:hRule="atLeast"/>
          <w:jc w:val="center"/>
        </w:trPr>
        <w:tc>
          <w:tcPr>
            <w:tcW w:w="1575" w:type="dxa"/>
            <w:tcBorders>
              <w:top w:val="nil"/>
              <w:left w:val="single" w:color="auto" w:sz="4" w:space="0"/>
              <w:bottom w:val="single" w:color="auto" w:sz="4" w:space="0"/>
              <w:right w:val="single" w:color="auto" w:sz="4" w:space="0"/>
            </w:tcBorders>
            <w:shd w:val="clear" w:color="auto" w:fill="auto"/>
            <w:noWrap/>
            <w:vAlign w:val="center"/>
          </w:tcPr>
          <w:p w14:paraId="01E3E73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管线填方量</w:t>
            </w:r>
          </w:p>
        </w:tc>
        <w:tc>
          <w:tcPr>
            <w:tcW w:w="1559" w:type="dxa"/>
            <w:tcBorders>
              <w:top w:val="nil"/>
              <w:left w:val="nil"/>
              <w:bottom w:val="single" w:color="auto" w:sz="4" w:space="0"/>
              <w:right w:val="single" w:color="auto" w:sz="4" w:space="0"/>
            </w:tcBorders>
            <w:shd w:val="clear" w:color="auto" w:fill="auto"/>
            <w:noWrap/>
            <w:vAlign w:val="center"/>
          </w:tcPr>
          <w:p w14:paraId="1515F00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土</w:t>
            </w:r>
          </w:p>
        </w:tc>
        <w:tc>
          <w:tcPr>
            <w:tcW w:w="1041" w:type="dxa"/>
            <w:tcBorders>
              <w:top w:val="nil"/>
              <w:left w:val="nil"/>
              <w:bottom w:val="single" w:color="auto" w:sz="4" w:space="0"/>
              <w:right w:val="single" w:color="auto" w:sz="4" w:space="0"/>
            </w:tcBorders>
            <w:shd w:val="clear" w:color="auto" w:fill="auto"/>
            <w:vAlign w:val="center"/>
          </w:tcPr>
          <w:p w14:paraId="127ADEA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737.2立方米</w:t>
            </w:r>
          </w:p>
        </w:tc>
        <w:tc>
          <w:tcPr>
            <w:tcW w:w="943" w:type="dxa"/>
            <w:tcBorders>
              <w:top w:val="nil"/>
              <w:left w:val="nil"/>
              <w:bottom w:val="single" w:color="auto" w:sz="4" w:space="0"/>
              <w:right w:val="single" w:color="auto" w:sz="4" w:space="0"/>
            </w:tcBorders>
            <w:shd w:val="clear" w:color="auto" w:fill="auto"/>
            <w:noWrap/>
            <w:vAlign w:val="center"/>
          </w:tcPr>
          <w:p w14:paraId="123E23A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993" w:type="dxa"/>
            <w:tcBorders>
              <w:top w:val="nil"/>
              <w:left w:val="nil"/>
              <w:bottom w:val="single" w:color="auto" w:sz="4" w:space="0"/>
              <w:right w:val="single" w:color="auto" w:sz="4" w:space="0"/>
            </w:tcBorders>
            <w:shd w:val="clear" w:color="auto" w:fill="auto"/>
            <w:noWrap/>
            <w:vAlign w:val="center"/>
          </w:tcPr>
          <w:p w14:paraId="29A3C3B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2293" w:type="dxa"/>
            <w:tcBorders>
              <w:top w:val="nil"/>
              <w:left w:val="nil"/>
              <w:bottom w:val="single" w:color="auto" w:sz="4" w:space="0"/>
              <w:right w:val="single" w:color="auto" w:sz="4" w:space="0"/>
            </w:tcBorders>
            <w:shd w:val="clear" w:color="auto" w:fill="auto"/>
            <w:noWrap/>
            <w:vAlign w:val="center"/>
          </w:tcPr>
          <w:p w14:paraId="18FE8B1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　</w:t>
            </w:r>
          </w:p>
        </w:tc>
      </w:tr>
      <w:tr w14:paraId="6A447220">
        <w:tblPrEx>
          <w:tblCellMar>
            <w:top w:w="0" w:type="dxa"/>
            <w:left w:w="108" w:type="dxa"/>
            <w:bottom w:w="0" w:type="dxa"/>
            <w:right w:w="108" w:type="dxa"/>
          </w:tblCellMar>
        </w:tblPrEx>
        <w:trPr>
          <w:trHeight w:val="560" w:hRule="atLeast"/>
          <w:jc w:val="center"/>
        </w:trPr>
        <w:tc>
          <w:tcPr>
            <w:tcW w:w="1575" w:type="dxa"/>
            <w:tcBorders>
              <w:top w:val="nil"/>
              <w:left w:val="single" w:color="auto" w:sz="4" w:space="0"/>
              <w:bottom w:val="single" w:color="auto" w:sz="4" w:space="0"/>
              <w:right w:val="single" w:color="auto" w:sz="4" w:space="0"/>
            </w:tcBorders>
            <w:shd w:val="clear" w:color="auto" w:fill="auto"/>
            <w:vAlign w:val="center"/>
          </w:tcPr>
          <w:p w14:paraId="7E86303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钢筋混凝土雨水跌水井</w:t>
            </w:r>
          </w:p>
        </w:tc>
        <w:tc>
          <w:tcPr>
            <w:tcW w:w="1559" w:type="dxa"/>
            <w:tcBorders>
              <w:top w:val="nil"/>
              <w:left w:val="nil"/>
              <w:bottom w:val="single" w:color="auto" w:sz="4" w:space="0"/>
              <w:right w:val="single" w:color="auto" w:sz="4" w:space="0"/>
            </w:tcBorders>
            <w:shd w:val="clear" w:color="auto" w:fill="auto"/>
            <w:noWrap/>
            <w:vAlign w:val="center"/>
          </w:tcPr>
          <w:p w14:paraId="6A67CCB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直径1600</w:t>
            </w:r>
          </w:p>
        </w:tc>
        <w:tc>
          <w:tcPr>
            <w:tcW w:w="1041" w:type="dxa"/>
            <w:tcBorders>
              <w:top w:val="nil"/>
              <w:left w:val="nil"/>
              <w:bottom w:val="single" w:color="auto" w:sz="4" w:space="0"/>
              <w:right w:val="single" w:color="auto" w:sz="4" w:space="0"/>
            </w:tcBorders>
            <w:shd w:val="clear" w:color="auto" w:fill="auto"/>
            <w:noWrap/>
            <w:vAlign w:val="center"/>
          </w:tcPr>
          <w:p w14:paraId="6F458DF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1座</w:t>
            </w:r>
          </w:p>
        </w:tc>
        <w:tc>
          <w:tcPr>
            <w:tcW w:w="943" w:type="dxa"/>
            <w:tcBorders>
              <w:top w:val="nil"/>
              <w:left w:val="nil"/>
              <w:bottom w:val="single" w:color="auto" w:sz="4" w:space="0"/>
              <w:right w:val="single" w:color="auto" w:sz="4" w:space="0"/>
            </w:tcBorders>
            <w:shd w:val="clear" w:color="auto" w:fill="auto"/>
            <w:noWrap/>
            <w:vAlign w:val="center"/>
          </w:tcPr>
          <w:p w14:paraId="15E325C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993" w:type="dxa"/>
            <w:tcBorders>
              <w:top w:val="nil"/>
              <w:left w:val="nil"/>
              <w:bottom w:val="single" w:color="auto" w:sz="4" w:space="0"/>
              <w:right w:val="single" w:color="auto" w:sz="4" w:space="0"/>
            </w:tcBorders>
            <w:shd w:val="clear" w:color="auto" w:fill="auto"/>
            <w:noWrap/>
            <w:vAlign w:val="center"/>
          </w:tcPr>
          <w:p w14:paraId="24D5F29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2293" w:type="dxa"/>
            <w:tcBorders>
              <w:top w:val="nil"/>
              <w:left w:val="nil"/>
              <w:bottom w:val="single" w:color="auto" w:sz="4" w:space="0"/>
              <w:right w:val="single" w:color="auto" w:sz="4" w:space="0"/>
            </w:tcBorders>
            <w:shd w:val="clear" w:color="auto" w:fill="auto"/>
            <w:noWrap/>
            <w:vAlign w:val="center"/>
          </w:tcPr>
          <w:p w14:paraId="54D908C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　</w:t>
            </w:r>
          </w:p>
        </w:tc>
      </w:tr>
      <w:tr w14:paraId="3E89ABA0">
        <w:tblPrEx>
          <w:tblCellMar>
            <w:top w:w="0" w:type="dxa"/>
            <w:left w:w="108" w:type="dxa"/>
            <w:bottom w:w="0" w:type="dxa"/>
            <w:right w:w="108" w:type="dxa"/>
          </w:tblCellMar>
        </w:tblPrEx>
        <w:trPr>
          <w:trHeight w:val="560" w:hRule="atLeast"/>
          <w:jc w:val="center"/>
        </w:trPr>
        <w:tc>
          <w:tcPr>
            <w:tcW w:w="1575" w:type="dxa"/>
            <w:tcBorders>
              <w:top w:val="nil"/>
              <w:left w:val="single" w:color="auto" w:sz="4" w:space="0"/>
              <w:bottom w:val="single" w:color="auto" w:sz="4" w:space="0"/>
              <w:right w:val="single" w:color="auto" w:sz="4" w:space="0"/>
            </w:tcBorders>
            <w:shd w:val="clear" w:color="auto" w:fill="auto"/>
            <w:vAlign w:val="center"/>
          </w:tcPr>
          <w:p w14:paraId="6197A0B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钢筋混凝土雨水检查井</w:t>
            </w:r>
          </w:p>
        </w:tc>
        <w:tc>
          <w:tcPr>
            <w:tcW w:w="1559" w:type="dxa"/>
            <w:tcBorders>
              <w:top w:val="nil"/>
              <w:left w:val="nil"/>
              <w:bottom w:val="single" w:color="auto" w:sz="4" w:space="0"/>
              <w:right w:val="single" w:color="auto" w:sz="4" w:space="0"/>
            </w:tcBorders>
            <w:shd w:val="clear" w:color="auto" w:fill="auto"/>
            <w:noWrap/>
            <w:vAlign w:val="center"/>
          </w:tcPr>
          <w:p w14:paraId="4416D25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直径1600</w:t>
            </w:r>
          </w:p>
        </w:tc>
        <w:tc>
          <w:tcPr>
            <w:tcW w:w="1041" w:type="dxa"/>
            <w:tcBorders>
              <w:top w:val="nil"/>
              <w:left w:val="nil"/>
              <w:bottom w:val="single" w:color="auto" w:sz="4" w:space="0"/>
              <w:right w:val="single" w:color="auto" w:sz="4" w:space="0"/>
            </w:tcBorders>
            <w:shd w:val="clear" w:color="auto" w:fill="auto"/>
            <w:noWrap/>
            <w:vAlign w:val="center"/>
          </w:tcPr>
          <w:p w14:paraId="61B664B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10座</w:t>
            </w:r>
          </w:p>
        </w:tc>
        <w:tc>
          <w:tcPr>
            <w:tcW w:w="943" w:type="dxa"/>
            <w:tcBorders>
              <w:top w:val="nil"/>
              <w:left w:val="nil"/>
              <w:bottom w:val="single" w:color="auto" w:sz="4" w:space="0"/>
              <w:right w:val="single" w:color="auto" w:sz="4" w:space="0"/>
            </w:tcBorders>
            <w:shd w:val="clear" w:color="auto" w:fill="auto"/>
            <w:noWrap/>
            <w:vAlign w:val="center"/>
          </w:tcPr>
          <w:p w14:paraId="4A7452A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2座</w:t>
            </w:r>
          </w:p>
        </w:tc>
        <w:tc>
          <w:tcPr>
            <w:tcW w:w="993" w:type="dxa"/>
            <w:tcBorders>
              <w:top w:val="nil"/>
              <w:left w:val="nil"/>
              <w:bottom w:val="single" w:color="auto" w:sz="4" w:space="0"/>
              <w:right w:val="single" w:color="auto" w:sz="4" w:space="0"/>
            </w:tcBorders>
            <w:shd w:val="clear" w:color="auto" w:fill="auto"/>
            <w:noWrap/>
            <w:vAlign w:val="center"/>
          </w:tcPr>
          <w:p w14:paraId="0A278F6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2293" w:type="dxa"/>
            <w:tcBorders>
              <w:top w:val="nil"/>
              <w:left w:val="nil"/>
              <w:bottom w:val="single" w:color="auto" w:sz="4" w:space="0"/>
              <w:right w:val="single" w:color="auto" w:sz="4" w:space="0"/>
            </w:tcBorders>
            <w:shd w:val="clear" w:color="auto" w:fill="auto"/>
            <w:noWrap/>
            <w:vAlign w:val="center"/>
          </w:tcPr>
          <w:p w14:paraId="7B35EC4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r>
      <w:tr w14:paraId="47FD61F4">
        <w:tblPrEx>
          <w:tblCellMar>
            <w:top w:w="0" w:type="dxa"/>
            <w:left w:w="108" w:type="dxa"/>
            <w:bottom w:w="0" w:type="dxa"/>
            <w:right w:w="108" w:type="dxa"/>
          </w:tblCellMar>
        </w:tblPrEx>
        <w:trPr>
          <w:trHeight w:val="280" w:hRule="atLeast"/>
          <w:jc w:val="center"/>
        </w:trPr>
        <w:tc>
          <w:tcPr>
            <w:tcW w:w="1575" w:type="dxa"/>
            <w:tcBorders>
              <w:top w:val="nil"/>
              <w:left w:val="single" w:color="auto" w:sz="4" w:space="0"/>
              <w:bottom w:val="single" w:color="auto" w:sz="4" w:space="0"/>
              <w:right w:val="single" w:color="auto" w:sz="4" w:space="0"/>
            </w:tcBorders>
            <w:shd w:val="clear" w:color="auto" w:fill="auto"/>
            <w:noWrap/>
            <w:vAlign w:val="center"/>
          </w:tcPr>
          <w:p w14:paraId="522882B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雨水口</w:t>
            </w:r>
          </w:p>
        </w:tc>
        <w:tc>
          <w:tcPr>
            <w:tcW w:w="1559" w:type="dxa"/>
            <w:tcBorders>
              <w:top w:val="nil"/>
              <w:left w:val="nil"/>
              <w:bottom w:val="single" w:color="auto" w:sz="4" w:space="0"/>
              <w:right w:val="single" w:color="auto" w:sz="4" w:space="0"/>
            </w:tcBorders>
            <w:shd w:val="clear" w:color="auto" w:fill="auto"/>
            <w:noWrap/>
            <w:vAlign w:val="center"/>
          </w:tcPr>
          <w:p w14:paraId="0A905D8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混凝土</w:t>
            </w:r>
          </w:p>
        </w:tc>
        <w:tc>
          <w:tcPr>
            <w:tcW w:w="1041" w:type="dxa"/>
            <w:tcBorders>
              <w:top w:val="nil"/>
              <w:left w:val="nil"/>
              <w:bottom w:val="single" w:color="auto" w:sz="4" w:space="0"/>
              <w:right w:val="single" w:color="auto" w:sz="4" w:space="0"/>
            </w:tcBorders>
            <w:shd w:val="clear" w:color="auto" w:fill="auto"/>
            <w:noWrap/>
            <w:vAlign w:val="center"/>
          </w:tcPr>
          <w:p w14:paraId="094DD12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24口</w:t>
            </w:r>
          </w:p>
        </w:tc>
        <w:tc>
          <w:tcPr>
            <w:tcW w:w="943" w:type="dxa"/>
            <w:tcBorders>
              <w:top w:val="nil"/>
              <w:left w:val="nil"/>
              <w:bottom w:val="single" w:color="auto" w:sz="4" w:space="0"/>
              <w:right w:val="single" w:color="auto" w:sz="4" w:space="0"/>
            </w:tcBorders>
            <w:shd w:val="clear" w:color="auto" w:fill="auto"/>
            <w:noWrap/>
            <w:vAlign w:val="center"/>
          </w:tcPr>
          <w:p w14:paraId="1EB7713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993" w:type="dxa"/>
            <w:tcBorders>
              <w:top w:val="nil"/>
              <w:left w:val="nil"/>
              <w:bottom w:val="single" w:color="auto" w:sz="4" w:space="0"/>
              <w:right w:val="single" w:color="auto" w:sz="4" w:space="0"/>
            </w:tcBorders>
            <w:shd w:val="clear" w:color="auto" w:fill="auto"/>
            <w:noWrap/>
            <w:vAlign w:val="center"/>
          </w:tcPr>
          <w:p w14:paraId="5A1CC92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4口</w:t>
            </w:r>
          </w:p>
        </w:tc>
        <w:tc>
          <w:tcPr>
            <w:tcW w:w="2293" w:type="dxa"/>
            <w:tcBorders>
              <w:top w:val="nil"/>
              <w:left w:val="nil"/>
              <w:bottom w:val="single" w:color="auto" w:sz="4" w:space="0"/>
              <w:right w:val="single" w:color="auto" w:sz="4" w:space="0"/>
            </w:tcBorders>
            <w:shd w:val="clear" w:color="auto" w:fill="auto"/>
            <w:noWrap/>
            <w:vAlign w:val="center"/>
          </w:tcPr>
          <w:p w14:paraId="35ECAB3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双篦雨水口</w:t>
            </w:r>
          </w:p>
        </w:tc>
      </w:tr>
      <w:tr w14:paraId="0B314E9F">
        <w:tblPrEx>
          <w:tblCellMar>
            <w:top w:w="0" w:type="dxa"/>
            <w:left w:w="108" w:type="dxa"/>
            <w:bottom w:w="0" w:type="dxa"/>
            <w:right w:w="108" w:type="dxa"/>
          </w:tblCellMar>
        </w:tblPrEx>
        <w:trPr>
          <w:trHeight w:val="280" w:hRule="atLeast"/>
          <w:jc w:val="center"/>
        </w:trPr>
        <w:tc>
          <w:tcPr>
            <w:tcW w:w="1575" w:type="dxa"/>
            <w:tcBorders>
              <w:top w:val="nil"/>
              <w:left w:val="single" w:color="auto" w:sz="4" w:space="0"/>
              <w:bottom w:val="nil"/>
              <w:right w:val="single" w:color="auto" w:sz="4" w:space="0"/>
            </w:tcBorders>
            <w:shd w:val="clear" w:color="auto" w:fill="auto"/>
            <w:noWrap/>
            <w:vAlign w:val="center"/>
          </w:tcPr>
          <w:p w14:paraId="0056B7D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雨水市政接口</w:t>
            </w:r>
          </w:p>
        </w:tc>
        <w:tc>
          <w:tcPr>
            <w:tcW w:w="1559" w:type="dxa"/>
            <w:tcBorders>
              <w:top w:val="nil"/>
              <w:left w:val="nil"/>
              <w:bottom w:val="nil"/>
              <w:right w:val="single" w:color="auto" w:sz="4" w:space="0"/>
            </w:tcBorders>
            <w:shd w:val="clear" w:color="auto" w:fill="auto"/>
            <w:noWrap/>
            <w:vAlign w:val="center"/>
          </w:tcPr>
          <w:p w14:paraId="71187B3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1041" w:type="dxa"/>
            <w:tcBorders>
              <w:top w:val="nil"/>
              <w:left w:val="nil"/>
              <w:bottom w:val="nil"/>
              <w:right w:val="single" w:color="auto" w:sz="4" w:space="0"/>
            </w:tcBorders>
            <w:shd w:val="clear" w:color="auto" w:fill="auto"/>
            <w:noWrap/>
            <w:vAlign w:val="center"/>
          </w:tcPr>
          <w:p w14:paraId="2C194DC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1处</w:t>
            </w:r>
          </w:p>
        </w:tc>
        <w:tc>
          <w:tcPr>
            <w:tcW w:w="943" w:type="dxa"/>
            <w:tcBorders>
              <w:top w:val="nil"/>
              <w:left w:val="nil"/>
              <w:bottom w:val="single" w:color="auto" w:sz="4" w:space="0"/>
              <w:right w:val="single" w:color="auto" w:sz="4" w:space="0"/>
            </w:tcBorders>
            <w:shd w:val="clear" w:color="auto" w:fill="auto"/>
            <w:noWrap/>
            <w:vAlign w:val="center"/>
          </w:tcPr>
          <w:p w14:paraId="0C5957E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993" w:type="dxa"/>
            <w:tcBorders>
              <w:top w:val="nil"/>
              <w:left w:val="nil"/>
              <w:bottom w:val="single" w:color="auto" w:sz="4" w:space="0"/>
              <w:right w:val="single" w:color="auto" w:sz="4" w:space="0"/>
            </w:tcBorders>
            <w:shd w:val="clear" w:color="auto" w:fill="auto"/>
            <w:noWrap/>
            <w:vAlign w:val="center"/>
          </w:tcPr>
          <w:p w14:paraId="660FC24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2293" w:type="dxa"/>
            <w:tcBorders>
              <w:top w:val="nil"/>
              <w:left w:val="nil"/>
              <w:bottom w:val="nil"/>
              <w:right w:val="single" w:color="auto" w:sz="4" w:space="0"/>
            </w:tcBorders>
            <w:shd w:val="clear" w:color="auto" w:fill="auto"/>
            <w:noWrap/>
            <w:vAlign w:val="center"/>
          </w:tcPr>
          <w:p w14:paraId="25F8F21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r>
      <w:tr w14:paraId="53FBF58E">
        <w:tblPrEx>
          <w:tblCellMar>
            <w:top w:w="0" w:type="dxa"/>
            <w:left w:w="108" w:type="dxa"/>
            <w:bottom w:w="0" w:type="dxa"/>
            <w:right w:w="108" w:type="dxa"/>
          </w:tblCellMar>
        </w:tblPrEx>
        <w:trPr>
          <w:trHeight w:val="280" w:hRule="atLeast"/>
          <w:jc w:val="center"/>
        </w:trPr>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3360E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混凝土</w:t>
            </w:r>
          </w:p>
        </w:tc>
        <w:tc>
          <w:tcPr>
            <w:tcW w:w="1559" w:type="dxa"/>
            <w:tcBorders>
              <w:top w:val="single" w:color="auto" w:sz="4" w:space="0"/>
              <w:left w:val="nil"/>
              <w:bottom w:val="single" w:color="auto" w:sz="4" w:space="0"/>
              <w:right w:val="single" w:color="auto" w:sz="4" w:space="0"/>
            </w:tcBorders>
            <w:shd w:val="clear" w:color="auto" w:fill="auto"/>
            <w:noWrap/>
            <w:vAlign w:val="center"/>
          </w:tcPr>
          <w:p w14:paraId="15093F3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1041" w:type="dxa"/>
            <w:tcBorders>
              <w:top w:val="single" w:color="auto" w:sz="4" w:space="0"/>
              <w:left w:val="nil"/>
              <w:bottom w:val="single" w:color="auto" w:sz="4" w:space="0"/>
              <w:right w:val="single" w:color="auto" w:sz="4" w:space="0"/>
            </w:tcBorders>
            <w:shd w:val="clear" w:color="auto" w:fill="auto"/>
            <w:noWrap/>
            <w:vAlign w:val="center"/>
          </w:tcPr>
          <w:p w14:paraId="15F6721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30立方米</w:t>
            </w:r>
          </w:p>
        </w:tc>
        <w:tc>
          <w:tcPr>
            <w:tcW w:w="943" w:type="dxa"/>
            <w:tcBorders>
              <w:top w:val="nil"/>
              <w:left w:val="nil"/>
              <w:bottom w:val="single" w:color="auto" w:sz="4" w:space="0"/>
              <w:right w:val="single" w:color="auto" w:sz="4" w:space="0"/>
            </w:tcBorders>
            <w:shd w:val="clear" w:color="auto" w:fill="auto"/>
            <w:noWrap/>
            <w:vAlign w:val="center"/>
          </w:tcPr>
          <w:p w14:paraId="41EBE28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993" w:type="dxa"/>
            <w:tcBorders>
              <w:top w:val="nil"/>
              <w:left w:val="nil"/>
              <w:bottom w:val="single" w:color="auto" w:sz="4" w:space="0"/>
              <w:right w:val="single" w:color="auto" w:sz="4" w:space="0"/>
            </w:tcBorders>
            <w:shd w:val="clear" w:color="auto" w:fill="auto"/>
            <w:noWrap/>
            <w:vAlign w:val="center"/>
          </w:tcPr>
          <w:p w14:paraId="4067939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10立方米</w:t>
            </w:r>
          </w:p>
        </w:tc>
        <w:tc>
          <w:tcPr>
            <w:tcW w:w="2293" w:type="dxa"/>
            <w:tcBorders>
              <w:top w:val="single" w:color="auto" w:sz="4" w:space="0"/>
              <w:left w:val="nil"/>
              <w:bottom w:val="single" w:color="auto" w:sz="4" w:space="0"/>
              <w:right w:val="single" w:color="auto" w:sz="4" w:space="0"/>
            </w:tcBorders>
            <w:shd w:val="clear" w:color="auto" w:fill="auto"/>
            <w:noWrap/>
            <w:vAlign w:val="center"/>
          </w:tcPr>
          <w:p w14:paraId="7B62AA6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r>
      <w:tr w14:paraId="09965015">
        <w:tblPrEx>
          <w:tblCellMar>
            <w:top w:w="0" w:type="dxa"/>
            <w:left w:w="108" w:type="dxa"/>
            <w:bottom w:w="0" w:type="dxa"/>
            <w:right w:w="108" w:type="dxa"/>
          </w:tblCellMar>
        </w:tblPrEx>
        <w:trPr>
          <w:trHeight w:val="560" w:hRule="atLeast"/>
          <w:jc w:val="center"/>
        </w:trPr>
        <w:tc>
          <w:tcPr>
            <w:tcW w:w="1575" w:type="dxa"/>
            <w:tcBorders>
              <w:top w:val="nil"/>
              <w:left w:val="single" w:color="auto" w:sz="4" w:space="0"/>
              <w:bottom w:val="single" w:color="auto" w:sz="4" w:space="0"/>
              <w:right w:val="single" w:color="auto" w:sz="4" w:space="0"/>
            </w:tcBorders>
            <w:shd w:val="clear" w:color="auto" w:fill="auto"/>
            <w:noWrap/>
            <w:vAlign w:val="center"/>
          </w:tcPr>
          <w:p w14:paraId="5DBF125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绿化回用水管</w:t>
            </w:r>
          </w:p>
        </w:tc>
        <w:tc>
          <w:tcPr>
            <w:tcW w:w="1559" w:type="dxa"/>
            <w:tcBorders>
              <w:top w:val="nil"/>
              <w:left w:val="nil"/>
              <w:bottom w:val="single" w:color="auto" w:sz="4" w:space="0"/>
              <w:right w:val="single" w:color="auto" w:sz="4" w:space="0"/>
            </w:tcBorders>
            <w:shd w:val="clear" w:color="auto" w:fill="auto"/>
            <w:vAlign w:val="center"/>
          </w:tcPr>
          <w:p w14:paraId="4BAEE12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DN20</w:t>
            </w:r>
          </w:p>
        </w:tc>
        <w:tc>
          <w:tcPr>
            <w:tcW w:w="1041" w:type="dxa"/>
            <w:tcBorders>
              <w:top w:val="nil"/>
              <w:left w:val="nil"/>
              <w:bottom w:val="single" w:color="auto" w:sz="4" w:space="0"/>
              <w:right w:val="single" w:color="auto" w:sz="4" w:space="0"/>
            </w:tcBorders>
            <w:shd w:val="clear" w:color="auto" w:fill="auto"/>
            <w:noWrap/>
            <w:vAlign w:val="center"/>
          </w:tcPr>
          <w:p w14:paraId="65BAD96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200米</w:t>
            </w:r>
          </w:p>
        </w:tc>
        <w:tc>
          <w:tcPr>
            <w:tcW w:w="943" w:type="dxa"/>
            <w:tcBorders>
              <w:top w:val="nil"/>
              <w:left w:val="nil"/>
              <w:bottom w:val="single" w:color="auto" w:sz="4" w:space="0"/>
              <w:right w:val="single" w:color="auto" w:sz="4" w:space="0"/>
            </w:tcBorders>
            <w:shd w:val="clear" w:color="auto" w:fill="auto"/>
            <w:noWrap/>
            <w:vAlign w:val="center"/>
          </w:tcPr>
          <w:p w14:paraId="6FA3D64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p>
        </w:tc>
        <w:tc>
          <w:tcPr>
            <w:tcW w:w="993" w:type="dxa"/>
            <w:tcBorders>
              <w:top w:val="nil"/>
              <w:left w:val="nil"/>
              <w:bottom w:val="single" w:color="auto" w:sz="4" w:space="0"/>
              <w:right w:val="single" w:color="auto" w:sz="4" w:space="0"/>
            </w:tcBorders>
            <w:shd w:val="clear" w:color="auto" w:fill="auto"/>
            <w:noWrap/>
            <w:vAlign w:val="center"/>
          </w:tcPr>
          <w:p w14:paraId="3376610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10米</w:t>
            </w:r>
          </w:p>
        </w:tc>
        <w:tc>
          <w:tcPr>
            <w:tcW w:w="2293" w:type="dxa"/>
            <w:tcBorders>
              <w:top w:val="nil"/>
              <w:left w:val="nil"/>
              <w:bottom w:val="single" w:color="auto" w:sz="4" w:space="0"/>
              <w:right w:val="single" w:color="auto" w:sz="4" w:space="0"/>
            </w:tcBorders>
            <w:shd w:val="clear" w:color="auto" w:fill="auto"/>
            <w:vAlign w:val="center"/>
          </w:tcPr>
          <w:p w14:paraId="2A771D1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PE管，耐压等级1.0MPa</w:t>
            </w:r>
          </w:p>
        </w:tc>
      </w:tr>
    </w:tbl>
    <w:p w14:paraId="30C7B8C5">
      <w:pPr>
        <w:keepNext/>
        <w:keepLines/>
        <w:pageBreakBefore w:val="0"/>
        <w:widowControl w:val="0"/>
        <w:numPr>
          <w:ilvl w:val="2"/>
          <w:numId w:val="0"/>
        </w:numPr>
        <w:kinsoku/>
        <w:wordWrap/>
        <w:overflowPunct/>
        <w:topLinePunct w:val="0"/>
        <w:autoSpaceDE/>
        <w:autoSpaceDN/>
        <w:bidi w:val="0"/>
        <w:adjustRightInd/>
        <w:snapToGrid/>
        <w:spacing w:line="360" w:lineRule="auto"/>
        <w:ind w:left="426" w:leftChars="202" w:hanging="2" w:hangingChars="1"/>
        <w:jc w:val="both"/>
        <w:textAlignment w:val="auto"/>
        <w:outlineLvl w:val="2"/>
        <w:rPr>
          <w:rFonts w:hint="eastAsia" w:asciiTheme="minorEastAsia" w:hAnsiTheme="minorEastAsia" w:eastAsiaTheme="minorEastAsia" w:cstheme="minorEastAsia"/>
          <w:b/>
          <w:bCs/>
          <w:color w:val="000000"/>
          <w:kern w:val="2"/>
          <w:sz w:val="24"/>
          <w:szCs w:val="24"/>
          <w:highlight w:val="none"/>
          <w:lang w:val="en-US" w:eastAsia="zh-CN" w:bidi="ar-SA"/>
        </w:rPr>
      </w:pPr>
      <w:bookmarkStart w:id="677" w:name="_Toc30306"/>
      <w:r>
        <w:rPr>
          <w:rFonts w:hint="eastAsia" w:asciiTheme="minorEastAsia" w:hAnsiTheme="minorEastAsia" w:eastAsiaTheme="minorEastAsia" w:cstheme="minorEastAsia"/>
          <w:b/>
          <w:bCs/>
          <w:color w:val="000000"/>
          <w:kern w:val="2"/>
          <w:sz w:val="24"/>
          <w:szCs w:val="24"/>
          <w:highlight w:val="none"/>
          <w:lang w:val="en-US" w:eastAsia="zh-CN" w:bidi="ar-SA"/>
        </w:rPr>
        <w:t>市政附属设施工程</w:t>
      </w:r>
      <w:bookmarkEnd w:id="677"/>
    </w:p>
    <w:p w14:paraId="098E6041">
      <w:pPr>
        <w:pStyle w:val="265"/>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配套服务设施对整个场站的体验和城市形象具有决定性的影响，在保证场站景观整体风格协调，造型以及外观要求，符合功能性、合理性的前提下，需要在风格上与周边环境相融合。市政设施作为广场景观的重要组成部分，深深融入日常的使用中，将不仅发挥重要的使用功能，还能展示出属于城市的独特风格。</w:t>
      </w:r>
    </w:p>
    <w:p w14:paraId="09F5C7BE">
      <w:pPr>
        <w:pStyle w:val="43"/>
        <w:keepNext w:val="0"/>
        <w:keepLines w:val="0"/>
        <w:pageBreakBefore w:val="0"/>
        <w:widowControl w:val="0"/>
        <w:kinsoku/>
        <w:wordWrap/>
        <w:overflowPunct/>
        <w:topLinePunct w:val="0"/>
        <w:autoSpaceDE/>
        <w:autoSpaceDN/>
        <w:bidi w:val="0"/>
        <w:adjustRightInd w:val="0"/>
        <w:snapToGrid/>
        <w:spacing w:after="0"/>
        <w:ind w:left="0" w:leftChars="0"/>
        <w:textAlignment w:val="baseline"/>
        <w:outlineLvl w:val="9"/>
        <w:rPr>
          <w:rFonts w:hint="eastAsia" w:ascii="宋体" w:hAnsi="宋体" w:eastAsia="宋体" w:cs="宋体"/>
          <w:sz w:val="24"/>
          <w:szCs w:val="24"/>
          <w:highlight w:val="none"/>
        </w:rPr>
      </w:pPr>
    </w:p>
    <w:p w14:paraId="1E703AAD">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310DCCB2">
      <w:pPr>
        <w:pStyle w:val="43"/>
        <w:keepNext w:val="0"/>
        <w:keepLines w:val="0"/>
        <w:pageBreakBefore w:val="0"/>
        <w:widowControl w:val="0"/>
        <w:kinsoku/>
        <w:wordWrap/>
        <w:overflowPunct/>
        <w:topLinePunct w:val="0"/>
        <w:autoSpaceDE/>
        <w:autoSpaceDN/>
        <w:bidi w:val="0"/>
        <w:adjustRightInd w:val="0"/>
        <w:snapToGrid/>
        <w:textAlignment w:val="baseline"/>
        <w:outlineLvl w:val="9"/>
        <w:rPr>
          <w:rFonts w:hint="eastAsia" w:ascii="宋体" w:hAnsi="宋体" w:eastAsia="宋体" w:cs="宋体"/>
          <w:sz w:val="24"/>
          <w:szCs w:val="24"/>
          <w:highlight w:val="none"/>
        </w:rPr>
      </w:pPr>
    </w:p>
    <w:p w14:paraId="5AE14463">
      <w:pPr>
        <w:bidi w:val="0"/>
        <w:ind w:firstLine="723" w:firstLineChars="200"/>
        <w:jc w:val="center"/>
        <w:outlineLvl w:val="0"/>
        <w:rPr>
          <w:rFonts w:eastAsia="宋体"/>
          <w:b/>
          <w:sz w:val="36"/>
          <w:szCs w:val="36"/>
          <w:highlight w:val="none"/>
        </w:rPr>
      </w:pPr>
      <w:bookmarkStart w:id="678" w:name="_Toc12269"/>
      <w:r>
        <w:rPr>
          <w:rFonts w:eastAsia="宋体"/>
          <w:b/>
          <w:sz w:val="36"/>
          <w:szCs w:val="36"/>
          <w:highlight w:val="none"/>
        </w:rPr>
        <w:t>第五章   合同草案条款</w:t>
      </w:r>
      <w:bookmarkEnd w:id="678"/>
    </w:p>
    <w:p w14:paraId="1C2EA388">
      <w:pPr>
        <w:widowControl/>
        <w:wordWrap/>
        <w:topLinePunct w:val="0"/>
        <w:adjustRightInd w:val="0"/>
        <w:snapToGrid w:val="0"/>
        <w:spacing w:after="120" w:afterLines="50" w:line="240" w:lineRule="auto"/>
        <w:ind w:firstLine="0" w:firstLineChars="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GF-2020-0216</w:t>
      </w:r>
    </w:p>
    <w:p w14:paraId="5CC651A1">
      <w:pPr>
        <w:widowControl/>
        <w:wordWrap/>
        <w:topLinePunct w:val="0"/>
        <w:adjustRightInd w:val="0"/>
        <w:snapToGrid w:val="0"/>
        <w:spacing w:after="120" w:afterLines="50" w:line="240" w:lineRule="auto"/>
        <w:ind w:firstLine="480" w:firstLineChars="200"/>
        <w:rPr>
          <w:rFonts w:ascii="宋体" w:hAnsi="宋体" w:eastAsia="宋体" w:cs="Times New Roman"/>
          <w:kern w:val="0"/>
          <w:sz w:val="24"/>
          <w:szCs w:val="20"/>
        </w:rPr>
      </w:pPr>
    </w:p>
    <w:p w14:paraId="5B7C199B">
      <w:pPr>
        <w:widowControl/>
        <w:wordWrap/>
        <w:topLinePunct w:val="0"/>
        <w:adjustRightInd w:val="0"/>
        <w:snapToGrid w:val="0"/>
        <w:spacing w:after="120" w:afterLines="50" w:line="240" w:lineRule="auto"/>
        <w:ind w:firstLine="480" w:firstLineChars="200"/>
        <w:rPr>
          <w:rFonts w:ascii="宋体" w:hAnsi="宋体" w:eastAsia="宋体" w:cs="Times New Roman"/>
          <w:kern w:val="0"/>
          <w:sz w:val="24"/>
          <w:szCs w:val="20"/>
        </w:rPr>
      </w:pPr>
    </w:p>
    <w:p w14:paraId="17FDEC0E">
      <w:pPr>
        <w:widowControl/>
        <w:wordWrap/>
        <w:topLinePunct w:val="0"/>
        <w:adjustRightInd w:val="0"/>
        <w:snapToGrid w:val="0"/>
        <w:spacing w:after="120" w:afterLines="50" w:line="240" w:lineRule="auto"/>
        <w:ind w:firstLine="480" w:firstLineChars="200"/>
        <w:rPr>
          <w:rFonts w:ascii="宋体" w:hAnsi="宋体" w:eastAsia="宋体" w:cs="Times New Roman"/>
          <w:kern w:val="0"/>
          <w:sz w:val="24"/>
          <w:szCs w:val="20"/>
        </w:rPr>
      </w:pPr>
    </w:p>
    <w:p w14:paraId="12517ABE">
      <w:pPr>
        <w:widowControl/>
        <w:wordWrap/>
        <w:topLinePunct w:val="0"/>
        <w:adjustRightInd w:val="0"/>
        <w:snapToGrid w:val="0"/>
        <w:spacing w:after="120" w:afterLines="50" w:line="240" w:lineRule="auto"/>
        <w:ind w:firstLine="480" w:firstLineChars="200"/>
        <w:rPr>
          <w:rFonts w:ascii="宋体" w:hAnsi="宋体" w:eastAsia="宋体" w:cs="Times New Roman"/>
          <w:kern w:val="0"/>
          <w:sz w:val="24"/>
          <w:szCs w:val="20"/>
        </w:rPr>
      </w:pPr>
    </w:p>
    <w:p w14:paraId="3DB43E20">
      <w:pPr>
        <w:pStyle w:val="254"/>
        <w:spacing w:line="240" w:lineRule="auto"/>
        <w:rPr>
          <w:rFonts w:hint="eastAsia" w:ascii="方正小标宋简体" w:hAnsi="方正小标宋简体" w:eastAsia="方正小标宋简体" w:cs="方正小标宋简体"/>
          <w:b w:val="0"/>
          <w:sz w:val="60"/>
          <w:szCs w:val="60"/>
        </w:rPr>
      </w:pPr>
      <w:r>
        <w:rPr>
          <w:rFonts w:hint="eastAsia" w:ascii="方正小标宋简体" w:hAnsi="方正小标宋简体" w:eastAsia="方正小标宋简体" w:cs="方正小标宋简体"/>
          <w:b w:val="0"/>
          <w:sz w:val="60"/>
          <w:szCs w:val="60"/>
        </w:rPr>
        <w:t>公交375场站优化提升改造项目</w:t>
      </w:r>
    </w:p>
    <w:p w14:paraId="632455EC">
      <w:pPr>
        <w:pStyle w:val="254"/>
        <w:spacing w:line="240" w:lineRule="auto"/>
        <w:rPr>
          <w:rFonts w:hint="eastAsia" w:ascii="方正小标宋简体" w:hAnsi="方正小标宋简体" w:eastAsia="方正小标宋简体" w:cs="方正小标宋简体"/>
          <w:b w:val="0"/>
          <w:sz w:val="60"/>
          <w:szCs w:val="60"/>
        </w:rPr>
      </w:pPr>
      <w:r>
        <w:rPr>
          <w:rFonts w:hint="eastAsia" w:ascii="方正小标宋简体" w:hAnsi="方正小标宋简体" w:eastAsia="方正小标宋简体" w:cs="方正小标宋简体"/>
          <w:b w:val="0"/>
          <w:sz w:val="60"/>
          <w:szCs w:val="60"/>
        </w:rPr>
        <w:t>——北京北站落客区建设</w:t>
      </w:r>
    </w:p>
    <w:p w14:paraId="2DDD2E8F">
      <w:pPr>
        <w:widowControl/>
        <w:wordWrap w:val="0"/>
        <w:topLinePunct/>
        <w:adjustRightInd w:val="0"/>
        <w:snapToGrid w:val="0"/>
        <w:spacing w:after="120" w:afterLines="50" w:line="240" w:lineRule="auto"/>
        <w:ind w:firstLine="480" w:firstLineChars="200"/>
        <w:rPr>
          <w:rFonts w:hint="eastAsia" w:ascii="宋体" w:hAnsi="宋体" w:eastAsia="宋体" w:cs="Times New Roman"/>
          <w:kern w:val="0"/>
          <w:sz w:val="24"/>
          <w:szCs w:val="20"/>
        </w:rPr>
      </w:pPr>
    </w:p>
    <w:p w14:paraId="089ACFDD">
      <w:pPr>
        <w:widowControl/>
        <w:wordWrap w:val="0"/>
        <w:topLinePunct/>
        <w:adjustRightInd w:val="0"/>
        <w:snapToGrid w:val="0"/>
        <w:spacing w:after="120" w:afterLines="50" w:line="240" w:lineRule="auto"/>
        <w:ind w:firstLine="480" w:firstLineChars="200"/>
        <w:rPr>
          <w:rFonts w:hint="eastAsia" w:ascii="宋体" w:hAnsi="宋体" w:eastAsia="宋体" w:cs="Times New Roman"/>
          <w:kern w:val="0"/>
          <w:sz w:val="24"/>
          <w:szCs w:val="20"/>
        </w:rPr>
      </w:pPr>
    </w:p>
    <w:p w14:paraId="2B8520E8">
      <w:pPr>
        <w:pStyle w:val="254"/>
        <w:spacing w:line="240" w:lineRule="auto"/>
        <w:rPr>
          <w:rFonts w:hint="eastAsia" w:ascii="方正小标宋简体" w:hAnsi="方正小标宋简体" w:eastAsia="方正小标宋简体" w:cs="方正小标宋简体"/>
          <w:b w:val="0"/>
          <w:bCs/>
          <w:sz w:val="52"/>
          <w:szCs w:val="52"/>
        </w:rPr>
      </w:pPr>
      <w:r>
        <w:rPr>
          <w:rFonts w:hint="eastAsia" w:ascii="方正小标宋简体" w:hAnsi="方正小标宋简体" w:eastAsia="方正小标宋简体" w:cs="方正小标宋简体"/>
          <w:b w:val="0"/>
          <w:bCs/>
          <w:sz w:val="72"/>
          <w:szCs w:val="72"/>
        </w:rPr>
        <w:t>建设项目工程总承包合同</w:t>
      </w:r>
    </w:p>
    <w:p w14:paraId="799BC367">
      <w:pPr>
        <w:pStyle w:val="254"/>
        <w:spacing w:line="240" w:lineRule="auto"/>
        <w:rPr>
          <w:rFonts w:ascii="华文中宋" w:hAnsi="华文中宋" w:eastAsia="华文中宋" w:cs="Times New Roman"/>
          <w:sz w:val="40"/>
          <w:szCs w:val="40"/>
        </w:rPr>
      </w:pPr>
    </w:p>
    <w:p w14:paraId="5AD31CE9">
      <w:pPr>
        <w:widowControl/>
        <w:wordWrap w:val="0"/>
        <w:topLinePunct/>
        <w:adjustRightInd w:val="0"/>
        <w:snapToGrid w:val="0"/>
        <w:spacing w:after="120" w:afterLines="50" w:line="360" w:lineRule="auto"/>
        <w:ind w:firstLine="800" w:firstLineChars="200"/>
        <w:rPr>
          <w:rFonts w:ascii="华文中宋" w:hAnsi="华文中宋" w:eastAsia="华文中宋" w:cs="Times New Roman"/>
          <w:kern w:val="0"/>
          <w:sz w:val="40"/>
          <w:szCs w:val="40"/>
        </w:rPr>
      </w:pPr>
    </w:p>
    <w:p w14:paraId="5D167AB8">
      <w:pPr>
        <w:widowControl/>
        <w:wordWrap w:val="0"/>
        <w:topLinePunct/>
        <w:adjustRightInd w:val="0"/>
        <w:snapToGrid w:val="0"/>
        <w:spacing w:after="120" w:afterLines="50" w:line="360" w:lineRule="auto"/>
        <w:ind w:firstLine="800" w:firstLineChars="200"/>
        <w:rPr>
          <w:rFonts w:ascii="华文中宋" w:hAnsi="华文中宋" w:eastAsia="华文中宋" w:cs="Times New Roman"/>
          <w:kern w:val="0"/>
          <w:sz w:val="40"/>
          <w:szCs w:val="40"/>
        </w:rPr>
      </w:pPr>
    </w:p>
    <w:p w14:paraId="38A50B15">
      <w:pPr>
        <w:widowControl/>
        <w:wordWrap w:val="0"/>
        <w:topLinePunct/>
        <w:adjustRightInd w:val="0"/>
        <w:snapToGrid w:val="0"/>
        <w:spacing w:after="120" w:afterLines="50" w:line="240" w:lineRule="auto"/>
        <w:ind w:firstLine="480" w:firstLineChars="200"/>
        <w:rPr>
          <w:rFonts w:ascii="宋体" w:hAnsi="宋体" w:eastAsia="宋体" w:cs="Times New Roman"/>
          <w:kern w:val="0"/>
          <w:sz w:val="24"/>
          <w:szCs w:val="20"/>
        </w:rPr>
      </w:pPr>
    </w:p>
    <w:p w14:paraId="499DFA24">
      <w:pPr>
        <w:pStyle w:val="254"/>
        <w:spacing w:line="240" w:lineRule="auto"/>
        <w:rPr>
          <w:rFonts w:ascii="华文中宋" w:hAnsi="华文中宋" w:eastAsia="华文中宋" w:cs="Times New Roman"/>
          <w:sz w:val="40"/>
          <w:szCs w:val="40"/>
        </w:rPr>
      </w:pPr>
    </w:p>
    <w:p w14:paraId="363E8584">
      <w:pPr>
        <w:widowControl/>
        <w:wordWrap w:val="0"/>
        <w:topLinePunct/>
        <w:adjustRightInd w:val="0"/>
        <w:snapToGrid w:val="0"/>
        <w:spacing w:after="120" w:afterLines="50" w:line="240" w:lineRule="auto"/>
        <w:ind w:firstLine="480" w:firstLineChars="200"/>
        <w:rPr>
          <w:rFonts w:ascii="宋体" w:hAnsi="宋体" w:eastAsia="宋体" w:cs="Times New Roman"/>
          <w:kern w:val="0"/>
          <w:sz w:val="24"/>
          <w:szCs w:val="20"/>
        </w:rPr>
      </w:pPr>
    </w:p>
    <w:p w14:paraId="116D5BFB">
      <w:pPr>
        <w:pStyle w:val="254"/>
        <w:spacing w:line="240" w:lineRule="auto"/>
        <w:rPr>
          <w:rFonts w:ascii="宋体" w:hAnsi="宋体" w:eastAsia="宋体" w:cs="Times New Roman"/>
          <w:sz w:val="32"/>
          <w:szCs w:val="32"/>
        </w:rPr>
      </w:pPr>
    </w:p>
    <w:p w14:paraId="07BD0A09">
      <w:pPr>
        <w:widowControl/>
        <w:wordWrap/>
        <w:topLinePunct w:val="0"/>
        <w:adjustRightInd w:val="0"/>
        <w:snapToGrid w:val="0"/>
        <w:spacing w:after="120" w:afterLines="50" w:line="240" w:lineRule="auto"/>
        <w:ind w:right="2182" w:rightChars="1039" w:firstLine="0" w:firstLineChars="0"/>
        <w:jc w:val="distribute"/>
        <w:rPr>
          <w:rFonts w:ascii="宋体" w:hAnsi="宋体" w:eastAsia="宋体" w:cs="Times New Roman"/>
          <w:b/>
          <w:bCs/>
          <w:kern w:val="0"/>
          <w:sz w:val="32"/>
          <w:szCs w:val="32"/>
        </w:rPr>
      </w:pPr>
      <w:r>
        <w:rPr>
          <w:rFonts w:hint="eastAsia" w:ascii="宋体" w:hAnsi="宋体" w:eastAsia="宋体" w:cs="Times New Roman"/>
          <w:b/>
          <w:kern w:val="0"/>
          <w:sz w:val="32"/>
          <w:szCs w:val="28"/>
        </w:rPr>
        <w:t xml:space="preserve">     </w:t>
      </w:r>
      <w:r>
        <w:rPr>
          <w:rFonts w:ascii="宋体" w:hAnsi="宋体" w:eastAsia="宋体" w:cs="Times New Roman"/>
          <w:b/>
          <w:bCs/>
          <w:kern w:val="0"/>
          <w:sz w:val="32"/>
          <w:szCs w:val="32"/>
        </w:rPr>
        <mc:AlternateContent>
          <mc:Choice Requires="wps">
            <w:drawing>
              <wp:anchor distT="0" distB="0" distL="114300" distR="114300" simplePos="0" relativeHeight="251659264" behindDoc="0" locked="0" layoutInCell="1" allowOverlap="1">
                <wp:simplePos x="0" y="0"/>
                <wp:positionH relativeFrom="column">
                  <wp:posOffset>3954780</wp:posOffset>
                </wp:positionH>
                <wp:positionV relativeFrom="paragraph">
                  <wp:posOffset>150495</wp:posOffset>
                </wp:positionV>
                <wp:extent cx="754380" cy="1772285"/>
                <wp:effectExtent l="0" t="0" r="7620" b="10795"/>
                <wp:wrapNone/>
                <wp:docPr id="26" name="文本框 26"/>
                <wp:cNvGraphicFramePr/>
                <a:graphic xmlns:a="http://schemas.openxmlformats.org/drawingml/2006/main">
                  <a:graphicData uri="http://schemas.microsoft.com/office/word/2010/wordprocessingShape">
                    <wps:wsp>
                      <wps:cNvSpPr txBox="1"/>
                      <wps:spPr>
                        <a:xfrm>
                          <a:off x="0" y="0"/>
                          <a:ext cx="754380" cy="1772285"/>
                        </a:xfrm>
                        <a:prstGeom prst="rect">
                          <a:avLst/>
                        </a:prstGeom>
                        <a:solidFill>
                          <a:srgbClr val="FFFFFF"/>
                        </a:solidFill>
                        <a:ln>
                          <a:noFill/>
                        </a:ln>
                      </wps:spPr>
                      <wps:txbx>
                        <w:txbxContent>
                          <w:p w14:paraId="797AF2D1">
                            <w:pPr>
                              <w:widowControl/>
                              <w:wordWrap/>
                              <w:topLinePunct w:val="0"/>
                              <w:adjustRightInd w:val="0"/>
                              <w:snapToGrid w:val="0"/>
                              <w:spacing w:after="0" w:afterLines="0" w:line="240" w:lineRule="auto"/>
                              <w:ind w:firstLine="0" w:firstLineChars="0"/>
                              <w:jc w:val="center"/>
                              <w:rPr>
                                <w:rFonts w:ascii="宋体" w:hAnsi="宋体" w:eastAsia="宋体" w:cs="Times New Roman"/>
                                <w:b/>
                                <w:bCs/>
                                <w:kern w:val="0"/>
                                <w:sz w:val="32"/>
                                <w:szCs w:val="32"/>
                              </w:rPr>
                            </w:pPr>
                            <w:r>
                              <w:rPr>
                                <w:rFonts w:hint="eastAsia" w:ascii="宋体" w:hAnsi="宋体" w:eastAsia="宋体" w:cs="Times New Roman"/>
                                <w:b/>
                                <w:bCs/>
                                <w:kern w:val="0"/>
                                <w:sz w:val="32"/>
                                <w:szCs w:val="32"/>
                              </w:rPr>
                              <w:t>制定</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1.4pt;margin-top:11.85pt;height:139.55pt;width:59.4pt;z-index:251659264;mso-width-relative:page;mso-height-relative:margin;mso-height-percent:200;" fillcolor="#FFFFFF" filled="t" stroked="f" coordsize="21600,21600" o:gfxdata="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5Ew3gNgAAAAKAQAADwAAAAAAAAABACAAAAAiAAAA&#10;ZHJzL2Rvd25yZXYueG1sUEsBAhQAFAAAAAgAh07iQMOEtkHOAQAAkwMAAA4AAAAAAAAAAQAgAAAA&#10;JwEAAGRycy9lMm9Eb2MueG1sUEsFBgAAAAAGAAYAWQEAAGcFAAAAAA==&#10;">
                <v:fill on="t" focussize="0,0"/>
                <v:stroke on="f"/>
                <v:imagedata o:title=""/>
                <o:lock v:ext="edit" aspectratio="f"/>
                <v:textbox style="mso-fit-shape-to-text:t;">
                  <w:txbxContent>
                    <w:p w14:paraId="797AF2D1">
                      <w:pPr>
                        <w:widowControl/>
                        <w:wordWrap/>
                        <w:topLinePunct w:val="0"/>
                        <w:adjustRightInd w:val="0"/>
                        <w:snapToGrid w:val="0"/>
                        <w:spacing w:after="0" w:afterLines="0" w:line="240" w:lineRule="auto"/>
                        <w:ind w:firstLine="0" w:firstLineChars="0"/>
                        <w:jc w:val="center"/>
                        <w:rPr>
                          <w:rFonts w:ascii="宋体" w:hAnsi="宋体" w:eastAsia="宋体" w:cs="Times New Roman"/>
                          <w:b/>
                          <w:bCs/>
                          <w:kern w:val="0"/>
                          <w:sz w:val="32"/>
                          <w:szCs w:val="32"/>
                        </w:rPr>
                      </w:pPr>
                      <w:r>
                        <w:rPr>
                          <w:rFonts w:hint="eastAsia" w:ascii="宋体" w:hAnsi="宋体" w:eastAsia="宋体" w:cs="Times New Roman"/>
                          <w:b/>
                          <w:bCs/>
                          <w:kern w:val="0"/>
                          <w:sz w:val="32"/>
                          <w:szCs w:val="32"/>
                        </w:rPr>
                        <w:t>制定</w:t>
                      </w:r>
                    </w:p>
                  </w:txbxContent>
                </v:textbox>
              </v:shape>
            </w:pict>
          </mc:Fallback>
        </mc:AlternateContent>
      </w:r>
      <w:r>
        <w:rPr>
          <w:rFonts w:hint="eastAsia" w:ascii="宋体" w:hAnsi="宋体" w:eastAsia="宋体" w:cs="Times New Roman"/>
          <w:b/>
          <w:bCs/>
          <w:kern w:val="0"/>
          <w:sz w:val="32"/>
          <w:szCs w:val="32"/>
        </w:rPr>
        <w:t>中华人民共和国</w:t>
      </w:r>
      <w:r>
        <w:rPr>
          <w:rFonts w:ascii="宋体" w:hAnsi="宋体" w:eastAsia="宋体" w:cs="Times New Roman"/>
          <w:b/>
          <w:bCs/>
          <w:kern w:val="0"/>
          <w:sz w:val="32"/>
          <w:szCs w:val="32"/>
        </w:rPr>
        <w:t>住房</w:t>
      </w:r>
      <w:r>
        <w:rPr>
          <w:rFonts w:hint="eastAsia" w:ascii="宋体" w:hAnsi="宋体" w:eastAsia="宋体" w:cs="Times New Roman"/>
          <w:b/>
          <w:bCs/>
          <w:kern w:val="0"/>
          <w:sz w:val="32"/>
          <w:szCs w:val="32"/>
        </w:rPr>
        <w:t>和</w:t>
      </w:r>
      <w:r>
        <w:rPr>
          <w:rFonts w:ascii="宋体" w:hAnsi="宋体" w:eastAsia="宋体" w:cs="Times New Roman"/>
          <w:b/>
          <w:bCs/>
          <w:kern w:val="0"/>
          <w:sz w:val="32"/>
          <w:szCs w:val="32"/>
        </w:rPr>
        <w:t>城乡建设部</w:t>
      </w:r>
    </w:p>
    <w:p w14:paraId="005C18B8">
      <w:pPr>
        <w:wordWrap/>
        <w:topLinePunct w:val="0"/>
        <w:spacing w:line="240" w:lineRule="auto"/>
        <w:ind w:right="2182" w:rightChars="1039" w:firstLine="0" w:firstLineChars="0"/>
        <w:jc w:val="distribute"/>
        <w:rPr>
          <w:b/>
          <w:bCs/>
          <w:sz w:val="32"/>
          <w:szCs w:val="32"/>
        </w:rPr>
        <w:sectPr>
          <w:footerReference r:id="rId17" w:type="default"/>
          <w:footerReference r:id="rId18" w:type="even"/>
          <w:pgSz w:w="11906" w:h="16838"/>
          <w:pgMar w:top="1440" w:right="1800" w:bottom="1440" w:left="1800" w:header="720" w:footer="998" w:gutter="0"/>
          <w:pgNumType w:fmt="decimal"/>
          <w:cols w:space="720" w:num="1"/>
          <w:titlePg/>
          <w:docGrid w:linePitch="326" w:charSpace="0"/>
        </w:sectPr>
      </w:pPr>
      <w:r>
        <w:rPr>
          <w:rFonts w:hint="eastAsia" w:ascii="宋体" w:hAnsi="宋体" w:eastAsia="宋体" w:cs="Times New Roman"/>
          <w:b/>
          <w:kern w:val="0"/>
          <w:sz w:val="32"/>
          <w:szCs w:val="28"/>
        </w:rPr>
        <w:t xml:space="preserve">     国家</w:t>
      </w:r>
      <w:r>
        <w:rPr>
          <w:rFonts w:hint="eastAsia" w:ascii="宋体" w:hAnsi="宋体" w:eastAsia="宋体" w:cs="Times New Roman"/>
          <w:b/>
          <w:bCs/>
          <w:kern w:val="0"/>
          <w:sz w:val="32"/>
          <w:szCs w:val="32"/>
        </w:rPr>
        <w:t>市场监</w:t>
      </w:r>
      <w:r>
        <w:rPr>
          <w:rFonts w:hint="eastAsia" w:ascii="宋体" w:hAnsi="宋体" w:eastAsia="宋体" w:cs="Times New Roman"/>
          <w:b/>
          <w:kern w:val="0"/>
          <w:sz w:val="32"/>
          <w:szCs w:val="28"/>
        </w:rPr>
        <w:t>督</w:t>
      </w:r>
      <w:r>
        <w:rPr>
          <w:rFonts w:hint="eastAsia" w:ascii="宋体" w:hAnsi="宋体" w:eastAsia="宋体" w:cs="Times New Roman"/>
          <w:b/>
          <w:bCs/>
          <w:kern w:val="0"/>
          <w:sz w:val="32"/>
          <w:szCs w:val="32"/>
        </w:rPr>
        <w:t>管理</w:t>
      </w:r>
      <w:r>
        <w:rPr>
          <w:rFonts w:ascii="宋体" w:hAnsi="宋体" w:eastAsia="宋体" w:cs="Times New Roman"/>
          <w:b/>
          <w:bCs/>
          <w:kern w:val="0"/>
          <w:sz w:val="32"/>
          <w:szCs w:val="32"/>
        </w:rPr>
        <w:t>总局</w:t>
      </w:r>
    </w:p>
    <w:p w14:paraId="3327DC30">
      <w:pPr>
        <w:wordWrap/>
        <w:topLinePunct w:val="0"/>
        <w:spacing w:line="240" w:lineRule="auto"/>
        <w:ind w:firstLine="0" w:firstLineChars="0"/>
        <w:rPr>
          <w:rFonts w:ascii="仿宋_GB2312" w:eastAsia="仿宋_GB2312"/>
          <w:sz w:val="30"/>
          <w:szCs w:val="30"/>
        </w:rPr>
        <w:sectPr>
          <w:footerReference r:id="rId20" w:type="first"/>
          <w:footerReference r:id="rId19" w:type="default"/>
          <w:type w:val="continuous"/>
          <w:pgSz w:w="11906" w:h="16838"/>
          <w:pgMar w:top="1440" w:right="1800" w:bottom="1440" w:left="1800" w:header="720" w:footer="998" w:gutter="0"/>
          <w:pgNumType w:fmt="decimal"/>
          <w:cols w:space="720" w:num="1"/>
          <w:titlePg/>
          <w:docGrid w:linePitch="326" w:charSpace="0"/>
        </w:sectPr>
      </w:pPr>
    </w:p>
    <w:p w14:paraId="389FAB34">
      <w:pPr>
        <w:wordWrap/>
        <w:topLinePunct w:val="0"/>
        <w:spacing w:after="0" w:afterLines="0" w:line="240" w:lineRule="auto"/>
        <w:ind w:firstLine="560"/>
        <w:sectPr>
          <w:footerReference r:id="rId21" w:type="default"/>
          <w:pgSz w:w="11906" w:h="16838"/>
          <w:pgMar w:top="1440" w:right="1800" w:bottom="1440" w:left="1800" w:header="720" w:footer="998" w:gutter="0"/>
          <w:pgNumType w:fmt="decimal"/>
          <w:cols w:space="720" w:num="2"/>
        </w:sectPr>
      </w:pPr>
    </w:p>
    <w:p w14:paraId="2AD20298">
      <w:pPr>
        <w:pStyle w:val="255"/>
        <w:keepNext w:val="0"/>
        <w:keepLines w:val="0"/>
        <w:widowControl/>
        <w:autoSpaceDE/>
        <w:autoSpaceDN/>
        <w:adjustRightInd w:val="0"/>
        <w:snapToGrid w:val="0"/>
        <w:spacing w:before="0" w:after="50" w:line="240" w:lineRule="auto"/>
        <w:outlineLvl w:val="1"/>
        <w:rPr>
          <w:rFonts w:ascii="华文中宋" w:hAnsi="华文中宋" w:eastAsia="华文中宋"/>
        </w:rPr>
      </w:pPr>
      <w:bookmarkStart w:id="679" w:name="_Toc54862164"/>
      <w:r>
        <w:rPr>
          <w:rFonts w:hint="eastAsia" w:ascii="华文中宋" w:hAnsi="华文中宋" w:eastAsia="华文中宋"/>
        </w:rPr>
        <w:t>第一部分</w:t>
      </w:r>
      <w:r>
        <w:rPr>
          <w:rFonts w:ascii="华文中宋" w:hAnsi="华文中宋" w:eastAsia="华文中宋"/>
        </w:rPr>
        <w:t xml:space="preserve"> </w:t>
      </w:r>
      <w:r>
        <w:rPr>
          <w:rFonts w:hint="eastAsia" w:ascii="华文中宋" w:hAnsi="华文中宋" w:eastAsia="华文中宋"/>
        </w:rPr>
        <w:t>合同协议书</w:t>
      </w:r>
      <w:bookmarkEnd w:id="679"/>
    </w:p>
    <w:p w14:paraId="16AA933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rPr>
        <w:t>发包人（全称）：</w:t>
      </w:r>
      <w:r>
        <w:rPr>
          <w:rFonts w:hint="eastAsia" w:asciiTheme="minorEastAsia" w:hAnsiTheme="minorEastAsia" w:eastAsiaTheme="minorEastAsia" w:cstheme="minorEastAsia"/>
          <w:kern w:val="0"/>
          <w:sz w:val="24"/>
          <w:szCs w:val="24"/>
          <w:u w:val="single"/>
        </w:rPr>
        <w:t>北京市重点站区管理委员会</w:t>
      </w:r>
    </w:p>
    <w:p w14:paraId="358BA34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承包人（全称）：</w:t>
      </w:r>
      <w:r>
        <w:rPr>
          <w:rFonts w:hint="eastAsia" w:asciiTheme="minorEastAsia" w:hAnsiTheme="minorEastAsia" w:eastAsiaTheme="minorEastAsia" w:cstheme="minorEastAsia"/>
          <w:kern w:val="0"/>
          <w:sz w:val="24"/>
          <w:szCs w:val="24"/>
          <w:u w:val="single"/>
        </w:rPr>
        <w:t xml:space="preserve">                                    </w:t>
      </w:r>
    </w:p>
    <w:p w14:paraId="710B632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根据《中华人民共和国民法典》、《中华人民共和国建筑法》及有关法律规定，遵循平等、自愿、公平和诚实信用的原则，双方就</w:t>
      </w:r>
      <w:r>
        <w:rPr>
          <w:rFonts w:hint="eastAsia" w:asciiTheme="minorEastAsia" w:hAnsiTheme="minorEastAsia" w:eastAsiaTheme="minorEastAsia" w:cstheme="minorEastAsia"/>
          <w:kern w:val="0"/>
          <w:sz w:val="24"/>
          <w:szCs w:val="24"/>
          <w:u w:val="single"/>
        </w:rPr>
        <w:t xml:space="preserve"> 公交375场站优化提升改造项目——北京北站落客区建设 </w:t>
      </w:r>
      <w:r>
        <w:rPr>
          <w:rFonts w:hint="eastAsia" w:asciiTheme="minorEastAsia" w:hAnsiTheme="minorEastAsia" w:eastAsiaTheme="minorEastAsia" w:cstheme="minorEastAsia"/>
          <w:kern w:val="0"/>
          <w:sz w:val="24"/>
          <w:szCs w:val="24"/>
        </w:rPr>
        <w:t>项目的工程总承包及有关事项协商一致，共同达成如下协议：</w:t>
      </w:r>
    </w:p>
    <w:p w14:paraId="34F94E09">
      <w:pPr>
        <w:pStyle w:val="256"/>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Cs w:val="24"/>
        </w:rPr>
      </w:pPr>
      <w:bookmarkStart w:id="680" w:name="_Toc54862165"/>
      <w:r>
        <w:rPr>
          <w:rFonts w:hint="eastAsia" w:asciiTheme="minorEastAsia" w:hAnsiTheme="minorEastAsia" w:eastAsiaTheme="minorEastAsia" w:cstheme="minorEastAsia"/>
          <w:b w:val="0"/>
          <w:bCs/>
          <w:kern w:val="0"/>
          <w:szCs w:val="24"/>
        </w:rPr>
        <w:t>一、工程概况</w:t>
      </w:r>
      <w:bookmarkEnd w:id="680"/>
    </w:p>
    <w:p w14:paraId="7875E514">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工程名称：</w:t>
      </w:r>
      <w:r>
        <w:rPr>
          <w:rFonts w:hint="eastAsia" w:asciiTheme="minorEastAsia" w:hAnsiTheme="minorEastAsia" w:eastAsiaTheme="minorEastAsia" w:cstheme="minorEastAsia"/>
          <w:kern w:val="0"/>
          <w:sz w:val="24"/>
          <w:szCs w:val="24"/>
          <w:u w:val="single"/>
        </w:rPr>
        <w:t xml:space="preserve"> 公交375场站优化提升改造项目——北京北站落客区建设 </w:t>
      </w:r>
      <w:r>
        <w:rPr>
          <w:rFonts w:hint="eastAsia" w:asciiTheme="minorEastAsia" w:hAnsiTheme="minorEastAsia" w:eastAsiaTheme="minorEastAsia" w:cstheme="minorEastAsia"/>
          <w:kern w:val="0"/>
          <w:sz w:val="24"/>
          <w:szCs w:val="24"/>
        </w:rPr>
        <w:t>。</w:t>
      </w:r>
    </w:p>
    <w:p w14:paraId="1A72C2B0">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工程地点：</w:t>
      </w:r>
      <w:r>
        <w:rPr>
          <w:rFonts w:hint="eastAsia" w:asciiTheme="minorEastAsia" w:hAnsiTheme="minorEastAsia" w:eastAsiaTheme="minorEastAsia" w:cstheme="minorEastAsia"/>
          <w:kern w:val="0"/>
          <w:sz w:val="24"/>
          <w:szCs w:val="24"/>
          <w:u w:val="single"/>
        </w:rPr>
        <w:t xml:space="preserve"> 北京北站地区 </w:t>
      </w:r>
      <w:r>
        <w:rPr>
          <w:rFonts w:hint="eastAsia" w:asciiTheme="minorEastAsia" w:hAnsiTheme="minorEastAsia" w:eastAsiaTheme="minorEastAsia" w:cstheme="minorEastAsia"/>
          <w:kern w:val="0"/>
          <w:sz w:val="24"/>
          <w:szCs w:val="24"/>
        </w:rPr>
        <w:t>。</w:t>
      </w:r>
    </w:p>
    <w:p w14:paraId="664BA622">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工程审批、核准或备案文号：</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EA4E3B6">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资金来源：</w:t>
      </w:r>
      <w:r>
        <w:rPr>
          <w:rFonts w:hint="eastAsia" w:asciiTheme="minorEastAsia" w:hAnsiTheme="minorEastAsia" w:eastAsiaTheme="minorEastAsia" w:cstheme="minorEastAsia"/>
          <w:kern w:val="0"/>
          <w:sz w:val="24"/>
          <w:szCs w:val="24"/>
          <w:u w:val="single"/>
        </w:rPr>
        <w:t xml:space="preserve"> 政府专项资金 </w:t>
      </w:r>
      <w:r>
        <w:rPr>
          <w:rFonts w:hint="eastAsia" w:asciiTheme="minorEastAsia" w:hAnsiTheme="minorEastAsia" w:eastAsiaTheme="minorEastAsia" w:cstheme="minorEastAsia"/>
          <w:kern w:val="0"/>
          <w:sz w:val="24"/>
          <w:szCs w:val="24"/>
        </w:rPr>
        <w:t>。</w:t>
      </w:r>
    </w:p>
    <w:p w14:paraId="5A3CE4D9">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工程内容及规模：</w:t>
      </w:r>
      <w:r>
        <w:rPr>
          <w:rFonts w:hint="eastAsia" w:asciiTheme="minorEastAsia" w:hAnsiTheme="minorEastAsia" w:eastAsiaTheme="minorEastAsia" w:cstheme="minorEastAsia"/>
          <w:kern w:val="0"/>
          <w:sz w:val="24"/>
          <w:szCs w:val="24"/>
          <w:u w:val="single"/>
        </w:rPr>
        <w:t xml:space="preserve"> 本项目为北京北站地区公交375场站改建即停即走落客区项目，占地面积4962.7平方米，场站改造落客区涉及道路长度约200米。勘察、设计与建设即停即走落客区，重新规划落客区及出入口周边的场地，对场地内区域进行合理利用，配建道路、照明工程、给排水、设施等</w:t>
      </w:r>
      <w:r>
        <w:rPr>
          <w:rFonts w:hint="eastAsia" w:asciiTheme="minorEastAsia" w:hAnsiTheme="minorEastAsia" w:eastAsiaTheme="minorEastAsia" w:cstheme="minorEastAsia"/>
          <w:kern w:val="0"/>
          <w:sz w:val="24"/>
          <w:szCs w:val="24"/>
        </w:rPr>
        <w:t>。</w:t>
      </w:r>
    </w:p>
    <w:p w14:paraId="33D0160F">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工程承包范围：</w:t>
      </w:r>
      <w:r>
        <w:rPr>
          <w:rFonts w:hint="eastAsia" w:asciiTheme="minorEastAsia" w:hAnsiTheme="minorEastAsia" w:eastAsiaTheme="minorEastAsia" w:cstheme="minorEastAsia"/>
          <w:kern w:val="0"/>
          <w:sz w:val="24"/>
          <w:szCs w:val="24"/>
          <w:u w:val="single"/>
        </w:rPr>
        <w:t xml:space="preserve"> 本项目勘察、设计及拆除工程、道路工程、建筑工程、交通工程、绿化工程、给排水工程、弱电工程、强电工程等内容施工，具体详见附件1发包人要求</w:t>
      </w:r>
      <w:r>
        <w:rPr>
          <w:rFonts w:hint="eastAsia" w:asciiTheme="minorEastAsia" w:hAnsiTheme="minorEastAsia" w:eastAsiaTheme="minorEastAsia" w:cstheme="minorEastAsia"/>
          <w:kern w:val="0"/>
          <w:sz w:val="24"/>
          <w:szCs w:val="24"/>
        </w:rPr>
        <w:t>。</w:t>
      </w:r>
    </w:p>
    <w:p w14:paraId="40A34C00">
      <w:pPr>
        <w:pStyle w:val="256"/>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Cs w:val="24"/>
        </w:rPr>
      </w:pPr>
      <w:bookmarkStart w:id="681" w:name="_Toc54862166"/>
      <w:r>
        <w:rPr>
          <w:rFonts w:hint="eastAsia" w:asciiTheme="minorEastAsia" w:hAnsiTheme="minorEastAsia" w:eastAsiaTheme="minorEastAsia" w:cstheme="minorEastAsia"/>
          <w:b w:val="0"/>
          <w:bCs/>
          <w:kern w:val="0"/>
          <w:szCs w:val="24"/>
        </w:rPr>
        <w:t>二、合同工期</w:t>
      </w:r>
      <w:bookmarkEnd w:id="681"/>
    </w:p>
    <w:p w14:paraId="712D768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计划开始工作日期：</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年</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月</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日。</w:t>
      </w:r>
    </w:p>
    <w:p w14:paraId="0D61F3E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计划开始现场施工日期：</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年</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月</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日。</w:t>
      </w:r>
    </w:p>
    <w:p w14:paraId="66D6A5C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计划竣工日期：</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年</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月</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日。</w:t>
      </w:r>
    </w:p>
    <w:p w14:paraId="2E729E2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工期总日历天数：</w:t>
      </w:r>
      <w:r>
        <w:rPr>
          <w:rFonts w:hint="eastAsia" w:asciiTheme="minorEastAsia" w:hAnsiTheme="minorEastAsia" w:eastAsiaTheme="minorEastAsia" w:cstheme="minorEastAsia"/>
          <w:kern w:val="0"/>
          <w:sz w:val="24"/>
          <w:szCs w:val="24"/>
          <w:u w:val="single"/>
        </w:rPr>
        <w:t xml:space="preserve"> 60 </w:t>
      </w:r>
      <w:r>
        <w:rPr>
          <w:rFonts w:hint="eastAsia" w:asciiTheme="minorEastAsia" w:hAnsiTheme="minorEastAsia" w:eastAsiaTheme="minorEastAsia" w:cstheme="minorEastAsia"/>
          <w:kern w:val="0"/>
          <w:sz w:val="24"/>
          <w:szCs w:val="24"/>
        </w:rPr>
        <w:t>天，工期总日历天数与根据前述计划日期计算的工期天数不一致的，以工期总日历天数为准。</w:t>
      </w:r>
    </w:p>
    <w:p w14:paraId="2B0B622A">
      <w:pPr>
        <w:pStyle w:val="256"/>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Cs w:val="24"/>
        </w:rPr>
      </w:pPr>
      <w:bookmarkStart w:id="682" w:name="_Toc54862167"/>
      <w:r>
        <w:rPr>
          <w:rFonts w:hint="eastAsia" w:asciiTheme="minorEastAsia" w:hAnsiTheme="minorEastAsia" w:eastAsiaTheme="minorEastAsia" w:cstheme="minorEastAsia"/>
          <w:b w:val="0"/>
          <w:bCs/>
          <w:kern w:val="0"/>
          <w:szCs w:val="24"/>
        </w:rPr>
        <w:t>三、质量标准</w:t>
      </w:r>
      <w:bookmarkEnd w:id="682"/>
    </w:p>
    <w:p w14:paraId="340C5FF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工程质量标准：</w:t>
      </w:r>
      <w:r>
        <w:rPr>
          <w:rFonts w:hint="eastAsia" w:asciiTheme="minorEastAsia" w:hAnsiTheme="minorEastAsia" w:eastAsiaTheme="minorEastAsia" w:cstheme="minorEastAsia"/>
          <w:kern w:val="0"/>
          <w:sz w:val="24"/>
          <w:szCs w:val="24"/>
          <w:u w:val="single"/>
        </w:rPr>
        <w:t xml:space="preserve">  合格  </w:t>
      </w:r>
      <w:r>
        <w:rPr>
          <w:rFonts w:hint="eastAsia" w:asciiTheme="minorEastAsia" w:hAnsiTheme="minorEastAsia" w:eastAsiaTheme="minorEastAsia" w:cstheme="minorEastAsia"/>
          <w:kern w:val="0"/>
          <w:sz w:val="24"/>
          <w:szCs w:val="24"/>
        </w:rPr>
        <w:t>。</w:t>
      </w:r>
    </w:p>
    <w:p w14:paraId="4638603E">
      <w:pPr>
        <w:pStyle w:val="256"/>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Cs w:val="24"/>
        </w:rPr>
      </w:pPr>
      <w:bookmarkStart w:id="683" w:name="_Toc54862168"/>
      <w:r>
        <w:rPr>
          <w:rFonts w:hint="eastAsia" w:asciiTheme="minorEastAsia" w:hAnsiTheme="minorEastAsia" w:eastAsiaTheme="minorEastAsia" w:cstheme="minorEastAsia"/>
          <w:b w:val="0"/>
          <w:bCs/>
          <w:kern w:val="0"/>
          <w:szCs w:val="24"/>
        </w:rPr>
        <w:t>四、签约合同价与合同价格形式</w:t>
      </w:r>
      <w:bookmarkEnd w:id="683"/>
    </w:p>
    <w:p w14:paraId="27A3889C">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签约合同价（含税）为：</w:t>
      </w:r>
    </w:p>
    <w:p w14:paraId="0F4F1ED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人民币（大写) </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元）。</w:t>
      </w:r>
    </w:p>
    <w:p w14:paraId="3F70FC9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具体构成详见价格清单。其中：</w:t>
      </w:r>
    </w:p>
    <w:p w14:paraId="42F576FD">
      <w:pPr>
        <w:widowControl/>
        <w:numPr>
          <w:ilvl w:val="0"/>
          <w:numId w:val="20"/>
        </w:numPr>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勘察费（含税）： </w:t>
      </w:r>
    </w:p>
    <w:p w14:paraId="56B6EF6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人民币（大写) </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元）；适用税率：</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%，税金为人民币（大写)</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 xml:space="preserve">元）； </w:t>
      </w:r>
    </w:p>
    <w:p w14:paraId="2838CFA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设计费（含税）：</w:t>
      </w:r>
    </w:p>
    <w:p w14:paraId="3A24796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人民币（大写) </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元）；适用税率：</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%，税金为人民币（大写)</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 xml:space="preserve">元）； </w:t>
      </w:r>
    </w:p>
    <w:p w14:paraId="3361AB7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设备购置费（含税）：</w:t>
      </w:r>
    </w:p>
    <w:p w14:paraId="7136898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人民币（大写) </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元）；适用税率：</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%，税金为人民币（大写)</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 xml:space="preserve">元）； </w:t>
      </w:r>
    </w:p>
    <w:p w14:paraId="73C4056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建筑安装工程费（含税）：</w:t>
      </w:r>
    </w:p>
    <w:p w14:paraId="1CF3090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人民币（大写)</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元）；适用税率：</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%，税金为人民币（大写)</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 xml:space="preserve">元）； </w:t>
      </w:r>
    </w:p>
    <w:p w14:paraId="3EAE1D6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暂估价（含税）：</w:t>
      </w:r>
    </w:p>
    <w:p w14:paraId="451E651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人民币（大写)</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元）。</w:t>
      </w:r>
    </w:p>
    <w:p w14:paraId="7DDB30E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暂列金额（含税）：</w:t>
      </w:r>
    </w:p>
    <w:p w14:paraId="526FA30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人民币（大写)</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元）。</w:t>
      </w:r>
    </w:p>
    <w:p w14:paraId="68E7CD5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双方约定的其他费用（含税）：</w:t>
      </w:r>
    </w:p>
    <w:p w14:paraId="2E9F8A33">
      <w:pPr>
        <w:widowControl/>
        <w:wordWrap/>
        <w:topLinePunct w:val="0"/>
        <w:adjustRightInd w:val="0"/>
        <w:snapToGrid w:val="0"/>
        <w:spacing w:after="120" w:afterLines="50" w:line="24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人民币（大写)</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元）；适用税率：</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%，税金为人民币（大写)</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元）。</w:t>
      </w:r>
    </w:p>
    <w:p w14:paraId="33718167">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合同价格形式：</w:t>
      </w:r>
    </w:p>
    <w:p w14:paraId="581EB5C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合同价格形式为</w:t>
      </w:r>
      <w:r>
        <w:rPr>
          <w:rFonts w:hint="eastAsia" w:asciiTheme="minorEastAsia" w:hAnsiTheme="minorEastAsia" w:eastAsiaTheme="minorEastAsia" w:cstheme="minorEastAsia"/>
          <w:kern w:val="0"/>
          <w:sz w:val="24"/>
          <w:szCs w:val="24"/>
          <w:u w:val="single"/>
        </w:rPr>
        <w:t xml:space="preserve">  总价  </w:t>
      </w:r>
      <w:r>
        <w:rPr>
          <w:rFonts w:hint="eastAsia" w:asciiTheme="minorEastAsia" w:hAnsiTheme="minorEastAsia" w:eastAsiaTheme="minorEastAsia" w:cstheme="minorEastAsia"/>
          <w:kern w:val="0"/>
          <w:sz w:val="24"/>
          <w:szCs w:val="24"/>
        </w:rPr>
        <w:t>合同，除根据合同约定的在工程实施过程中需进行增减的款项外，合同价格不予调整，但合同当事人另有约定的除外。</w:t>
      </w:r>
    </w:p>
    <w:p w14:paraId="780FABB4">
      <w:pPr>
        <w:widowControl/>
        <w:kinsoku w:val="0"/>
        <w:wordWrap/>
        <w:topLinePunct w:val="0"/>
        <w:adjustRightInd w:val="0"/>
        <w:snapToGrid w:val="0"/>
        <w:spacing w:after="120" w:afterLines="50" w:line="240" w:lineRule="auto"/>
        <w:ind w:left="263" w:leftChars="125" w:firstLine="240" w:firstLineChars="1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合同当事人对合同价格形式的其他约定：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512F876C">
      <w:pPr>
        <w:pStyle w:val="256"/>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Cs w:val="24"/>
        </w:rPr>
      </w:pPr>
      <w:bookmarkStart w:id="684" w:name="_Toc54862169"/>
      <w:r>
        <w:rPr>
          <w:rFonts w:hint="eastAsia" w:asciiTheme="minorEastAsia" w:hAnsiTheme="minorEastAsia" w:eastAsiaTheme="minorEastAsia" w:cstheme="minorEastAsia"/>
          <w:b w:val="0"/>
          <w:bCs/>
          <w:kern w:val="0"/>
          <w:szCs w:val="24"/>
        </w:rPr>
        <w:t>五、工程总承包项目经理</w:t>
      </w:r>
      <w:bookmarkEnd w:id="684"/>
    </w:p>
    <w:p w14:paraId="35FFF7D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工程总承包项目经理：</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0F4F5DC0">
      <w:pPr>
        <w:pStyle w:val="256"/>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Cs w:val="24"/>
        </w:rPr>
      </w:pPr>
      <w:bookmarkStart w:id="685" w:name="_Toc54862170"/>
      <w:r>
        <w:rPr>
          <w:rFonts w:hint="eastAsia" w:asciiTheme="minorEastAsia" w:hAnsiTheme="minorEastAsia" w:eastAsiaTheme="minorEastAsia" w:cstheme="minorEastAsia"/>
          <w:b w:val="0"/>
          <w:bCs/>
          <w:kern w:val="0"/>
          <w:szCs w:val="24"/>
        </w:rPr>
        <w:t>六、合同文件构成</w:t>
      </w:r>
      <w:bookmarkEnd w:id="685"/>
    </w:p>
    <w:p w14:paraId="4349ED6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本协议书与下列文件一起构成合同文件： </w:t>
      </w:r>
    </w:p>
    <w:p w14:paraId="0305FB1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中标通知书（如果有）；</w:t>
      </w:r>
    </w:p>
    <w:p w14:paraId="1136F7C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投标函及投标函附录（如果有）；</w:t>
      </w:r>
    </w:p>
    <w:p w14:paraId="68F06D5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专用合同条件及《发包人要求》等附件；</w:t>
      </w:r>
    </w:p>
    <w:p w14:paraId="1F49DF8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通用合同条件；</w:t>
      </w:r>
    </w:p>
    <w:p w14:paraId="16EFF5E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（5） 承包人建议书； </w:t>
      </w:r>
    </w:p>
    <w:p w14:paraId="1E0CECF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价格清单；</w:t>
      </w:r>
    </w:p>
    <w:p w14:paraId="4A8538C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双方约定的其他合同文件。</w:t>
      </w:r>
    </w:p>
    <w:p w14:paraId="0039510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上述各项合同文件包括双方就该项合同文件所作出的补充和修改，属于同一类内容的合同文件应以最新签署的为准。专用合同条件及其附件须经合同当事人签字或盖章。</w:t>
      </w:r>
    </w:p>
    <w:p w14:paraId="50D48360">
      <w:pPr>
        <w:pStyle w:val="256"/>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Cs w:val="24"/>
        </w:rPr>
      </w:pPr>
      <w:bookmarkStart w:id="686" w:name="_Toc54862171"/>
      <w:r>
        <w:rPr>
          <w:rFonts w:hint="eastAsia" w:asciiTheme="minorEastAsia" w:hAnsiTheme="minorEastAsia" w:eastAsiaTheme="minorEastAsia" w:cstheme="minorEastAsia"/>
          <w:b w:val="0"/>
          <w:bCs/>
          <w:kern w:val="0"/>
          <w:szCs w:val="24"/>
        </w:rPr>
        <w:t>七、承诺</w:t>
      </w:r>
      <w:bookmarkEnd w:id="686"/>
    </w:p>
    <w:p w14:paraId="491E7F6B">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发包人承诺按照法律规定履行项目审批手续、筹集工程建设资金并按照合同约定的期限和方式支付合同价款。</w:t>
      </w:r>
    </w:p>
    <w:p w14:paraId="5DA2EB33">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承包人承诺按照法律规定及合同约定组织完成工程的设计、采购和施工等工作，确保工程质量和安全，不进行转包及违法分包，并在缺陷责任期及保修期内承担相应的工程维修责任。</w:t>
      </w:r>
    </w:p>
    <w:p w14:paraId="34751CE6">
      <w:pPr>
        <w:pStyle w:val="256"/>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Cs w:val="24"/>
        </w:rPr>
      </w:pPr>
      <w:bookmarkStart w:id="687" w:name="_Toc54862172"/>
      <w:r>
        <w:rPr>
          <w:rFonts w:hint="eastAsia" w:asciiTheme="minorEastAsia" w:hAnsiTheme="minorEastAsia" w:eastAsiaTheme="minorEastAsia" w:cstheme="minorEastAsia"/>
          <w:b w:val="0"/>
          <w:bCs/>
          <w:kern w:val="0"/>
          <w:szCs w:val="24"/>
        </w:rPr>
        <w:t>八、订立时间</w:t>
      </w:r>
      <w:bookmarkEnd w:id="687"/>
    </w:p>
    <w:p w14:paraId="5B4CEBE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本合同于</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年</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月</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日订立。</w:t>
      </w:r>
    </w:p>
    <w:p w14:paraId="0A649338">
      <w:pPr>
        <w:pStyle w:val="256"/>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Cs w:val="24"/>
        </w:rPr>
      </w:pPr>
      <w:bookmarkStart w:id="688" w:name="_Toc54862173"/>
      <w:r>
        <w:rPr>
          <w:rFonts w:hint="eastAsia" w:asciiTheme="minorEastAsia" w:hAnsiTheme="minorEastAsia" w:eastAsiaTheme="minorEastAsia" w:cstheme="minorEastAsia"/>
          <w:b w:val="0"/>
          <w:bCs/>
          <w:kern w:val="0"/>
          <w:szCs w:val="24"/>
        </w:rPr>
        <w:t>九、订立地点</w:t>
      </w:r>
      <w:bookmarkEnd w:id="688"/>
    </w:p>
    <w:p w14:paraId="500FB2E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本合同在</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订立。</w:t>
      </w:r>
    </w:p>
    <w:p w14:paraId="4A97CCC6">
      <w:pPr>
        <w:pStyle w:val="256"/>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Cs w:val="24"/>
        </w:rPr>
      </w:pPr>
      <w:bookmarkStart w:id="689" w:name="_Toc54862174"/>
      <w:r>
        <w:rPr>
          <w:rFonts w:hint="eastAsia" w:asciiTheme="minorEastAsia" w:hAnsiTheme="minorEastAsia" w:eastAsiaTheme="minorEastAsia" w:cstheme="minorEastAsia"/>
          <w:b w:val="0"/>
          <w:bCs/>
          <w:kern w:val="0"/>
          <w:szCs w:val="24"/>
        </w:rPr>
        <w:t>十、合同生效</w:t>
      </w:r>
      <w:bookmarkEnd w:id="689"/>
    </w:p>
    <w:p w14:paraId="61112B8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本合同经双方签字或盖章后成立，并自</w:t>
      </w:r>
      <w:r>
        <w:rPr>
          <w:rFonts w:hint="eastAsia" w:asciiTheme="minorEastAsia" w:hAnsiTheme="minorEastAsia" w:eastAsiaTheme="minorEastAsia" w:cstheme="minorEastAsia"/>
          <w:kern w:val="0"/>
          <w:sz w:val="24"/>
          <w:szCs w:val="24"/>
          <w:u w:val="single"/>
        </w:rPr>
        <w:t xml:space="preserve">  签订之日 </w:t>
      </w:r>
      <w:r>
        <w:rPr>
          <w:rFonts w:hint="eastAsia" w:asciiTheme="minorEastAsia" w:hAnsiTheme="minorEastAsia" w:eastAsiaTheme="minorEastAsia" w:cstheme="minorEastAsia"/>
          <w:kern w:val="0"/>
          <w:sz w:val="24"/>
          <w:szCs w:val="24"/>
        </w:rPr>
        <w:t>生效。</w:t>
      </w:r>
    </w:p>
    <w:p w14:paraId="27E59CD7">
      <w:pPr>
        <w:pStyle w:val="256"/>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Cs w:val="24"/>
        </w:rPr>
      </w:pPr>
      <w:bookmarkStart w:id="690" w:name="_Toc54862175"/>
      <w:r>
        <w:rPr>
          <w:rFonts w:hint="eastAsia" w:asciiTheme="minorEastAsia" w:hAnsiTheme="minorEastAsia" w:eastAsiaTheme="minorEastAsia" w:cstheme="minorEastAsia"/>
          <w:b w:val="0"/>
          <w:bCs/>
          <w:kern w:val="0"/>
          <w:szCs w:val="24"/>
        </w:rPr>
        <w:t>十一、合同份数</w:t>
      </w:r>
      <w:bookmarkEnd w:id="690"/>
    </w:p>
    <w:p w14:paraId="79C1DF3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本合同一式</w:t>
      </w:r>
      <w:r>
        <w:rPr>
          <w:rFonts w:hint="eastAsia" w:asciiTheme="minorEastAsia" w:hAnsiTheme="minorEastAsia" w:eastAsiaTheme="minorEastAsia" w:cstheme="minorEastAsia"/>
          <w:kern w:val="0"/>
          <w:sz w:val="24"/>
          <w:szCs w:val="24"/>
          <w:u w:val="single"/>
        </w:rPr>
        <w:t xml:space="preserve"> 陆 </w:t>
      </w:r>
      <w:r>
        <w:rPr>
          <w:rFonts w:hint="eastAsia" w:asciiTheme="minorEastAsia" w:hAnsiTheme="minorEastAsia" w:eastAsiaTheme="minorEastAsia" w:cstheme="minorEastAsia"/>
          <w:kern w:val="0"/>
          <w:sz w:val="24"/>
          <w:szCs w:val="24"/>
        </w:rPr>
        <w:t>份，均具有同等法律效力，发包人执</w:t>
      </w:r>
      <w:r>
        <w:rPr>
          <w:rFonts w:hint="eastAsia" w:asciiTheme="minorEastAsia" w:hAnsiTheme="minorEastAsia" w:eastAsiaTheme="minorEastAsia" w:cstheme="minorEastAsia"/>
          <w:kern w:val="0"/>
          <w:sz w:val="24"/>
          <w:szCs w:val="24"/>
          <w:u w:val="single"/>
        </w:rPr>
        <w:t xml:space="preserve"> 叁 </w:t>
      </w:r>
      <w:r>
        <w:rPr>
          <w:rFonts w:hint="eastAsia" w:asciiTheme="minorEastAsia" w:hAnsiTheme="minorEastAsia" w:eastAsiaTheme="minorEastAsia" w:cstheme="minorEastAsia"/>
          <w:kern w:val="0"/>
          <w:sz w:val="24"/>
          <w:szCs w:val="24"/>
        </w:rPr>
        <w:t>份，承包人执</w:t>
      </w:r>
      <w:r>
        <w:rPr>
          <w:rFonts w:hint="eastAsia" w:asciiTheme="minorEastAsia" w:hAnsiTheme="minorEastAsia" w:eastAsiaTheme="minorEastAsia" w:cstheme="minorEastAsia"/>
          <w:kern w:val="0"/>
          <w:sz w:val="24"/>
          <w:szCs w:val="24"/>
          <w:u w:val="single"/>
        </w:rPr>
        <w:t xml:space="preserve"> 叁 </w:t>
      </w:r>
      <w:r>
        <w:rPr>
          <w:rFonts w:hint="eastAsia" w:asciiTheme="minorEastAsia" w:hAnsiTheme="minorEastAsia" w:eastAsiaTheme="minorEastAsia" w:cstheme="minorEastAsia"/>
          <w:kern w:val="0"/>
          <w:sz w:val="24"/>
          <w:szCs w:val="24"/>
        </w:rPr>
        <w:t>份。</w:t>
      </w:r>
    </w:p>
    <w:tbl>
      <w:tblPr>
        <w:tblStyle w:val="44"/>
        <w:tblpPr w:leftFromText="180" w:rightFromText="180" w:vertAnchor="text" w:horzAnchor="page" w:tblpX="1702" w:tblpY="119"/>
        <w:tblW w:w="0" w:type="auto"/>
        <w:tblInd w:w="0" w:type="dxa"/>
        <w:tblLayout w:type="fixed"/>
        <w:tblCellMar>
          <w:top w:w="0" w:type="dxa"/>
          <w:left w:w="108" w:type="dxa"/>
          <w:bottom w:w="0" w:type="dxa"/>
          <w:right w:w="108" w:type="dxa"/>
        </w:tblCellMar>
      </w:tblPr>
      <w:tblGrid>
        <w:gridCol w:w="4507"/>
        <w:gridCol w:w="4565"/>
      </w:tblGrid>
      <w:tr w14:paraId="46E8732C">
        <w:tblPrEx>
          <w:tblCellMar>
            <w:top w:w="0" w:type="dxa"/>
            <w:left w:w="108" w:type="dxa"/>
            <w:bottom w:w="0" w:type="dxa"/>
            <w:right w:w="108" w:type="dxa"/>
          </w:tblCellMar>
        </w:tblPrEx>
        <w:tc>
          <w:tcPr>
            <w:tcW w:w="4507" w:type="dxa"/>
            <w:noWrap w:val="0"/>
            <w:vAlign w:val="top"/>
          </w:tcPr>
          <w:p w14:paraId="5D91ADD7">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发包人：（公章）</w:t>
            </w:r>
          </w:p>
          <w:p w14:paraId="702DFFB9">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p>
          <w:p w14:paraId="18748842">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p>
          <w:p w14:paraId="3199F21C">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p>
        </w:tc>
        <w:tc>
          <w:tcPr>
            <w:tcW w:w="4565" w:type="dxa"/>
            <w:noWrap w:val="0"/>
            <w:vAlign w:val="top"/>
          </w:tcPr>
          <w:p w14:paraId="0EC11570">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承包人：（公章）</w:t>
            </w:r>
          </w:p>
          <w:p w14:paraId="44A443C8">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p>
        </w:tc>
      </w:tr>
      <w:tr w14:paraId="2D82BCFA">
        <w:tblPrEx>
          <w:tblCellMar>
            <w:top w:w="0" w:type="dxa"/>
            <w:left w:w="108" w:type="dxa"/>
            <w:bottom w:w="0" w:type="dxa"/>
            <w:right w:w="108" w:type="dxa"/>
          </w:tblCellMar>
        </w:tblPrEx>
        <w:tc>
          <w:tcPr>
            <w:tcW w:w="4507" w:type="dxa"/>
            <w:noWrap w:val="0"/>
            <w:vAlign w:val="top"/>
          </w:tcPr>
          <w:p w14:paraId="3F279995">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法定代表人或其委托代理人：</w:t>
            </w:r>
          </w:p>
          <w:p w14:paraId="1981286E">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（签字）</w:t>
            </w:r>
          </w:p>
          <w:p w14:paraId="6957FBD0">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p>
          <w:p w14:paraId="13364BB7">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p>
        </w:tc>
        <w:tc>
          <w:tcPr>
            <w:tcW w:w="4565" w:type="dxa"/>
            <w:noWrap w:val="0"/>
            <w:vAlign w:val="top"/>
          </w:tcPr>
          <w:p w14:paraId="629F832F">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法定代表人或其委托代理人：</w:t>
            </w:r>
          </w:p>
          <w:p w14:paraId="36E6BA07">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（签字）</w:t>
            </w:r>
          </w:p>
          <w:p w14:paraId="3E25BFA8">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p>
        </w:tc>
      </w:tr>
      <w:tr w14:paraId="0DEBD933">
        <w:tblPrEx>
          <w:tblCellMar>
            <w:top w:w="0" w:type="dxa"/>
            <w:left w:w="108" w:type="dxa"/>
            <w:bottom w:w="0" w:type="dxa"/>
            <w:right w:w="108" w:type="dxa"/>
          </w:tblCellMar>
        </w:tblPrEx>
        <w:tc>
          <w:tcPr>
            <w:tcW w:w="4507" w:type="dxa"/>
            <w:noWrap w:val="0"/>
            <w:vAlign w:val="top"/>
          </w:tcPr>
          <w:p w14:paraId="319F4851">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统一社会信用代码：</w:t>
            </w:r>
            <w:r>
              <w:rPr>
                <w:rFonts w:hint="eastAsia" w:asciiTheme="minorEastAsia" w:hAnsiTheme="minorEastAsia" w:eastAsiaTheme="minorEastAsia" w:cstheme="minorEastAsia"/>
                <w:kern w:val="0"/>
                <w:szCs w:val="24"/>
                <w:u w:val="single"/>
              </w:rPr>
              <w:t xml:space="preserve">            </w:t>
            </w:r>
          </w:p>
          <w:p w14:paraId="0E2D177C">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地址：</w:t>
            </w:r>
            <w:r>
              <w:rPr>
                <w:rFonts w:hint="eastAsia" w:asciiTheme="minorEastAsia" w:hAnsiTheme="minorEastAsia" w:eastAsiaTheme="minorEastAsia" w:cstheme="minorEastAsia"/>
                <w:kern w:val="0"/>
                <w:szCs w:val="24"/>
                <w:u w:val="single"/>
              </w:rPr>
              <w:t xml:space="preserve">                       </w:t>
            </w:r>
          </w:p>
          <w:p w14:paraId="14F318C3">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邮政编码：</w:t>
            </w:r>
            <w:r>
              <w:rPr>
                <w:rFonts w:hint="eastAsia" w:asciiTheme="minorEastAsia" w:hAnsiTheme="minorEastAsia" w:eastAsiaTheme="minorEastAsia" w:cstheme="minorEastAsia"/>
                <w:kern w:val="0"/>
                <w:szCs w:val="24"/>
                <w:u w:val="single"/>
              </w:rPr>
              <w:t xml:space="preserve">                      </w:t>
            </w:r>
          </w:p>
          <w:p w14:paraId="28A77C16">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法定代表人：</w:t>
            </w:r>
            <w:r>
              <w:rPr>
                <w:rFonts w:hint="eastAsia" w:asciiTheme="minorEastAsia" w:hAnsiTheme="minorEastAsia" w:eastAsiaTheme="minorEastAsia" w:cstheme="minorEastAsia"/>
                <w:kern w:val="0"/>
                <w:szCs w:val="24"/>
                <w:u w:val="single"/>
              </w:rPr>
              <w:t xml:space="preserve">                 </w:t>
            </w:r>
          </w:p>
          <w:p w14:paraId="20811773">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委托代理人：</w:t>
            </w:r>
            <w:r>
              <w:rPr>
                <w:rFonts w:hint="eastAsia" w:asciiTheme="minorEastAsia" w:hAnsiTheme="minorEastAsia" w:eastAsiaTheme="minorEastAsia" w:cstheme="minorEastAsia"/>
                <w:kern w:val="0"/>
                <w:szCs w:val="24"/>
                <w:u w:val="single"/>
              </w:rPr>
              <w:t xml:space="preserve">                 </w:t>
            </w:r>
          </w:p>
          <w:p w14:paraId="089EEE55">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电话：</w:t>
            </w:r>
            <w:r>
              <w:rPr>
                <w:rFonts w:hint="eastAsia" w:asciiTheme="minorEastAsia" w:hAnsiTheme="minorEastAsia" w:eastAsiaTheme="minorEastAsia" w:cstheme="minorEastAsia"/>
                <w:kern w:val="0"/>
                <w:szCs w:val="24"/>
                <w:u w:val="single"/>
              </w:rPr>
              <w:t xml:space="preserve">                       </w:t>
            </w:r>
          </w:p>
          <w:p w14:paraId="25E1EC25">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 xml:space="preserve">传真： </w:t>
            </w:r>
            <w:r>
              <w:rPr>
                <w:rFonts w:hint="eastAsia" w:asciiTheme="minorEastAsia" w:hAnsiTheme="minorEastAsia" w:eastAsiaTheme="minorEastAsia" w:cstheme="minorEastAsia"/>
                <w:kern w:val="0"/>
                <w:szCs w:val="24"/>
                <w:u w:val="single"/>
              </w:rPr>
              <w:t xml:space="preserve">                      </w:t>
            </w:r>
          </w:p>
          <w:p w14:paraId="2F374F9F">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电子信箱：</w:t>
            </w:r>
            <w:r>
              <w:rPr>
                <w:rFonts w:hint="eastAsia" w:asciiTheme="minorEastAsia" w:hAnsiTheme="minorEastAsia" w:eastAsiaTheme="minorEastAsia" w:cstheme="minorEastAsia"/>
                <w:kern w:val="0"/>
                <w:szCs w:val="24"/>
                <w:u w:val="single"/>
              </w:rPr>
              <w:t xml:space="preserve">                    </w:t>
            </w:r>
          </w:p>
          <w:p w14:paraId="5D15A945">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开户银行：</w:t>
            </w:r>
            <w:r>
              <w:rPr>
                <w:rFonts w:hint="eastAsia" w:asciiTheme="minorEastAsia" w:hAnsiTheme="minorEastAsia" w:eastAsiaTheme="minorEastAsia" w:cstheme="minorEastAsia"/>
                <w:kern w:val="0"/>
                <w:szCs w:val="24"/>
                <w:u w:val="single"/>
              </w:rPr>
              <w:t xml:space="preserve">                   </w:t>
            </w:r>
          </w:p>
          <w:p w14:paraId="0F594AFE">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账号：</w:t>
            </w:r>
            <w:r>
              <w:rPr>
                <w:rFonts w:hint="eastAsia" w:asciiTheme="minorEastAsia" w:hAnsiTheme="minorEastAsia" w:eastAsiaTheme="minorEastAsia" w:cstheme="minorEastAsia"/>
                <w:kern w:val="0"/>
                <w:szCs w:val="24"/>
                <w:u w:val="single"/>
              </w:rPr>
              <w:t xml:space="preserve">                       </w:t>
            </w:r>
          </w:p>
        </w:tc>
        <w:tc>
          <w:tcPr>
            <w:tcW w:w="4565" w:type="dxa"/>
            <w:noWrap w:val="0"/>
            <w:vAlign w:val="top"/>
          </w:tcPr>
          <w:p w14:paraId="4BE609B6">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统一社会信用代码：</w:t>
            </w:r>
            <w:r>
              <w:rPr>
                <w:rFonts w:hint="eastAsia" w:asciiTheme="minorEastAsia" w:hAnsiTheme="minorEastAsia" w:eastAsiaTheme="minorEastAsia" w:cstheme="minorEastAsia"/>
                <w:kern w:val="0"/>
                <w:szCs w:val="24"/>
                <w:u w:val="single"/>
              </w:rPr>
              <w:t xml:space="preserve">            </w:t>
            </w:r>
          </w:p>
          <w:p w14:paraId="4353F161">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地址：</w:t>
            </w:r>
            <w:r>
              <w:rPr>
                <w:rFonts w:hint="eastAsia" w:asciiTheme="minorEastAsia" w:hAnsiTheme="minorEastAsia" w:eastAsiaTheme="minorEastAsia" w:cstheme="minorEastAsia"/>
                <w:kern w:val="0"/>
                <w:szCs w:val="24"/>
                <w:u w:val="single"/>
              </w:rPr>
              <w:t xml:space="preserve">                        </w:t>
            </w:r>
          </w:p>
          <w:p w14:paraId="2FB4FAF7">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邮政编码：</w:t>
            </w:r>
            <w:r>
              <w:rPr>
                <w:rFonts w:hint="eastAsia" w:asciiTheme="minorEastAsia" w:hAnsiTheme="minorEastAsia" w:eastAsiaTheme="minorEastAsia" w:cstheme="minorEastAsia"/>
                <w:kern w:val="0"/>
                <w:szCs w:val="24"/>
                <w:u w:val="single"/>
              </w:rPr>
              <w:t xml:space="preserve">                      </w:t>
            </w:r>
          </w:p>
          <w:p w14:paraId="16A02A42">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法定代表人：</w:t>
            </w:r>
            <w:r>
              <w:rPr>
                <w:rFonts w:hint="eastAsia" w:asciiTheme="minorEastAsia" w:hAnsiTheme="minorEastAsia" w:eastAsiaTheme="minorEastAsia" w:cstheme="minorEastAsia"/>
                <w:kern w:val="0"/>
                <w:szCs w:val="24"/>
                <w:u w:val="single"/>
              </w:rPr>
              <w:t xml:space="preserve">                  </w:t>
            </w:r>
          </w:p>
          <w:p w14:paraId="570E4DF2">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委托代理人：</w:t>
            </w:r>
            <w:r>
              <w:rPr>
                <w:rFonts w:hint="eastAsia" w:asciiTheme="minorEastAsia" w:hAnsiTheme="minorEastAsia" w:eastAsiaTheme="minorEastAsia" w:cstheme="minorEastAsia"/>
                <w:kern w:val="0"/>
                <w:szCs w:val="24"/>
                <w:u w:val="single"/>
              </w:rPr>
              <w:t xml:space="preserve">                 </w:t>
            </w:r>
          </w:p>
          <w:p w14:paraId="27DD8726">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电话：</w:t>
            </w:r>
            <w:r>
              <w:rPr>
                <w:rFonts w:hint="eastAsia" w:asciiTheme="minorEastAsia" w:hAnsiTheme="minorEastAsia" w:eastAsiaTheme="minorEastAsia" w:cstheme="minorEastAsia"/>
                <w:kern w:val="0"/>
                <w:szCs w:val="24"/>
                <w:u w:val="single"/>
              </w:rPr>
              <w:t xml:space="preserve">                       </w:t>
            </w:r>
          </w:p>
          <w:p w14:paraId="4E698E9C">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传真：</w:t>
            </w:r>
            <w:r>
              <w:rPr>
                <w:rFonts w:hint="eastAsia" w:asciiTheme="minorEastAsia" w:hAnsiTheme="minorEastAsia" w:eastAsiaTheme="minorEastAsia" w:cstheme="minorEastAsia"/>
                <w:kern w:val="0"/>
                <w:szCs w:val="24"/>
                <w:u w:val="single"/>
              </w:rPr>
              <w:t xml:space="preserve">                       </w:t>
            </w:r>
          </w:p>
          <w:p w14:paraId="440B5D66">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电子信箱：</w:t>
            </w:r>
            <w:r>
              <w:rPr>
                <w:rFonts w:hint="eastAsia" w:asciiTheme="minorEastAsia" w:hAnsiTheme="minorEastAsia" w:eastAsiaTheme="minorEastAsia" w:cstheme="minorEastAsia"/>
                <w:kern w:val="0"/>
                <w:szCs w:val="24"/>
                <w:u w:val="single"/>
              </w:rPr>
              <w:t xml:space="preserve">                   </w:t>
            </w:r>
          </w:p>
          <w:p w14:paraId="170610DE">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开户银行：</w:t>
            </w:r>
            <w:r>
              <w:rPr>
                <w:rFonts w:hint="eastAsia" w:asciiTheme="minorEastAsia" w:hAnsiTheme="minorEastAsia" w:eastAsiaTheme="minorEastAsia" w:cstheme="minorEastAsia"/>
                <w:kern w:val="0"/>
                <w:szCs w:val="24"/>
                <w:u w:val="single"/>
              </w:rPr>
              <w:t xml:space="preserve">                   </w:t>
            </w:r>
          </w:p>
          <w:p w14:paraId="2C9176DD">
            <w:pPr>
              <w:pStyle w:val="257"/>
              <w:keepNext w:val="0"/>
              <w:keepLines w:val="0"/>
              <w:framePr w:hSpace="0" w:wrap="auto" w:vAnchor="margin" w:hAnchor="text" w:yAlign="inline"/>
              <w:widowControl/>
              <w:suppressLineNumbers w:val="0"/>
              <w:spacing w:before="0" w:beforeAutospacing="0" w:after="50" w:afterAutospacing="0"/>
              <w:ind w:left="0" w:right="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账号：</w:t>
            </w:r>
            <w:r>
              <w:rPr>
                <w:rFonts w:hint="eastAsia" w:asciiTheme="minorEastAsia" w:hAnsiTheme="minorEastAsia" w:eastAsiaTheme="minorEastAsia" w:cstheme="minorEastAsia"/>
                <w:szCs w:val="24"/>
                <w:u w:val="single"/>
              </w:rPr>
              <w:t xml:space="preserve">                       </w:t>
            </w:r>
          </w:p>
        </w:tc>
      </w:tr>
    </w:tbl>
    <w:p w14:paraId="05C82A76">
      <w:pPr>
        <w:wordWrap/>
        <w:topLinePunct w:val="0"/>
        <w:spacing w:line="240" w:lineRule="auto"/>
        <w:ind w:firstLine="420"/>
        <w:rPr>
          <w:rFonts w:hint="eastAsia" w:asciiTheme="minorEastAsia" w:hAnsiTheme="minorEastAsia" w:eastAsiaTheme="minorEastAsia" w:cstheme="minorEastAsia"/>
          <w:sz w:val="21"/>
          <w:szCs w:val="16"/>
        </w:rPr>
        <w:sectPr>
          <w:footerReference r:id="rId22" w:type="default"/>
          <w:type w:val="continuous"/>
          <w:pgSz w:w="11906" w:h="16838"/>
          <w:pgMar w:top="1440" w:right="1800" w:bottom="1440" w:left="1800" w:header="720" w:footer="850" w:gutter="0"/>
          <w:pgNumType w:fmt="decimal"/>
          <w:cols w:space="720" w:num="1"/>
          <w:docGrid w:linePitch="326" w:charSpace="0"/>
        </w:sectPr>
      </w:pPr>
    </w:p>
    <w:p w14:paraId="24F4A0B8">
      <w:pPr>
        <w:pStyle w:val="255"/>
        <w:keepNext w:val="0"/>
        <w:keepLines w:val="0"/>
        <w:widowControl/>
        <w:autoSpaceDE/>
        <w:autoSpaceDN/>
        <w:adjustRightInd w:val="0"/>
        <w:snapToGrid w:val="0"/>
        <w:spacing w:before="0" w:after="50" w:line="240" w:lineRule="auto"/>
        <w:outlineLvl w:val="1"/>
        <w:rPr>
          <w:rFonts w:hint="eastAsia" w:asciiTheme="minorEastAsia" w:hAnsiTheme="minorEastAsia" w:eastAsiaTheme="minorEastAsia" w:cstheme="minorEastAsia"/>
        </w:rPr>
      </w:pPr>
      <w:bookmarkStart w:id="691" w:name="_Toc54862176"/>
      <w:r>
        <w:rPr>
          <w:rFonts w:hint="eastAsia" w:asciiTheme="minorEastAsia" w:hAnsiTheme="minorEastAsia" w:eastAsiaTheme="minorEastAsia" w:cstheme="minorEastAsia"/>
        </w:rPr>
        <w:t>第二部分 通用合同条件</w:t>
      </w:r>
      <w:bookmarkEnd w:id="691"/>
    </w:p>
    <w:p w14:paraId="2F5D8549">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24"/>
        </w:rPr>
      </w:pPr>
      <w:bookmarkStart w:id="692" w:name="_Ref508893699"/>
      <w:bookmarkStart w:id="693" w:name="_Toc54862177"/>
      <w:bookmarkStart w:id="694" w:name="_Ref509040826"/>
      <w:bookmarkStart w:id="695" w:name="_Ref509040831"/>
      <w:r>
        <w:rPr>
          <w:rFonts w:hint="eastAsia" w:asciiTheme="minorEastAsia" w:hAnsiTheme="minorEastAsia" w:eastAsiaTheme="minorEastAsia" w:cstheme="minorEastAsia"/>
          <w:b w:val="0"/>
          <w:bCs/>
          <w:kern w:val="0"/>
          <w:sz w:val="24"/>
          <w:szCs w:val="24"/>
        </w:rPr>
        <w:t>第1条 一般约定</w:t>
      </w:r>
      <w:bookmarkEnd w:id="692"/>
      <w:bookmarkEnd w:id="693"/>
    </w:p>
    <w:p w14:paraId="2F69304A">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696" w:name="_Toc54862178"/>
      <w:bookmarkStart w:id="697" w:name="_Ref523741474"/>
      <w:bookmarkStart w:id="698" w:name="_Ref523741471"/>
      <w:r>
        <w:rPr>
          <w:rFonts w:hint="eastAsia" w:asciiTheme="minorEastAsia" w:hAnsiTheme="minorEastAsia" w:eastAsiaTheme="minorEastAsia" w:cstheme="minorEastAsia"/>
          <w:b w:val="0"/>
          <w:bCs/>
        </w:rPr>
        <w:t>1.1 词语定义和解释</w:t>
      </w:r>
      <w:bookmarkEnd w:id="694"/>
      <w:bookmarkEnd w:id="695"/>
      <w:bookmarkEnd w:id="696"/>
      <w:bookmarkEnd w:id="697"/>
      <w:bookmarkEnd w:id="698"/>
    </w:p>
    <w:p w14:paraId="264DB10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合同协议书、通用合同条件、专用合同条件中的下列词语应具有本款所赋予的含义：</w:t>
      </w:r>
    </w:p>
    <w:p w14:paraId="606C6D3C">
      <w:pPr>
        <w:pStyle w:val="260"/>
        <w:numPr>
          <w:ilvl w:val="0"/>
          <w:numId w:val="0"/>
        </w:numPr>
        <w:spacing w:line="240" w:lineRule="auto"/>
        <w:outlineLvl w:val="4"/>
        <w:rPr>
          <w:rFonts w:hint="eastAsia" w:asciiTheme="minorEastAsia" w:hAnsiTheme="minorEastAsia" w:eastAsiaTheme="minorEastAsia" w:cstheme="minorEastAsia"/>
          <w:szCs w:val="24"/>
        </w:rPr>
      </w:pPr>
      <w:bookmarkStart w:id="699" w:name="_Ref4757289"/>
      <w:bookmarkStart w:id="700" w:name="_Ref521288340"/>
      <w:r>
        <w:rPr>
          <w:rFonts w:hint="eastAsia" w:asciiTheme="minorEastAsia" w:hAnsiTheme="minorEastAsia" w:eastAsiaTheme="minorEastAsia" w:cstheme="minorEastAsia"/>
          <w:szCs w:val="24"/>
        </w:rPr>
        <w:t>1.1.1 合同</w:t>
      </w:r>
      <w:bookmarkEnd w:id="699"/>
    </w:p>
    <w:p w14:paraId="3E0D6E8D">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1.1.1.1 合同：是指根据法律规定和合同当事人约定具有约束力的文件，构成合同的文件包括合同协议书、中标通知书（如果有）、投标函及其附录（如果有）、专用合同条件及其附件、通用合同条件、《发包人要求》、承包人建议书、价格清单以及双方约定的其他合同文件。</w:t>
      </w:r>
    </w:p>
    <w:p w14:paraId="3B827566">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1.1.1.2 合同协议书：是指构成合同的由发包人和承包人共同签署的称为“合同协议书”的书面文件。</w:t>
      </w:r>
    </w:p>
    <w:p w14:paraId="23A7CFDE">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1.1.1.3 中标通知书：是指构成合同的由发包人通知承包人中标的书面文件。中标通知书随附的澄清、说明、补正事项纪要等，是中标通知书的组成部分。</w:t>
      </w:r>
    </w:p>
    <w:p w14:paraId="1F7465F0">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1.1.1.4 投标函：是指构成合同的由承包人填写并签署的用于投标的称为“投标函”的文件。</w:t>
      </w:r>
    </w:p>
    <w:p w14:paraId="73776B48">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1.1.1.5 投标函附录：是指构成合同的附在投标函后的称为“投标函附录”的文件。</w:t>
      </w:r>
    </w:p>
    <w:p w14:paraId="03A86FB8">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1.1.1.6 《发包人要求》：指构成合同文件组成部分的名为《发包人要求》的文件，其中列明工程的目的、范围、设计与其他技术标准和要求，以及合同双方当事人约定对其所作的修改或补充。</w:t>
      </w:r>
    </w:p>
    <w:p w14:paraId="18D20B0D">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1.1.1.7 项目清单：是指发包人提供的载明工程总承包项目勘察费（如果有）、设计费、建筑安装工程费、设备购置费、暂估价、暂列金额和双方约定的其他费用的名称和相应数量等内容的项目明细。</w:t>
      </w:r>
    </w:p>
    <w:p w14:paraId="0C5C9BCF">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1.1.1.8 价格清单：指构成合同文件组成部分的由承包人按发包人提供的项目清单规定的格式和要求填写并标明价格的清单。</w:t>
      </w:r>
    </w:p>
    <w:p w14:paraId="3B416951">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1.1.1.9 承包人建议书：指构成合同文件组成部分的名为承包人建议书的文件。承包人建议书由承包人随投标函一起提交。</w:t>
      </w:r>
    </w:p>
    <w:p w14:paraId="1238456E">
      <w:pPr>
        <w:pStyle w:val="261"/>
        <w:numPr>
          <w:ilvl w:val="0"/>
          <w:numId w:val="0"/>
        </w:numPr>
        <w:spacing w:line="240" w:lineRule="auto"/>
        <w:rPr>
          <w:rFonts w:hint="eastAsia" w:asciiTheme="minorEastAsia" w:hAnsiTheme="minorEastAsia" w:eastAsiaTheme="minorEastAsia" w:cstheme="minorEastAsia"/>
          <w:szCs w:val="24"/>
        </w:rPr>
      </w:pPr>
      <w:bookmarkStart w:id="701" w:name="_Ref4415300"/>
      <w:r>
        <w:rPr>
          <w:rFonts w:hint="eastAsia" w:asciiTheme="minorEastAsia" w:hAnsiTheme="minorEastAsia" w:eastAsiaTheme="minorEastAsia" w:cstheme="minorEastAsia"/>
          <w:szCs w:val="24"/>
        </w:rPr>
        <w:t>1.1.1.10 其他合同文件：是指经合同当事人约定的与工程实施有关的具有合同约束力的文件或书面协议。合同当事人可以在专用合同条件中进行约定。</w:t>
      </w:r>
      <w:bookmarkEnd w:id="701"/>
    </w:p>
    <w:p w14:paraId="008484AB">
      <w:pPr>
        <w:pStyle w:val="260"/>
        <w:numPr>
          <w:ilvl w:val="0"/>
          <w:numId w:val="0"/>
        </w:numPr>
        <w:spacing w:line="240" w:lineRule="auto"/>
        <w:outlineLvl w:val="4"/>
        <w:rPr>
          <w:rFonts w:hint="eastAsia" w:asciiTheme="minorEastAsia" w:hAnsiTheme="minorEastAsia" w:eastAsiaTheme="minorEastAsia" w:cstheme="minorEastAsia"/>
          <w:szCs w:val="24"/>
        </w:rPr>
      </w:pPr>
      <w:bookmarkStart w:id="702" w:name="_Ref4757418"/>
      <w:r>
        <w:rPr>
          <w:rFonts w:hint="eastAsia" w:asciiTheme="minorEastAsia" w:hAnsiTheme="minorEastAsia" w:eastAsiaTheme="minorEastAsia" w:cstheme="minorEastAsia"/>
          <w:szCs w:val="24"/>
        </w:rPr>
        <w:t>1.1.2 合同当事人及其他相关方</w:t>
      </w:r>
      <w:bookmarkEnd w:id="702"/>
    </w:p>
    <w:p w14:paraId="75617068">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1.1.2.1 合同当事人：是指发包人和（或）承包人。</w:t>
      </w:r>
    </w:p>
    <w:p w14:paraId="6EE8B0E0">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1.1.2.2 发包人：是指与承包人订立合同协议书的当事人及取得该当事人资格的合法继受人。本合同中“因发包人原因”里的“发包人”包括发包人及所有发包人人员。</w:t>
      </w:r>
    </w:p>
    <w:p w14:paraId="17511CD0">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1.1.2.3 承包人：是指与发包人订立合同协议书的当事人及取得该当事人资格的合法继受人。</w:t>
      </w:r>
    </w:p>
    <w:p w14:paraId="41BB30AC">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1.1.2.4 联合体：是指经发包人同意由两个或两个以上法人或者其他组织组成的，作为承包人的临时机构。</w:t>
      </w:r>
    </w:p>
    <w:p w14:paraId="41067747">
      <w:pPr>
        <w:pStyle w:val="261"/>
        <w:numPr>
          <w:ilvl w:val="0"/>
          <w:numId w:val="0"/>
        </w:numPr>
        <w:spacing w:line="240" w:lineRule="auto"/>
        <w:rPr>
          <w:rFonts w:hint="eastAsia" w:asciiTheme="minorEastAsia" w:hAnsiTheme="minorEastAsia" w:eastAsiaTheme="minorEastAsia" w:cstheme="minorEastAsia"/>
          <w:szCs w:val="24"/>
        </w:rPr>
      </w:pPr>
      <w:bookmarkStart w:id="703" w:name="_Ref4420046"/>
      <w:r>
        <w:rPr>
          <w:rFonts w:hint="eastAsia" w:asciiTheme="minorEastAsia" w:hAnsiTheme="minorEastAsia" w:eastAsiaTheme="minorEastAsia" w:cstheme="minorEastAsia"/>
          <w:szCs w:val="24"/>
        </w:rPr>
        <w:t>1.1.2.5 发包人代表：是指由发包人任命并派驻工作现场，在发包人授权范围内行使发包人权利和履行发包人义务的人。</w:t>
      </w:r>
    </w:p>
    <w:p w14:paraId="0B242006">
      <w:pPr>
        <w:pStyle w:val="261"/>
        <w:numPr>
          <w:ilvl w:val="0"/>
          <w:numId w:val="0"/>
        </w:numPr>
        <w:spacing w:line="240" w:lineRule="auto"/>
        <w:rPr>
          <w:rFonts w:hint="eastAsia" w:asciiTheme="minorEastAsia" w:hAnsiTheme="minorEastAsia" w:eastAsiaTheme="minorEastAsia" w:cstheme="minorEastAsia"/>
          <w:szCs w:val="24"/>
        </w:rPr>
      </w:pPr>
      <w:bookmarkStart w:id="704" w:name="_Ref4756982"/>
      <w:r>
        <w:rPr>
          <w:rFonts w:hint="eastAsia" w:asciiTheme="minorEastAsia" w:hAnsiTheme="minorEastAsia" w:eastAsiaTheme="minorEastAsia" w:cstheme="minorEastAsia"/>
          <w:szCs w:val="24"/>
        </w:rPr>
        <w:t>1.1.2.6 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bookmarkEnd w:id="703"/>
      <w:bookmarkEnd w:id="704"/>
    </w:p>
    <w:p w14:paraId="1248B7C6">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1.1.2.7 工程总承包项目经理：是指由承包人任命的，在承包人授权范围内负责合同履行的管理，且按照法律规定具有相应资格的项目负责人。</w:t>
      </w:r>
    </w:p>
    <w:p w14:paraId="492202C1">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1.1.2.8 设计负责人：是指承包人指定负责组织、指导、协调设计工作并具有相应资格的人员。</w:t>
      </w:r>
    </w:p>
    <w:p w14:paraId="0ABF0202">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1.1.2.9 采购负责人：是指承包人指定负责组织、指导、协调采购工作的人员。</w:t>
      </w:r>
    </w:p>
    <w:p w14:paraId="1A727F4B">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1.1.2.10 施工负责人：是指承包人指定负责组织、指导、协调施工工作并具有相应资格的人员。</w:t>
      </w:r>
    </w:p>
    <w:p w14:paraId="7FF8AEDD">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1.1.2.11 分包人：是指按照法律规定和合同约定，分包部分工程或工作，并与承包人订立分包合同的具有相应资质或资格的法人或其他组织。</w:t>
      </w:r>
    </w:p>
    <w:p w14:paraId="2A30E00D">
      <w:pPr>
        <w:pStyle w:val="260"/>
        <w:numPr>
          <w:ilvl w:val="0"/>
          <w:numId w:val="0"/>
        </w:numPr>
        <w:spacing w:line="240" w:lineRule="auto"/>
        <w:outlineLvl w:val="4"/>
        <w:rPr>
          <w:rFonts w:hint="eastAsia" w:asciiTheme="minorEastAsia" w:hAnsiTheme="minorEastAsia" w:eastAsiaTheme="minorEastAsia" w:cstheme="minorEastAsia"/>
          <w:szCs w:val="24"/>
        </w:rPr>
      </w:pPr>
      <w:bookmarkStart w:id="705" w:name="_Ref4758319"/>
      <w:r>
        <w:rPr>
          <w:rFonts w:hint="eastAsia" w:asciiTheme="minorEastAsia" w:hAnsiTheme="minorEastAsia" w:eastAsiaTheme="minorEastAsia" w:cstheme="minorEastAsia"/>
          <w:szCs w:val="24"/>
        </w:rPr>
        <w:t>1.1.3 工程和设备</w:t>
      </w:r>
      <w:bookmarkEnd w:id="705"/>
    </w:p>
    <w:p w14:paraId="1EAD0D9A">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1.1.3.1 工程：是指与合同协议书中工程承包范围对应的永久工程和（或）临时工程。</w:t>
      </w:r>
    </w:p>
    <w:p w14:paraId="6227BEEF">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1.1.3.2 工程实施：是指进行工程的设计、采购、施工和竣工以及对工程任何缺陷的修复。</w:t>
      </w:r>
    </w:p>
    <w:p w14:paraId="746F26A4">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1.1.3.3 永久工程：是指按合同约定建造并移交给发包人的工程，包括工程设备。</w:t>
      </w:r>
    </w:p>
    <w:p w14:paraId="283C40B7">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1.1.3.4 临时工程：是指为完成合同约定的永久工程所修建的各类临时性工程，不包括施工设备。</w:t>
      </w:r>
    </w:p>
    <w:p w14:paraId="0F69AA4A">
      <w:pPr>
        <w:pStyle w:val="261"/>
        <w:numPr>
          <w:ilvl w:val="0"/>
          <w:numId w:val="0"/>
        </w:numPr>
        <w:spacing w:line="240" w:lineRule="auto"/>
        <w:rPr>
          <w:rFonts w:hint="eastAsia" w:asciiTheme="minorEastAsia" w:hAnsiTheme="minorEastAsia" w:eastAsiaTheme="minorEastAsia" w:cstheme="minorEastAsia"/>
          <w:szCs w:val="24"/>
        </w:rPr>
      </w:pPr>
      <w:bookmarkStart w:id="706" w:name="_Ref4419825"/>
      <w:r>
        <w:rPr>
          <w:rFonts w:hint="eastAsia" w:asciiTheme="minorEastAsia" w:hAnsiTheme="minorEastAsia" w:eastAsiaTheme="minorEastAsia" w:cstheme="minorEastAsia"/>
          <w:szCs w:val="24"/>
        </w:rPr>
        <w:t>1.1.3.5 单位/区段工程：是指在专用合同条件中指明特定范围的，能单独接收并使用的永久工程。</w:t>
      </w:r>
      <w:bookmarkEnd w:id="706"/>
    </w:p>
    <w:p w14:paraId="22A65AEB">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1.1.3.6 工程设备：指构成永久工程的机电设备、仪器装置、运载工具及其他类似的设备和装置，包括其配件及备品、备件、易损易耗件等。</w:t>
      </w:r>
    </w:p>
    <w:p w14:paraId="65705B9B">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1.1.3.7 施工设备：指为完成合同约定的各项工作所需的设备、器具和其他物品，不包括工程设备、临时工程和材料。</w:t>
      </w:r>
    </w:p>
    <w:p w14:paraId="65115076">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1.1.3.8 临时设施：指为完成合同约定的各项工作所服务的临时性生产和生活设施。</w:t>
      </w:r>
    </w:p>
    <w:p w14:paraId="7A24B4BA">
      <w:pPr>
        <w:pStyle w:val="261"/>
        <w:numPr>
          <w:ilvl w:val="0"/>
          <w:numId w:val="0"/>
        </w:numPr>
        <w:spacing w:line="240" w:lineRule="auto"/>
        <w:rPr>
          <w:rFonts w:hint="eastAsia" w:asciiTheme="minorEastAsia" w:hAnsiTheme="minorEastAsia" w:eastAsiaTheme="minorEastAsia" w:cstheme="minorEastAsia"/>
          <w:szCs w:val="24"/>
        </w:rPr>
      </w:pPr>
      <w:bookmarkStart w:id="707" w:name="_Ref4420577"/>
      <w:r>
        <w:rPr>
          <w:rFonts w:hint="eastAsia" w:asciiTheme="minorEastAsia" w:hAnsiTheme="minorEastAsia" w:eastAsiaTheme="minorEastAsia" w:cstheme="minorEastAsia"/>
          <w:szCs w:val="24"/>
        </w:rPr>
        <w:t>1.1.3.9 施工现场：是指用于工程施工的场所，以及在专用合同条件中指明作为施工场所组成部分的其他场所，包括永久占地和临时占地。</w:t>
      </w:r>
      <w:bookmarkEnd w:id="707"/>
    </w:p>
    <w:p w14:paraId="10661694">
      <w:pPr>
        <w:pStyle w:val="261"/>
        <w:numPr>
          <w:ilvl w:val="0"/>
          <w:numId w:val="0"/>
        </w:numPr>
        <w:spacing w:line="240" w:lineRule="auto"/>
        <w:rPr>
          <w:rFonts w:hint="eastAsia" w:asciiTheme="minorEastAsia" w:hAnsiTheme="minorEastAsia" w:eastAsiaTheme="minorEastAsia" w:cstheme="minorEastAsia"/>
          <w:szCs w:val="24"/>
        </w:rPr>
      </w:pPr>
      <w:bookmarkStart w:id="708" w:name="_Ref4420746"/>
      <w:r>
        <w:rPr>
          <w:rFonts w:hint="eastAsia" w:asciiTheme="minorEastAsia" w:hAnsiTheme="minorEastAsia" w:eastAsiaTheme="minorEastAsia" w:cstheme="minorEastAsia"/>
          <w:szCs w:val="24"/>
        </w:rPr>
        <w:t>1.1.3.10 永久占地：是指专用合同条件中指明为实施工程需永久占用的土地。</w:t>
      </w:r>
      <w:bookmarkEnd w:id="708"/>
    </w:p>
    <w:p w14:paraId="1CDA1E02">
      <w:pPr>
        <w:pStyle w:val="261"/>
        <w:numPr>
          <w:ilvl w:val="0"/>
          <w:numId w:val="0"/>
        </w:numPr>
        <w:spacing w:line="240" w:lineRule="auto"/>
        <w:rPr>
          <w:rFonts w:hint="eastAsia" w:asciiTheme="minorEastAsia" w:hAnsiTheme="minorEastAsia" w:eastAsiaTheme="minorEastAsia" w:cstheme="minorEastAsia"/>
          <w:szCs w:val="24"/>
        </w:rPr>
      </w:pPr>
      <w:bookmarkStart w:id="709" w:name="_Ref4420821"/>
      <w:r>
        <w:rPr>
          <w:rFonts w:hint="eastAsia" w:asciiTheme="minorEastAsia" w:hAnsiTheme="minorEastAsia" w:eastAsiaTheme="minorEastAsia" w:cstheme="minorEastAsia"/>
          <w:szCs w:val="24"/>
        </w:rPr>
        <w:t>1.1.3.11 临时占地：是指专用合同条件中指明为实施工程需临时占用的土地。</w:t>
      </w:r>
      <w:bookmarkEnd w:id="709"/>
    </w:p>
    <w:p w14:paraId="33540B44">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1.1.4 日期和期限</w:t>
      </w:r>
    </w:p>
    <w:p w14:paraId="09F18809">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1.1.4.1 开始工作通知：指工程师按第8.1.2项[开始工作通知]的约定通知承包人开始工作的函件。</w:t>
      </w:r>
    </w:p>
    <w:p w14:paraId="19FA4094">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1.1.4.2 开始工作日期：包括计划开始工作日期和实际开始工作日期。计划开始工作日期是指合同协议书约定的开始工作日期；实际开始工作日期是指工程师按照第8.1款[开始工作]约定发出的符合法律规定的开始工作通知中载明的开始工作日期。</w:t>
      </w:r>
    </w:p>
    <w:p w14:paraId="185B71C3">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1.1.4.3 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14:paraId="315FC719">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1.1.4.4 竣工日期：包括计划竣工日期和实际竣工日期。计划竣工日期是指合同协议书约定的竣工日期；实际竣工日期按照第8.2款[竣工日期]的约定确定。</w:t>
      </w:r>
    </w:p>
    <w:p w14:paraId="66ED7A9C">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1.1.4.5 工期：是指在合同协议书约定的承包人完成合同工作所需的期限，包括按照合同约定所作的期限变更及按合同约定承包人有权取得的工期延长。</w:t>
      </w:r>
    </w:p>
    <w:p w14:paraId="10F8D3CB">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1.1.4.6 缺陷责任期：是指发包人预留工程质量保证金以保证承包人履行第11.3款[缺陷调查]下质量缺陷责任的期限。</w:t>
      </w:r>
    </w:p>
    <w:p w14:paraId="32362B18">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1.1.4.7 保修期：是指承包人按照合同约定和法律规定对工程质量承担保修责任的期限，该期限自缺陷责任期起算之日起计算。</w:t>
      </w:r>
    </w:p>
    <w:p w14:paraId="21148CDE">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1.1.4.8 基准日期：招标发包的工程以投标截止日前28天的日期为基准日期，直接发包的工程以合同订立日前28天的日期为基准日期。</w:t>
      </w:r>
    </w:p>
    <w:p w14:paraId="576BB6AB">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1.1.4.9 天：除特别指明外，均指日历天。合同中按天计算时间的，开始当天不计入，从次日开始计算。期限最后一天的截止时间为当天24:00。</w:t>
      </w:r>
    </w:p>
    <w:p w14:paraId="2285D389">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1.1.4.10 竣工试验：是指在工程竣工验收前，根据第9条[竣工试验]要求进行的试验。</w:t>
      </w:r>
    </w:p>
    <w:p w14:paraId="5C20025B">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1.1.4.11 竣工验收：是指承包人完成了合同约定的各项内容后，发包人按合同要求进行的验收。</w:t>
      </w:r>
    </w:p>
    <w:p w14:paraId="7695F721">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1.1.4.12 竣工后试验：是指在工程竣工验收后，根据第12条[竣工后试验]约定进行的试验。</w:t>
      </w:r>
    </w:p>
    <w:p w14:paraId="5A0AA143">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1.1.5 合同价格和费用</w:t>
      </w:r>
    </w:p>
    <w:p w14:paraId="2C44211D">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1.1.5.1 签约合同价：是指发包人和承包人在合同协议书中确定的总金额，包括暂估价及暂列金额等。</w:t>
      </w:r>
    </w:p>
    <w:p w14:paraId="687E04AB">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1.1.5.2 合同价格：是指发包人用于支付承包人按照合同约定完成承包范围内全部工作的金额，包括合同履行过程中按合同约定发生的价格变化。</w:t>
      </w:r>
    </w:p>
    <w:p w14:paraId="4718E7C2">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1.1.5.3 费用：是指为履行合同所发生的或将要发生的所有合理开支，包括管理费和应分摊的其他费用，但不包括利润。</w:t>
      </w:r>
    </w:p>
    <w:p w14:paraId="16FDA007">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1.1.5.4 人工费：是指支付给直接从事建筑安装工程施工作业的建筑工人的各项费用。</w:t>
      </w:r>
    </w:p>
    <w:p w14:paraId="65C1AC9B">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1.1.5.5 暂估价：</w:t>
      </w:r>
      <w:bookmarkStart w:id="710" w:name="_Hlk18973781"/>
      <w:r>
        <w:rPr>
          <w:rFonts w:hint="eastAsia" w:asciiTheme="minorEastAsia" w:hAnsiTheme="minorEastAsia" w:eastAsiaTheme="minorEastAsia" w:cstheme="minorEastAsia"/>
          <w:szCs w:val="24"/>
        </w:rPr>
        <w:t>是指发包人在项目清单中给定的，用于支付必然发生但暂时不能确定价格的专业服务、材料、设备、专业工程的金额。</w:t>
      </w:r>
      <w:bookmarkEnd w:id="710"/>
    </w:p>
    <w:p w14:paraId="027A2DD2">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1.1.5.6 暂列金额：是指发包人在项目清单中给定的，用于在订立协议书时尚未确定或不可预见变更的设计、施工及其所需材料、工程设备、服务等的金额，包括以计日工方式支付的金额。</w:t>
      </w:r>
    </w:p>
    <w:p w14:paraId="5AC2752F">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1.1.5.7 计日工：是指合同履行过程中，承包人完成发包人提出的零星工作或需要采用计日工计价的变更工作时，按合同中约定的单价计价的一种方式。</w:t>
      </w:r>
    </w:p>
    <w:p w14:paraId="255C577E">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1.1.5.8 质量保证金：是指按第14.6款[质量保证金]约定承包人用于保证其在缺陷责任期内履行缺陷修复义务的担保。</w:t>
      </w:r>
    </w:p>
    <w:p w14:paraId="16AA509E">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1.1.6 其他</w:t>
      </w:r>
    </w:p>
    <w:p w14:paraId="17E70641">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1.1.6.1 书面形式：指合同文件、信函、电报、传真、数据电文、电子邮件、会议纪要等可以有形地表现所载内容的形式。</w:t>
      </w:r>
    </w:p>
    <w:p w14:paraId="221817CB">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1.1.6.2 承包人文件：指由承包人根据合同约定应提交的所有图纸、手册、模型、计算书、软件、函件、洽商性文件和其他技术性文件。</w:t>
      </w:r>
    </w:p>
    <w:p w14:paraId="3D92A52E">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1.1.6.3 变更：指根据第13条[变更与调整]的约定，经指示或批准对《发包人要求》或工程所做的改变。</w:t>
      </w:r>
    </w:p>
    <w:bookmarkEnd w:id="700"/>
    <w:p w14:paraId="0F4056D5">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711" w:name="_Toc54862179"/>
      <w:bookmarkStart w:id="712" w:name="_Ref509042101"/>
      <w:bookmarkStart w:id="713" w:name="_Ref509042104"/>
      <w:bookmarkStart w:id="714" w:name="_Ref522730349"/>
      <w:bookmarkStart w:id="715" w:name="_Ref522730353"/>
      <w:r>
        <w:rPr>
          <w:rFonts w:hint="eastAsia" w:asciiTheme="minorEastAsia" w:hAnsiTheme="minorEastAsia" w:eastAsiaTheme="minorEastAsia" w:cstheme="minorEastAsia"/>
          <w:b w:val="0"/>
          <w:bCs/>
        </w:rPr>
        <w:t>1.2 语言文字</w:t>
      </w:r>
      <w:bookmarkEnd w:id="711"/>
      <w:bookmarkEnd w:id="712"/>
      <w:bookmarkEnd w:id="713"/>
    </w:p>
    <w:p w14:paraId="01D1C7E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合同文件以中国的汉语简体语言文字编写、解释和说明。专用术语使用外文的，应附有中文注释。合同当事人在专用合同条件约定使用两种及以上语言时，汉语为优先解释和说明合同的语言。</w:t>
      </w:r>
    </w:p>
    <w:p w14:paraId="7022B73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与合同有关的联络应使用专用合同条件约定的语言。如没有约定，则应使用中国的汉语简体语言文字。</w:t>
      </w:r>
    </w:p>
    <w:p w14:paraId="6F273AFE">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716" w:name="_Toc54862180"/>
      <w:bookmarkStart w:id="717" w:name="_Ref531949539"/>
      <w:bookmarkStart w:id="718" w:name="_Ref531949543"/>
      <w:r>
        <w:rPr>
          <w:rFonts w:hint="eastAsia" w:asciiTheme="minorEastAsia" w:hAnsiTheme="minorEastAsia" w:eastAsiaTheme="minorEastAsia" w:cstheme="minorEastAsia"/>
          <w:b w:val="0"/>
          <w:bCs/>
        </w:rPr>
        <w:t>1.3 法律</w:t>
      </w:r>
      <w:bookmarkEnd w:id="716"/>
      <w:bookmarkEnd w:id="717"/>
      <w:bookmarkEnd w:id="718"/>
    </w:p>
    <w:p w14:paraId="7B3A58B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合同所称法律是指中华人民共和国法律、行政法规、部门规章，以及工程所在地的地方法规、自治条例、单行条例和地方政府规章等。</w:t>
      </w:r>
    </w:p>
    <w:p w14:paraId="02D125D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合同当事人可以在专用合同条件中约定合同适用的其他规范性文件。</w:t>
      </w:r>
    </w:p>
    <w:p w14:paraId="3FFA36CC">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719" w:name="_Ref531949594"/>
      <w:bookmarkStart w:id="720" w:name="_Toc54862181"/>
      <w:bookmarkStart w:id="721" w:name="_Ref531949589"/>
      <w:r>
        <w:rPr>
          <w:rFonts w:hint="eastAsia" w:asciiTheme="minorEastAsia" w:hAnsiTheme="minorEastAsia" w:eastAsiaTheme="minorEastAsia" w:cstheme="minorEastAsia"/>
          <w:b w:val="0"/>
          <w:bCs/>
        </w:rPr>
        <w:t>1.4 标准和规范</w:t>
      </w:r>
      <w:bookmarkEnd w:id="719"/>
      <w:bookmarkEnd w:id="720"/>
      <w:bookmarkEnd w:id="721"/>
    </w:p>
    <w:p w14:paraId="107BA4AA">
      <w:pPr>
        <w:pStyle w:val="260"/>
        <w:numPr>
          <w:ilvl w:val="0"/>
          <w:numId w:val="0"/>
        </w:numPr>
        <w:spacing w:line="240" w:lineRule="auto"/>
        <w:outlineLvl w:val="4"/>
        <w:rPr>
          <w:rFonts w:hint="eastAsia" w:asciiTheme="minorEastAsia" w:hAnsiTheme="minorEastAsia" w:eastAsiaTheme="minorEastAsia" w:cstheme="minorEastAsia"/>
          <w:szCs w:val="24"/>
        </w:rPr>
      </w:pPr>
      <w:bookmarkStart w:id="722" w:name="_Ref4420991"/>
      <w:r>
        <w:rPr>
          <w:rFonts w:hint="eastAsia" w:asciiTheme="minorEastAsia" w:hAnsiTheme="minorEastAsia" w:eastAsiaTheme="minorEastAsia" w:cstheme="minorEastAsia"/>
          <w:szCs w:val="24"/>
        </w:rPr>
        <w:t>1.4.1 适用于工程的国家标准、行业标准、工程所在地的地方性标准，以及相应的规范、规程等，合同当事人有特别要求的，应在专用合同条件中约定。</w:t>
      </w:r>
      <w:bookmarkEnd w:id="722"/>
    </w:p>
    <w:p w14:paraId="00B8E71F">
      <w:pPr>
        <w:pStyle w:val="260"/>
        <w:numPr>
          <w:ilvl w:val="0"/>
          <w:numId w:val="0"/>
        </w:numPr>
        <w:spacing w:line="240" w:lineRule="auto"/>
        <w:outlineLvl w:val="4"/>
        <w:rPr>
          <w:rFonts w:hint="eastAsia" w:asciiTheme="minorEastAsia" w:hAnsiTheme="minorEastAsia" w:eastAsiaTheme="minorEastAsia" w:cstheme="minorEastAsia"/>
          <w:szCs w:val="24"/>
        </w:rPr>
      </w:pPr>
      <w:bookmarkStart w:id="723" w:name="_Ref531949642"/>
      <w:r>
        <w:rPr>
          <w:rFonts w:hint="eastAsia" w:asciiTheme="minorEastAsia" w:hAnsiTheme="minorEastAsia" w:eastAsiaTheme="minorEastAsia" w:cstheme="minorEastAsia"/>
          <w:szCs w:val="24"/>
        </w:rPr>
        <w:t>1.4.2 发包人要求使用国外标准、规范的，发包人负责提供原文版本和中文译本，并在专用合同条件中约定提供标准规范的名称、份数和时间。</w:t>
      </w:r>
      <w:bookmarkEnd w:id="723"/>
    </w:p>
    <w:p w14:paraId="487C1135">
      <w:pPr>
        <w:pStyle w:val="260"/>
        <w:numPr>
          <w:ilvl w:val="0"/>
          <w:numId w:val="0"/>
        </w:numPr>
        <w:spacing w:line="240" w:lineRule="auto"/>
        <w:outlineLvl w:val="4"/>
        <w:rPr>
          <w:rFonts w:hint="eastAsia" w:asciiTheme="minorEastAsia" w:hAnsiTheme="minorEastAsia" w:eastAsiaTheme="minorEastAsia" w:cstheme="minorEastAsia"/>
          <w:szCs w:val="24"/>
        </w:rPr>
      </w:pPr>
      <w:bookmarkStart w:id="724" w:name="_Ref531949657"/>
      <w:r>
        <w:rPr>
          <w:rFonts w:hint="eastAsia" w:asciiTheme="minorEastAsia" w:hAnsiTheme="minorEastAsia" w:eastAsiaTheme="minorEastAsia" w:cstheme="minorEastAsia"/>
          <w:szCs w:val="24"/>
        </w:rPr>
        <w:t>1.4.3 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bookmarkEnd w:id="724"/>
    </w:p>
    <w:p w14:paraId="20973B54">
      <w:pPr>
        <w:pStyle w:val="260"/>
        <w:numPr>
          <w:ilvl w:val="0"/>
          <w:numId w:val="0"/>
        </w:numPr>
        <w:spacing w:line="240" w:lineRule="auto"/>
        <w:rPr>
          <w:rFonts w:hint="eastAsia" w:asciiTheme="minorEastAsia" w:hAnsiTheme="minorEastAsia" w:eastAsiaTheme="minorEastAsia" w:cstheme="minorEastAsia"/>
          <w:szCs w:val="24"/>
        </w:rPr>
      </w:pPr>
      <w:bookmarkStart w:id="725" w:name="_Ref4421272"/>
      <w:r>
        <w:rPr>
          <w:rFonts w:hint="eastAsia" w:asciiTheme="minorEastAsia" w:hAnsiTheme="minorEastAsia" w:eastAsiaTheme="minorEastAsia" w:cstheme="minorEastAsia"/>
          <w:szCs w:val="24"/>
        </w:rPr>
        <w:t>1.4.4 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bookmarkEnd w:id="725"/>
    </w:p>
    <w:p w14:paraId="784D1CF8">
      <w:pPr>
        <w:pStyle w:val="259"/>
        <w:widowControl/>
        <w:numPr>
          <w:ilvl w:val="0"/>
          <w:numId w:val="0"/>
        </w:numPr>
        <w:spacing w:line="240" w:lineRule="auto"/>
        <w:rPr>
          <w:rFonts w:hint="eastAsia" w:asciiTheme="minorEastAsia" w:hAnsiTheme="minorEastAsia" w:eastAsiaTheme="minorEastAsia" w:cstheme="minorEastAsia"/>
          <w:b w:val="0"/>
          <w:bCs/>
        </w:rPr>
      </w:pPr>
      <w:bookmarkStart w:id="726" w:name="_Toc54862182"/>
      <w:bookmarkStart w:id="727" w:name="_Ref4421717"/>
      <w:r>
        <w:rPr>
          <w:rFonts w:hint="eastAsia" w:asciiTheme="minorEastAsia" w:hAnsiTheme="minorEastAsia" w:eastAsiaTheme="minorEastAsia" w:cstheme="minorEastAsia"/>
          <w:b w:val="0"/>
          <w:bCs/>
        </w:rPr>
        <w:t>1.5 合同文件的优先顺序</w:t>
      </w:r>
      <w:bookmarkEnd w:id="714"/>
      <w:bookmarkEnd w:id="715"/>
      <w:bookmarkEnd w:id="726"/>
      <w:bookmarkEnd w:id="727"/>
    </w:p>
    <w:p w14:paraId="4119CDD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728" w:name="_Ref531948776"/>
      <w:r>
        <w:rPr>
          <w:rFonts w:hint="eastAsia" w:asciiTheme="minorEastAsia" w:hAnsiTheme="minorEastAsia" w:eastAsiaTheme="minorEastAsia" w:cstheme="minorEastAsia"/>
          <w:kern w:val="0"/>
          <w:sz w:val="24"/>
          <w:szCs w:val="24"/>
        </w:rPr>
        <w:t>组成合同的各项文件应互相解释，互为说明。除专用合同条件另有约定外，</w:t>
      </w:r>
      <w:bookmarkEnd w:id="728"/>
      <w:r>
        <w:rPr>
          <w:rFonts w:hint="eastAsia" w:asciiTheme="minorEastAsia" w:hAnsiTheme="minorEastAsia" w:eastAsiaTheme="minorEastAsia" w:cstheme="minorEastAsia"/>
          <w:kern w:val="0"/>
          <w:sz w:val="24"/>
          <w:szCs w:val="24"/>
        </w:rPr>
        <w:t>解释合同文件的优先顺序如下：</w:t>
      </w:r>
    </w:p>
    <w:p w14:paraId="4D39D2B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合同协议书；</w:t>
      </w:r>
    </w:p>
    <w:p w14:paraId="010EF55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中标通知书（如果有）；</w:t>
      </w:r>
    </w:p>
    <w:p w14:paraId="2695C2E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投标函及投标函附录（如果有）；</w:t>
      </w:r>
    </w:p>
    <w:p w14:paraId="347A3BD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专用合同条件及《发包人要求》等附件；</w:t>
      </w:r>
    </w:p>
    <w:p w14:paraId="7D9BFF8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通用合同条件；</w:t>
      </w:r>
    </w:p>
    <w:p w14:paraId="57B9C5E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（6） 承包人建议书； </w:t>
      </w:r>
    </w:p>
    <w:p w14:paraId="6C3D650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价格清单；</w:t>
      </w:r>
    </w:p>
    <w:p w14:paraId="70728AB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 双方约定的其他合同文件。</w:t>
      </w:r>
    </w:p>
    <w:p w14:paraId="6F4BD77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729" w:name="_Hlk18951547"/>
      <w:r>
        <w:rPr>
          <w:rFonts w:hint="eastAsia" w:asciiTheme="minorEastAsia" w:hAnsiTheme="minorEastAsia" w:eastAsiaTheme="minorEastAsia" w:cstheme="minorEastAsia"/>
          <w:kern w:val="0"/>
          <w:sz w:val="24"/>
          <w:szCs w:val="24"/>
        </w:rPr>
        <w:t>上述各项合同文件包括合同当事人就该项合同文件所作出的补充和修改，属于同一类内容的文件，应以最新签署的为准</w:t>
      </w:r>
      <w:bookmarkEnd w:id="729"/>
      <w:r>
        <w:rPr>
          <w:rFonts w:hint="eastAsia" w:asciiTheme="minorEastAsia" w:hAnsiTheme="minorEastAsia" w:eastAsiaTheme="minorEastAsia" w:cstheme="minorEastAsia"/>
          <w:kern w:val="0"/>
          <w:sz w:val="24"/>
          <w:szCs w:val="24"/>
        </w:rPr>
        <w:t>。</w:t>
      </w:r>
    </w:p>
    <w:p w14:paraId="2BDE1D0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在合同订立及履行过程中形成的与合同有关的文件均构成合同文件组成部分，并根据其性质确定优先解释顺序。</w:t>
      </w:r>
    </w:p>
    <w:p w14:paraId="345FA5BE">
      <w:pPr>
        <w:pStyle w:val="259"/>
        <w:widowControl/>
        <w:numPr>
          <w:ilvl w:val="0"/>
          <w:numId w:val="0"/>
        </w:numPr>
        <w:spacing w:line="240" w:lineRule="auto"/>
        <w:rPr>
          <w:rFonts w:hint="eastAsia" w:asciiTheme="minorEastAsia" w:hAnsiTheme="minorEastAsia" w:eastAsiaTheme="minorEastAsia" w:cstheme="minorEastAsia"/>
          <w:b w:val="0"/>
          <w:bCs/>
        </w:rPr>
      </w:pPr>
      <w:bookmarkStart w:id="730" w:name="_Ref4422060"/>
      <w:bookmarkStart w:id="731" w:name="_Toc54862183"/>
      <w:bookmarkStart w:id="732" w:name="_Ref11917818"/>
      <w:bookmarkStart w:id="733" w:name="_Ref531949807"/>
      <w:bookmarkStart w:id="734" w:name="_Ref531949822"/>
      <w:bookmarkStart w:id="735" w:name="_Ref531949803"/>
      <w:r>
        <w:rPr>
          <w:rFonts w:hint="eastAsia" w:asciiTheme="minorEastAsia" w:hAnsiTheme="minorEastAsia" w:eastAsiaTheme="minorEastAsia" w:cstheme="minorEastAsia"/>
          <w:b w:val="0"/>
          <w:bCs/>
        </w:rPr>
        <w:t>1.6 文件的提供和</w:t>
      </w:r>
      <w:bookmarkEnd w:id="730"/>
      <w:r>
        <w:rPr>
          <w:rFonts w:hint="eastAsia" w:asciiTheme="minorEastAsia" w:hAnsiTheme="minorEastAsia" w:eastAsiaTheme="minorEastAsia" w:cstheme="minorEastAsia"/>
          <w:b w:val="0"/>
          <w:bCs/>
        </w:rPr>
        <w:t>照管</w:t>
      </w:r>
      <w:bookmarkEnd w:id="731"/>
      <w:bookmarkEnd w:id="732"/>
    </w:p>
    <w:p w14:paraId="59591A3A">
      <w:pPr>
        <w:pStyle w:val="260"/>
        <w:numPr>
          <w:ilvl w:val="0"/>
          <w:numId w:val="0"/>
        </w:numPr>
        <w:spacing w:line="240" w:lineRule="auto"/>
        <w:rPr>
          <w:rFonts w:hint="eastAsia" w:asciiTheme="minorEastAsia" w:hAnsiTheme="minorEastAsia" w:eastAsiaTheme="minorEastAsia" w:cstheme="minorEastAsia"/>
          <w:szCs w:val="24"/>
        </w:rPr>
      </w:pPr>
      <w:bookmarkStart w:id="736" w:name="_Ref4421991"/>
      <w:r>
        <w:rPr>
          <w:rFonts w:hint="eastAsia" w:asciiTheme="minorEastAsia" w:hAnsiTheme="minorEastAsia" w:eastAsiaTheme="minorEastAsia" w:cstheme="minorEastAsia"/>
          <w:szCs w:val="24"/>
        </w:rPr>
        <w:t>1.6.1 发包人文件的提供</w:t>
      </w:r>
      <w:bookmarkEnd w:id="736"/>
    </w:p>
    <w:p w14:paraId="1AB50A8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8.7.1项[因发包人原因导致工期延误]约定办理。</w:t>
      </w:r>
    </w:p>
    <w:p w14:paraId="646539D9">
      <w:pPr>
        <w:pStyle w:val="260"/>
        <w:numPr>
          <w:ilvl w:val="0"/>
          <w:numId w:val="0"/>
        </w:numPr>
        <w:spacing w:line="240" w:lineRule="auto"/>
        <w:rPr>
          <w:rFonts w:hint="eastAsia" w:asciiTheme="minorEastAsia" w:hAnsiTheme="minorEastAsia" w:eastAsiaTheme="minorEastAsia" w:cstheme="minorEastAsia"/>
          <w:szCs w:val="24"/>
        </w:rPr>
      </w:pPr>
      <w:bookmarkStart w:id="737" w:name="_Ref4422317"/>
      <w:r>
        <w:rPr>
          <w:rFonts w:hint="eastAsia" w:asciiTheme="minorEastAsia" w:hAnsiTheme="minorEastAsia" w:eastAsiaTheme="minorEastAsia" w:cstheme="minorEastAsia"/>
          <w:szCs w:val="24"/>
        </w:rPr>
        <w:t>1.6.2 承包人文件的提供</w:t>
      </w:r>
      <w:bookmarkEnd w:id="737"/>
    </w:p>
    <w:p w14:paraId="5C271D1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除专用合同条件另有约定外，承包人文件应包含下列内容，并用第1.2款[语言文字]约定的语言制作：</w:t>
      </w:r>
    </w:p>
    <w:p w14:paraId="0FF3F09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《发包人要求》中规定的相关文件；</w:t>
      </w:r>
    </w:p>
    <w:p w14:paraId="13EB2B4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满足工程相关行政审批手续所必须的应由承包人负责的相关文件；</w:t>
      </w:r>
    </w:p>
    <w:p w14:paraId="37022B3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第5.4款[竣工文件]与第5.5款[操作和维修手册]中要求的相关文件。</w:t>
      </w:r>
    </w:p>
    <w:p w14:paraId="4F8CAFE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5.2款[承包人文件审查]和第5.4款[竣工文件]的约定。</w:t>
      </w:r>
    </w:p>
    <w:p w14:paraId="62F96EF9">
      <w:pPr>
        <w:pStyle w:val="260"/>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1.6.3 文件错误的通知</w:t>
      </w:r>
    </w:p>
    <w:p w14:paraId="1FEC867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任何一方发现文件中存在明显的错误或疏忽，应及时通知另一方。</w:t>
      </w:r>
    </w:p>
    <w:p w14:paraId="23BFA8CD">
      <w:pPr>
        <w:pStyle w:val="260"/>
        <w:numPr>
          <w:ilvl w:val="0"/>
          <w:numId w:val="0"/>
        </w:numPr>
        <w:spacing w:line="240" w:lineRule="auto"/>
        <w:rPr>
          <w:rFonts w:hint="eastAsia" w:asciiTheme="minorEastAsia" w:hAnsiTheme="minorEastAsia" w:eastAsiaTheme="minorEastAsia" w:cstheme="minorEastAsia"/>
          <w:szCs w:val="24"/>
        </w:rPr>
      </w:pPr>
      <w:bookmarkStart w:id="738" w:name="_Ref4678410"/>
      <w:bookmarkStart w:id="739" w:name="_Ref11957673"/>
      <w:r>
        <w:rPr>
          <w:rFonts w:hint="eastAsia" w:asciiTheme="minorEastAsia" w:hAnsiTheme="minorEastAsia" w:eastAsiaTheme="minorEastAsia" w:cstheme="minorEastAsia"/>
          <w:szCs w:val="24"/>
        </w:rPr>
        <w:t>1.6.4 文件的</w:t>
      </w:r>
      <w:bookmarkEnd w:id="738"/>
      <w:r>
        <w:rPr>
          <w:rFonts w:hint="eastAsia" w:asciiTheme="minorEastAsia" w:hAnsiTheme="minorEastAsia" w:eastAsiaTheme="minorEastAsia" w:cstheme="minorEastAsia"/>
          <w:szCs w:val="24"/>
        </w:rPr>
        <w:t>照管</w:t>
      </w:r>
      <w:bookmarkEnd w:id="739"/>
    </w:p>
    <w:p w14:paraId="5C7E021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14:paraId="097C0F50">
      <w:pPr>
        <w:pStyle w:val="259"/>
        <w:widowControl/>
        <w:numPr>
          <w:ilvl w:val="0"/>
          <w:numId w:val="0"/>
        </w:numPr>
        <w:spacing w:line="240" w:lineRule="auto"/>
        <w:rPr>
          <w:rFonts w:hint="eastAsia" w:asciiTheme="minorEastAsia" w:hAnsiTheme="minorEastAsia" w:eastAsiaTheme="minorEastAsia" w:cstheme="minorEastAsia"/>
          <w:b w:val="0"/>
          <w:bCs/>
        </w:rPr>
      </w:pPr>
      <w:bookmarkStart w:id="740" w:name="_Ref4415170"/>
      <w:bookmarkStart w:id="741" w:name="_Toc54862184"/>
      <w:r>
        <w:rPr>
          <w:rFonts w:hint="eastAsia" w:asciiTheme="minorEastAsia" w:hAnsiTheme="minorEastAsia" w:eastAsiaTheme="minorEastAsia" w:cstheme="minorEastAsia"/>
          <w:b w:val="0"/>
          <w:bCs/>
        </w:rPr>
        <w:t>1.7 联络</w:t>
      </w:r>
      <w:bookmarkEnd w:id="740"/>
      <w:bookmarkEnd w:id="741"/>
    </w:p>
    <w:p w14:paraId="10D44834">
      <w:pPr>
        <w:pStyle w:val="260"/>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1.7.1 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p>
    <w:p w14:paraId="24B299E8">
      <w:pPr>
        <w:pStyle w:val="260"/>
        <w:numPr>
          <w:ilvl w:val="0"/>
          <w:numId w:val="0"/>
        </w:numPr>
        <w:spacing w:line="240" w:lineRule="auto"/>
        <w:rPr>
          <w:rFonts w:hint="eastAsia" w:asciiTheme="minorEastAsia" w:hAnsiTheme="minorEastAsia" w:eastAsiaTheme="minorEastAsia" w:cstheme="minorEastAsia"/>
          <w:szCs w:val="24"/>
        </w:rPr>
      </w:pPr>
      <w:bookmarkStart w:id="742" w:name="_Ref531949897"/>
      <w:r>
        <w:rPr>
          <w:rFonts w:hint="eastAsia" w:asciiTheme="minorEastAsia" w:hAnsiTheme="minorEastAsia" w:eastAsiaTheme="minorEastAsia" w:cstheme="minorEastAsia"/>
          <w:szCs w:val="24"/>
        </w:rPr>
        <w:t>1.7.2 发包人和承包人应在专用合同条件中约定各自的送达方式和收件地址。任何一方合同当事人指定的送达方式或收件地址发生变动的，应提前3天以书面形式通知对方。</w:t>
      </w:r>
      <w:bookmarkEnd w:id="742"/>
    </w:p>
    <w:p w14:paraId="60C10204">
      <w:pPr>
        <w:pStyle w:val="260"/>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1.7.3 发包人和承包人应当及时签收另一方通过约定的送达方式送达至收件地址的来往文件。拒不签收的，由此增加的费用和（或）延误的工期由拒绝接收一方承担。</w:t>
      </w:r>
    </w:p>
    <w:p w14:paraId="68EF16B5">
      <w:pPr>
        <w:pStyle w:val="260"/>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1.7.4 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14:paraId="159C0393">
      <w:pPr>
        <w:pStyle w:val="259"/>
        <w:widowControl/>
        <w:numPr>
          <w:ilvl w:val="0"/>
          <w:numId w:val="0"/>
        </w:numPr>
        <w:spacing w:line="240" w:lineRule="auto"/>
        <w:rPr>
          <w:rFonts w:hint="eastAsia" w:asciiTheme="minorEastAsia" w:hAnsiTheme="minorEastAsia" w:eastAsiaTheme="minorEastAsia" w:cstheme="minorEastAsia"/>
          <w:b w:val="0"/>
          <w:bCs/>
        </w:rPr>
      </w:pPr>
      <w:bookmarkStart w:id="743" w:name="_Toc54862185"/>
      <w:r>
        <w:rPr>
          <w:rFonts w:hint="eastAsia" w:asciiTheme="minorEastAsia" w:hAnsiTheme="minorEastAsia" w:eastAsiaTheme="minorEastAsia" w:cstheme="minorEastAsia"/>
          <w:b w:val="0"/>
          <w:bCs/>
        </w:rPr>
        <w:t>1.8 严禁贿赂</w:t>
      </w:r>
      <w:bookmarkEnd w:id="733"/>
      <w:bookmarkEnd w:id="734"/>
      <w:bookmarkEnd w:id="735"/>
      <w:bookmarkEnd w:id="743"/>
    </w:p>
    <w:p w14:paraId="2FA1E77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合同当事人不得以贿赂或变相贿赂的方式，谋取非法利益或损害对方权益。因一方合同当事人的贿赂造成对方损失的，应赔偿损失，并承担相应的法律责任。</w:t>
      </w:r>
    </w:p>
    <w:p w14:paraId="263CEDA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承包人不得与工程师或发包人聘请的第三方串通损害发包人利益。未经发包人书面同意，承包人不得为工程师提供合同约定以外的通讯设备、交通工具及其他任何形式的利益，不得向工程师支付报酬。</w:t>
      </w:r>
    </w:p>
    <w:p w14:paraId="03F3C505">
      <w:pPr>
        <w:pStyle w:val="259"/>
        <w:widowControl/>
        <w:numPr>
          <w:ilvl w:val="0"/>
          <w:numId w:val="0"/>
        </w:numPr>
        <w:spacing w:line="240" w:lineRule="auto"/>
        <w:rPr>
          <w:rFonts w:hint="eastAsia" w:asciiTheme="minorEastAsia" w:hAnsiTheme="minorEastAsia" w:eastAsiaTheme="minorEastAsia" w:cstheme="minorEastAsia"/>
          <w:b w:val="0"/>
          <w:bCs/>
        </w:rPr>
      </w:pPr>
      <w:bookmarkStart w:id="744" w:name="_Toc54862186"/>
      <w:r>
        <w:rPr>
          <w:rFonts w:hint="eastAsia" w:asciiTheme="minorEastAsia" w:hAnsiTheme="minorEastAsia" w:eastAsiaTheme="minorEastAsia" w:cstheme="minorEastAsia"/>
          <w:b w:val="0"/>
          <w:bCs/>
        </w:rPr>
        <w:t>1.9 化石、文物</w:t>
      </w:r>
      <w:bookmarkEnd w:id="744"/>
    </w:p>
    <w:p w14:paraId="7AE2020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14:paraId="3D8BECD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发包人、工程师和承包人应按有关政府行政管理部门要求采取妥善的保护措施，由此增加的费用和（或）延误的工期由发包人承担。</w:t>
      </w:r>
    </w:p>
    <w:p w14:paraId="0225F1E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承包人发现文物后不及时报告或隐瞒不报，致使文物丢失或损坏的，应赔偿损失，并承担相应的法律责任。</w:t>
      </w:r>
    </w:p>
    <w:p w14:paraId="19D8FF28">
      <w:pPr>
        <w:pStyle w:val="259"/>
        <w:widowControl/>
        <w:numPr>
          <w:ilvl w:val="0"/>
          <w:numId w:val="0"/>
        </w:numPr>
        <w:spacing w:line="240" w:lineRule="auto"/>
        <w:rPr>
          <w:rFonts w:hint="eastAsia" w:asciiTheme="minorEastAsia" w:hAnsiTheme="minorEastAsia" w:eastAsiaTheme="minorEastAsia" w:cstheme="minorEastAsia"/>
          <w:b w:val="0"/>
          <w:bCs/>
        </w:rPr>
      </w:pPr>
      <w:bookmarkStart w:id="745" w:name="_Ref531949770"/>
      <w:bookmarkStart w:id="746" w:name="_Ref4423426"/>
      <w:bookmarkStart w:id="747" w:name="_Ref531949766"/>
      <w:bookmarkStart w:id="748" w:name="_Toc54862187"/>
      <w:bookmarkStart w:id="749" w:name="_Ref531949841"/>
      <w:bookmarkStart w:id="750" w:name="_Ref531949855"/>
      <w:bookmarkStart w:id="751" w:name="_Ref531949826"/>
      <w:r>
        <w:rPr>
          <w:rFonts w:hint="eastAsia" w:asciiTheme="minorEastAsia" w:hAnsiTheme="minorEastAsia" w:eastAsiaTheme="minorEastAsia" w:cstheme="minorEastAsia"/>
          <w:b w:val="0"/>
          <w:bCs/>
        </w:rPr>
        <w:t>1.10 知识产权</w:t>
      </w:r>
      <w:bookmarkEnd w:id="745"/>
      <w:bookmarkEnd w:id="746"/>
      <w:bookmarkEnd w:id="747"/>
      <w:bookmarkEnd w:id="748"/>
      <w:r>
        <w:rPr>
          <w:rFonts w:hint="eastAsia" w:asciiTheme="minorEastAsia" w:hAnsiTheme="minorEastAsia" w:eastAsiaTheme="minorEastAsia" w:cstheme="minorEastAsia"/>
          <w:b w:val="0"/>
          <w:bCs/>
        </w:rPr>
        <w:t xml:space="preserve"> </w:t>
      </w:r>
    </w:p>
    <w:p w14:paraId="242A7404">
      <w:pPr>
        <w:pStyle w:val="260"/>
        <w:numPr>
          <w:ilvl w:val="0"/>
          <w:numId w:val="0"/>
        </w:numPr>
        <w:spacing w:line="240" w:lineRule="auto"/>
        <w:rPr>
          <w:rFonts w:hint="eastAsia" w:asciiTheme="minorEastAsia" w:hAnsiTheme="minorEastAsia" w:eastAsiaTheme="minorEastAsia" w:cstheme="minorEastAsia"/>
          <w:szCs w:val="24"/>
        </w:rPr>
      </w:pPr>
      <w:bookmarkStart w:id="752" w:name="_Ref4423563"/>
      <w:r>
        <w:rPr>
          <w:rFonts w:hint="eastAsia" w:asciiTheme="minorEastAsia" w:hAnsiTheme="minorEastAsia" w:eastAsiaTheme="minorEastAsia" w:cstheme="minorEastAsia"/>
          <w:szCs w:val="24"/>
        </w:rPr>
        <w:t>1.10.1 除专用合同条件另有约定外，由发包人（或以发包人名义）编制的《发包人要求》和其他文件，就合同当事人之间而言，其著作权和其他知识产权应归发包人所有。承包人可以为实现合同目的而复制、使用此类文件，但不能用于与合同无关的其他事项。未经发包人书面同意，承包人不得为了合同以外的目的而复制、使用上述文件或将之提供给任何第三方。</w:t>
      </w:r>
      <w:bookmarkEnd w:id="752"/>
    </w:p>
    <w:p w14:paraId="473D1C6B">
      <w:pPr>
        <w:pStyle w:val="260"/>
        <w:numPr>
          <w:ilvl w:val="0"/>
          <w:numId w:val="0"/>
        </w:numPr>
        <w:spacing w:line="240" w:lineRule="auto"/>
        <w:rPr>
          <w:rFonts w:hint="eastAsia" w:asciiTheme="minorEastAsia" w:hAnsiTheme="minorEastAsia" w:eastAsiaTheme="minorEastAsia" w:cstheme="minorEastAsia"/>
          <w:szCs w:val="24"/>
        </w:rPr>
      </w:pPr>
      <w:bookmarkStart w:id="753" w:name="_Ref4423604"/>
      <w:r>
        <w:rPr>
          <w:rFonts w:hint="eastAsia" w:asciiTheme="minorEastAsia" w:hAnsiTheme="minorEastAsia" w:eastAsiaTheme="minorEastAsia" w:cstheme="minorEastAsia"/>
          <w:szCs w:val="24"/>
        </w:rPr>
        <w:t>1.10.2 除专用合同条件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bookmarkEnd w:id="753"/>
    </w:p>
    <w:p w14:paraId="36406B27">
      <w:pPr>
        <w:pStyle w:val="260"/>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1.10.3 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p>
    <w:p w14:paraId="23403642">
      <w:pPr>
        <w:pStyle w:val="260"/>
        <w:numPr>
          <w:ilvl w:val="0"/>
          <w:numId w:val="0"/>
        </w:numPr>
        <w:spacing w:line="240" w:lineRule="auto"/>
        <w:rPr>
          <w:rFonts w:hint="eastAsia" w:asciiTheme="minorEastAsia" w:hAnsiTheme="minorEastAsia" w:eastAsiaTheme="minorEastAsia" w:cstheme="minorEastAsia"/>
          <w:szCs w:val="24"/>
        </w:rPr>
      </w:pPr>
      <w:bookmarkStart w:id="754" w:name="_Ref4423695"/>
      <w:r>
        <w:rPr>
          <w:rFonts w:hint="eastAsia" w:asciiTheme="minorEastAsia" w:hAnsiTheme="minorEastAsia" w:eastAsiaTheme="minorEastAsia" w:cstheme="minorEastAsia"/>
          <w:szCs w:val="24"/>
        </w:rPr>
        <w:t>1.10.4 除专用合同条件另有约定外，承包人在投标文件中采用的专利、专有技术、商业软件、技术秘密的使用费已包含在签约合同价中。</w:t>
      </w:r>
      <w:bookmarkEnd w:id="754"/>
    </w:p>
    <w:p w14:paraId="52453C36">
      <w:pPr>
        <w:pStyle w:val="260"/>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1.10.5 合同当事人可就本合同涉及的合同一方、或合同双方（含一方或双方相关的专利商或第三方设计单位)的技术专利、建筑设计方案、专有技术、设计文件著作权等知识产权，订立知识产权及保密协议，作为本合同的组成部分。</w:t>
      </w:r>
    </w:p>
    <w:p w14:paraId="29996126">
      <w:pPr>
        <w:pStyle w:val="259"/>
        <w:widowControl/>
        <w:numPr>
          <w:ilvl w:val="0"/>
          <w:numId w:val="0"/>
        </w:numPr>
        <w:spacing w:line="240" w:lineRule="auto"/>
        <w:rPr>
          <w:rFonts w:hint="eastAsia" w:asciiTheme="minorEastAsia" w:hAnsiTheme="minorEastAsia" w:eastAsiaTheme="minorEastAsia" w:cstheme="minorEastAsia"/>
          <w:b w:val="0"/>
          <w:bCs/>
        </w:rPr>
      </w:pPr>
      <w:bookmarkStart w:id="755" w:name="_Toc54862188"/>
      <w:bookmarkStart w:id="756" w:name="_Ref4423898"/>
      <w:bookmarkStart w:id="757" w:name="_Ref4423873"/>
      <w:r>
        <w:rPr>
          <w:rFonts w:hint="eastAsia" w:asciiTheme="minorEastAsia" w:hAnsiTheme="minorEastAsia" w:eastAsiaTheme="minorEastAsia" w:cstheme="minorEastAsia"/>
          <w:b w:val="0"/>
          <w:bCs/>
        </w:rPr>
        <w:t>1.11 保密</w:t>
      </w:r>
      <w:bookmarkEnd w:id="749"/>
      <w:bookmarkEnd w:id="750"/>
      <w:bookmarkEnd w:id="751"/>
      <w:bookmarkEnd w:id="755"/>
      <w:bookmarkEnd w:id="756"/>
      <w:bookmarkEnd w:id="757"/>
    </w:p>
    <w:p w14:paraId="6245854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合同当事人一方对在订立和履行合同过程中知悉的另一方的商业秘密、技术秘密，以及任何一方明确要求保密的其它信息，负有保密责任。</w:t>
      </w:r>
    </w:p>
    <w:p w14:paraId="3F6E570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除法律规定或合同另有约定外，未经对方同意，任何一方当事人不得将对方提供的文件、技术秘密以及声明需要保密的资料信息等商业秘密泄露给第三方或者用于本合同以外的目的。</w:t>
      </w:r>
    </w:p>
    <w:p w14:paraId="4DDF3F6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14:paraId="7E98179C">
      <w:pPr>
        <w:pStyle w:val="259"/>
        <w:widowControl/>
        <w:numPr>
          <w:ilvl w:val="0"/>
          <w:numId w:val="0"/>
        </w:numPr>
        <w:spacing w:line="240" w:lineRule="auto"/>
        <w:rPr>
          <w:rFonts w:hint="eastAsia" w:asciiTheme="minorEastAsia" w:hAnsiTheme="minorEastAsia" w:eastAsiaTheme="minorEastAsia" w:cstheme="minorEastAsia"/>
          <w:b w:val="0"/>
          <w:bCs/>
        </w:rPr>
      </w:pPr>
      <w:bookmarkStart w:id="758" w:name="_Toc54862189"/>
      <w:bookmarkStart w:id="759" w:name="_Ref532336812"/>
      <w:r>
        <w:rPr>
          <w:rFonts w:hint="eastAsia" w:asciiTheme="minorEastAsia" w:hAnsiTheme="minorEastAsia" w:eastAsiaTheme="minorEastAsia" w:cstheme="minorEastAsia"/>
          <w:b w:val="0"/>
          <w:bCs/>
        </w:rPr>
        <w:t xml:space="preserve">1.12 </w:t>
      </w:r>
      <w:bookmarkStart w:id="760" w:name="_Hlk55215423"/>
      <w:r>
        <w:rPr>
          <w:rFonts w:hint="eastAsia" w:asciiTheme="minorEastAsia" w:hAnsiTheme="minorEastAsia" w:eastAsiaTheme="minorEastAsia" w:cstheme="minorEastAsia"/>
          <w:b w:val="0"/>
          <w:bCs/>
        </w:rPr>
        <w:t>《发包人要求》和基础资料中的错误</w:t>
      </w:r>
      <w:bookmarkEnd w:id="758"/>
      <w:bookmarkEnd w:id="759"/>
      <w:bookmarkEnd w:id="760"/>
    </w:p>
    <w:p w14:paraId="31CD0096">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承包人应尽早认真阅读、复核《发包人要求》以及其提供的基础资料，发现错误的，应及时书面通知发包人补正。发包人作相应修改的，按照第13条[变更与调整</w:t>
      </w:r>
      <w:bookmarkStart w:id="761" w:name="_Ref523403409"/>
      <w:bookmarkStart w:id="762" w:name="_Ref523403776"/>
      <w:r>
        <w:rPr>
          <w:rFonts w:hint="eastAsia" w:asciiTheme="minorEastAsia" w:hAnsiTheme="minorEastAsia" w:eastAsiaTheme="minorEastAsia" w:cstheme="minorEastAsia"/>
          <w:kern w:val="0"/>
          <w:sz w:val="24"/>
          <w:szCs w:val="24"/>
        </w:rPr>
        <w:t>]的约定处理。</w:t>
      </w:r>
    </w:p>
    <w:bookmarkEnd w:id="761"/>
    <w:bookmarkEnd w:id="762"/>
    <w:p w14:paraId="5F84857A">
      <w:pPr>
        <w:pStyle w:val="259"/>
        <w:widowControl/>
        <w:numPr>
          <w:ilvl w:val="0"/>
          <w:numId w:val="0"/>
        </w:numPr>
        <w:spacing w:line="240" w:lineRule="auto"/>
        <w:rPr>
          <w:rFonts w:hint="eastAsia" w:asciiTheme="minorEastAsia" w:hAnsiTheme="minorEastAsia" w:eastAsiaTheme="minorEastAsia" w:cstheme="minorEastAsia"/>
          <w:b w:val="0"/>
          <w:bCs/>
        </w:rPr>
      </w:pPr>
      <w:bookmarkStart w:id="763" w:name="_Ref531949933"/>
      <w:bookmarkStart w:id="764" w:name="_Ref531949937"/>
      <w:bookmarkStart w:id="765" w:name="_Toc54862190"/>
      <w:r>
        <w:rPr>
          <w:rFonts w:hint="eastAsia" w:asciiTheme="minorEastAsia" w:hAnsiTheme="minorEastAsia" w:eastAsiaTheme="minorEastAsia" w:cstheme="minorEastAsia"/>
          <w:b w:val="0"/>
          <w:bCs/>
        </w:rPr>
        <w:t xml:space="preserve">1.13 </w:t>
      </w:r>
      <w:bookmarkEnd w:id="763"/>
      <w:bookmarkEnd w:id="764"/>
      <w:bookmarkEnd w:id="765"/>
      <w:bookmarkStart w:id="766" w:name="_Toc54862191"/>
      <w:bookmarkStart w:id="767" w:name="_Hlk51506160"/>
      <w:r>
        <w:rPr>
          <w:rFonts w:hint="eastAsia" w:asciiTheme="minorEastAsia" w:hAnsiTheme="minorEastAsia" w:eastAsiaTheme="minorEastAsia" w:cstheme="minorEastAsia"/>
          <w:b w:val="0"/>
          <w:bCs/>
        </w:rPr>
        <w:t>建筑信息模型技术的应用</w:t>
      </w:r>
      <w:bookmarkEnd w:id="766"/>
    </w:p>
    <w:bookmarkEnd w:id="767"/>
    <w:p w14:paraId="07A82DE6">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14:paraId="69DABE10">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24"/>
        </w:rPr>
      </w:pPr>
      <w:bookmarkStart w:id="768" w:name="_Ref4796511"/>
      <w:bookmarkStart w:id="769" w:name="_Toc54862192"/>
      <w:r>
        <w:rPr>
          <w:rFonts w:hint="eastAsia" w:asciiTheme="minorEastAsia" w:hAnsiTheme="minorEastAsia" w:eastAsiaTheme="minorEastAsia" w:cstheme="minorEastAsia"/>
          <w:b w:val="0"/>
          <w:bCs/>
          <w:kern w:val="0"/>
          <w:sz w:val="24"/>
          <w:szCs w:val="24"/>
        </w:rPr>
        <w:t>第2条 发包人</w:t>
      </w:r>
      <w:bookmarkEnd w:id="768"/>
      <w:bookmarkEnd w:id="769"/>
    </w:p>
    <w:p w14:paraId="2FF9D980">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770" w:name="_Toc54862193"/>
      <w:r>
        <w:rPr>
          <w:rFonts w:hint="eastAsia" w:asciiTheme="minorEastAsia" w:hAnsiTheme="minorEastAsia" w:eastAsiaTheme="minorEastAsia" w:cstheme="minorEastAsia"/>
          <w:b w:val="0"/>
          <w:bCs/>
        </w:rPr>
        <w:t>2.1 遵守法律</w:t>
      </w:r>
      <w:bookmarkEnd w:id="770"/>
    </w:p>
    <w:p w14:paraId="0E09A5D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在履行合同过程中应遵守法律，并承担因发包人违反法律给承包人造成的任何费用和损失。发包人不得以任何理由，要求承包人在工程实施过程中违反法律、行政法规以及建设工程质量、安全、环保标准，任意压缩合理工期或者降低工程质量。</w:t>
      </w:r>
    </w:p>
    <w:p w14:paraId="33BEF590">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771" w:name="_Ref11917995"/>
      <w:bookmarkStart w:id="772" w:name="_Toc54862194"/>
      <w:bookmarkStart w:id="773" w:name="_Ref11917977"/>
      <w:r>
        <w:rPr>
          <w:rFonts w:hint="eastAsia" w:asciiTheme="minorEastAsia" w:hAnsiTheme="minorEastAsia" w:eastAsiaTheme="minorEastAsia" w:cstheme="minorEastAsia"/>
          <w:b w:val="0"/>
          <w:bCs/>
        </w:rPr>
        <w:t>2.2 提供施工现场和工作条件</w:t>
      </w:r>
      <w:bookmarkEnd w:id="771"/>
      <w:bookmarkEnd w:id="772"/>
      <w:bookmarkEnd w:id="773"/>
      <w:bookmarkStart w:id="774" w:name="_Toc51505123"/>
      <w:bookmarkEnd w:id="774"/>
      <w:bookmarkStart w:id="775" w:name="_Toc54862195"/>
      <w:bookmarkEnd w:id="775"/>
      <w:bookmarkStart w:id="776" w:name="_Toc54862196"/>
      <w:bookmarkEnd w:id="776"/>
      <w:bookmarkStart w:id="777" w:name="_Toc54862197"/>
      <w:bookmarkEnd w:id="777"/>
      <w:bookmarkStart w:id="778" w:name="_Toc51505125"/>
      <w:bookmarkEnd w:id="778"/>
      <w:bookmarkStart w:id="779" w:name="_Toc51505124"/>
      <w:bookmarkEnd w:id="779"/>
      <w:bookmarkStart w:id="780" w:name="_Ref531950085"/>
    </w:p>
    <w:p w14:paraId="2EFDF2BC">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2.2.1 提供施工</w:t>
      </w:r>
      <w:bookmarkEnd w:id="780"/>
      <w:r>
        <w:rPr>
          <w:rFonts w:hint="eastAsia" w:asciiTheme="minorEastAsia" w:hAnsiTheme="minorEastAsia" w:eastAsiaTheme="minorEastAsia" w:cstheme="minorEastAsia"/>
          <w:szCs w:val="24"/>
        </w:rPr>
        <w:t>现场</w:t>
      </w:r>
    </w:p>
    <w:p w14:paraId="7E21AFD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7天前向承包人移交施工现场，但承包人未能按照第4.2款[履约担保]提供履约担保的除外。</w:t>
      </w:r>
    </w:p>
    <w:p w14:paraId="528BEE6B">
      <w:pPr>
        <w:pStyle w:val="260"/>
        <w:numPr>
          <w:ilvl w:val="0"/>
          <w:numId w:val="0"/>
        </w:numPr>
        <w:spacing w:line="240" w:lineRule="auto"/>
        <w:outlineLvl w:val="4"/>
        <w:rPr>
          <w:rFonts w:hint="eastAsia" w:asciiTheme="minorEastAsia" w:hAnsiTheme="minorEastAsia" w:eastAsiaTheme="minorEastAsia" w:cstheme="minorEastAsia"/>
          <w:szCs w:val="24"/>
        </w:rPr>
      </w:pPr>
      <w:bookmarkStart w:id="781" w:name="_Ref531950101"/>
      <w:r>
        <w:rPr>
          <w:rFonts w:hint="eastAsia" w:asciiTheme="minorEastAsia" w:hAnsiTheme="minorEastAsia" w:eastAsiaTheme="minorEastAsia" w:cstheme="minorEastAsia"/>
          <w:szCs w:val="24"/>
        </w:rPr>
        <w:t>2.2.2 提供工作条件</w:t>
      </w:r>
      <w:bookmarkEnd w:id="781"/>
    </w:p>
    <w:p w14:paraId="7842ED6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发包人应按专用合同条件约定向承包人提供工作条件。专用合同条件对此没有约定的，发包人应负责提供开展本合同相关工作所需要的条件，包括：</w:t>
      </w:r>
    </w:p>
    <w:p w14:paraId="7D887D3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将施工用水、电力、通讯线路等施工所必需的条件接至施工现场内；</w:t>
      </w:r>
    </w:p>
    <w:p w14:paraId="71F52FB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保证向承包人提供正常施工所需要的进入施工现场的交通条件；</w:t>
      </w:r>
    </w:p>
    <w:p w14:paraId="7426A2C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协调处理施工现场周围地下管线和邻近建筑物、构筑物、古树名木、文物、化石及坟墓等的保护工作，并承担相关费用；</w:t>
      </w:r>
    </w:p>
    <w:p w14:paraId="0A2A02A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对工程现场临近发包人正在使用、运行、或由发包人用于生产的建筑物、构筑物、生产装置、设施、设备等，设置隔离设施，竖立禁止入内、禁止动火的明显标志， 并以书面形式通知承包人须遵守的安全规定和位置范围；</w:t>
      </w:r>
    </w:p>
    <w:p w14:paraId="0E6F3C8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按照专用合同条件约定应提供的其他设施和条件。</w:t>
      </w:r>
    </w:p>
    <w:p w14:paraId="2D86A55F">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782" w:name="_Ref11918036"/>
      <w:bookmarkStart w:id="783" w:name="_Toc54862198"/>
      <w:bookmarkStart w:id="784" w:name="_Ref11956647"/>
      <w:bookmarkStart w:id="785" w:name="_Ref11956654"/>
      <w:bookmarkStart w:id="786" w:name="_Ref11918025"/>
      <w:r>
        <w:rPr>
          <w:rFonts w:hint="eastAsia" w:asciiTheme="minorEastAsia" w:hAnsiTheme="minorEastAsia" w:eastAsiaTheme="minorEastAsia" w:cstheme="minorEastAsia"/>
          <w:b w:val="0"/>
          <w:bCs/>
        </w:rPr>
        <w:t>2.3 提供基础资料</w:t>
      </w:r>
      <w:bookmarkEnd w:id="782"/>
      <w:bookmarkEnd w:id="783"/>
      <w:bookmarkEnd w:id="784"/>
      <w:bookmarkEnd w:id="785"/>
      <w:bookmarkEnd w:id="786"/>
    </w:p>
    <w:p w14:paraId="5B09357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787" w:name="_Hlk51506429"/>
      <w:r>
        <w:rPr>
          <w:rFonts w:hint="eastAsia" w:asciiTheme="minorEastAsia" w:hAnsiTheme="minorEastAsia" w:eastAsiaTheme="minorEastAsia" w:cstheme="minorEastAsia"/>
          <w:kern w:val="0"/>
          <w:sz w:val="24"/>
          <w:szCs w:val="24"/>
        </w:rPr>
        <w:t>发包人应按专用合同条件和《发包人要求》中的约定向承包人提供</w:t>
      </w:r>
      <w:bookmarkEnd w:id="787"/>
      <w:r>
        <w:rPr>
          <w:rFonts w:hint="eastAsia" w:asciiTheme="minorEastAsia" w:hAnsiTheme="minorEastAsia" w:eastAsiaTheme="minorEastAsia" w:cstheme="minorEastAsia"/>
          <w:kern w:val="0"/>
          <w:sz w:val="24"/>
          <w:szCs w:val="24"/>
        </w:rPr>
        <w:t>施工现场及工程实施所必需的毗邻区域内的供水、排水、供电、供气、供热、通信、广播电视等地上、地下管线和设施资料，气象和水文观测资料，地质勘察资料，相邻建筑物、构筑物和地下工程等有关基础资料，并根据第1.12款[《发包人要求》和基础资料中的错误]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14:paraId="06631EA1">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788" w:name="_Toc54862199"/>
      <w:bookmarkStart w:id="789" w:name="_Ref531950041"/>
      <w:bookmarkStart w:id="790" w:name="_Ref531950045"/>
      <w:r>
        <w:rPr>
          <w:rFonts w:hint="eastAsia" w:asciiTheme="minorEastAsia" w:hAnsiTheme="minorEastAsia" w:eastAsiaTheme="minorEastAsia" w:cstheme="minorEastAsia"/>
          <w:b w:val="0"/>
          <w:bCs/>
        </w:rPr>
        <w:t>2.4 办理许可和批准</w:t>
      </w:r>
      <w:bookmarkEnd w:id="788"/>
      <w:bookmarkEnd w:id="789"/>
      <w:bookmarkEnd w:id="790"/>
    </w:p>
    <w:p w14:paraId="1939FA3D">
      <w:pPr>
        <w:pStyle w:val="260"/>
        <w:numPr>
          <w:ilvl w:val="0"/>
          <w:numId w:val="0"/>
        </w:numPr>
        <w:spacing w:line="240" w:lineRule="auto"/>
        <w:outlineLvl w:val="4"/>
        <w:rPr>
          <w:rFonts w:hint="eastAsia" w:asciiTheme="minorEastAsia" w:hAnsiTheme="minorEastAsia" w:eastAsiaTheme="minorEastAsia" w:cstheme="minorEastAsia"/>
          <w:szCs w:val="24"/>
        </w:rPr>
      </w:pPr>
      <w:bookmarkStart w:id="791" w:name="_Toc51505128"/>
      <w:r>
        <w:rPr>
          <w:rFonts w:hint="eastAsia" w:asciiTheme="minorEastAsia" w:hAnsiTheme="minorEastAsia" w:eastAsiaTheme="minorEastAsia" w:cstheme="minorEastAsia"/>
          <w:szCs w:val="24"/>
        </w:rPr>
        <w:t>2.4.1 发包人在履行合同过程中应遵守法律，并办理法律规定或合同约定由其办理的许可、批准或备案，包括但不限于建设用地规划许可证、建设工程规划许可证、建设工程施工许可证等许可和批准。对于法律规定或合同约定由承包人负责的有关设计、施工证件、批件或备案，发包人应给予必要的协助。</w:t>
      </w:r>
      <w:bookmarkEnd w:id="791"/>
    </w:p>
    <w:p w14:paraId="7F7A2CB7">
      <w:pPr>
        <w:pStyle w:val="260"/>
        <w:numPr>
          <w:ilvl w:val="0"/>
          <w:numId w:val="0"/>
        </w:numPr>
        <w:spacing w:line="240" w:lineRule="auto"/>
        <w:outlineLvl w:val="4"/>
        <w:rPr>
          <w:rFonts w:hint="eastAsia" w:asciiTheme="minorEastAsia" w:hAnsiTheme="minorEastAsia" w:eastAsiaTheme="minorEastAsia" w:cstheme="minorEastAsia"/>
          <w:szCs w:val="24"/>
        </w:rPr>
      </w:pPr>
      <w:bookmarkStart w:id="792" w:name="_Toc51505129"/>
      <w:r>
        <w:rPr>
          <w:rFonts w:hint="eastAsia" w:asciiTheme="minorEastAsia" w:hAnsiTheme="minorEastAsia" w:eastAsiaTheme="minorEastAsia" w:cstheme="minorEastAsia"/>
          <w:szCs w:val="24"/>
        </w:rPr>
        <w:t>2.4.2 因发包人原因未能及时办理完毕前述许可、批准或备案，由发包人承担由此增加的费用和（或）延误的工期，并支付承包人合理的利润。</w:t>
      </w:r>
      <w:bookmarkEnd w:id="792"/>
    </w:p>
    <w:p w14:paraId="4AEFD051">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793" w:name="_Toc54862200"/>
      <w:bookmarkStart w:id="794" w:name="_Ref11918070"/>
      <w:bookmarkStart w:id="795" w:name="_Ref11918060"/>
      <w:bookmarkStart w:id="796" w:name="_Ref11956533"/>
      <w:bookmarkStart w:id="797" w:name="_Ref11956525"/>
      <w:r>
        <w:rPr>
          <w:rFonts w:hint="eastAsia" w:asciiTheme="minorEastAsia" w:hAnsiTheme="minorEastAsia" w:eastAsiaTheme="minorEastAsia" w:cstheme="minorEastAsia"/>
          <w:b w:val="0"/>
          <w:bCs/>
        </w:rPr>
        <w:t>2.5 支付合同价款</w:t>
      </w:r>
      <w:bookmarkEnd w:id="793"/>
      <w:bookmarkEnd w:id="794"/>
      <w:bookmarkEnd w:id="795"/>
      <w:bookmarkEnd w:id="796"/>
      <w:bookmarkEnd w:id="797"/>
    </w:p>
    <w:p w14:paraId="1034438A">
      <w:pPr>
        <w:pStyle w:val="260"/>
        <w:numPr>
          <w:ilvl w:val="0"/>
          <w:numId w:val="0"/>
        </w:numPr>
        <w:spacing w:line="240" w:lineRule="auto"/>
        <w:outlineLvl w:val="4"/>
        <w:rPr>
          <w:rFonts w:hint="eastAsia" w:asciiTheme="minorEastAsia" w:hAnsiTheme="minorEastAsia" w:eastAsiaTheme="minorEastAsia" w:cstheme="minorEastAsia"/>
          <w:szCs w:val="24"/>
        </w:rPr>
      </w:pPr>
      <w:bookmarkStart w:id="798" w:name="_Toc51505131"/>
      <w:bookmarkStart w:id="799" w:name="_Ref531950147"/>
      <w:r>
        <w:rPr>
          <w:rFonts w:hint="eastAsia" w:asciiTheme="minorEastAsia" w:hAnsiTheme="minorEastAsia" w:eastAsiaTheme="minorEastAsia" w:cstheme="minorEastAsia"/>
          <w:szCs w:val="24"/>
        </w:rPr>
        <w:t>2.5.1 发包人应按合同约定向承包人及时支付合同价款。</w:t>
      </w:r>
      <w:bookmarkEnd w:id="798"/>
    </w:p>
    <w:bookmarkEnd w:id="799"/>
    <w:p w14:paraId="4085359F">
      <w:pPr>
        <w:pStyle w:val="260"/>
        <w:numPr>
          <w:ilvl w:val="0"/>
          <w:numId w:val="0"/>
        </w:numPr>
        <w:spacing w:line="240" w:lineRule="auto"/>
        <w:outlineLvl w:val="4"/>
        <w:rPr>
          <w:rFonts w:hint="eastAsia" w:asciiTheme="minorEastAsia" w:hAnsiTheme="minorEastAsia" w:eastAsiaTheme="minorEastAsia" w:cstheme="minorEastAsia"/>
          <w:szCs w:val="24"/>
        </w:rPr>
      </w:pPr>
      <w:bookmarkStart w:id="800" w:name="_Toc51505132"/>
      <w:r>
        <w:rPr>
          <w:rFonts w:hint="eastAsia" w:asciiTheme="minorEastAsia" w:hAnsiTheme="minorEastAsia" w:eastAsiaTheme="minorEastAsia" w:cstheme="minorEastAsia"/>
          <w:szCs w:val="24"/>
        </w:rPr>
        <w:t>2.5.2 发包人应当制定资金安排计划，除专用合同条件另有约定外，如发包人拟对资金安排做任何重要变更，应将变更的详细情况通知承包人。如发生承包人收到价格大于签约合同价10%的变更指示或累计变更的总价超过签约合同价30%；或承包人未能根据第14条[合同价格与支付]收到付款，或承包人得知发包人的资金安排发生重要变更但并未收到发包人上述重要变更通知的情况，则承包人可随时要求发包人在28天内补充提供能够按照合同约定支付合同价款的相应资金来源证明。</w:t>
      </w:r>
      <w:bookmarkEnd w:id="800"/>
    </w:p>
    <w:p w14:paraId="53CB5C81">
      <w:pPr>
        <w:pStyle w:val="260"/>
        <w:numPr>
          <w:ilvl w:val="0"/>
          <w:numId w:val="0"/>
        </w:numPr>
        <w:spacing w:line="240" w:lineRule="auto"/>
        <w:outlineLvl w:val="4"/>
        <w:rPr>
          <w:rFonts w:hint="eastAsia" w:asciiTheme="minorEastAsia" w:hAnsiTheme="minorEastAsia" w:eastAsiaTheme="minorEastAsia" w:cstheme="minorEastAsia"/>
          <w:szCs w:val="24"/>
        </w:rPr>
      </w:pPr>
      <w:bookmarkStart w:id="801" w:name="_Ref531950161"/>
      <w:bookmarkStart w:id="802" w:name="_Toc51505133"/>
      <w:r>
        <w:rPr>
          <w:rFonts w:hint="eastAsia" w:asciiTheme="minorEastAsia" w:hAnsiTheme="minorEastAsia" w:eastAsiaTheme="minorEastAsia" w:cstheme="minorEastAsia"/>
          <w:szCs w:val="24"/>
        </w:rPr>
        <w:t>2.5.3 发包人应当向承包人提供支付担保。支付担保可以采用银行保函或担保公司担保等形式，具体由合同当事人在专用合同条件中约定。</w:t>
      </w:r>
      <w:bookmarkEnd w:id="801"/>
      <w:bookmarkEnd w:id="802"/>
    </w:p>
    <w:p w14:paraId="1BBED60F">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03" w:name="_Toc54862201"/>
      <w:r>
        <w:rPr>
          <w:rFonts w:hint="eastAsia" w:asciiTheme="minorEastAsia" w:hAnsiTheme="minorEastAsia" w:eastAsiaTheme="minorEastAsia" w:cstheme="minorEastAsia"/>
          <w:b w:val="0"/>
          <w:bCs/>
        </w:rPr>
        <w:t>2.6 现场管理配合</w:t>
      </w:r>
      <w:bookmarkEnd w:id="803"/>
    </w:p>
    <w:p w14:paraId="73FDB06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发包人应负责保证在现场或现场附近的发包人人员和发包人的其他承包人（如有）：</w:t>
      </w:r>
    </w:p>
    <w:p w14:paraId="7DB0E85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根据第7.3款[现场合作]的约定，与承包人进行合作；</w:t>
      </w:r>
    </w:p>
    <w:p w14:paraId="02AAECA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遵守第7.5款[现场劳动用工]、第7.6款[安全文明施工]、第7.7款[职业健康</w:t>
      </w:r>
      <w:bookmarkStart w:id="804" w:name="_Ref531952756"/>
      <w:bookmarkStart w:id="805" w:name="_Ref531952761"/>
      <w:r>
        <w:rPr>
          <w:rFonts w:hint="eastAsia" w:asciiTheme="minorEastAsia" w:hAnsiTheme="minorEastAsia" w:eastAsiaTheme="minorEastAsia" w:cstheme="minorEastAsia"/>
          <w:kern w:val="0"/>
          <w:sz w:val="24"/>
          <w:szCs w:val="24"/>
        </w:rPr>
        <w:t>]和第7.8款[环境保护]的相关约定。</w:t>
      </w:r>
    </w:p>
    <w:p w14:paraId="78B5114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发包人应与承包人、由发包人直接发包的其他承包人（如有）订立施工现场统一管理协议，明确各方的权利义务。</w:t>
      </w:r>
    </w:p>
    <w:p w14:paraId="7887A163">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06" w:name="_Ref11959376"/>
      <w:bookmarkStart w:id="807" w:name="_Ref11959372"/>
      <w:bookmarkStart w:id="808" w:name="_Toc54862202"/>
      <w:r>
        <w:rPr>
          <w:rFonts w:hint="eastAsia" w:asciiTheme="minorEastAsia" w:hAnsiTheme="minorEastAsia" w:eastAsiaTheme="minorEastAsia" w:cstheme="minorEastAsia"/>
          <w:b w:val="0"/>
          <w:bCs/>
        </w:rPr>
        <w:t>2.7 其他义务</w:t>
      </w:r>
      <w:bookmarkEnd w:id="806"/>
      <w:bookmarkEnd w:id="807"/>
      <w:bookmarkEnd w:id="808"/>
    </w:p>
    <w:p w14:paraId="2926BFF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发包人应履行合同约定的其他义务，双方可在专用合同条件内对发包人应履行的其他义务进行补充约定。</w:t>
      </w:r>
    </w:p>
    <w:bookmarkEnd w:id="804"/>
    <w:bookmarkEnd w:id="805"/>
    <w:p w14:paraId="15C5893F">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809" w:name="_Toc54862203"/>
      <w:bookmarkStart w:id="810" w:name="_Ref531952791"/>
      <w:r>
        <w:rPr>
          <w:rFonts w:hint="eastAsia" w:asciiTheme="minorEastAsia" w:hAnsiTheme="minorEastAsia" w:eastAsiaTheme="minorEastAsia" w:cstheme="minorEastAsia"/>
          <w:b w:val="0"/>
          <w:bCs/>
          <w:kern w:val="0"/>
          <w:sz w:val="24"/>
          <w:szCs w:val="18"/>
        </w:rPr>
        <w:t>第3条 发包人的管理</w:t>
      </w:r>
      <w:bookmarkEnd w:id="809"/>
      <w:bookmarkEnd w:id="810"/>
    </w:p>
    <w:p w14:paraId="56982A98">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11" w:name="_Ref522810097"/>
      <w:bookmarkStart w:id="812" w:name="_Ref522810094"/>
      <w:bookmarkStart w:id="813" w:name="_Ref531951533"/>
      <w:bookmarkStart w:id="814" w:name="_Ref531951538"/>
      <w:bookmarkStart w:id="815" w:name="_Toc54862204"/>
      <w:r>
        <w:rPr>
          <w:rFonts w:hint="eastAsia" w:asciiTheme="minorEastAsia" w:hAnsiTheme="minorEastAsia" w:eastAsiaTheme="minorEastAsia" w:cstheme="minorEastAsia"/>
          <w:b w:val="0"/>
          <w:bCs/>
        </w:rPr>
        <w:t>3.1 发包人</w:t>
      </w:r>
      <w:bookmarkEnd w:id="811"/>
      <w:bookmarkEnd w:id="812"/>
      <w:r>
        <w:rPr>
          <w:rFonts w:hint="eastAsia" w:asciiTheme="minorEastAsia" w:hAnsiTheme="minorEastAsia" w:eastAsiaTheme="minorEastAsia" w:cstheme="minorEastAsia"/>
          <w:b w:val="0"/>
          <w:bCs/>
        </w:rPr>
        <w:t>代表</w:t>
      </w:r>
      <w:bookmarkEnd w:id="813"/>
      <w:bookmarkEnd w:id="814"/>
      <w:bookmarkEnd w:id="815"/>
    </w:p>
    <w:p w14:paraId="375BFA6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14:paraId="1A65D0D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除非发包人另行通知承包人，发包人代表应被授予并且被认为具有发包人在授权范围内享有的相应权利，涉及第16.1款[由发包人解除合同]的权利除外。</w:t>
      </w:r>
    </w:p>
    <w:p w14:paraId="4F4848F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发包人代表（或者在其为法人的情况下，被任命代表其行事的自然人）应：</w:t>
      </w:r>
    </w:p>
    <w:p w14:paraId="3F8958B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履行指派给其的职责，行使发包人托付给的权利；</w:t>
      </w:r>
    </w:p>
    <w:p w14:paraId="241DCB2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具备履行这些职责、行使这些权利的能力；</w:t>
      </w:r>
    </w:p>
    <w:p w14:paraId="2A65EA7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作为熟练的专业人员行事。</w:t>
      </w:r>
    </w:p>
    <w:p w14:paraId="5D1F566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果发包人代表为法人且在签订本合同时未能确定授权代表的，发包人代表应在本合同签订之日起3日内向双方发出书面通知，告知被任命和授权的自然人以及任何替代人员。此授权在双方收到本通知后生效。发包人代表撤销该授权或者变更授权代表时也应同样发出该通知。</w:t>
      </w:r>
    </w:p>
    <w:p w14:paraId="79AE738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更换发包人代表的，应提前14天将更换人的姓名、地址、任务和权利、以及任命的日期书面通知承包人。发包人不得将发包人代表更换为承包人根据本款发出通知提出合理反对意见的人员，不论是法人还是自然人。</w:t>
      </w:r>
    </w:p>
    <w:p w14:paraId="4D0CDCC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发包人代表不能按照合同约定履行其职责及义务，并导致合同无法继续正常履行的，承包人可以要求发包人撤换发包人代表。</w:t>
      </w:r>
    </w:p>
    <w:p w14:paraId="5703A1E9">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16" w:name="_Ref531951553"/>
      <w:bookmarkStart w:id="817" w:name="_Toc54862205"/>
      <w:bookmarkStart w:id="818" w:name="_Ref531951557"/>
      <w:r>
        <w:rPr>
          <w:rFonts w:hint="eastAsia" w:asciiTheme="minorEastAsia" w:hAnsiTheme="minorEastAsia" w:eastAsiaTheme="minorEastAsia" w:cstheme="minorEastAsia"/>
          <w:b w:val="0"/>
          <w:bCs/>
        </w:rPr>
        <w:t>3.2 发包人人员</w:t>
      </w:r>
      <w:bookmarkEnd w:id="816"/>
      <w:bookmarkEnd w:id="817"/>
      <w:bookmarkEnd w:id="818"/>
    </w:p>
    <w:p w14:paraId="4485820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14:paraId="7CFB860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发包人应要求在施工现场的发包人人员遵守法律及有关安全、质量、环境保护、文明施工等规定，因发包人人员未遵守上述要求给承包人造成的损失和责任由发包人承担。</w:t>
      </w:r>
    </w:p>
    <w:p w14:paraId="65617058">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19" w:name="_Toc54862206"/>
      <w:r>
        <w:rPr>
          <w:rFonts w:hint="eastAsia" w:asciiTheme="minorEastAsia" w:hAnsiTheme="minorEastAsia" w:eastAsiaTheme="minorEastAsia" w:cstheme="minorEastAsia"/>
          <w:b w:val="0"/>
          <w:bCs/>
        </w:rPr>
        <w:t>3.3 工程师</w:t>
      </w:r>
      <w:bookmarkEnd w:id="819"/>
      <w:r>
        <w:rPr>
          <w:rFonts w:hint="eastAsia" w:asciiTheme="minorEastAsia" w:hAnsiTheme="minorEastAsia" w:eastAsiaTheme="minorEastAsia" w:cstheme="minorEastAsia"/>
          <w:b w:val="0"/>
          <w:bCs/>
        </w:rPr>
        <w:t xml:space="preserve"> </w:t>
      </w:r>
    </w:p>
    <w:p w14:paraId="0183ED8D">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3.3.1 发包人需对承包人的设计、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p>
    <w:p w14:paraId="2D3D9C26">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3.3.2 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p>
    <w:p w14:paraId="4B11DA95">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3.3.3 在发包人和承包人之间提供证明、行使决定权或处理权时，工程师应作为独立专业的第三方，根据自己的专业技能和判断进行工作。但工程师或其人员均无权修改合同，且无权减轻或免除合同当事人的任何责任与义务。</w:t>
      </w:r>
    </w:p>
    <w:p w14:paraId="605BC8E5">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3.3.4 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p>
    <w:p w14:paraId="32B58BA9">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20" w:name="_Toc54862207"/>
      <w:bookmarkStart w:id="821" w:name="_Ref531951597"/>
      <w:bookmarkStart w:id="822" w:name="_Ref531951594"/>
      <w:r>
        <w:rPr>
          <w:rFonts w:hint="eastAsia" w:asciiTheme="minorEastAsia" w:hAnsiTheme="minorEastAsia" w:eastAsiaTheme="minorEastAsia" w:cstheme="minorEastAsia"/>
          <w:b w:val="0"/>
          <w:bCs/>
        </w:rPr>
        <w:t>3.4 任命和授权</w:t>
      </w:r>
      <w:bookmarkEnd w:id="820"/>
    </w:p>
    <w:p w14:paraId="4CC57765">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3.4.1 发包人应在发出开始工作通知前将工程师的任命通知承包人。更换工程师的，发包人应提前7天以书面形式通知承包人，并在通知中写明替换者的姓名、职务、职权、权限和任命时间。工程师超过2天不能履行职责的，应委派代表代行其职责，并通知承包人。</w:t>
      </w:r>
    </w:p>
    <w:p w14:paraId="771507A9">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3.4.2 工程师可以授权其他人员负责执行其指派的一项或多项工作，但第3.6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p>
    <w:p w14:paraId="42CD882D">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23" w:name="_Ref20165400"/>
      <w:bookmarkStart w:id="824" w:name="_Toc54862208"/>
      <w:r>
        <w:rPr>
          <w:rFonts w:hint="eastAsia" w:asciiTheme="minorEastAsia" w:hAnsiTheme="minorEastAsia" w:eastAsiaTheme="minorEastAsia" w:cstheme="minorEastAsia"/>
          <w:b w:val="0"/>
          <w:bCs/>
        </w:rPr>
        <w:t>3.5 指示</w:t>
      </w:r>
      <w:bookmarkEnd w:id="821"/>
      <w:bookmarkEnd w:id="822"/>
      <w:bookmarkEnd w:id="823"/>
      <w:bookmarkEnd w:id="824"/>
    </w:p>
    <w:p w14:paraId="26991D14">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3.5.1 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小时内发出书面确认函，在24小时内未发出书面确认函的，该口头指示或临时书面指示应被视为工程师的正式指示。</w:t>
      </w:r>
    </w:p>
    <w:p w14:paraId="31BB4431">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3.5.2 承包人收到工程师作出的指示后应遵照执行。如果任何此类指示构成一项变更时，应按照第13条[变更与调整]的约定办理。</w:t>
      </w:r>
    </w:p>
    <w:p w14:paraId="5F2C8EB6">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3.5.3 由于工程师未能按合同约定发出指示、指示延误或指示错误而导致承包人费用增加和（或）工期延误的，发包人应承担由此增加的费用和（或）工期延误，并向承包人支付合理利润。</w:t>
      </w:r>
    </w:p>
    <w:p w14:paraId="33487492">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25" w:name="_Toc54862209"/>
      <w:bookmarkStart w:id="826" w:name="_Ref531951611"/>
      <w:bookmarkStart w:id="827" w:name="_Ref531951609"/>
      <w:r>
        <w:rPr>
          <w:rFonts w:hint="eastAsia" w:asciiTheme="minorEastAsia" w:hAnsiTheme="minorEastAsia" w:eastAsiaTheme="minorEastAsia" w:cstheme="minorEastAsia"/>
          <w:b w:val="0"/>
          <w:bCs/>
        </w:rPr>
        <w:t>3.6 商定或确定</w:t>
      </w:r>
      <w:bookmarkEnd w:id="825"/>
      <w:bookmarkEnd w:id="826"/>
      <w:bookmarkEnd w:id="827"/>
    </w:p>
    <w:p w14:paraId="1660F0D5">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3.6.1 合同约定工程师应按照本款对任何事项进行商定或确定时，工程师应及时与合同当事人协商，尽量达成一致。工程师应将商定的结果以书面形式通知发包人和承包人，并由双方签署确认。</w:t>
      </w:r>
    </w:p>
    <w:p w14:paraId="6FFCA87C">
      <w:pPr>
        <w:pStyle w:val="260"/>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3.6.2 除专用合同条件另有约定外，商定的期限应为工程师收到任何一方就商定事由发出的通知后42天内或工程师提出并经双方同意的其他期限。未能在该期限内达成一致的，由工程师按照合同约定审慎做出公正的确定。确定的期限应为商定的期限届满后42天内或工程师提出并经双方同意的其他期限。工程师应将确定的结果以书面形式通知发包人和承包人，并附详细依据。</w:t>
      </w:r>
    </w:p>
    <w:p w14:paraId="2EF0E930">
      <w:pPr>
        <w:pStyle w:val="260"/>
        <w:numPr>
          <w:ilvl w:val="0"/>
          <w:numId w:val="0"/>
        </w:numPr>
        <w:spacing w:line="240" w:lineRule="auto"/>
        <w:rPr>
          <w:rFonts w:hint="eastAsia" w:asciiTheme="minorEastAsia" w:hAnsiTheme="minorEastAsia" w:eastAsiaTheme="minorEastAsia" w:cstheme="minorEastAsia"/>
          <w:szCs w:val="24"/>
        </w:rPr>
      </w:pPr>
      <w:bookmarkStart w:id="828" w:name="_Ref532287856"/>
      <w:r>
        <w:rPr>
          <w:rFonts w:hint="eastAsia" w:asciiTheme="minorEastAsia" w:hAnsiTheme="minorEastAsia" w:eastAsiaTheme="minorEastAsia" w:cstheme="minorEastAsia"/>
          <w:szCs w:val="24"/>
        </w:rPr>
        <w:t>3.6.3 任何一方对工程师的确定有异议的，应在收到确定的结果后28天内向另一方发出书面异议通知并抄送工程师。除第19.2款[承包人索赔的处理程序]另有约定外，工程师未能在确定的期限内发出确定的结果通知的，或者任何一方发出对确定的结果有异议的通知的，则构成争议并应按照第20条[争议解决]的约定处理。如未在28天内发出上述通知的，工程师的确定应被视为已被双方接受并对双方具有约束力，但专用合同条件另有约定的除外。</w:t>
      </w:r>
      <w:bookmarkEnd w:id="828"/>
    </w:p>
    <w:p w14:paraId="7FF48DBE">
      <w:pPr>
        <w:pStyle w:val="260"/>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3.6.4 在该争议解决前，双方应暂按工程师的确定执行。按照第20条[争议解决]的约定对工程师的确定作出修改的，按修改后的结果执行，由此导致承包人增加的费用和延误的工期由责任方承担。</w:t>
      </w:r>
    </w:p>
    <w:p w14:paraId="6639D0F6">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29" w:name="_Toc54862210"/>
      <w:bookmarkStart w:id="830" w:name="_Ref531951747"/>
      <w:bookmarkStart w:id="831" w:name="_Ref531951749"/>
      <w:r>
        <w:rPr>
          <w:rFonts w:hint="eastAsia" w:asciiTheme="minorEastAsia" w:hAnsiTheme="minorEastAsia" w:eastAsiaTheme="minorEastAsia" w:cstheme="minorEastAsia"/>
          <w:b w:val="0"/>
          <w:bCs/>
        </w:rPr>
        <w:t>3.7 会议</w:t>
      </w:r>
      <w:bookmarkEnd w:id="829"/>
      <w:bookmarkEnd w:id="830"/>
      <w:bookmarkEnd w:id="831"/>
    </w:p>
    <w:p w14:paraId="441F2C14">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3.7.1 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p>
    <w:p w14:paraId="6AD24283">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3.7.2 除专用合同条件另有约定外，发包人应保存每次会议参加人签名的记录，并将会议纪要提供给出席会议的人员。任何根据此类会议以及会议纪要采取的行动应符合本合同的约定。</w:t>
      </w:r>
    </w:p>
    <w:p w14:paraId="4910877C">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832" w:name="_Toc54862211"/>
      <w:bookmarkStart w:id="833" w:name="_Ref531952805"/>
      <w:r>
        <w:rPr>
          <w:rFonts w:hint="eastAsia" w:asciiTheme="minorEastAsia" w:hAnsiTheme="minorEastAsia" w:eastAsiaTheme="minorEastAsia" w:cstheme="minorEastAsia"/>
          <w:b w:val="0"/>
          <w:bCs/>
          <w:kern w:val="0"/>
          <w:sz w:val="24"/>
          <w:szCs w:val="18"/>
        </w:rPr>
        <w:t>第4条 承包人</w:t>
      </w:r>
      <w:bookmarkEnd w:id="832"/>
      <w:bookmarkEnd w:id="833"/>
    </w:p>
    <w:p w14:paraId="78ADFA73">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34" w:name="_Ref531951958"/>
      <w:bookmarkStart w:id="835" w:name="_Ref531951975"/>
      <w:bookmarkStart w:id="836" w:name="_Ref531951945"/>
      <w:bookmarkStart w:id="837" w:name="_Toc54862212"/>
      <w:bookmarkStart w:id="838" w:name="_Ref531951941"/>
      <w:bookmarkStart w:id="839" w:name="_Ref531951961"/>
      <w:r>
        <w:rPr>
          <w:rFonts w:hint="eastAsia" w:asciiTheme="minorEastAsia" w:hAnsiTheme="minorEastAsia" w:eastAsiaTheme="minorEastAsia" w:cstheme="minorEastAsia"/>
          <w:b w:val="0"/>
          <w:bCs/>
        </w:rPr>
        <w:t>4.1 承包人的一般义务</w:t>
      </w:r>
      <w:bookmarkEnd w:id="834"/>
      <w:bookmarkEnd w:id="835"/>
      <w:bookmarkEnd w:id="836"/>
      <w:bookmarkEnd w:id="837"/>
      <w:bookmarkEnd w:id="838"/>
      <w:bookmarkEnd w:id="839"/>
      <w:r>
        <w:rPr>
          <w:rFonts w:hint="eastAsia" w:asciiTheme="minorEastAsia" w:hAnsiTheme="minorEastAsia" w:eastAsiaTheme="minorEastAsia" w:cstheme="minorEastAsia"/>
          <w:b w:val="0"/>
          <w:bCs/>
        </w:rPr>
        <w:t xml:space="preserve"> </w:t>
      </w:r>
    </w:p>
    <w:p w14:paraId="714CCC0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840" w:name="_Ref509046929"/>
      <w:r>
        <w:rPr>
          <w:rFonts w:hint="eastAsia" w:asciiTheme="minorEastAsia" w:hAnsiTheme="minorEastAsia" w:eastAsiaTheme="minorEastAsia" w:cstheme="minorEastAsia"/>
          <w:kern w:val="0"/>
          <w:sz w:val="24"/>
          <w:szCs w:val="24"/>
        </w:rPr>
        <w:t>除专用合同条件另有约定外，承包人在履行合同过程中应遵守法律和工程建设标准规范，并履行以下义务：</w:t>
      </w:r>
    </w:p>
    <w:p w14:paraId="1B2BB77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办理法律规定和合同约定由承包人办理的许可和批准，将办理结果书面报送发包人留存，并承担因承包人违反法律或合同约定给发包人造成的任何费用和损失；</w:t>
      </w:r>
    </w:p>
    <w:p w14:paraId="245E58F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按合同约定完成全部工作并在缺陷责任期和保修期内承担缺陷保证责任和保修义务，对工作中的任何缺陷进行整改、完善和修补，使其满足合同约定的目的；</w:t>
      </w:r>
    </w:p>
    <w:p w14:paraId="63EEC84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提供合同约定的工程设备和承包人文件，以及为完成合同工作所需的劳务、材料、施工设备和其他物品，并按合同约定负责临时设施的设计、施工、运行、维护、管理和拆除；</w:t>
      </w:r>
    </w:p>
    <w:p w14:paraId="628B989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按合同约定的工作内容和进度要求，编制设计、施工的组织和实施计划，保证项目进度计划的实现，并对所有设计、施工作业和施工方法，以及全部工程的完备性和安全可靠性负责；</w:t>
      </w:r>
    </w:p>
    <w:p w14:paraId="37D871F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按法律规定和合同约定采取安全文明施工、职业健康和环境保护措施，办理员工工伤保险等相关保险，确保工程及人员、材料、设备和设施的安全，防止因工程实施造成的人身伤害和财产损失；</w:t>
      </w:r>
    </w:p>
    <w:p w14:paraId="162BE4E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将发包人按合同约定支付的各项价款专用于合同工程，且应及时支付其雇用人员（包括建筑工人）工资，并及时向分包人支付合同价款；</w:t>
      </w:r>
    </w:p>
    <w:p w14:paraId="171BFEF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在进行合同约定的各项工作时，不得侵害发包人与他人使用公用道路、水源、市政管网等公共设施的权利，避免对邻近的公共设施产生干扰。</w:t>
      </w:r>
    </w:p>
    <w:p w14:paraId="66BEB014">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41" w:name="_Ref4426803"/>
      <w:bookmarkStart w:id="842" w:name="_Toc54862213"/>
      <w:bookmarkStart w:id="843" w:name="_Ref4428418"/>
      <w:r>
        <w:rPr>
          <w:rFonts w:hint="eastAsia" w:asciiTheme="minorEastAsia" w:hAnsiTheme="minorEastAsia" w:eastAsiaTheme="minorEastAsia" w:cstheme="minorEastAsia"/>
          <w:b w:val="0"/>
          <w:bCs/>
        </w:rPr>
        <w:t>4.2 履约担保</w:t>
      </w:r>
      <w:bookmarkEnd w:id="841"/>
      <w:bookmarkEnd w:id="842"/>
    </w:p>
    <w:p w14:paraId="6FB8490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需要承包人提供履约担保的，由合同当事人在专用合同条件中约定履约担保的方式、金额及提交的时间等，并应符合第2.5款[支付合同价款]的规定。履约担保可以采用银行保函或担保公司担保等形式，承包人为联合体的，其履约担保由联合体各方或者联合体中牵头人的名义代表联合体提交，具体由合同当事人在专用合同条件中约定。</w:t>
      </w:r>
    </w:p>
    <w:p w14:paraId="77D8BBF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承包人应保证其履约担保在发包人竣工验收前一直有效，发包人应在竣工验收合格后7天内将履约担保款项退还给承包人或者解除履约担保。</w:t>
      </w:r>
    </w:p>
    <w:p w14:paraId="6BE0593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因承包人原因导致工期延长的，继续提供履约担保所增加的费用由承包人承担；非因承包人原因导致工期延长的，继续提供履约担保所增加的费用由发包人承担。</w:t>
      </w:r>
    </w:p>
    <w:bookmarkEnd w:id="840"/>
    <w:bookmarkEnd w:id="843"/>
    <w:p w14:paraId="11B62CB9">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44" w:name="_Toc54862214"/>
      <w:bookmarkStart w:id="845" w:name="_Ref532689105"/>
      <w:bookmarkStart w:id="846" w:name="_Ref532689108"/>
      <w:r>
        <w:rPr>
          <w:rFonts w:hint="eastAsia" w:asciiTheme="minorEastAsia" w:hAnsiTheme="minorEastAsia" w:eastAsiaTheme="minorEastAsia" w:cstheme="minorEastAsia"/>
          <w:b w:val="0"/>
          <w:bCs/>
        </w:rPr>
        <w:t>4.3 工程总承包项目经理</w:t>
      </w:r>
      <w:bookmarkEnd w:id="844"/>
      <w:bookmarkEnd w:id="845"/>
      <w:bookmarkEnd w:id="846"/>
    </w:p>
    <w:p w14:paraId="7578A00C">
      <w:pPr>
        <w:pStyle w:val="260"/>
        <w:numPr>
          <w:ilvl w:val="0"/>
          <w:numId w:val="0"/>
        </w:numPr>
        <w:spacing w:line="240" w:lineRule="auto"/>
        <w:outlineLvl w:val="4"/>
        <w:rPr>
          <w:rFonts w:hint="eastAsia" w:asciiTheme="minorEastAsia" w:hAnsiTheme="minorEastAsia" w:eastAsiaTheme="minorEastAsia" w:cstheme="minorEastAsia"/>
          <w:szCs w:val="24"/>
        </w:rPr>
      </w:pPr>
      <w:bookmarkStart w:id="847" w:name="_Ref532351726"/>
      <w:r>
        <w:rPr>
          <w:rFonts w:hint="eastAsia" w:asciiTheme="minorEastAsia" w:hAnsiTheme="minorEastAsia" w:eastAsiaTheme="minorEastAsia" w:cstheme="minorEastAsia"/>
          <w:szCs w:val="24"/>
        </w:rPr>
        <w:t>4.3.1 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bookmarkEnd w:id="847"/>
    </w:p>
    <w:p w14:paraId="5A7C53E8">
      <w:pPr>
        <w:pStyle w:val="260"/>
        <w:numPr>
          <w:ilvl w:val="0"/>
          <w:numId w:val="0"/>
        </w:numPr>
        <w:spacing w:line="240" w:lineRule="auto"/>
        <w:outlineLvl w:val="4"/>
        <w:rPr>
          <w:rFonts w:hint="eastAsia" w:asciiTheme="minorEastAsia" w:hAnsiTheme="minorEastAsia" w:eastAsiaTheme="minorEastAsia" w:cstheme="minorEastAsia"/>
          <w:szCs w:val="24"/>
        </w:rPr>
      </w:pPr>
      <w:bookmarkStart w:id="848" w:name="_Ref532689263"/>
      <w:r>
        <w:rPr>
          <w:rFonts w:hint="eastAsia" w:asciiTheme="minorEastAsia" w:hAnsiTheme="minorEastAsia" w:eastAsiaTheme="minorEastAsia" w:cstheme="minorEastAsia"/>
          <w:szCs w:val="24"/>
        </w:rPr>
        <w:t>4.3.2 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bookmarkEnd w:id="848"/>
    </w:p>
    <w:p w14:paraId="37BE7977">
      <w:pPr>
        <w:pStyle w:val="260"/>
        <w:numPr>
          <w:ilvl w:val="0"/>
          <w:numId w:val="0"/>
        </w:numPr>
        <w:spacing w:line="240" w:lineRule="auto"/>
        <w:outlineLvl w:val="4"/>
        <w:rPr>
          <w:rFonts w:hint="eastAsia" w:asciiTheme="minorEastAsia" w:hAnsiTheme="minorEastAsia" w:eastAsiaTheme="minorEastAsia" w:cstheme="minorEastAsia"/>
          <w:szCs w:val="24"/>
        </w:rPr>
      </w:pPr>
      <w:bookmarkStart w:id="849" w:name="_Ref532689178"/>
      <w:bookmarkStart w:id="850" w:name="_Ref531952112"/>
      <w:r>
        <w:rPr>
          <w:rFonts w:hint="eastAsia" w:asciiTheme="minorEastAsia" w:hAnsiTheme="minorEastAsia" w:eastAsiaTheme="minorEastAsia" w:cstheme="minorEastAsia"/>
          <w:szCs w:val="24"/>
        </w:rPr>
        <w:t>4.3.3 承包人应根据本合同的约定授予工程总承包项目经理代表承包人履行合同所需的权利，工程总承包项目经理权限以专用合同条件中约定的权限为准。经承包人授权后，工程总承包项目经理应按合同约定以及工程师按第3.5款[指示]作出的指示，代表承包人负责组织合同的实施。在紧急情况下，且无法与发包人和工程师取得联系时，工程总承包项目经理有权采取必要的措施保证人身、工程和财产的安全，但须在事后48小时内向工程师送交书面报告。</w:t>
      </w:r>
      <w:bookmarkEnd w:id="849"/>
    </w:p>
    <w:bookmarkEnd w:id="850"/>
    <w:p w14:paraId="02E987AC">
      <w:pPr>
        <w:pStyle w:val="260"/>
        <w:numPr>
          <w:ilvl w:val="0"/>
          <w:numId w:val="0"/>
        </w:numPr>
        <w:spacing w:line="240" w:lineRule="auto"/>
        <w:outlineLvl w:val="4"/>
        <w:rPr>
          <w:rFonts w:hint="eastAsia" w:asciiTheme="minorEastAsia" w:hAnsiTheme="minorEastAsia" w:eastAsiaTheme="minorEastAsia" w:cstheme="minorEastAsia"/>
          <w:szCs w:val="24"/>
        </w:rPr>
      </w:pPr>
      <w:bookmarkStart w:id="851" w:name="_Ref4426412"/>
      <w:r>
        <w:rPr>
          <w:rFonts w:hint="eastAsia" w:asciiTheme="minorEastAsia" w:hAnsiTheme="minorEastAsia" w:eastAsiaTheme="minorEastAsia" w:cstheme="minorEastAsia"/>
          <w:szCs w:val="24"/>
        </w:rPr>
        <w:t>4.3.4 承包人需要更换工程总承包项目经理的，应提前14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w:t>
      </w:r>
      <w:bookmarkStart w:id="852" w:name="_Hlk55056591"/>
      <w:r>
        <w:rPr>
          <w:rFonts w:hint="eastAsia" w:asciiTheme="minorEastAsia" w:hAnsiTheme="minorEastAsia" w:eastAsiaTheme="minorEastAsia" w:cstheme="minorEastAsia"/>
          <w:szCs w:val="24"/>
        </w:rPr>
        <w:t>应按照专用合同条件的约定承担违约责任。</w:t>
      </w:r>
      <w:bookmarkEnd w:id="851"/>
      <w:bookmarkEnd w:id="852"/>
    </w:p>
    <w:p w14:paraId="41223926">
      <w:pPr>
        <w:pStyle w:val="260"/>
        <w:numPr>
          <w:ilvl w:val="0"/>
          <w:numId w:val="0"/>
        </w:numPr>
        <w:spacing w:line="240" w:lineRule="auto"/>
        <w:outlineLvl w:val="4"/>
        <w:rPr>
          <w:rFonts w:hint="eastAsia" w:asciiTheme="minorEastAsia" w:hAnsiTheme="minorEastAsia" w:eastAsiaTheme="minorEastAsia" w:cstheme="minorEastAsia"/>
          <w:szCs w:val="24"/>
        </w:rPr>
      </w:pPr>
      <w:bookmarkStart w:id="853" w:name="_Ref531952137"/>
      <w:r>
        <w:rPr>
          <w:rFonts w:hint="eastAsia" w:asciiTheme="minorEastAsia" w:hAnsiTheme="minorEastAsia" w:eastAsiaTheme="minorEastAsia" w:cstheme="minorEastAsia"/>
          <w:szCs w:val="24"/>
        </w:rPr>
        <w:t>4.3.5 发包人有权书面通知承包人要求更换其认为不称职的工程总承包项目经理，通知中应当载明要求更换的理由。承包人应在接到更换通知后14天内向发包人提出书面的改进报告。如承包人没有提出改进报告，应在收到更换通知后28天内更换项目经理。发包人收到改进报告后仍要求更换的，承包人应在接到第二次更换通知的28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bookmarkEnd w:id="853"/>
    </w:p>
    <w:p w14:paraId="73B30119">
      <w:pPr>
        <w:pStyle w:val="260"/>
        <w:numPr>
          <w:ilvl w:val="0"/>
          <w:numId w:val="0"/>
        </w:numPr>
        <w:spacing w:line="240" w:lineRule="auto"/>
        <w:outlineLvl w:val="4"/>
        <w:rPr>
          <w:rFonts w:hint="eastAsia" w:asciiTheme="minorEastAsia" w:hAnsiTheme="minorEastAsia" w:eastAsiaTheme="minorEastAsia" w:cstheme="minorEastAsia"/>
          <w:szCs w:val="24"/>
        </w:rPr>
      </w:pPr>
      <w:bookmarkStart w:id="854" w:name="_Ref122620"/>
      <w:r>
        <w:rPr>
          <w:rFonts w:hint="eastAsia" w:asciiTheme="minorEastAsia" w:hAnsiTheme="minorEastAsia" w:eastAsiaTheme="minorEastAsia" w:cstheme="minorEastAsia"/>
          <w:szCs w:val="24"/>
        </w:rPr>
        <w:t>4.3.6 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bookmarkEnd w:id="854"/>
    </w:p>
    <w:p w14:paraId="43E793B6">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55" w:name="_Ref531952172"/>
      <w:bookmarkStart w:id="856" w:name="_Toc54862215"/>
      <w:bookmarkStart w:id="857" w:name="_Ref531952175"/>
      <w:r>
        <w:rPr>
          <w:rFonts w:hint="eastAsia" w:asciiTheme="minorEastAsia" w:hAnsiTheme="minorEastAsia" w:eastAsiaTheme="minorEastAsia" w:cstheme="minorEastAsia"/>
          <w:b w:val="0"/>
          <w:bCs/>
        </w:rPr>
        <w:t>4.4 承包人人员</w:t>
      </w:r>
      <w:bookmarkEnd w:id="855"/>
      <w:bookmarkEnd w:id="856"/>
      <w:bookmarkEnd w:id="857"/>
    </w:p>
    <w:p w14:paraId="1FC9F13C">
      <w:pPr>
        <w:pStyle w:val="260"/>
        <w:numPr>
          <w:ilvl w:val="0"/>
          <w:numId w:val="0"/>
        </w:numPr>
        <w:spacing w:line="240" w:lineRule="auto"/>
        <w:outlineLvl w:val="4"/>
        <w:rPr>
          <w:rFonts w:hint="eastAsia" w:asciiTheme="minorEastAsia" w:hAnsiTheme="minorEastAsia" w:eastAsiaTheme="minorEastAsia" w:cstheme="minorEastAsia"/>
          <w:szCs w:val="24"/>
        </w:rPr>
      </w:pPr>
      <w:bookmarkStart w:id="858" w:name="_Ref531952185"/>
      <w:r>
        <w:rPr>
          <w:rFonts w:hint="eastAsia" w:asciiTheme="minorEastAsia" w:hAnsiTheme="minorEastAsia" w:eastAsiaTheme="minorEastAsia" w:cstheme="minorEastAsia"/>
          <w:szCs w:val="24"/>
        </w:rPr>
        <w:t>4.4.1 人员安排</w:t>
      </w:r>
      <w:bookmarkEnd w:id="858"/>
    </w:p>
    <w:p w14:paraId="3D9B7D5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人员的资质、数量、配置和管理应能满足工程实施的需要。除专用合同条件另有约定外，承包人应在接到开始工作通知之日起14天内，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14:paraId="3BAE597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关键人员</w:t>
      </w:r>
      <w:bookmarkStart w:id="859" w:name="_Hlk16210335"/>
      <w:r>
        <w:rPr>
          <w:rFonts w:hint="eastAsia" w:asciiTheme="minorEastAsia" w:hAnsiTheme="minorEastAsia" w:eastAsiaTheme="minorEastAsia" w:cstheme="minorEastAsia"/>
          <w:kern w:val="0"/>
          <w:sz w:val="24"/>
          <w:szCs w:val="24"/>
        </w:rPr>
        <w:t>是发包人及承包人一致认为对工程建设起重要作用的承包人主要管理人员或技术人员。关键人员的具体范围由发包人及承包人在附件5[承包人主要管理人员表]中另行约定。</w:t>
      </w:r>
    </w:p>
    <w:bookmarkEnd w:id="859"/>
    <w:p w14:paraId="75E3D8F2">
      <w:pPr>
        <w:pStyle w:val="260"/>
        <w:numPr>
          <w:ilvl w:val="0"/>
          <w:numId w:val="0"/>
        </w:numPr>
        <w:spacing w:line="240" w:lineRule="auto"/>
        <w:outlineLvl w:val="4"/>
        <w:rPr>
          <w:rFonts w:hint="eastAsia" w:asciiTheme="minorEastAsia" w:hAnsiTheme="minorEastAsia" w:eastAsiaTheme="minorEastAsia" w:cstheme="minorEastAsia"/>
          <w:szCs w:val="24"/>
        </w:rPr>
      </w:pPr>
      <w:bookmarkStart w:id="860" w:name="_Ref4426641"/>
      <w:bookmarkStart w:id="861" w:name="_Ref531952211"/>
      <w:r>
        <w:rPr>
          <w:rFonts w:hint="eastAsia" w:asciiTheme="minorEastAsia" w:hAnsiTheme="minorEastAsia" w:eastAsiaTheme="minorEastAsia" w:cstheme="minorEastAsia"/>
          <w:szCs w:val="24"/>
        </w:rPr>
        <w:t>4.4.2 关键人员更换</w:t>
      </w:r>
      <w:bookmarkEnd w:id="860"/>
      <w:bookmarkEnd w:id="861"/>
    </w:p>
    <w:p w14:paraId="71C1456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派驻到施工现场的关键人员应相对稳定。承包人更换关键人员时，应提前14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14:paraId="5EAE18F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14:paraId="2DDC1D1B">
      <w:pPr>
        <w:pStyle w:val="260"/>
        <w:numPr>
          <w:ilvl w:val="0"/>
          <w:numId w:val="0"/>
        </w:numPr>
        <w:spacing w:line="240" w:lineRule="auto"/>
        <w:outlineLvl w:val="4"/>
        <w:rPr>
          <w:rFonts w:hint="eastAsia" w:asciiTheme="minorEastAsia" w:hAnsiTheme="minorEastAsia" w:eastAsiaTheme="minorEastAsia" w:cstheme="minorEastAsia"/>
          <w:szCs w:val="24"/>
        </w:rPr>
      </w:pPr>
      <w:bookmarkStart w:id="862" w:name="_Ref531952227"/>
      <w:r>
        <w:rPr>
          <w:rFonts w:hint="eastAsia" w:asciiTheme="minorEastAsia" w:hAnsiTheme="minorEastAsia" w:eastAsiaTheme="minorEastAsia" w:cstheme="minorEastAsia"/>
          <w:szCs w:val="24"/>
        </w:rPr>
        <w:t>4.4.3 现场管理关键人员在岗要求</w:t>
      </w:r>
      <w:bookmarkEnd w:id="862"/>
    </w:p>
    <w:p w14:paraId="2DF4472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承包人的现场管理关键人员离开施工现场每月累计不超过7天的，应报工程师同意；离开施工现场每月累计超过7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14:paraId="0AE3E1BA">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63" w:name="_Ref531952262"/>
      <w:bookmarkStart w:id="864" w:name="_Ref531952259"/>
      <w:bookmarkStart w:id="865" w:name="_Toc54862216"/>
      <w:r>
        <w:rPr>
          <w:rFonts w:hint="eastAsia" w:asciiTheme="minorEastAsia" w:hAnsiTheme="minorEastAsia" w:eastAsiaTheme="minorEastAsia" w:cstheme="minorEastAsia"/>
          <w:b w:val="0"/>
          <w:bCs/>
        </w:rPr>
        <w:t>4.5 分包</w:t>
      </w:r>
      <w:bookmarkEnd w:id="863"/>
      <w:bookmarkEnd w:id="864"/>
      <w:bookmarkEnd w:id="865"/>
      <w:r>
        <w:rPr>
          <w:rFonts w:hint="eastAsia" w:asciiTheme="minorEastAsia" w:hAnsiTheme="minorEastAsia" w:eastAsiaTheme="minorEastAsia" w:cstheme="minorEastAsia"/>
          <w:b w:val="0"/>
          <w:bCs/>
        </w:rPr>
        <w:t xml:space="preserve"> </w:t>
      </w:r>
    </w:p>
    <w:p w14:paraId="3EB42A73">
      <w:pPr>
        <w:pStyle w:val="260"/>
        <w:numPr>
          <w:ilvl w:val="0"/>
          <w:numId w:val="0"/>
        </w:numPr>
        <w:spacing w:line="240" w:lineRule="auto"/>
        <w:outlineLvl w:val="4"/>
        <w:rPr>
          <w:rFonts w:hint="eastAsia" w:asciiTheme="minorEastAsia" w:hAnsiTheme="minorEastAsia" w:eastAsiaTheme="minorEastAsia" w:cstheme="minorEastAsia"/>
          <w:szCs w:val="24"/>
        </w:rPr>
      </w:pPr>
      <w:bookmarkStart w:id="866" w:name="_Ref531952273"/>
      <w:r>
        <w:rPr>
          <w:rFonts w:hint="eastAsia" w:asciiTheme="minorEastAsia" w:hAnsiTheme="minorEastAsia" w:eastAsiaTheme="minorEastAsia" w:cstheme="minorEastAsia"/>
          <w:szCs w:val="24"/>
        </w:rPr>
        <w:t>4.5.1 一般约定</w:t>
      </w:r>
      <w:bookmarkEnd w:id="866"/>
    </w:p>
    <w:p w14:paraId="006C6F3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不得将其承包的全部工程转包给第三人，或将其承包的全部工程支解后以分包的名义转包给第三人。承包人不得将法律或专用合同条件中禁止分包的工作事项分包给第三人，不得以劳务分包的名义转包或违法分包工程。</w:t>
      </w:r>
    </w:p>
    <w:p w14:paraId="1245E700">
      <w:pPr>
        <w:pStyle w:val="260"/>
        <w:numPr>
          <w:ilvl w:val="0"/>
          <w:numId w:val="0"/>
        </w:numPr>
        <w:spacing w:line="240" w:lineRule="auto"/>
        <w:outlineLvl w:val="4"/>
        <w:rPr>
          <w:rFonts w:hint="eastAsia" w:asciiTheme="minorEastAsia" w:hAnsiTheme="minorEastAsia" w:eastAsiaTheme="minorEastAsia" w:cstheme="minorEastAsia"/>
          <w:szCs w:val="24"/>
        </w:rPr>
      </w:pPr>
      <w:bookmarkStart w:id="867" w:name="_Ref531952286"/>
      <w:r>
        <w:rPr>
          <w:rFonts w:hint="eastAsia" w:asciiTheme="minorEastAsia" w:hAnsiTheme="minorEastAsia" w:eastAsiaTheme="minorEastAsia" w:cstheme="minorEastAsia"/>
          <w:szCs w:val="24"/>
        </w:rPr>
        <w:t>4.5.2 分包的确定</w:t>
      </w:r>
      <w:bookmarkEnd w:id="867"/>
    </w:p>
    <w:p w14:paraId="1364CE7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承包人应按照专用合同条件约定对工作事项进行分包，确定分包人。</w:t>
      </w:r>
    </w:p>
    <w:p w14:paraId="4D3F72C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专用合同条件未列出的分包事项，承包人可在工程实施阶段分批分期就分包事项向发包人提交申请，发包人在接到分包事项申请后的14天内，予以批准或提出意见。未经发包人同意，承包人不得将提出的拟分包事项对外分包。</w:t>
      </w:r>
    </w:p>
    <w:p w14:paraId="0CB8AAF8">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4.5.3 分包人资质</w:t>
      </w:r>
    </w:p>
    <w:p w14:paraId="07BB89F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分包人应符合国家法律规定的资质等级，否则不能作为分包人。承包人有义务对分包人的资质进行审查。</w:t>
      </w:r>
    </w:p>
    <w:p w14:paraId="34A94B5F">
      <w:pPr>
        <w:pStyle w:val="260"/>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4.5.4 分包管理</w:t>
      </w:r>
    </w:p>
    <w:p w14:paraId="7E369DD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14:paraId="1AAFDFD9">
      <w:pPr>
        <w:pStyle w:val="260"/>
        <w:numPr>
          <w:ilvl w:val="0"/>
          <w:numId w:val="0"/>
        </w:numPr>
        <w:spacing w:line="240" w:lineRule="auto"/>
        <w:rPr>
          <w:rFonts w:hint="eastAsia" w:asciiTheme="minorEastAsia" w:hAnsiTheme="minorEastAsia" w:eastAsiaTheme="minorEastAsia" w:cstheme="minorEastAsia"/>
          <w:szCs w:val="24"/>
        </w:rPr>
      </w:pPr>
      <w:bookmarkStart w:id="868" w:name="_Ref531952298"/>
      <w:r>
        <w:rPr>
          <w:rFonts w:hint="eastAsia" w:asciiTheme="minorEastAsia" w:hAnsiTheme="minorEastAsia" w:eastAsiaTheme="minorEastAsia" w:cstheme="minorEastAsia"/>
          <w:szCs w:val="24"/>
        </w:rPr>
        <w:t>4.5.5 分包合同价款支付</w:t>
      </w:r>
      <w:bookmarkEnd w:id="868"/>
    </w:p>
    <w:p w14:paraId="4FC9A71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除本项第（2）目约定的情况或专用合同条件另有约定外，分包合同价款由承包人与分包人结算，未经承包人同意，发包人不得向分包人支付分包合同价款；</w:t>
      </w:r>
    </w:p>
    <w:p w14:paraId="6BB1C14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869" w:name="_Ref4613798"/>
      <w:r>
        <w:rPr>
          <w:rFonts w:hint="eastAsia" w:asciiTheme="minorEastAsia" w:hAnsiTheme="minorEastAsia" w:eastAsiaTheme="minorEastAsia" w:cstheme="minorEastAsia"/>
          <w:kern w:val="0"/>
          <w:sz w:val="24"/>
          <w:szCs w:val="24"/>
        </w:rPr>
        <w:t>（2） 生效法律文书要求发包人向分包人支付分包合同价款的，发包人有权从应付承包人工程款中扣除该部分款项</w:t>
      </w:r>
      <w:bookmarkEnd w:id="869"/>
      <w:r>
        <w:rPr>
          <w:rFonts w:hint="eastAsia" w:asciiTheme="minorEastAsia" w:hAnsiTheme="minorEastAsia" w:eastAsiaTheme="minorEastAsia" w:cstheme="minorEastAsia"/>
          <w:kern w:val="0"/>
          <w:sz w:val="24"/>
          <w:szCs w:val="24"/>
        </w:rPr>
        <w:t>，将扣款直接支付给分包人，并书面通知承包人。</w:t>
      </w:r>
    </w:p>
    <w:p w14:paraId="5A214C33">
      <w:pPr>
        <w:pStyle w:val="260"/>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4.5.6 责任承担</w:t>
      </w:r>
    </w:p>
    <w:p w14:paraId="6CEA473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承包人对分包人的行为向发包人负责，承包人和分包人就分包工作向发包人承担连带责任。</w:t>
      </w:r>
    </w:p>
    <w:p w14:paraId="59976D21">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70" w:name="_Ref4426916"/>
      <w:bookmarkStart w:id="871" w:name="_Toc54862217"/>
      <w:bookmarkStart w:id="872" w:name="_Ref4768805"/>
      <w:bookmarkStart w:id="873" w:name="_Ref531952321"/>
      <w:bookmarkStart w:id="874" w:name="_Ref531952317"/>
      <w:r>
        <w:rPr>
          <w:rFonts w:hint="eastAsia" w:asciiTheme="minorEastAsia" w:hAnsiTheme="minorEastAsia" w:eastAsiaTheme="minorEastAsia" w:cstheme="minorEastAsia"/>
          <w:b w:val="0"/>
          <w:bCs/>
        </w:rPr>
        <w:t>4.6 联合体</w:t>
      </w:r>
      <w:bookmarkEnd w:id="870"/>
      <w:bookmarkEnd w:id="871"/>
    </w:p>
    <w:p w14:paraId="62B7886D">
      <w:pPr>
        <w:pStyle w:val="260"/>
        <w:numPr>
          <w:ilvl w:val="0"/>
          <w:numId w:val="0"/>
        </w:numPr>
        <w:spacing w:line="240" w:lineRule="auto"/>
        <w:outlineLvl w:val="4"/>
        <w:rPr>
          <w:rFonts w:hint="eastAsia" w:asciiTheme="minorEastAsia" w:hAnsiTheme="minorEastAsia" w:eastAsiaTheme="minorEastAsia" w:cstheme="minorEastAsia"/>
          <w:szCs w:val="24"/>
        </w:rPr>
      </w:pPr>
      <w:bookmarkStart w:id="875" w:name="_Hlk16235129"/>
      <w:r>
        <w:rPr>
          <w:rFonts w:hint="eastAsia" w:asciiTheme="minorEastAsia" w:hAnsiTheme="minorEastAsia" w:eastAsiaTheme="minorEastAsia" w:cstheme="minorEastAsia"/>
          <w:szCs w:val="24"/>
        </w:rPr>
        <w:t>4.6.1 经发包人同意，</w:t>
      </w:r>
      <w:bookmarkEnd w:id="875"/>
      <w:r>
        <w:rPr>
          <w:rFonts w:hint="eastAsia" w:asciiTheme="minorEastAsia" w:hAnsiTheme="minorEastAsia" w:eastAsiaTheme="minorEastAsia" w:cstheme="minorEastAsia"/>
          <w:szCs w:val="24"/>
        </w:rPr>
        <w:t>以联合体方式承包工程的，联合体各方应共同与发包人订立合同协议书。联合体各方应为履行合同向发包人承担连带责任。</w:t>
      </w:r>
    </w:p>
    <w:p w14:paraId="450CC395">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4.6.2 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p>
    <w:p w14:paraId="55B451FD">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4.6.3 联合体协议经发包人确认后作为合同附件。在履行合同过程中，未经发包人同意，不得变更联合体成员和其负责的工作范围，或者修改联合体协议中与本合同履行相关的内容。</w:t>
      </w:r>
    </w:p>
    <w:p w14:paraId="23F72974">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76" w:name="_Ref11926629"/>
      <w:bookmarkStart w:id="877" w:name="_Toc54862218"/>
      <w:bookmarkStart w:id="878" w:name="_Ref11926631"/>
      <w:r>
        <w:rPr>
          <w:rFonts w:hint="eastAsia" w:asciiTheme="minorEastAsia" w:hAnsiTheme="minorEastAsia" w:eastAsiaTheme="minorEastAsia" w:cstheme="minorEastAsia"/>
          <w:b w:val="0"/>
          <w:bCs/>
        </w:rPr>
        <w:t>4.7 承包人现场查勘</w:t>
      </w:r>
      <w:bookmarkEnd w:id="876"/>
      <w:bookmarkEnd w:id="877"/>
      <w:bookmarkEnd w:id="878"/>
    </w:p>
    <w:p w14:paraId="3F6A862D">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4.7.1 除专用合同条件另有约定外，承包人应对基于发包人提交的基础资料所做出的解释和推断负责，因基础资料存在错误、遗漏导致承包人解释或推断失实的，按照第2.3项[提供基础资料]的规定承担责任。承包人发现基础资料中存在明显错误或疏忽的，应及时书面通知发包人。</w:t>
      </w:r>
    </w:p>
    <w:p w14:paraId="3731D839">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4.7.2 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4.8款[不可预见的困难]约定的情形除外。</w:t>
      </w:r>
    </w:p>
    <w:p w14:paraId="59EDBCB4">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79" w:name="_Toc54862219"/>
      <w:bookmarkStart w:id="880" w:name="_Ref11918626"/>
      <w:bookmarkStart w:id="881" w:name="_Ref11918789"/>
      <w:bookmarkStart w:id="882" w:name="_Ref11918693"/>
      <w:bookmarkStart w:id="883" w:name="不可预见的困难"/>
      <w:r>
        <w:rPr>
          <w:rFonts w:hint="eastAsia" w:asciiTheme="minorEastAsia" w:hAnsiTheme="minorEastAsia" w:eastAsiaTheme="minorEastAsia" w:cstheme="minorEastAsia"/>
          <w:b w:val="0"/>
          <w:bCs/>
        </w:rPr>
        <w:t>4.8 不可预见的困难</w:t>
      </w:r>
      <w:bookmarkEnd w:id="872"/>
      <w:bookmarkEnd w:id="873"/>
      <w:bookmarkEnd w:id="874"/>
      <w:bookmarkEnd w:id="879"/>
      <w:bookmarkEnd w:id="880"/>
      <w:bookmarkEnd w:id="881"/>
      <w:bookmarkEnd w:id="882"/>
      <w:bookmarkEnd w:id="883"/>
      <w:r>
        <w:rPr>
          <w:rFonts w:hint="eastAsia" w:asciiTheme="minorEastAsia" w:hAnsiTheme="minorEastAsia" w:eastAsiaTheme="minorEastAsia" w:cstheme="minorEastAsia"/>
          <w:b w:val="0"/>
          <w:bCs/>
        </w:rPr>
        <w:t xml:space="preserve"> </w:t>
      </w:r>
    </w:p>
    <w:p w14:paraId="419B9CF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不可预见的困难是指有经验的承包人在施工现场遇到的不可预见的自然物质条件、非自然的物质障碍和污染物，包括地表以下物质条件和水文条件以及专用合同条件约定的其他情形，但不包括气候条件。</w:t>
      </w:r>
    </w:p>
    <w:p w14:paraId="0D77BC4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13条[变更与调整]约定执行。承包人因采取合理措施而增加的费用和（或）延误的工期由发包人承担。</w:t>
      </w:r>
    </w:p>
    <w:p w14:paraId="6698EE40">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84" w:name="_Ref11926566"/>
      <w:bookmarkStart w:id="885" w:name="_Ref11926570"/>
      <w:bookmarkStart w:id="886" w:name="_Toc54862220"/>
      <w:r>
        <w:rPr>
          <w:rFonts w:hint="eastAsia" w:asciiTheme="minorEastAsia" w:hAnsiTheme="minorEastAsia" w:eastAsiaTheme="minorEastAsia" w:cstheme="minorEastAsia"/>
          <w:b w:val="0"/>
          <w:bCs/>
        </w:rPr>
        <w:t>4.9 工程质量管理</w:t>
      </w:r>
      <w:bookmarkEnd w:id="884"/>
      <w:bookmarkEnd w:id="885"/>
      <w:bookmarkEnd w:id="886"/>
    </w:p>
    <w:p w14:paraId="242385BB">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4.9.1 承包人应按合同约定的质量标准规范，建立有效的质量管理系统，确保设计、采购、加工制造、施工、竣工试验等各项工作的质量，并按照国家有关规定，通过质量保修责任书的形式约定保修范围、保修期限和保修责任。</w:t>
      </w:r>
    </w:p>
    <w:p w14:paraId="14029DB5">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4.9.2 承包人按照第8.4款[项目进度计划]约定向工程师提交工程质量保证体系及措施文件，建立完善的质量检查制度，并提交相应的工程质量文件。对于发包人和工程师违反法律规定和合同约定的错误指示，承包人有权拒绝实施。</w:t>
      </w:r>
    </w:p>
    <w:p w14:paraId="009F4D98">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4.9.3 承包人应对其人员进行质量教育和技术培训，定期考核人员的劳动技能，严格执行相关规范和操作规程。</w:t>
      </w:r>
    </w:p>
    <w:p w14:paraId="7626E008">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4.9.4 承包人应按照法律规定和合同约定，对设计、材料、工程设备以及全部工程内容及其施工工艺进行全过程的质量检查和检验，并作详细记录，编制工程质量报表，报送工程师审查。此外，承包人还应按照法律规定和合同约定，进行施工现场取样试验、工程复核测量和设备性能检测，提供试验样品、提交试验报告和测量成果以及其他工作。</w:t>
      </w:r>
    </w:p>
    <w:p w14:paraId="1B4D54BD">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887" w:name="_Toc54862221"/>
      <w:bookmarkStart w:id="888" w:name="_Ref531952837"/>
      <w:r>
        <w:rPr>
          <w:rFonts w:hint="eastAsia" w:asciiTheme="minorEastAsia" w:hAnsiTheme="minorEastAsia" w:eastAsiaTheme="minorEastAsia" w:cstheme="minorEastAsia"/>
          <w:b w:val="0"/>
          <w:bCs/>
          <w:kern w:val="0"/>
          <w:sz w:val="24"/>
          <w:szCs w:val="18"/>
        </w:rPr>
        <w:t>第5条 设计</w:t>
      </w:r>
      <w:bookmarkEnd w:id="887"/>
      <w:bookmarkEnd w:id="888"/>
    </w:p>
    <w:p w14:paraId="74699FFA">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89" w:name="_Toc54862222"/>
      <w:bookmarkStart w:id="890" w:name="_Ref531952860"/>
      <w:bookmarkStart w:id="891" w:name="_Ref531952863"/>
      <w:r>
        <w:rPr>
          <w:rFonts w:hint="eastAsia" w:asciiTheme="minorEastAsia" w:hAnsiTheme="minorEastAsia" w:eastAsiaTheme="minorEastAsia" w:cstheme="minorEastAsia"/>
          <w:b w:val="0"/>
          <w:bCs/>
        </w:rPr>
        <w:t>5.1 承包人的设计义务</w:t>
      </w:r>
      <w:bookmarkEnd w:id="889"/>
      <w:bookmarkEnd w:id="890"/>
      <w:bookmarkEnd w:id="891"/>
      <w:r>
        <w:rPr>
          <w:rFonts w:hint="eastAsia" w:asciiTheme="minorEastAsia" w:hAnsiTheme="minorEastAsia" w:eastAsiaTheme="minorEastAsia" w:cstheme="minorEastAsia"/>
          <w:b w:val="0"/>
          <w:bCs/>
        </w:rPr>
        <w:t xml:space="preserve"> </w:t>
      </w:r>
    </w:p>
    <w:p w14:paraId="15C774FD">
      <w:pPr>
        <w:pStyle w:val="260"/>
        <w:numPr>
          <w:ilvl w:val="0"/>
          <w:numId w:val="0"/>
        </w:numPr>
        <w:spacing w:line="240" w:lineRule="auto"/>
        <w:outlineLvl w:val="4"/>
        <w:rPr>
          <w:rFonts w:hint="eastAsia" w:asciiTheme="minorEastAsia" w:hAnsiTheme="minorEastAsia" w:eastAsiaTheme="minorEastAsia" w:cstheme="minorEastAsia"/>
          <w:szCs w:val="24"/>
        </w:rPr>
      </w:pPr>
      <w:bookmarkStart w:id="892" w:name="_Ref531952881"/>
      <w:r>
        <w:rPr>
          <w:rFonts w:hint="eastAsia" w:asciiTheme="minorEastAsia" w:hAnsiTheme="minorEastAsia" w:eastAsiaTheme="minorEastAsia" w:cstheme="minorEastAsia"/>
          <w:szCs w:val="24"/>
        </w:rPr>
        <w:t>5.1.1 设计义务的一般要求</w:t>
      </w:r>
      <w:bookmarkEnd w:id="892"/>
    </w:p>
    <w:p w14:paraId="089A0CD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当按照法律规定，国家、行业和地方的规范和标准，以及《发包人要求》和合同约定完成设计工作和设计相关的其他服务，并对工程的设计负责。承包人应根据工程实施的需要及时向发包人和工程师说明设计文件的意图，解释设计文件。</w:t>
      </w:r>
    </w:p>
    <w:p w14:paraId="01DBBB54">
      <w:pPr>
        <w:pStyle w:val="260"/>
        <w:numPr>
          <w:ilvl w:val="0"/>
          <w:numId w:val="0"/>
        </w:numPr>
        <w:spacing w:line="240" w:lineRule="auto"/>
        <w:outlineLvl w:val="4"/>
        <w:rPr>
          <w:rFonts w:hint="eastAsia" w:asciiTheme="minorEastAsia" w:hAnsiTheme="minorEastAsia" w:eastAsiaTheme="minorEastAsia" w:cstheme="minorEastAsia"/>
          <w:szCs w:val="24"/>
        </w:rPr>
      </w:pPr>
      <w:bookmarkStart w:id="893" w:name="_Ref531952952"/>
      <w:bookmarkStart w:id="894" w:name="_Ref531952899"/>
      <w:r>
        <w:rPr>
          <w:rFonts w:hint="eastAsia" w:asciiTheme="minorEastAsia" w:hAnsiTheme="minorEastAsia" w:eastAsiaTheme="minorEastAsia" w:cstheme="minorEastAsia"/>
          <w:szCs w:val="24"/>
        </w:rPr>
        <w:t>5.1.2 对设计人员的要求</w:t>
      </w:r>
      <w:bookmarkEnd w:id="893"/>
    </w:p>
    <w:p w14:paraId="2F99ADD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保证其或其设计分包人的设计资质在合同有效期内满足法律法规、行业标准或合同约定的相关要求，并指派符合法律法规、行业标准或合同约定的资质要求并具有从事设计所必需的经验与能力的的设计人员完成设计工作。承包人应保证其设计人员（包括分包人的设计人员）在合同期限内，都能按时参加发包人或工程师组织的工作会议。</w:t>
      </w:r>
    </w:p>
    <w:bookmarkEnd w:id="894"/>
    <w:p w14:paraId="18F7961D">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5.1.3 法律和标准的变化</w:t>
      </w:r>
    </w:p>
    <w:p w14:paraId="5D19576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合同另有约定外，承包人完成设计工作所应遵守的法律规定，以及国家、行业和地方的规范和标准，均应视为在基准日期适用的版本。基准日期之后，前述版本发生重大变化，或者有新的法律，以及国家、行业和地方的规范和标准实施的，承包人应向工程师提出遵守新规定的建议。发包人或其委托的工程师应在收到建议后7天内发出是否遵守新规定的指示。如果该项建议构成变更的，按照第13.2款[承包人的合理化建议]的约定执行。</w:t>
      </w:r>
    </w:p>
    <w:p w14:paraId="71012CB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在基准日期之后，因国家颁布新的强制性规范、标准导致承包人的费用变化的，发包人应合理调整合同价格；导致工期延误的，发包人应合理延长工期。</w:t>
      </w:r>
    </w:p>
    <w:p w14:paraId="6738509F">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895" w:name="_Ref531953054"/>
      <w:bookmarkStart w:id="896" w:name="_Toc54862223"/>
      <w:bookmarkStart w:id="897" w:name="_Ref531953051"/>
      <w:r>
        <w:rPr>
          <w:rFonts w:hint="eastAsia" w:asciiTheme="minorEastAsia" w:hAnsiTheme="minorEastAsia" w:eastAsiaTheme="minorEastAsia" w:cstheme="minorEastAsia"/>
          <w:b w:val="0"/>
          <w:bCs/>
        </w:rPr>
        <w:t>5.2 承包人文件审查</w:t>
      </w:r>
      <w:bookmarkEnd w:id="895"/>
      <w:bookmarkEnd w:id="896"/>
      <w:bookmarkEnd w:id="897"/>
      <w:r>
        <w:rPr>
          <w:rFonts w:hint="eastAsia" w:asciiTheme="minorEastAsia" w:hAnsiTheme="minorEastAsia" w:eastAsiaTheme="minorEastAsia" w:cstheme="minorEastAsia"/>
          <w:b w:val="0"/>
          <w:bCs/>
        </w:rPr>
        <w:t xml:space="preserve"> </w:t>
      </w:r>
    </w:p>
    <w:p w14:paraId="04BCAF22">
      <w:pPr>
        <w:pStyle w:val="260"/>
        <w:numPr>
          <w:ilvl w:val="0"/>
          <w:numId w:val="0"/>
        </w:numPr>
        <w:spacing w:line="240" w:lineRule="auto"/>
        <w:outlineLvl w:val="4"/>
        <w:rPr>
          <w:rFonts w:hint="eastAsia" w:asciiTheme="minorEastAsia" w:hAnsiTheme="minorEastAsia" w:eastAsiaTheme="minorEastAsia" w:cstheme="minorEastAsia"/>
          <w:szCs w:val="24"/>
        </w:rPr>
      </w:pPr>
      <w:bookmarkStart w:id="898" w:name="_Ref531953064"/>
      <w:r>
        <w:rPr>
          <w:rFonts w:hint="eastAsia" w:asciiTheme="minorEastAsia" w:hAnsiTheme="minorEastAsia" w:eastAsiaTheme="minorEastAsia" w:cstheme="minorEastAsia"/>
          <w:szCs w:val="24"/>
        </w:rPr>
        <w:t>5.2.1 根据《发包人要求》应当通过工程师报发包人审查同意的承包人文件，承包人应当按照《发包人要求》约定的范围和内容及时报送审查。</w:t>
      </w:r>
      <w:bookmarkEnd w:id="898"/>
    </w:p>
    <w:p w14:paraId="100483C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自工程师收到承包人文件以及承包人的通知之日起，发包人对承包人文件审查期不超过21天。承包人的设计文件对于合同约定有偏离的，应在通知中说明。承包人需要修改已提交的承包人文件的，应立即通知工程师，并向工程师提交修改后的承包人文件，审查期重新起算。</w:t>
      </w:r>
    </w:p>
    <w:p w14:paraId="065A9B2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发包人同意承包人文件的，应及时通知承包人，发包人不同意承包人文件的，应在审查期限内通过工程师以书面形式通知承包人，并说明不同意的具体内容和理由。</w:t>
      </w:r>
    </w:p>
    <w:p w14:paraId="7AA14EE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承包人对发包人的意见按以下方式处理：</w:t>
      </w:r>
    </w:p>
    <w:p w14:paraId="155F68D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发包人的意见构成变更的，承包人应在7天内通知发包人按照第13条[变更与调整]中关于发包人指示变更的约定执行，双方对是否构成变更无法达成一致的，按照第20条[争议解决]的约定执行；</w:t>
      </w:r>
    </w:p>
    <w:p w14:paraId="720C0C5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因承包人原因导致无法通过审查的，承包人应根据发包人的书面说明，对承包人文件进行修改后重新报送发包人审查，审查期重新起算。因此引起的工期延长和必要的工程费用增加，由承包人负责。</w:t>
      </w:r>
    </w:p>
    <w:p w14:paraId="6DC2248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合同约定的审查期满，发包人没有做出审查结论也没有提出异议的，视为承包人文件已获发包人同意。</w:t>
      </w:r>
    </w:p>
    <w:p w14:paraId="02FD85E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发包人对承包人文件的审查和同意不得被理解为对合同的修改或改变，也并不减轻或免除承包人任何的责任和义务。</w:t>
      </w:r>
    </w:p>
    <w:p w14:paraId="7261DC38">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5.2.2 承包人文件不需要政府有关部门或专用合同条件约定的第三方审查单位审查或批准的，承包人应当严格按照经发包人审查同意的承包人文件设计和实施工程。</w:t>
      </w:r>
    </w:p>
    <w:p w14:paraId="357AA00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需要组织审查会议对承包人文件进行审查的，审查会议的审查形式、时间安排、费用承担，在专用合同条件中约定。发包人负责组织承包人文件审查会议，承包人有义务参加发包人组织的审查会议，向审查者介绍、解答、解释承包人文件，并提供有关补充资料。</w:t>
      </w:r>
    </w:p>
    <w:p w14:paraId="71B19AF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发包人有义务向承包人提供审查会议的批准文件和纪要。承包人有义务按照相关审查会议批准的文件和纪要，并依据合同约定及相关技术标准，对承包人文件进行修改、补充和完善。</w:t>
      </w:r>
    </w:p>
    <w:p w14:paraId="21BC32B1">
      <w:pPr>
        <w:pStyle w:val="260"/>
        <w:numPr>
          <w:ilvl w:val="0"/>
          <w:numId w:val="0"/>
        </w:numPr>
        <w:spacing w:line="240" w:lineRule="auto"/>
        <w:outlineLvl w:val="4"/>
        <w:rPr>
          <w:rFonts w:hint="eastAsia" w:asciiTheme="minorEastAsia" w:hAnsiTheme="minorEastAsia" w:eastAsiaTheme="minorEastAsia" w:cstheme="minorEastAsia"/>
          <w:szCs w:val="24"/>
        </w:rPr>
      </w:pPr>
      <w:bookmarkStart w:id="899" w:name="_Ref531953074"/>
      <w:r>
        <w:rPr>
          <w:rFonts w:hint="eastAsia" w:asciiTheme="minorEastAsia" w:hAnsiTheme="minorEastAsia" w:eastAsiaTheme="minorEastAsia" w:cstheme="minorEastAsia"/>
          <w:szCs w:val="24"/>
        </w:rPr>
        <w:t>5.2.3 承包人文件需政府有关部门或专用合同条件约定的第三方审查单位审查或批准的，发包人应在发包人审查同意承包人文件后7天内，向政府有关部门或第三方报送承包人文件，承包人应予以协助。</w:t>
      </w:r>
      <w:bookmarkEnd w:id="899"/>
    </w:p>
    <w:p w14:paraId="0201D70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对于政府有关部门或第三方审查单位的审查意见，不需要修改《发包人要求》的，承包人需按该审查意见修改承包人的设计文件；需要修改《发包人要求》的，承包人应按第13.2款[承包人的合理化建议]的约定执行。上述情形还应适用第5.1款[承包人的设计义务]和第13条[变更与调整]的有关约定。</w:t>
      </w:r>
    </w:p>
    <w:p w14:paraId="45ABE45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政府有关部门或第三方审查单位审查批准后，承包人应当严格按照批准后的承包人文件实施工程。政府有关部门或第三方审查单位批准时间较合同约定时间延长的，竣工日期相应顺延。因此给双方带来的费用增加，由双方在负责的范围内各自承担。</w:t>
      </w:r>
    </w:p>
    <w:p w14:paraId="30E3EFA7">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00" w:name="_Ref531953095"/>
      <w:bookmarkStart w:id="901" w:name="_Ref531953097"/>
      <w:bookmarkStart w:id="902" w:name="_Toc54862224"/>
      <w:r>
        <w:rPr>
          <w:rFonts w:hint="eastAsia" w:asciiTheme="minorEastAsia" w:hAnsiTheme="minorEastAsia" w:eastAsiaTheme="minorEastAsia" w:cstheme="minorEastAsia"/>
          <w:b w:val="0"/>
          <w:bCs/>
        </w:rPr>
        <w:t>5.3 培训</w:t>
      </w:r>
      <w:bookmarkEnd w:id="900"/>
      <w:bookmarkEnd w:id="901"/>
      <w:bookmarkEnd w:id="902"/>
    </w:p>
    <w:p w14:paraId="678E4A7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照《发包人要求》，对发包人的雇员或其它发包人指定的人员进行工程操作、维修或其它合同中约定的培训。合同约定接收之前进行培训的，应在第10.1款[竣工验收]约定的竣工验收前或试运行结束前完成培训。</w:t>
      </w:r>
    </w:p>
    <w:p w14:paraId="296F3A3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培训的时长应由双方在专用合同条件中约定，承包人应为培训提供有经验的人员、设施和其它必要条件。</w:t>
      </w:r>
    </w:p>
    <w:p w14:paraId="0F7B2DD7">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03" w:name="_Toc54862225"/>
      <w:bookmarkStart w:id="904" w:name="_Ref531953105"/>
      <w:bookmarkStart w:id="905" w:name="_Ref531953108"/>
      <w:r>
        <w:rPr>
          <w:rFonts w:hint="eastAsia" w:asciiTheme="minorEastAsia" w:hAnsiTheme="minorEastAsia" w:eastAsiaTheme="minorEastAsia" w:cstheme="minorEastAsia"/>
          <w:b w:val="0"/>
          <w:bCs/>
        </w:rPr>
        <w:t>5.4 竣工文件</w:t>
      </w:r>
      <w:bookmarkEnd w:id="903"/>
      <w:bookmarkEnd w:id="904"/>
      <w:bookmarkEnd w:id="905"/>
    </w:p>
    <w:p w14:paraId="3F33CBB9">
      <w:pPr>
        <w:pStyle w:val="260"/>
        <w:numPr>
          <w:ilvl w:val="0"/>
          <w:numId w:val="0"/>
        </w:numPr>
        <w:spacing w:line="240" w:lineRule="auto"/>
        <w:outlineLvl w:val="4"/>
        <w:rPr>
          <w:rFonts w:hint="eastAsia" w:asciiTheme="minorEastAsia" w:hAnsiTheme="minorEastAsia" w:eastAsiaTheme="minorEastAsia" w:cstheme="minorEastAsia"/>
          <w:szCs w:val="24"/>
        </w:rPr>
      </w:pPr>
      <w:bookmarkStart w:id="906" w:name="_Ref531953134"/>
      <w:r>
        <w:rPr>
          <w:rFonts w:hint="eastAsia" w:asciiTheme="minorEastAsia" w:hAnsiTheme="minorEastAsia" w:eastAsiaTheme="minorEastAsia" w:cstheme="minorEastAsia"/>
          <w:szCs w:val="24"/>
        </w:rPr>
        <w:t>5.4.1 承包人应编制并及时更新反映工程实施结果的竣工记录，如实记载竣工工程的确切位置、尺寸和已实施工作的详细说明。竣工文件的形式、技术标准以及其它相关内容应按照相关法律法规、行业标准与《发包人要求》执行。竣工记录应保存在施工现场，并在竣工试验开始前，按照专用合同条件约定的份数提交给工程师。</w:t>
      </w:r>
      <w:bookmarkEnd w:id="906"/>
    </w:p>
    <w:p w14:paraId="58A79A8C">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5.4.2 在颁发工程接收证书之前，承包人应按照《发包人要求》的份数和形式向工程师提交相应竣工图纸，并取得工程师对尺寸、参照系统及其他有关细节的认可。工程师应按照第5.2款[承包人文件审查]的约定进行审查。</w:t>
      </w:r>
    </w:p>
    <w:p w14:paraId="63A72B26">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5.4.3 除专用合同条件另有约定外，在工程师收到本款下的文件前，不应认为工程已根据第10.1款[竣工验收]和第10.2款[单位/区段工程的验收]的约定完成验收。</w:t>
      </w:r>
    </w:p>
    <w:p w14:paraId="5173E4B3">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07" w:name="_Ref531953119"/>
      <w:bookmarkStart w:id="908" w:name="_Toc54862226"/>
      <w:bookmarkStart w:id="909" w:name="_Ref531953117"/>
      <w:r>
        <w:rPr>
          <w:rFonts w:hint="eastAsia" w:asciiTheme="minorEastAsia" w:hAnsiTheme="minorEastAsia" w:eastAsiaTheme="minorEastAsia" w:cstheme="minorEastAsia"/>
          <w:b w:val="0"/>
          <w:bCs/>
        </w:rPr>
        <w:t>5.5 操作和维修手册</w:t>
      </w:r>
      <w:bookmarkEnd w:id="907"/>
      <w:bookmarkEnd w:id="908"/>
      <w:bookmarkEnd w:id="909"/>
    </w:p>
    <w:p w14:paraId="36320F59">
      <w:pPr>
        <w:pStyle w:val="260"/>
        <w:numPr>
          <w:ilvl w:val="0"/>
          <w:numId w:val="0"/>
        </w:numPr>
        <w:spacing w:line="240" w:lineRule="auto"/>
        <w:outlineLvl w:val="4"/>
        <w:rPr>
          <w:rFonts w:hint="eastAsia" w:asciiTheme="minorEastAsia" w:hAnsiTheme="minorEastAsia" w:eastAsiaTheme="minorEastAsia" w:cstheme="minorEastAsia"/>
          <w:szCs w:val="24"/>
        </w:rPr>
      </w:pPr>
      <w:bookmarkStart w:id="910" w:name="_Ref531953145"/>
      <w:r>
        <w:rPr>
          <w:rFonts w:hint="eastAsia" w:asciiTheme="minorEastAsia" w:hAnsiTheme="minorEastAsia" w:eastAsiaTheme="minorEastAsia" w:cstheme="minorEastAsia"/>
          <w:szCs w:val="24"/>
        </w:rPr>
        <w:t>5.5.1 在竣工试验开始前，承包人应向工程师提交暂行的操作和维修手册并负责及时更新，该手册应足够详细，以便发包人能够对工程设备进行操作、维修、拆卸、重新安装、调整及修理，以及实现《发包人要求》。同时，手册还应包含发包人未来可能需要的备品备件清单。</w:t>
      </w:r>
      <w:bookmarkEnd w:id="910"/>
    </w:p>
    <w:p w14:paraId="3A2B2B8E">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5.5.2 工程师收到承包人提交的文件后，应依据第5.2款[承包人文件审查]的约定对操作和维修手册进行审查，竣工试验工程中，承包人应为任何因操作和维修手册错误或遗漏引起的风险或损失承担责任。</w:t>
      </w:r>
    </w:p>
    <w:p w14:paraId="5733D5E0">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5.5.3 除专用合同条件另有约定外，承包人应提交足够详细的最终操作和维修手册，以及在《发包人要求》中明确的相关操作和维修手册。除专用合同条件另有约定外，在工程师收到上述文件前，不应认为工程已根据第10.1款[竣工验收]和第10.2款[单位/区段工程的验收]的约定完成验收。</w:t>
      </w:r>
    </w:p>
    <w:p w14:paraId="699390B4">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11" w:name="_Toc54862227"/>
      <w:r>
        <w:rPr>
          <w:rFonts w:hint="eastAsia" w:asciiTheme="minorEastAsia" w:hAnsiTheme="minorEastAsia" w:eastAsiaTheme="minorEastAsia" w:cstheme="minorEastAsia"/>
          <w:b w:val="0"/>
          <w:bCs/>
        </w:rPr>
        <w:t>5.6 承包人文件错误</w:t>
      </w:r>
      <w:bookmarkEnd w:id="911"/>
      <w:r>
        <w:rPr>
          <w:rFonts w:hint="eastAsia" w:asciiTheme="minorEastAsia" w:hAnsiTheme="minorEastAsia" w:eastAsiaTheme="minorEastAsia" w:cstheme="minorEastAsia"/>
          <w:b w:val="0"/>
          <w:bCs/>
        </w:rPr>
        <w:t xml:space="preserve"> </w:t>
      </w:r>
    </w:p>
    <w:p w14:paraId="7176206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文件存在错误、遗漏、含混、矛盾、不充分之处或其他缺陷，无论承包人是否根据本款获得了同意，承包人均应自费对前述问题带来的缺陷和工程问题进行改正，并按照第5.2款[承包人文件审查]的要求，重新送工程师审查，审查日期从工程师收到文件开始重新计算。因此款原因重新提交审查文件导致的工程延误和必要费用增加由承包人承担。《发包人要求》的错误导致承包人文件错误、遗漏、含混、矛盾、不充分或其他缺陷的除外。</w:t>
      </w:r>
    </w:p>
    <w:p w14:paraId="621F6A96">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912" w:name="_Ref531953761"/>
      <w:bookmarkStart w:id="913" w:name="_Toc54862228"/>
      <w:bookmarkStart w:id="914" w:name="_Ref531953765"/>
      <w:r>
        <w:rPr>
          <w:rFonts w:hint="eastAsia" w:asciiTheme="minorEastAsia" w:hAnsiTheme="minorEastAsia" w:eastAsiaTheme="minorEastAsia" w:cstheme="minorEastAsia"/>
          <w:b w:val="0"/>
          <w:bCs/>
          <w:kern w:val="0"/>
          <w:sz w:val="24"/>
          <w:szCs w:val="18"/>
        </w:rPr>
        <w:t>第6条 材料、工程设备</w:t>
      </w:r>
      <w:bookmarkEnd w:id="912"/>
      <w:bookmarkEnd w:id="913"/>
      <w:bookmarkEnd w:id="914"/>
    </w:p>
    <w:p w14:paraId="5E242D42">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15" w:name="_Ref531953832"/>
      <w:bookmarkStart w:id="916" w:name="_Ref531953828"/>
      <w:bookmarkStart w:id="917" w:name="_Toc54862229"/>
      <w:r>
        <w:rPr>
          <w:rFonts w:hint="eastAsia" w:asciiTheme="minorEastAsia" w:hAnsiTheme="minorEastAsia" w:eastAsiaTheme="minorEastAsia" w:cstheme="minorEastAsia"/>
          <w:b w:val="0"/>
          <w:bCs/>
        </w:rPr>
        <w:t>6.1 实施方法</w:t>
      </w:r>
      <w:bookmarkEnd w:id="915"/>
      <w:bookmarkEnd w:id="916"/>
      <w:bookmarkEnd w:id="917"/>
      <w:r>
        <w:rPr>
          <w:rFonts w:hint="eastAsia" w:asciiTheme="minorEastAsia" w:hAnsiTheme="minorEastAsia" w:eastAsiaTheme="minorEastAsia" w:cstheme="minorEastAsia"/>
          <w:b w:val="0"/>
          <w:bCs/>
        </w:rPr>
        <w:t xml:space="preserve"> </w:t>
      </w:r>
    </w:p>
    <w:p w14:paraId="614AEAA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承包人应按以下方法进行材料的加工、工程设备的采购、制造和安装、以及工程的所有其他实施作业：</w:t>
      </w:r>
    </w:p>
    <w:p w14:paraId="5F0D614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918" w:name="_Ref531953847"/>
      <w:r>
        <w:rPr>
          <w:rFonts w:hint="eastAsia" w:asciiTheme="minorEastAsia" w:hAnsiTheme="minorEastAsia" w:eastAsiaTheme="minorEastAsia" w:cstheme="minorEastAsia"/>
          <w:kern w:val="0"/>
          <w:sz w:val="24"/>
          <w:szCs w:val="24"/>
        </w:rPr>
        <w:t>（1） 按照法律规定和合同约定的方法；</w:t>
      </w:r>
      <w:bookmarkEnd w:id="918"/>
    </w:p>
    <w:p w14:paraId="5CA0B9A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按照公认的良好行业习惯，使用恰当、审慎、先进的方法；</w:t>
      </w:r>
    </w:p>
    <w:p w14:paraId="7C4074C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除专用合同条件另有规定外，应使用适当配备的实施方法、设备、设施和无危险的材料。</w:t>
      </w:r>
    </w:p>
    <w:p w14:paraId="7DAA63E4">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19" w:name="_Toc54862230"/>
      <w:bookmarkStart w:id="920" w:name="_Ref11926422"/>
      <w:bookmarkStart w:id="921" w:name="_Ref4427594"/>
      <w:r>
        <w:rPr>
          <w:rFonts w:hint="eastAsia" w:asciiTheme="minorEastAsia" w:hAnsiTheme="minorEastAsia" w:eastAsiaTheme="minorEastAsia" w:cstheme="minorEastAsia"/>
          <w:b w:val="0"/>
          <w:bCs/>
        </w:rPr>
        <w:t>6.2 材料和工程设备</w:t>
      </w:r>
      <w:bookmarkEnd w:id="919"/>
      <w:bookmarkEnd w:id="920"/>
    </w:p>
    <w:p w14:paraId="1D5F0D8A">
      <w:pPr>
        <w:pStyle w:val="260"/>
        <w:numPr>
          <w:ilvl w:val="0"/>
          <w:numId w:val="0"/>
        </w:numPr>
        <w:spacing w:line="240" w:lineRule="auto"/>
        <w:outlineLvl w:val="4"/>
        <w:rPr>
          <w:rFonts w:hint="eastAsia" w:asciiTheme="minorEastAsia" w:hAnsiTheme="minorEastAsia" w:eastAsiaTheme="minorEastAsia" w:cstheme="minorEastAsia"/>
          <w:szCs w:val="24"/>
        </w:rPr>
      </w:pPr>
      <w:bookmarkStart w:id="922" w:name="_Ref11960295"/>
      <w:r>
        <w:rPr>
          <w:rFonts w:hint="eastAsia" w:asciiTheme="minorEastAsia" w:hAnsiTheme="minorEastAsia" w:eastAsiaTheme="minorEastAsia" w:cstheme="minorEastAsia"/>
          <w:szCs w:val="24"/>
        </w:rPr>
        <w:t>6.2.1 发包人提供的材料和工程设备</w:t>
      </w:r>
      <w:bookmarkEnd w:id="921"/>
      <w:bookmarkEnd w:id="922"/>
    </w:p>
    <w:p w14:paraId="1242F3B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发包人自行供应材料、工程设备的，应在订立合同时在专用合同条件的附件《发包人供应材料设备一览表》中明确材料、工程设备的品种、规格、型号、主要参数、数量、单价、质量等级和交接地点等。</w:t>
      </w:r>
    </w:p>
    <w:p w14:paraId="25E4EC9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根据项目进度计划的安排，提前28天以书面形式通知工程师供应材料与工程设备的进场计划。承包人按照第8.4款[项目进度计划]约定修订项目进度计划时，需同时提交经修订后的发包人供应材料与工程设备的进场计划。发包人应按照上述进场计划，向承包人提交材料和工程设备。</w:t>
      </w:r>
    </w:p>
    <w:p w14:paraId="7A27FD9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在材料和工程设备到货7天前通知承包人，承包人应会同工程师在约定的时间内，赴交货地点共同进行验收。除专用合同条件另有约定外，发包人提供的材料和工程设备验收后，由承包人负责接收、运输和保管。</w:t>
      </w:r>
    </w:p>
    <w:p w14:paraId="39D75D4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需要对进场计划进行变更的，承包人不得拒绝，应根据第13条[变更与调整]的规定执行，并由发包人承担承包人由此增加的费用，以及引起的工期延误。承包人需要对进场计划进行变更的，应事先报请工程师批准，由此增加的费用和（或）工期延误由承包人承担。</w:t>
      </w:r>
    </w:p>
    <w:p w14:paraId="26EE9F7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发包人提供的材料和工程设备的规格、数量或质量不符合合同要求，或由于发包人原因发生交货日期延误及交货地点变更等情况的，发包人应承担由此增加的费用和（或）工期延误。</w:t>
      </w:r>
    </w:p>
    <w:p w14:paraId="7F2F7C88">
      <w:pPr>
        <w:pStyle w:val="260"/>
        <w:numPr>
          <w:ilvl w:val="0"/>
          <w:numId w:val="0"/>
        </w:numPr>
        <w:spacing w:line="240" w:lineRule="auto"/>
        <w:outlineLvl w:val="4"/>
        <w:rPr>
          <w:rFonts w:hint="eastAsia" w:asciiTheme="minorEastAsia" w:hAnsiTheme="minorEastAsia" w:eastAsiaTheme="minorEastAsia" w:cstheme="minorEastAsia"/>
          <w:szCs w:val="24"/>
        </w:rPr>
      </w:pPr>
      <w:bookmarkStart w:id="923" w:name="_Ref531953918"/>
      <w:r>
        <w:rPr>
          <w:rFonts w:hint="eastAsia" w:asciiTheme="minorEastAsia" w:hAnsiTheme="minorEastAsia" w:eastAsiaTheme="minorEastAsia" w:cstheme="minorEastAsia"/>
          <w:szCs w:val="24"/>
        </w:rPr>
        <w:t>6.2.2 承包人提供的材料和工程设备</w:t>
      </w:r>
      <w:bookmarkEnd w:id="923"/>
    </w:p>
    <w:p w14:paraId="39ED156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照专用合同条件的约定，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14:paraId="56F6081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照已被批准的第8.4款[项目进度计划]规定的数量要求及时间要求，负责组织材料和工程设备采购（包括备品备件、专用工具及厂商提供的技术文件），负责运抵现场。合同约定由承包人采购的材料、工程设备，除专用合同条件另有约定外，发包人不得指定生产厂家或供应商，发包人违反本款约定指定生产厂家或供应商的，承包人有权拒绝，并由发包人承担相应责任。</w:t>
      </w:r>
    </w:p>
    <w:p w14:paraId="77483C9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14:paraId="0AA440A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14:paraId="2A5FC489">
      <w:pPr>
        <w:pStyle w:val="260"/>
        <w:numPr>
          <w:ilvl w:val="0"/>
          <w:numId w:val="0"/>
        </w:numPr>
        <w:spacing w:line="240" w:lineRule="auto"/>
        <w:outlineLvl w:val="4"/>
        <w:rPr>
          <w:rFonts w:hint="eastAsia" w:asciiTheme="minorEastAsia" w:hAnsiTheme="minorEastAsia" w:eastAsiaTheme="minorEastAsia" w:cstheme="minorEastAsia"/>
          <w:szCs w:val="24"/>
        </w:rPr>
      </w:pPr>
      <w:bookmarkStart w:id="924" w:name="_Ref531953991"/>
      <w:bookmarkStart w:id="925" w:name="_Ref531953999"/>
      <w:r>
        <w:rPr>
          <w:rFonts w:hint="eastAsia" w:asciiTheme="minorEastAsia" w:hAnsiTheme="minorEastAsia" w:eastAsiaTheme="minorEastAsia" w:cstheme="minorEastAsia"/>
          <w:szCs w:val="24"/>
        </w:rPr>
        <w:t>6.2.3 材料和工程设备的保管</w:t>
      </w:r>
      <w:bookmarkEnd w:id="924"/>
      <w:bookmarkEnd w:id="925"/>
      <w:r>
        <w:rPr>
          <w:rFonts w:hint="eastAsia" w:asciiTheme="minorEastAsia" w:hAnsiTheme="minorEastAsia" w:eastAsiaTheme="minorEastAsia" w:cstheme="minorEastAsia"/>
          <w:szCs w:val="24"/>
        </w:rPr>
        <w:t xml:space="preserve"> </w:t>
      </w:r>
    </w:p>
    <w:p w14:paraId="4BB02B4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发包人供应材料与工程设备的保管与使用</w:t>
      </w:r>
    </w:p>
    <w:p w14:paraId="7DED16A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发包人供应的材料和工程设备，承包人清点并接收后由承包人妥善保管，保管费用由承包人承担，但专用合同条件另有约定除外。因承包人原因发生丢失毁损的，由承包人负责赔偿。</w:t>
      </w:r>
    </w:p>
    <w:p w14:paraId="34F06F5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发包人供应的材料和工程设备使用前，由承包人负责必要的检验，检验费用由发包人承担，不合格的不得使用。</w:t>
      </w:r>
    </w:p>
    <w:p w14:paraId="28C5090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承包人采购材料与工程设备的保管与使用</w:t>
      </w:r>
    </w:p>
    <w:p w14:paraId="611C186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14:paraId="0FCE101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工程师发现承包人使用不符合设计或有关标准要求的材料和工程设备时，有权要求承包人进行修复、拆除或重新采购，由此增加的费用和（或）延误的工期，由承包人承担。</w:t>
      </w:r>
    </w:p>
    <w:p w14:paraId="5E2907E5">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6.2.4 材料和工程设备的所有权</w:t>
      </w:r>
    </w:p>
    <w:p w14:paraId="2BCF867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本合同另有约定外，承包人根据第6.2.2项[承包人提供的材料和工程设备]约定提供的材料和工程设备后，材料及工程设备的价款应列入第14.3.1项第（2）目的进度款金额中，发包人支付当期进度款之后，其所有权转为发包人所有（周转性材料除外）；在发包人接收工程前，承包人有义务对材料和工程设备进行保管、维护和保养，未经发包人批准不得运出现场。</w:t>
      </w:r>
    </w:p>
    <w:p w14:paraId="1B841AD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承包人按第6.2.2项提供的材料和工程设备，承包人应确保发包人取得无权利负担的材料及工程设备所有权，因承包人与第三人的物权争议导致的增加的费用和（或）延误的工期，由承包人承担。</w:t>
      </w:r>
    </w:p>
    <w:p w14:paraId="678B3265">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26" w:name="_Ref4428239"/>
      <w:bookmarkStart w:id="927" w:name="_Toc54862231"/>
      <w:bookmarkStart w:id="928" w:name="_Toc351203565"/>
      <w:bookmarkStart w:id="929" w:name="_Toc337558785"/>
      <w:r>
        <w:rPr>
          <w:rFonts w:hint="eastAsia" w:asciiTheme="minorEastAsia" w:hAnsiTheme="minorEastAsia" w:eastAsiaTheme="minorEastAsia" w:cstheme="minorEastAsia"/>
          <w:b w:val="0"/>
          <w:bCs/>
        </w:rPr>
        <w:t>6.3 样品</w:t>
      </w:r>
      <w:bookmarkEnd w:id="926"/>
      <w:bookmarkEnd w:id="927"/>
    </w:p>
    <w:p w14:paraId="5C213DE9">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6.3.1 样品的报送与封存</w:t>
      </w:r>
    </w:p>
    <w:p w14:paraId="2A2D671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需要承包人报送样品的材料或工程设备，样品的种类、名称、规格、数量等要求均应在专用合同条件中约定。样品的报送程序如下：</w:t>
      </w:r>
    </w:p>
    <w:p w14:paraId="4E47BFC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应在计划采购前28天向工程师报送样品。承包人报送的样品均应来自供应材料的实际生产地，且提供的样品的规格、数量足以表明材料或工程设备的质量、型号、颜色、表面处理、质地、误差和其他要求的特征。</w:t>
      </w:r>
    </w:p>
    <w:p w14:paraId="7B9208F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每次报送样品时应随附申报单，申报单应载明报送样品的相关数据和资料，并标明每件样品对应的图纸号，预留工程师审批意见栏。工程师应在收到承包人报送的样品后7天向承包人回复经发包人签认的样品审批意见。</w:t>
      </w:r>
    </w:p>
    <w:p w14:paraId="03B2549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经工程师审批确认的样品应按约定的方法封样，封存的样品作为检验工程相关部分的标准之一。承包人在施工过程中不得使用与样品不符的材料或工程设备。</w:t>
      </w:r>
    </w:p>
    <w:p w14:paraId="3BC4BFF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2FD94F7C">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6.3.2 样品的保管</w:t>
      </w:r>
    </w:p>
    <w:p w14:paraId="7D0F31D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经批准的样品应由工程师负责封存于现场，承包人应在现场为保存样品提供适当和固定的场所并保持适当和良好的存储环境条件。</w:t>
      </w:r>
    </w:p>
    <w:p w14:paraId="5245BF45">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30" w:name="_Toc54862232"/>
      <w:bookmarkStart w:id="931" w:name="_Ref11959210"/>
      <w:bookmarkStart w:id="932" w:name="_Ref11959204"/>
      <w:r>
        <w:rPr>
          <w:rFonts w:hint="eastAsia" w:asciiTheme="minorEastAsia" w:hAnsiTheme="minorEastAsia" w:eastAsiaTheme="minorEastAsia" w:cstheme="minorEastAsia"/>
          <w:b w:val="0"/>
          <w:bCs/>
        </w:rPr>
        <w:t>6.4 质量检查</w:t>
      </w:r>
      <w:bookmarkEnd w:id="930"/>
      <w:bookmarkEnd w:id="931"/>
      <w:bookmarkEnd w:id="932"/>
    </w:p>
    <w:p w14:paraId="1C567D8F">
      <w:pPr>
        <w:pStyle w:val="260"/>
        <w:numPr>
          <w:ilvl w:val="0"/>
          <w:numId w:val="0"/>
        </w:numPr>
        <w:spacing w:line="240" w:lineRule="auto"/>
        <w:outlineLvl w:val="4"/>
        <w:rPr>
          <w:rFonts w:hint="eastAsia" w:asciiTheme="minorEastAsia" w:hAnsiTheme="minorEastAsia" w:eastAsiaTheme="minorEastAsia" w:cstheme="minorEastAsia"/>
          <w:szCs w:val="24"/>
        </w:rPr>
      </w:pPr>
      <w:bookmarkStart w:id="933" w:name="_Ref18990699"/>
      <w:r>
        <w:rPr>
          <w:rFonts w:hint="eastAsia" w:asciiTheme="minorEastAsia" w:hAnsiTheme="minorEastAsia" w:eastAsiaTheme="minorEastAsia" w:cstheme="minorEastAsia"/>
          <w:szCs w:val="24"/>
        </w:rPr>
        <w:t>6.4.1 工程质量要求</w:t>
      </w:r>
      <w:bookmarkEnd w:id="933"/>
    </w:p>
    <w:p w14:paraId="7C3D52B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工程质量标准必须符合现行国家有关工程施工质量验收规范和标准的要求。有关工程质量的特殊标准或要求由合同当事人在专用合同条件中约定。</w:t>
      </w:r>
    </w:p>
    <w:p w14:paraId="0160A57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w:t>
      </w:r>
    </w:p>
    <w:p w14:paraId="3180FC1F">
      <w:pPr>
        <w:pStyle w:val="260"/>
        <w:numPr>
          <w:ilvl w:val="0"/>
          <w:numId w:val="0"/>
        </w:numPr>
        <w:spacing w:line="240" w:lineRule="auto"/>
        <w:outlineLvl w:val="4"/>
        <w:rPr>
          <w:rFonts w:hint="eastAsia" w:asciiTheme="minorEastAsia" w:hAnsiTheme="minorEastAsia" w:eastAsiaTheme="minorEastAsia" w:cstheme="minorEastAsia"/>
          <w:szCs w:val="24"/>
        </w:rPr>
      </w:pPr>
      <w:bookmarkStart w:id="934" w:name="_Ref18990717"/>
      <w:r>
        <w:rPr>
          <w:rFonts w:hint="eastAsia" w:asciiTheme="minorEastAsia" w:hAnsiTheme="minorEastAsia" w:eastAsiaTheme="minorEastAsia" w:cstheme="minorEastAsia"/>
          <w:szCs w:val="24"/>
        </w:rPr>
        <w:t>6.4.2 质量检查</w:t>
      </w:r>
      <w:bookmarkEnd w:id="934"/>
    </w:p>
    <w:p w14:paraId="0033092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察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14:paraId="5A739485">
      <w:pPr>
        <w:pStyle w:val="260"/>
        <w:numPr>
          <w:ilvl w:val="0"/>
          <w:numId w:val="0"/>
        </w:numPr>
        <w:spacing w:line="240" w:lineRule="auto"/>
        <w:outlineLvl w:val="4"/>
        <w:rPr>
          <w:rFonts w:hint="eastAsia" w:asciiTheme="minorEastAsia" w:hAnsiTheme="minorEastAsia" w:eastAsiaTheme="minorEastAsia" w:cstheme="minorEastAsia"/>
          <w:szCs w:val="24"/>
        </w:rPr>
      </w:pPr>
      <w:bookmarkStart w:id="935" w:name="_Ref11959222"/>
      <w:r>
        <w:rPr>
          <w:rFonts w:hint="eastAsia" w:asciiTheme="minorEastAsia" w:hAnsiTheme="minorEastAsia" w:eastAsiaTheme="minorEastAsia" w:cstheme="minorEastAsia"/>
          <w:szCs w:val="24"/>
        </w:rPr>
        <w:t>6.4.3 隐蔽工程检查</w:t>
      </w:r>
      <w:bookmarkEnd w:id="935"/>
    </w:p>
    <w:p w14:paraId="5025B07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14:paraId="7CCEF37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14:paraId="38DD940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工程师不能按时进行检查的，应提前向承包人提交书面延期要求，顺延时间不得超过48小时，由此导致工期延误的，工期应予以顺延，顺延超过48小时的，由此导致的工期延误及费用增加由发包人承担。工程师未按时进行检查，也未提出延期要求的，视为隐蔽工程检查合格，承包人可自行完成覆盖工作，并作相应记录报送工程师，工程师应签字确认。工程师事后对检查记录有疑问的，可按下列约定重新检查。</w:t>
      </w:r>
    </w:p>
    <w:p w14:paraId="332E529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766F8E0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承包人未通知工程师到场检查，私自将工程隐蔽部位覆盖的，工程师有权指示承包人钻孔探测或揭开检查，无论工程隐蔽部位质量是否合格，由此增加的费用和（或）延误的工期均由承包人承担。</w:t>
      </w:r>
    </w:p>
    <w:bookmarkEnd w:id="928"/>
    <w:p w14:paraId="4076924E">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36" w:name="_Ref11927403"/>
      <w:bookmarkStart w:id="937" w:name="_Ref11927389"/>
      <w:bookmarkStart w:id="938" w:name="_Ref11927398"/>
      <w:bookmarkStart w:id="939" w:name="_Toc54862233"/>
      <w:bookmarkStart w:id="940" w:name="_Ref11959175"/>
      <w:bookmarkStart w:id="941" w:name="_Ref11959158"/>
      <w:r>
        <w:rPr>
          <w:rFonts w:hint="eastAsia" w:asciiTheme="minorEastAsia" w:hAnsiTheme="minorEastAsia" w:eastAsiaTheme="minorEastAsia" w:cstheme="minorEastAsia"/>
          <w:b w:val="0"/>
          <w:bCs/>
        </w:rPr>
        <w:t>6.5 由承包人试验</w:t>
      </w:r>
      <w:bookmarkEnd w:id="936"/>
      <w:bookmarkEnd w:id="937"/>
      <w:bookmarkEnd w:id="938"/>
      <w:r>
        <w:rPr>
          <w:rFonts w:hint="eastAsia" w:asciiTheme="minorEastAsia" w:hAnsiTheme="minorEastAsia" w:eastAsiaTheme="minorEastAsia" w:cstheme="minorEastAsia"/>
          <w:b w:val="0"/>
          <w:bCs/>
        </w:rPr>
        <w:t>和检验</w:t>
      </w:r>
      <w:bookmarkEnd w:id="939"/>
      <w:bookmarkEnd w:id="940"/>
      <w:bookmarkEnd w:id="941"/>
    </w:p>
    <w:bookmarkEnd w:id="929"/>
    <w:p w14:paraId="136F4C18">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6.5.1 试验设备与试验人员</w:t>
      </w:r>
    </w:p>
    <w:p w14:paraId="1F68BF9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14:paraId="30A2041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承包人应按专用合同条件约定的试验内容、时间和地点提供试验设备、取样装置、试验场所和试验条件，并向工程师提交相应进场计划表。</w:t>
      </w:r>
    </w:p>
    <w:p w14:paraId="468EC90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承包人配置的试验设备要符合相应试验规程的要求并经过具有资质的检测单位检测，且在正式使用该试验设备前，需要经过工程师与承包人共同校定。</w:t>
      </w:r>
    </w:p>
    <w:p w14:paraId="79E00C0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承包人应向工程师提交试验人员的名单及其岗位、资格等证明资料，试验人员必须能够熟练进行相应的检测试验，承包人对试验人员的试验程序和试验结果的正确性负责。</w:t>
      </w:r>
    </w:p>
    <w:p w14:paraId="39EA11D6">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6.5.2 取样</w:t>
      </w:r>
    </w:p>
    <w:p w14:paraId="36BB255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试验属于自检性质的，承包人可以单独取样。试验属于工程师抽检性质的，可由工程师取样，也可由承包人的试验人员在工程师的监督下取样。</w:t>
      </w:r>
    </w:p>
    <w:p w14:paraId="7F41A11A">
      <w:pPr>
        <w:pStyle w:val="260"/>
        <w:numPr>
          <w:ilvl w:val="0"/>
          <w:numId w:val="0"/>
        </w:numPr>
        <w:spacing w:line="240" w:lineRule="auto"/>
        <w:outlineLvl w:val="9"/>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6.5.3 材料、工程设备和工程的试验和检验</w:t>
      </w:r>
    </w:p>
    <w:p w14:paraId="325BA37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14:paraId="70E1FC0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14:paraId="2BB6BCA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7E7658BE">
      <w:pPr>
        <w:pStyle w:val="260"/>
        <w:numPr>
          <w:ilvl w:val="0"/>
          <w:numId w:val="0"/>
        </w:numPr>
        <w:spacing w:line="240" w:lineRule="auto"/>
        <w:outlineLvl w:val="4"/>
        <w:rPr>
          <w:rFonts w:hint="eastAsia" w:asciiTheme="minorEastAsia" w:hAnsiTheme="minorEastAsia" w:eastAsiaTheme="minorEastAsia" w:cstheme="minorEastAsia"/>
          <w:szCs w:val="24"/>
        </w:rPr>
      </w:pPr>
      <w:bookmarkStart w:id="942" w:name="_Toc351203566"/>
      <w:bookmarkStart w:id="943" w:name="_Toc337558786"/>
      <w:r>
        <w:rPr>
          <w:rFonts w:hint="eastAsia" w:asciiTheme="minorEastAsia" w:hAnsiTheme="minorEastAsia" w:eastAsiaTheme="minorEastAsia" w:cstheme="minorEastAsia"/>
          <w:szCs w:val="24"/>
        </w:rPr>
        <w:t>6.5.4 现场工艺试验</w:t>
      </w:r>
      <w:bookmarkEnd w:id="942"/>
    </w:p>
    <w:bookmarkEnd w:id="943"/>
    <w:p w14:paraId="55CFB7D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承包人应按合同约定进行现场工艺试验。对大型的现场工艺试验，发包人认为必要时，承包人应根据发包人提出的工艺试验要求，编制工艺试验措施计划，报送发包人审查。</w:t>
      </w:r>
    </w:p>
    <w:p w14:paraId="0FE015FF">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44" w:name="_Ref532592787"/>
      <w:bookmarkStart w:id="945" w:name="_Ref532592784"/>
      <w:bookmarkStart w:id="946" w:name="_Toc54862234"/>
      <w:r>
        <w:rPr>
          <w:rFonts w:hint="eastAsia" w:asciiTheme="minorEastAsia" w:hAnsiTheme="minorEastAsia" w:eastAsiaTheme="minorEastAsia" w:cstheme="minorEastAsia"/>
          <w:b w:val="0"/>
          <w:bCs/>
        </w:rPr>
        <w:t>6.6 缺陷和修补</w:t>
      </w:r>
      <w:bookmarkEnd w:id="944"/>
      <w:bookmarkEnd w:id="945"/>
      <w:bookmarkEnd w:id="946"/>
    </w:p>
    <w:p w14:paraId="707F69A0">
      <w:pPr>
        <w:pStyle w:val="260"/>
        <w:numPr>
          <w:ilvl w:val="0"/>
          <w:numId w:val="0"/>
        </w:numPr>
        <w:spacing w:line="240" w:lineRule="auto"/>
        <w:outlineLvl w:val="4"/>
        <w:rPr>
          <w:rFonts w:hint="eastAsia" w:asciiTheme="minorEastAsia" w:hAnsiTheme="minorEastAsia" w:eastAsiaTheme="minorEastAsia" w:cstheme="minorEastAsia"/>
          <w:szCs w:val="24"/>
        </w:rPr>
      </w:pPr>
      <w:bookmarkStart w:id="947" w:name="_Ref16875551"/>
      <w:r>
        <w:rPr>
          <w:rFonts w:hint="eastAsia" w:asciiTheme="minorEastAsia" w:hAnsiTheme="minorEastAsia" w:eastAsiaTheme="minorEastAsia" w:cstheme="minorEastAsia"/>
          <w:szCs w:val="24"/>
        </w:rPr>
        <w:t>6.6.1 发包人可在颁发接收证书前随时指示承包人：</w:t>
      </w:r>
      <w:bookmarkEnd w:id="947"/>
    </w:p>
    <w:p w14:paraId="5DDFEBE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对不符合合同要求的任何工程设备或材料进行修补，或者将其移出现场并进行更换；</w:t>
      </w:r>
    </w:p>
    <w:p w14:paraId="523F28D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（2） 对不符合合同的其他工作进行修补，或者将其去除并重新实施； </w:t>
      </w:r>
    </w:p>
    <w:p w14:paraId="3FE82D1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948" w:name="_Ref4708991"/>
      <w:r>
        <w:rPr>
          <w:rFonts w:hint="eastAsia" w:asciiTheme="minorEastAsia" w:hAnsiTheme="minorEastAsia" w:eastAsiaTheme="minorEastAsia" w:cstheme="minorEastAsia"/>
          <w:kern w:val="0"/>
          <w:sz w:val="24"/>
          <w:szCs w:val="24"/>
        </w:rPr>
        <w:t>（3） 实施因意外、不可预见的事件或其他原因引起的、为工程的安全迫切需要的任何修补工作。</w:t>
      </w:r>
      <w:bookmarkEnd w:id="948"/>
    </w:p>
    <w:p w14:paraId="107D2960">
      <w:pPr>
        <w:pStyle w:val="260"/>
        <w:numPr>
          <w:ilvl w:val="0"/>
          <w:numId w:val="0"/>
        </w:numPr>
        <w:spacing w:line="240" w:lineRule="auto"/>
        <w:outlineLvl w:val="4"/>
        <w:rPr>
          <w:rFonts w:hint="eastAsia" w:asciiTheme="minorEastAsia" w:hAnsiTheme="minorEastAsia" w:eastAsiaTheme="minorEastAsia" w:cstheme="minorEastAsia"/>
          <w:szCs w:val="24"/>
        </w:rPr>
      </w:pPr>
      <w:bookmarkStart w:id="949" w:name="_Ref11956964"/>
      <w:r>
        <w:rPr>
          <w:rFonts w:hint="eastAsia" w:asciiTheme="minorEastAsia" w:hAnsiTheme="minorEastAsia" w:eastAsiaTheme="minorEastAsia" w:cstheme="minorEastAsia"/>
          <w:szCs w:val="24"/>
        </w:rPr>
        <w:t>6.6.2 承包人应遵守第6.6.1项下指示，并在合理可行的情况下，根据上述指示中规定的时间完成修补工作。除因下列原因引起的第6.6.1项第（3）目下的情形外，承包人应承担所有修补工作的费用：</w:t>
      </w:r>
      <w:bookmarkEnd w:id="949"/>
    </w:p>
    <w:p w14:paraId="01C6FD0D">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因发包人或其人员的任何行为导致的情形，且在此情况下发包人应承担因此引起的工期延误和承包人费用损失。</w:t>
      </w:r>
    </w:p>
    <w:p w14:paraId="0ED239DD">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第17.4款[不可抗力后果的承担]中适用的不可抗力事件的情形。</w:t>
      </w:r>
    </w:p>
    <w:p w14:paraId="6C644489">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6.6.3 如果承包人未能遵守发包人的指示，发包人可以自行决定请第三方完成上述修补工作，并有权要求承包人支付因未履行指示而产生的所有费用，但承包人根据第6.6.2项有权就修补工作获得支付的情况除外。</w:t>
      </w:r>
    </w:p>
    <w:p w14:paraId="394E588E">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950" w:name="_Toc54862235"/>
      <w:bookmarkStart w:id="951" w:name="_Ref531954214"/>
      <w:r>
        <w:rPr>
          <w:rFonts w:hint="eastAsia" w:asciiTheme="minorEastAsia" w:hAnsiTheme="minorEastAsia" w:eastAsiaTheme="minorEastAsia" w:cstheme="minorEastAsia"/>
          <w:b w:val="0"/>
          <w:bCs/>
          <w:kern w:val="0"/>
          <w:sz w:val="24"/>
          <w:szCs w:val="18"/>
        </w:rPr>
        <w:t>第7条 施工</w:t>
      </w:r>
      <w:bookmarkEnd w:id="950"/>
      <w:bookmarkEnd w:id="951"/>
    </w:p>
    <w:p w14:paraId="7BD2E5AB">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52" w:name="_Ref531954276"/>
      <w:bookmarkStart w:id="953" w:name="_Toc54862236"/>
      <w:bookmarkStart w:id="954" w:name="_Ref531954272"/>
      <w:bookmarkStart w:id="955" w:name="_Ref531954246"/>
      <w:bookmarkStart w:id="956" w:name="_Ref531954260"/>
      <w:r>
        <w:rPr>
          <w:rFonts w:hint="eastAsia" w:asciiTheme="minorEastAsia" w:hAnsiTheme="minorEastAsia" w:eastAsiaTheme="minorEastAsia" w:cstheme="minorEastAsia"/>
          <w:b w:val="0"/>
          <w:bCs/>
        </w:rPr>
        <w:t>7.1 交通运输</w:t>
      </w:r>
      <w:bookmarkEnd w:id="952"/>
      <w:bookmarkEnd w:id="953"/>
      <w:bookmarkEnd w:id="954"/>
      <w:r>
        <w:rPr>
          <w:rFonts w:hint="eastAsia" w:asciiTheme="minorEastAsia" w:hAnsiTheme="minorEastAsia" w:eastAsiaTheme="minorEastAsia" w:cstheme="minorEastAsia"/>
          <w:b w:val="0"/>
          <w:bCs/>
        </w:rPr>
        <w:t xml:space="preserve"> </w:t>
      </w:r>
    </w:p>
    <w:p w14:paraId="776C9D94">
      <w:pPr>
        <w:pStyle w:val="260"/>
        <w:numPr>
          <w:ilvl w:val="0"/>
          <w:numId w:val="0"/>
        </w:numPr>
        <w:spacing w:line="240" w:lineRule="auto"/>
        <w:outlineLvl w:val="4"/>
        <w:rPr>
          <w:rFonts w:hint="eastAsia" w:asciiTheme="minorEastAsia" w:hAnsiTheme="minorEastAsia" w:eastAsiaTheme="minorEastAsia" w:cstheme="minorEastAsia"/>
          <w:szCs w:val="24"/>
        </w:rPr>
      </w:pPr>
      <w:bookmarkStart w:id="957" w:name="_Ref4422645"/>
      <w:r>
        <w:rPr>
          <w:rFonts w:hint="eastAsia" w:asciiTheme="minorEastAsia" w:hAnsiTheme="minorEastAsia" w:eastAsiaTheme="minorEastAsia" w:cstheme="minorEastAsia"/>
          <w:szCs w:val="24"/>
        </w:rPr>
        <w:t>7.1.1 出入现场的权利</w:t>
      </w:r>
      <w:bookmarkEnd w:id="957"/>
    </w:p>
    <w:p w14:paraId="3BEEC83C">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14:paraId="4D5BB339">
      <w:pPr>
        <w:pStyle w:val="260"/>
        <w:numPr>
          <w:ilvl w:val="0"/>
          <w:numId w:val="0"/>
        </w:numPr>
        <w:spacing w:line="240" w:lineRule="auto"/>
        <w:outlineLvl w:val="4"/>
        <w:rPr>
          <w:rFonts w:hint="eastAsia" w:asciiTheme="minorEastAsia" w:hAnsiTheme="minorEastAsia" w:eastAsiaTheme="minorEastAsia" w:cstheme="minorEastAsia"/>
          <w:szCs w:val="24"/>
        </w:rPr>
      </w:pPr>
      <w:bookmarkStart w:id="958" w:name="_Ref18957045"/>
      <w:r>
        <w:rPr>
          <w:rFonts w:hint="eastAsia" w:asciiTheme="minorEastAsia" w:hAnsiTheme="minorEastAsia" w:eastAsiaTheme="minorEastAsia" w:cstheme="minorEastAsia"/>
          <w:szCs w:val="24"/>
        </w:rPr>
        <w:t>7.1.2 场外交通</w:t>
      </w:r>
      <w:bookmarkEnd w:id="958"/>
    </w:p>
    <w:p w14:paraId="0509AFB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14:paraId="269BC16B">
      <w:pPr>
        <w:pStyle w:val="260"/>
        <w:numPr>
          <w:ilvl w:val="0"/>
          <w:numId w:val="0"/>
        </w:numPr>
        <w:spacing w:line="240" w:lineRule="auto"/>
        <w:outlineLvl w:val="4"/>
        <w:rPr>
          <w:rFonts w:hint="eastAsia" w:asciiTheme="minorEastAsia" w:hAnsiTheme="minorEastAsia" w:eastAsiaTheme="minorEastAsia" w:cstheme="minorEastAsia"/>
          <w:szCs w:val="24"/>
        </w:rPr>
      </w:pPr>
      <w:bookmarkStart w:id="959" w:name="_Ref4622358"/>
      <w:r>
        <w:rPr>
          <w:rFonts w:hint="eastAsia" w:asciiTheme="minorEastAsia" w:hAnsiTheme="minorEastAsia" w:eastAsiaTheme="minorEastAsia" w:cstheme="minorEastAsia"/>
          <w:szCs w:val="24"/>
        </w:rPr>
        <w:t>7.1.3 场内交通</w:t>
      </w:r>
      <w:bookmarkEnd w:id="959"/>
    </w:p>
    <w:p w14:paraId="07235EA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承包人应负责修建、维修、养护和管理施工所需的临时道路和交通设施，包括维修、养护和管理发包人提供的道路和交通设施，并承担相应费用。承包人修建的临时道路和交通设施应免费提供发包人和工程师为实现合同目的使用。场内交通与场外交通的边界由合同当事人在专用合同条件中约定。</w:t>
      </w:r>
    </w:p>
    <w:p w14:paraId="5BAFB2EA">
      <w:pPr>
        <w:pStyle w:val="260"/>
        <w:numPr>
          <w:ilvl w:val="0"/>
          <w:numId w:val="0"/>
        </w:numPr>
        <w:spacing w:line="240" w:lineRule="auto"/>
        <w:outlineLvl w:val="4"/>
        <w:rPr>
          <w:rFonts w:hint="eastAsia" w:asciiTheme="minorEastAsia" w:hAnsiTheme="minorEastAsia" w:eastAsiaTheme="minorEastAsia" w:cstheme="minorEastAsia"/>
          <w:szCs w:val="24"/>
        </w:rPr>
      </w:pPr>
      <w:bookmarkStart w:id="960" w:name="_Ref4622376"/>
      <w:r>
        <w:rPr>
          <w:rFonts w:hint="eastAsia" w:asciiTheme="minorEastAsia" w:hAnsiTheme="minorEastAsia" w:eastAsiaTheme="minorEastAsia" w:cstheme="minorEastAsia"/>
          <w:szCs w:val="24"/>
        </w:rPr>
        <w:t>7.1.4 超大件和超重件的运输</w:t>
      </w:r>
      <w:bookmarkEnd w:id="960"/>
    </w:p>
    <w:p w14:paraId="2A2C880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14:paraId="0FE26E0E">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7.1.5 道路和桥梁的损坏责任</w:t>
      </w:r>
    </w:p>
    <w:p w14:paraId="002B861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因承包人运输造成施工现场内外公共道路和桥梁损坏的，由承包人承担修复损坏的全部费用和可能引起的赔偿。</w:t>
      </w:r>
    </w:p>
    <w:p w14:paraId="70AB9FF2">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7.1.6 水路和航空运输</w:t>
      </w:r>
    </w:p>
    <w:p w14:paraId="081E059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本条上述各款的内容适用于水路运输和航空运输，其中“道路”一词的涵义包括河道、航线、船闸、机场、码头、堤防以及水路或航空运输中其他相似结构物；“车辆”一词的涵义包括船舶和飞机等。</w:t>
      </w:r>
    </w:p>
    <w:p w14:paraId="539DC40B">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61" w:name="_Ref11919294"/>
      <w:bookmarkStart w:id="962" w:name="_Toc54862237"/>
      <w:bookmarkStart w:id="963" w:name="_Ref11919459"/>
      <w:r>
        <w:rPr>
          <w:rFonts w:hint="eastAsia" w:asciiTheme="minorEastAsia" w:hAnsiTheme="minorEastAsia" w:eastAsiaTheme="minorEastAsia" w:cstheme="minorEastAsia"/>
          <w:b w:val="0"/>
          <w:bCs/>
        </w:rPr>
        <w:t>7.2 施工设备和临时设施</w:t>
      </w:r>
      <w:bookmarkEnd w:id="955"/>
      <w:bookmarkEnd w:id="956"/>
      <w:bookmarkEnd w:id="961"/>
      <w:bookmarkEnd w:id="962"/>
      <w:bookmarkEnd w:id="963"/>
      <w:r>
        <w:rPr>
          <w:rFonts w:hint="eastAsia" w:asciiTheme="minorEastAsia" w:hAnsiTheme="minorEastAsia" w:eastAsiaTheme="minorEastAsia" w:cstheme="minorEastAsia"/>
          <w:b w:val="0"/>
          <w:bCs/>
        </w:rPr>
        <w:t xml:space="preserve"> </w:t>
      </w:r>
    </w:p>
    <w:p w14:paraId="00198F66">
      <w:pPr>
        <w:pStyle w:val="260"/>
        <w:numPr>
          <w:ilvl w:val="0"/>
          <w:numId w:val="0"/>
        </w:numPr>
        <w:spacing w:line="240" w:lineRule="auto"/>
        <w:outlineLvl w:val="4"/>
        <w:rPr>
          <w:rFonts w:hint="eastAsia" w:asciiTheme="minorEastAsia" w:hAnsiTheme="minorEastAsia" w:eastAsiaTheme="minorEastAsia" w:cstheme="minorEastAsia"/>
          <w:szCs w:val="24"/>
        </w:rPr>
      </w:pPr>
      <w:bookmarkStart w:id="964" w:name="_Ref18990767"/>
      <w:bookmarkStart w:id="965" w:name="_Ref509043186"/>
      <w:r>
        <w:rPr>
          <w:rFonts w:hint="eastAsia" w:asciiTheme="minorEastAsia" w:hAnsiTheme="minorEastAsia" w:eastAsiaTheme="minorEastAsia" w:cstheme="minorEastAsia"/>
          <w:szCs w:val="24"/>
        </w:rPr>
        <w:t>7.2.1 承包人提供的施工设备和临时设施</w:t>
      </w:r>
      <w:bookmarkEnd w:id="964"/>
    </w:p>
    <w:p w14:paraId="45A1990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14:paraId="233045C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承包人应自行承担修建临时设施的费用，需要临时占地的，应由发包人办理申请手续并承担相应费用。承包人应在专用合同条件7.2款约定的时间内向发包人提交临时占地资料，因承包人未能按时提交资料，导致工期延误的，由此增加的费用和（或）竣工日期延误，由承包人负责。</w:t>
      </w:r>
    </w:p>
    <w:bookmarkEnd w:id="965"/>
    <w:p w14:paraId="3E2400D5">
      <w:pPr>
        <w:pStyle w:val="260"/>
        <w:numPr>
          <w:ilvl w:val="0"/>
          <w:numId w:val="0"/>
        </w:numPr>
        <w:spacing w:line="240" w:lineRule="auto"/>
        <w:outlineLvl w:val="4"/>
        <w:rPr>
          <w:rFonts w:hint="eastAsia" w:asciiTheme="minorEastAsia" w:hAnsiTheme="minorEastAsia" w:eastAsiaTheme="minorEastAsia" w:cstheme="minorEastAsia"/>
          <w:szCs w:val="24"/>
        </w:rPr>
      </w:pPr>
      <w:bookmarkStart w:id="966" w:name="_Ref18990784"/>
      <w:r>
        <w:rPr>
          <w:rFonts w:hint="eastAsia" w:asciiTheme="minorEastAsia" w:hAnsiTheme="minorEastAsia" w:eastAsiaTheme="minorEastAsia" w:cstheme="minorEastAsia"/>
          <w:szCs w:val="24"/>
        </w:rPr>
        <w:t>7.2.2 发包人提供的施工设备和临时设施</w:t>
      </w:r>
      <w:bookmarkEnd w:id="966"/>
    </w:p>
    <w:p w14:paraId="32625E9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发包人提供的施工设备或临时设施在专用合同条件中约定。</w:t>
      </w:r>
    </w:p>
    <w:p w14:paraId="68232AEA">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7.2.3 要求承包人增加或更换施工设备</w:t>
      </w:r>
    </w:p>
    <w:p w14:paraId="625CE52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承包人使用的施工设备不能满足项目进度计划和（或）质量要求时，工程师有权要求承包人增加或更换施工设备，承包人应及时增加或更换，由此增加的费用和（或）延误的工期由承包人承担。</w:t>
      </w:r>
    </w:p>
    <w:p w14:paraId="08A096CD">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7.2.4 施工设备和临时设施专用于合同工程</w:t>
      </w:r>
    </w:p>
    <w:p w14:paraId="73F4CEC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14:paraId="281FB99E">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67" w:name="_Toc54862238"/>
      <w:bookmarkStart w:id="968" w:name="_Ref11874352"/>
      <w:r>
        <w:rPr>
          <w:rFonts w:hint="eastAsia" w:asciiTheme="minorEastAsia" w:hAnsiTheme="minorEastAsia" w:eastAsiaTheme="minorEastAsia" w:cstheme="minorEastAsia"/>
          <w:b w:val="0"/>
          <w:bCs/>
        </w:rPr>
        <w:t>7.3 现场合作</w:t>
      </w:r>
      <w:bookmarkEnd w:id="967"/>
      <w:bookmarkEnd w:id="968"/>
    </w:p>
    <w:p w14:paraId="1BFC37A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承包人应按合同约定或发包人的指示，与发包人人员、发包人的其他承包人等人员就在现场或附近实施与工程有关的各项工作进行合作并提供适当条件，包括使用承包人设备、临时工程或进入现场等。</w:t>
      </w:r>
    </w:p>
    <w:p w14:paraId="0833408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承包人应对其在现场的施工活动负责，并应尽合理努力按合同约定或发包人的指示，协调自身与发包人人员、发包人的其他承包人等人员的活动。</w:t>
      </w:r>
    </w:p>
    <w:p w14:paraId="5A7E11C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14:paraId="257D2F8B">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69" w:name="_Ref531954287"/>
      <w:bookmarkStart w:id="970" w:name="_Ref531954285"/>
      <w:bookmarkStart w:id="971" w:name="_Toc54862239"/>
      <w:r>
        <w:rPr>
          <w:rFonts w:hint="eastAsia" w:asciiTheme="minorEastAsia" w:hAnsiTheme="minorEastAsia" w:eastAsiaTheme="minorEastAsia" w:cstheme="minorEastAsia"/>
          <w:b w:val="0"/>
          <w:bCs/>
        </w:rPr>
        <w:t>7.4 测量放线</w:t>
      </w:r>
      <w:bookmarkEnd w:id="969"/>
      <w:bookmarkEnd w:id="970"/>
      <w:bookmarkEnd w:id="971"/>
    </w:p>
    <w:p w14:paraId="275706C9">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7.4.1 除专用合同条件另有约定外，承包人应根据国家测绘基准、测绘系统和工程测量技术规范，按基准点（线）以及合同工程精度要求，测设施工控制网，并在专用合同条件约定的期限内，将施工控制网资料报送工程师。</w:t>
      </w:r>
    </w:p>
    <w:p w14:paraId="226169F3">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7.4.2 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p>
    <w:p w14:paraId="47D3DE44">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7.4.3 承包人负责施工过程中的全部施工测量放线工作，并配置具有相应资质的人员、合格的仪器、设备和其他物品。承包人应矫正工程的位置、标高、尺寸或基准线中出现的任何差错，并对工程各部分的定位负责。施工过程中对施工现场内水准点等测量标志物的保护工作由承包人负责。</w:t>
      </w:r>
    </w:p>
    <w:p w14:paraId="6BDD486E">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72" w:name="_Toc54862240"/>
      <w:bookmarkStart w:id="973" w:name="_Ref4770992"/>
      <w:bookmarkStart w:id="974" w:name="_Ref531954323"/>
      <w:bookmarkStart w:id="975" w:name="_Ref531954329"/>
      <w:r>
        <w:rPr>
          <w:rFonts w:hint="eastAsia" w:asciiTheme="minorEastAsia" w:hAnsiTheme="minorEastAsia" w:eastAsiaTheme="minorEastAsia" w:cstheme="minorEastAsia"/>
          <w:b w:val="0"/>
          <w:bCs/>
        </w:rPr>
        <w:t>7.5 现场劳动用工</w:t>
      </w:r>
      <w:bookmarkEnd w:id="972"/>
    </w:p>
    <w:p w14:paraId="240E1B35">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7.5.1 承包人及其分包人招用建筑工人的，应当依法与所招用的建筑工人订立劳动合同，实行建筑工人劳动用工实名制管理，承包人应当按照有关规定开设建筑工人工资专用账户、存储工资保证金，专项用于支付和保障该工程建设项目建筑工人工资。</w:t>
      </w:r>
    </w:p>
    <w:p w14:paraId="42B2C771">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7.5.2 承包人应当在工程项目部配备劳资专管员，对分包单位劳动用工及工资发放实施监督管理。承包人拖欠建筑工人工资的,应当依法予以清偿。分包人拖欠建筑工人工资的,由承包人先行清偿,再依法进行追偿。因发包人未按照合同约定及时拨付工程款导致建筑工人工资拖欠的，发包人应当以未结清的工程款为限先行垫付被拖欠的建筑工人工资。合同当事人可在专用合同条件中约定具体的清偿事宜和违约责任。</w:t>
      </w:r>
    </w:p>
    <w:p w14:paraId="2CA34584">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7.5.3 承包人应当按照相关法律法规的要求，进行劳动用工管理和建筑工人工资支付。</w:t>
      </w:r>
    </w:p>
    <w:p w14:paraId="3E2ECA92">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76" w:name="_Ref41554059"/>
      <w:bookmarkStart w:id="977" w:name="_Toc54862241"/>
      <w:r>
        <w:rPr>
          <w:rFonts w:hint="eastAsia" w:asciiTheme="minorEastAsia" w:hAnsiTheme="minorEastAsia" w:eastAsiaTheme="minorEastAsia" w:cstheme="minorEastAsia"/>
          <w:b w:val="0"/>
          <w:bCs/>
        </w:rPr>
        <w:t>7.6 安全文明施工</w:t>
      </w:r>
      <w:bookmarkEnd w:id="973"/>
      <w:bookmarkEnd w:id="974"/>
      <w:bookmarkEnd w:id="975"/>
      <w:bookmarkEnd w:id="976"/>
      <w:bookmarkEnd w:id="977"/>
    </w:p>
    <w:p w14:paraId="316765B9">
      <w:pPr>
        <w:pStyle w:val="260"/>
        <w:numPr>
          <w:ilvl w:val="0"/>
          <w:numId w:val="0"/>
        </w:numPr>
        <w:spacing w:line="240" w:lineRule="auto"/>
        <w:outlineLvl w:val="4"/>
        <w:rPr>
          <w:rFonts w:hint="eastAsia" w:asciiTheme="minorEastAsia" w:hAnsiTheme="minorEastAsia" w:eastAsiaTheme="minorEastAsia" w:cstheme="minorEastAsia"/>
          <w:szCs w:val="24"/>
        </w:rPr>
      </w:pPr>
      <w:bookmarkStart w:id="978" w:name="_Ref18990822"/>
      <w:r>
        <w:rPr>
          <w:rFonts w:hint="eastAsia" w:asciiTheme="minorEastAsia" w:hAnsiTheme="minorEastAsia" w:eastAsiaTheme="minorEastAsia" w:cstheme="minorEastAsia"/>
          <w:szCs w:val="24"/>
        </w:rPr>
        <w:t>7.6.1 安全生产要求</w:t>
      </w:r>
      <w:bookmarkEnd w:id="978"/>
    </w:p>
    <w:p w14:paraId="3E3119F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14:paraId="356E192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14:paraId="4058F08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因安全生产需要暂停施工的，按照第8.9款[暂停工作]的约定执行。</w:t>
      </w:r>
    </w:p>
    <w:p w14:paraId="259CA8E0">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7.6.2 安全生产保证措施</w:t>
      </w:r>
    </w:p>
    <w:p w14:paraId="5CFE6BF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14:paraId="603B8E6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14:paraId="221EB61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14:paraId="046BA736">
      <w:pPr>
        <w:pStyle w:val="260"/>
        <w:numPr>
          <w:ilvl w:val="0"/>
          <w:numId w:val="0"/>
        </w:numPr>
        <w:spacing w:line="240" w:lineRule="auto"/>
        <w:outlineLvl w:val="4"/>
        <w:rPr>
          <w:rFonts w:hint="eastAsia" w:asciiTheme="minorEastAsia" w:hAnsiTheme="minorEastAsia" w:eastAsiaTheme="minorEastAsia" w:cstheme="minorEastAsia"/>
          <w:szCs w:val="24"/>
        </w:rPr>
      </w:pPr>
      <w:bookmarkStart w:id="979" w:name="_Ref18990840"/>
      <w:r>
        <w:rPr>
          <w:rFonts w:hint="eastAsia" w:asciiTheme="minorEastAsia" w:hAnsiTheme="minorEastAsia" w:eastAsiaTheme="minorEastAsia" w:cstheme="minorEastAsia"/>
          <w:szCs w:val="24"/>
        </w:rPr>
        <w:t>7.6.3 文明施工</w:t>
      </w:r>
      <w:bookmarkEnd w:id="979"/>
    </w:p>
    <w:p w14:paraId="3D09688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承包人在工程施工期间，应当采取措施保持施工现场平整，物料堆放整齐。工程所在地有关政府行政管理部门有特殊要求的，按照其要求执行。合同当事人对文明施工有其他要求的，可以在专用合同条件中明确。</w:t>
      </w:r>
    </w:p>
    <w:p w14:paraId="300FEA2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62D605FF">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7.6.4 事故处理</w:t>
      </w:r>
    </w:p>
    <w:p w14:paraId="251DED7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0439A8B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14:paraId="1E833176">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7.6.5 安全生产责任</w:t>
      </w:r>
    </w:p>
    <w:p w14:paraId="02EFBAB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发包人应负责赔偿以下各种情况造成的损失：</w:t>
      </w:r>
    </w:p>
    <w:p w14:paraId="13DA167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工程或工程的任何部分对土地的占用所造成的第三者财产损失；</w:t>
      </w:r>
    </w:p>
    <w:p w14:paraId="303F934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由于发包人原因在施工现场及其毗邻地带、履行合同工作中造成的第三者人身伤亡和财产损失；</w:t>
      </w:r>
    </w:p>
    <w:p w14:paraId="2488202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由于发包人原因对发包人自身、承包人、工程师造成的人身伤害和财产损失。</w:t>
      </w:r>
    </w:p>
    <w:p w14:paraId="75E55A5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承包人应负责赔偿由于承包人原因在施工现场及其毗邻地带、履行合同工作中造成的第三者人身伤亡和财产损失。</w:t>
      </w:r>
    </w:p>
    <w:p w14:paraId="373FE09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如果上述损失是由于发包人和承包人共同原因导致的，则双方应根据过错情况按比例承担。</w:t>
      </w:r>
    </w:p>
    <w:p w14:paraId="70F71476">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80" w:name="_Ref41554069"/>
      <w:bookmarkStart w:id="981" w:name="_Ref11874562"/>
      <w:bookmarkStart w:id="982" w:name="_Toc54862242"/>
      <w:r>
        <w:rPr>
          <w:rFonts w:hint="eastAsia" w:asciiTheme="minorEastAsia" w:hAnsiTheme="minorEastAsia" w:eastAsiaTheme="minorEastAsia" w:cstheme="minorEastAsia"/>
          <w:b w:val="0"/>
          <w:bCs/>
        </w:rPr>
        <w:t>7.7 职业健康</w:t>
      </w:r>
      <w:bookmarkEnd w:id="980"/>
      <w:bookmarkEnd w:id="981"/>
      <w:bookmarkEnd w:id="982"/>
    </w:p>
    <w:p w14:paraId="4433BE6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承包人应遵守适用的职业健康的法律和合同约定（包括对雇用、职业健康、安全、福利等方面的规定），负责现场实施过程中其人员的职业健康和保护，包括：</w:t>
      </w:r>
    </w:p>
    <w:p w14:paraId="1FBF05C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14:paraId="5EE985B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承包人应依法为承包人</w:t>
      </w:r>
      <w:bookmarkStart w:id="983" w:name="_Hlk46339538"/>
      <w:r>
        <w:rPr>
          <w:rFonts w:hint="eastAsia" w:asciiTheme="minorEastAsia" w:hAnsiTheme="minorEastAsia" w:eastAsiaTheme="minorEastAsia" w:cstheme="minorEastAsia"/>
          <w:kern w:val="0"/>
          <w:sz w:val="24"/>
          <w:szCs w:val="24"/>
        </w:rPr>
        <w:t>员工及承包人聘用的第三方人员</w:t>
      </w:r>
      <w:bookmarkEnd w:id="983"/>
      <w:r>
        <w:rPr>
          <w:rFonts w:hint="eastAsia" w:asciiTheme="minorEastAsia" w:hAnsiTheme="minorEastAsia" w:eastAsiaTheme="minorEastAsia" w:cstheme="minorEastAsia"/>
          <w:kern w:val="0"/>
          <w:sz w:val="24"/>
          <w:szCs w:val="24"/>
        </w:rPr>
        <w:t>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14:paraId="49CB54A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14:paraId="3F31DCF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14:paraId="6B0A714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承包人应采取有效措施预防传染病，保持食堂的饮食卫生，保证施工人员的健康，并定期对施工现场、施工人员生活基地和工程进行防疫和卫生的专业检查和处理, 在远离城镇的施工现场，还应配备必要的伤病防治和急救的医务人员与医疗设施。承包人雇佣人员在施工中受到伤害的，承包人应立即采取有效措施进行抢救和治疗。</w:t>
      </w:r>
    </w:p>
    <w:p w14:paraId="53160524">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84" w:name="_Ref11874570"/>
      <w:bookmarkStart w:id="985" w:name="_Toc54862243"/>
      <w:r>
        <w:rPr>
          <w:rFonts w:hint="eastAsia" w:asciiTheme="minorEastAsia" w:hAnsiTheme="minorEastAsia" w:eastAsiaTheme="minorEastAsia" w:cstheme="minorEastAsia"/>
          <w:b w:val="0"/>
          <w:bCs/>
        </w:rPr>
        <w:t>7.8 环境保护</w:t>
      </w:r>
      <w:bookmarkEnd w:id="984"/>
      <w:bookmarkEnd w:id="985"/>
    </w:p>
    <w:p w14:paraId="5C65C308">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7.8.1 承包人负责在现场施工过程中对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p>
    <w:p w14:paraId="7E7B3049">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7.8.2 承包人应采取措施，并负责控制和（或）处理现场的粉尘、废气、废水、固体废物和噪声对环境的污染和危害。因此发生的伤害、赔偿、罚款等费用增加，和（或）竣工日期延误，由承包人负责。</w:t>
      </w:r>
    </w:p>
    <w:p w14:paraId="7257C2A5">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7.8.3 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p>
    <w:p w14:paraId="029BE45A">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86" w:name="_Ref531954340"/>
      <w:bookmarkStart w:id="987" w:name="_Ref531954344"/>
      <w:bookmarkStart w:id="988" w:name="_Toc54862244"/>
      <w:bookmarkStart w:id="989" w:name="_Ref4771116"/>
      <w:r>
        <w:rPr>
          <w:rFonts w:hint="eastAsia" w:asciiTheme="minorEastAsia" w:hAnsiTheme="minorEastAsia" w:eastAsiaTheme="minorEastAsia" w:cstheme="minorEastAsia"/>
          <w:b w:val="0"/>
          <w:bCs/>
        </w:rPr>
        <w:t>7.9 临时性公用设施</w:t>
      </w:r>
      <w:bookmarkEnd w:id="986"/>
      <w:bookmarkEnd w:id="987"/>
      <w:bookmarkEnd w:id="988"/>
      <w:r>
        <w:rPr>
          <w:rFonts w:hint="eastAsia" w:asciiTheme="minorEastAsia" w:hAnsiTheme="minorEastAsia" w:eastAsiaTheme="minorEastAsia" w:cstheme="minorEastAsia"/>
          <w:b w:val="0"/>
          <w:bCs/>
        </w:rPr>
        <w:t xml:space="preserve"> </w:t>
      </w:r>
      <w:bookmarkEnd w:id="989"/>
    </w:p>
    <w:p w14:paraId="7BC6B82C">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7.9.1 提供临时用水、用电等和节点铺设</w:t>
      </w:r>
    </w:p>
    <w:p w14:paraId="65DE6EA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14:paraId="660D35F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14:paraId="77EEA57F">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7.9.2 临时用水、用电等</w:t>
      </w:r>
    </w:p>
    <w:p w14:paraId="2AFE99C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在计划开始现场施工日期28天前或双方约定的其它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14:paraId="47CD607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因承包人未能按合同约定提交上述资料，造成发包人费用增加和竣工日期延误时，由承包人负责。</w:t>
      </w:r>
      <w:bookmarkStart w:id="990" w:name="_Ref508893743"/>
    </w:p>
    <w:p w14:paraId="325555E9">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91" w:name="_Toc54862245"/>
      <w:bookmarkStart w:id="992" w:name="_Ref531952248"/>
      <w:bookmarkStart w:id="993" w:name="_Ref531952239"/>
      <w:r>
        <w:rPr>
          <w:rFonts w:hint="eastAsia" w:asciiTheme="minorEastAsia" w:hAnsiTheme="minorEastAsia" w:eastAsiaTheme="minorEastAsia" w:cstheme="minorEastAsia"/>
          <w:b w:val="0"/>
          <w:bCs/>
        </w:rPr>
        <w:t>7.10 现场安保</w:t>
      </w:r>
      <w:bookmarkEnd w:id="991"/>
      <w:bookmarkEnd w:id="992"/>
      <w:bookmarkEnd w:id="993"/>
    </w:p>
    <w:p w14:paraId="7242878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14:paraId="03A25FF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承包人应将其作业限制在现场区域、合同约定的区域或为履行合同所需的区域内。承包人应采取一切必要的预防措施，以保持承包人的设备和人员处于现场区域内，避免其进入邻近地区。</w:t>
      </w:r>
    </w:p>
    <w:p w14:paraId="2E80583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承包人为履行合同义务而占用的其他场所（如预制加工场所、办公及生活营区） 的安保适用本款前述关于现场安保的规定。</w:t>
      </w:r>
    </w:p>
    <w:p w14:paraId="288991A4">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94" w:name="_Toc54862246"/>
      <w:r>
        <w:rPr>
          <w:rFonts w:hint="eastAsia" w:asciiTheme="minorEastAsia" w:hAnsiTheme="minorEastAsia" w:eastAsiaTheme="minorEastAsia" w:cstheme="minorEastAsia"/>
          <w:b w:val="0"/>
          <w:bCs/>
        </w:rPr>
        <w:t>7.11 工程照管</w:t>
      </w:r>
      <w:bookmarkEnd w:id="994"/>
    </w:p>
    <w:p w14:paraId="0A1FFAD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自开始现场施工日期起至发包人应当接收工程之日止，承包人应承担工程现场、材料、设备及承包人文件的照管和维护工作。</w:t>
      </w:r>
    </w:p>
    <w:p w14:paraId="16E07E5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如部分工程于竣工验收前提前交付发包人的，则自交付之日起，该部分工程照管及维护职责由发包人承担。</w:t>
      </w:r>
    </w:p>
    <w:p w14:paraId="034F35C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如发包人及承包人进行竣工验收时尚有部分未竣工工程的，承包人应负责该未竣工工程的照管和维护工作，直至竣工后移交给发包人。</w:t>
      </w:r>
    </w:p>
    <w:p w14:paraId="2549946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如合同解除或终止的，承包人自合同解除或终止之日起不再对工程承担照管和维护义务。</w:t>
      </w:r>
    </w:p>
    <w:p w14:paraId="23CD6CEF">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995" w:name="_Toc54862247"/>
      <w:bookmarkStart w:id="996" w:name="_Ref508998009"/>
      <w:bookmarkStart w:id="997" w:name="_Ref531954505"/>
      <w:bookmarkStart w:id="998" w:name="_Ref531954518"/>
      <w:r>
        <w:rPr>
          <w:rFonts w:hint="eastAsia" w:asciiTheme="minorEastAsia" w:hAnsiTheme="minorEastAsia" w:eastAsiaTheme="minorEastAsia" w:cstheme="minorEastAsia"/>
          <w:b w:val="0"/>
          <w:bCs/>
          <w:kern w:val="0"/>
          <w:sz w:val="24"/>
          <w:szCs w:val="18"/>
        </w:rPr>
        <w:t>第8条 工期和进度</w:t>
      </w:r>
      <w:bookmarkEnd w:id="995"/>
      <w:bookmarkEnd w:id="996"/>
    </w:p>
    <w:p w14:paraId="2D3885FE">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999" w:name="_Ref532362777"/>
      <w:bookmarkStart w:id="1000" w:name="_Toc54862248"/>
      <w:bookmarkStart w:id="1001" w:name="_Ref532362072"/>
      <w:bookmarkStart w:id="1002" w:name="_Ref532362075"/>
      <w:bookmarkStart w:id="1003" w:name="_Ref532362774"/>
      <w:r>
        <w:rPr>
          <w:rFonts w:hint="eastAsia" w:asciiTheme="minorEastAsia" w:hAnsiTheme="minorEastAsia" w:eastAsiaTheme="minorEastAsia" w:cstheme="minorEastAsia"/>
          <w:b w:val="0"/>
          <w:bCs/>
        </w:rPr>
        <w:t>8.1 开始工作</w:t>
      </w:r>
      <w:bookmarkEnd w:id="999"/>
      <w:bookmarkEnd w:id="1000"/>
      <w:bookmarkEnd w:id="1001"/>
      <w:bookmarkEnd w:id="1002"/>
      <w:bookmarkEnd w:id="1003"/>
    </w:p>
    <w:p w14:paraId="6DC7D840">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004" w:name="_Ref4428890"/>
      <w:r>
        <w:rPr>
          <w:rFonts w:hint="eastAsia" w:asciiTheme="minorEastAsia" w:hAnsiTheme="minorEastAsia" w:eastAsiaTheme="minorEastAsia" w:cstheme="minorEastAsia"/>
          <w:szCs w:val="24"/>
        </w:rPr>
        <w:t>8.1.1 开始工作准备</w:t>
      </w:r>
      <w:bookmarkEnd w:id="1004"/>
    </w:p>
    <w:p w14:paraId="0012572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合同当事人应按专用合同条件约定完成开始工作准备工作。</w:t>
      </w:r>
    </w:p>
    <w:p w14:paraId="0CC09B78">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005" w:name="_Ref536790534"/>
      <w:bookmarkStart w:id="1006" w:name="_Hlk51506490"/>
      <w:r>
        <w:rPr>
          <w:rFonts w:hint="eastAsia" w:asciiTheme="minorEastAsia" w:hAnsiTheme="minorEastAsia" w:eastAsiaTheme="minorEastAsia" w:cstheme="minorEastAsia"/>
          <w:szCs w:val="24"/>
        </w:rPr>
        <w:t>8.1.2 开始工作通知</w:t>
      </w:r>
      <w:bookmarkEnd w:id="1005"/>
    </w:p>
    <w:bookmarkEnd w:id="1006"/>
    <w:p w14:paraId="159BA45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经发包人同意后，工程师应提前7天向承包人发出经发包人签认的开始工作通知，工期自开始工作通知中载明的开始工作日期起算。</w:t>
      </w:r>
    </w:p>
    <w:p w14:paraId="006E25E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除专用合同条件另有约定外，因发包人原因造成实际开始现场施工日期迟于</w:t>
      </w:r>
      <w:bookmarkStart w:id="1007" w:name="_Hlk51506566"/>
      <w:r>
        <w:rPr>
          <w:rFonts w:hint="eastAsia" w:asciiTheme="minorEastAsia" w:hAnsiTheme="minorEastAsia" w:eastAsiaTheme="minorEastAsia" w:cstheme="minorEastAsia"/>
          <w:kern w:val="0"/>
          <w:sz w:val="24"/>
          <w:szCs w:val="24"/>
        </w:rPr>
        <w:t>计划开始现场施工日期</w:t>
      </w:r>
      <w:bookmarkEnd w:id="1007"/>
      <w:r>
        <w:rPr>
          <w:rFonts w:hint="eastAsia" w:asciiTheme="minorEastAsia" w:hAnsiTheme="minorEastAsia" w:eastAsiaTheme="minorEastAsia" w:cstheme="minorEastAsia"/>
          <w:kern w:val="0"/>
          <w:sz w:val="24"/>
          <w:szCs w:val="24"/>
        </w:rPr>
        <w:t>后第84天的，承包人有权提出价格调整要求，或者解除合同。发包人应当承担由此增加的费用和（或）延误的工期，并向承包人支付合理利润。</w:t>
      </w:r>
    </w:p>
    <w:p w14:paraId="45911BD7">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008" w:name="_Ref532362124"/>
      <w:bookmarkStart w:id="1009" w:name="_Toc54862249"/>
      <w:r>
        <w:rPr>
          <w:rFonts w:hint="eastAsia" w:asciiTheme="minorEastAsia" w:hAnsiTheme="minorEastAsia" w:eastAsiaTheme="minorEastAsia" w:cstheme="minorEastAsia"/>
          <w:b w:val="0"/>
          <w:bCs/>
        </w:rPr>
        <w:t>8.2 竣工日期</w:t>
      </w:r>
      <w:bookmarkEnd w:id="1008"/>
      <w:bookmarkEnd w:id="1009"/>
      <w:r>
        <w:rPr>
          <w:rFonts w:hint="eastAsia" w:asciiTheme="minorEastAsia" w:hAnsiTheme="minorEastAsia" w:eastAsiaTheme="minorEastAsia" w:cstheme="minorEastAsia"/>
          <w:b w:val="0"/>
          <w:bCs/>
        </w:rPr>
        <w:t xml:space="preserve"> </w:t>
      </w:r>
    </w:p>
    <w:p w14:paraId="4A49EE9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承包人应在合同协议书约定的工期内完成合同工作。除专用合同条件另有约定外，工程的竣工日期以第10.1条[竣工验收]的约定为准，并在工程接收证书中写明。</w:t>
      </w:r>
    </w:p>
    <w:p w14:paraId="04A3B84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因发包人原因，在工程师收到承包人竣工验收申请报告42天后未进行验收的，视为验收合格，实际竣工日期以提交竣工验收申请报告的日期为准，但发包人由于不可抗力不能进行验收的除外。</w:t>
      </w:r>
    </w:p>
    <w:p w14:paraId="0C0CD25B">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010" w:name="_Ref11863334"/>
      <w:bookmarkStart w:id="1011" w:name="_Toc54862250"/>
      <w:bookmarkStart w:id="1012" w:name="_Ref532362207"/>
      <w:bookmarkStart w:id="1013" w:name="_Ref532362204"/>
      <w:bookmarkStart w:id="1014" w:name="_Ref532352856"/>
      <w:bookmarkStart w:id="1015" w:name="_Ref532352853"/>
      <w:r>
        <w:rPr>
          <w:rFonts w:hint="eastAsia" w:asciiTheme="minorEastAsia" w:hAnsiTheme="minorEastAsia" w:eastAsiaTheme="minorEastAsia" w:cstheme="minorEastAsia"/>
          <w:b w:val="0"/>
          <w:bCs/>
        </w:rPr>
        <w:t>8.3 项目实施计划</w:t>
      </w:r>
      <w:bookmarkEnd w:id="1010"/>
      <w:bookmarkEnd w:id="1011"/>
    </w:p>
    <w:p w14:paraId="09474898">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016" w:name="_Ref18990904"/>
      <w:r>
        <w:rPr>
          <w:rFonts w:hint="eastAsia" w:asciiTheme="minorEastAsia" w:hAnsiTheme="minorEastAsia" w:eastAsiaTheme="minorEastAsia" w:cstheme="minorEastAsia"/>
          <w:szCs w:val="24"/>
        </w:rPr>
        <w:t>8.3.1 项目实施计划的内容</w:t>
      </w:r>
      <w:bookmarkEnd w:id="1016"/>
    </w:p>
    <w:p w14:paraId="7EDA00F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14:paraId="09D6702A">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017" w:name="_Ref18990921"/>
      <w:r>
        <w:rPr>
          <w:rFonts w:hint="eastAsia" w:asciiTheme="minorEastAsia" w:hAnsiTheme="minorEastAsia" w:eastAsiaTheme="minorEastAsia" w:cstheme="minorEastAsia"/>
          <w:szCs w:val="24"/>
        </w:rPr>
        <w:t>8.3.2 项目实施计划的提交和修改</w:t>
      </w:r>
      <w:bookmarkEnd w:id="1017"/>
    </w:p>
    <w:p w14:paraId="183B037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承包人应在合同订立后14天内，向工程师提交项目实施计划，工程师应在收到项目实施计划后21天内确认或提出修改意见。对工程师提出的合理意见和要求，承包人应自费修改完善。根据工程实施的实际情况需要修改项目实施计划的，承包人应向工程师提交修改后的项目实施计划。</w:t>
      </w:r>
    </w:p>
    <w:p w14:paraId="37863B3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项目进度计划的编制和修改按照第8.4款[项目进度计划]执行。</w:t>
      </w:r>
    </w:p>
    <w:p w14:paraId="09633B50">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018" w:name="_Ref11865507"/>
      <w:bookmarkStart w:id="1019" w:name="_Toc54862251"/>
      <w:r>
        <w:rPr>
          <w:rFonts w:hint="eastAsia" w:asciiTheme="minorEastAsia" w:hAnsiTheme="minorEastAsia" w:eastAsiaTheme="minorEastAsia" w:cstheme="minorEastAsia"/>
          <w:b w:val="0"/>
          <w:bCs/>
        </w:rPr>
        <w:t>8.4 项目进度计划</w:t>
      </w:r>
      <w:bookmarkEnd w:id="1012"/>
      <w:bookmarkEnd w:id="1013"/>
      <w:bookmarkEnd w:id="1014"/>
      <w:bookmarkEnd w:id="1015"/>
      <w:bookmarkEnd w:id="1018"/>
      <w:bookmarkEnd w:id="1019"/>
    </w:p>
    <w:p w14:paraId="4D9705AD">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020" w:name="_Ref4681217"/>
      <w:r>
        <w:rPr>
          <w:rFonts w:hint="eastAsia" w:asciiTheme="minorEastAsia" w:hAnsiTheme="minorEastAsia" w:eastAsiaTheme="minorEastAsia" w:cstheme="minorEastAsia"/>
          <w:szCs w:val="24"/>
        </w:rPr>
        <w:t>8.4.1 项目进度计划的提交和修改</w:t>
      </w:r>
      <w:bookmarkEnd w:id="1020"/>
    </w:p>
    <w:p w14:paraId="5843BA9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照第8.3款[项目实施计划]约定编制并向工程师提交项目初步进度计划，经工程师批准后实施。除专用合同条件另有约定外，工程师应在21天内批复或提出修改意见，否则该项目初步进度计划视为已得到批准。对工程师提出的合理意见和要求，承包人应自费修改完善。</w:t>
      </w:r>
    </w:p>
    <w:p w14:paraId="4EC474B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14:paraId="52204805">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021" w:name="_Ref4429079"/>
      <w:r>
        <w:rPr>
          <w:rFonts w:hint="eastAsia" w:asciiTheme="minorEastAsia" w:hAnsiTheme="minorEastAsia" w:eastAsiaTheme="minorEastAsia" w:cstheme="minorEastAsia"/>
          <w:szCs w:val="24"/>
        </w:rPr>
        <w:t>8.4.2 项目进度计划的内容</w:t>
      </w:r>
      <w:bookmarkEnd w:id="1021"/>
    </w:p>
    <w:p w14:paraId="1FC9AC7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14:paraId="5FE9E0BC">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022" w:name="_Ref3848203"/>
      <w:r>
        <w:rPr>
          <w:rFonts w:hint="eastAsia" w:asciiTheme="minorEastAsia" w:hAnsiTheme="minorEastAsia" w:eastAsiaTheme="minorEastAsia" w:cstheme="minorEastAsia"/>
          <w:szCs w:val="24"/>
        </w:rPr>
        <w:t>8.4.3 项目进度计划的修订</w:t>
      </w:r>
      <w:bookmarkEnd w:id="1022"/>
    </w:p>
    <w:p w14:paraId="17F2C56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项目进度计划不符合合同要求或与工程的实际进度不一致的，承包人应向工程师提交修订的项目进度计划，并附具有关措施和相关资料。工程师也可以直接向承包人发出修订项目进度计划的通知，承包人如接受，应按该通知修订项目进度计划，报工程师批准。承包人如不接受，应当在14天内答复，如未按时答复视作已接受修订项目进度计划通知中的内容。</w:t>
      </w:r>
    </w:p>
    <w:p w14:paraId="086C133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工程师应在收到修订的项目进度计划后14天内完成审批或提出修改意见，如未按时答复视作已批准承包人修订后的项目进度计划。工程师对承包人提交的项目进度计划的确认，不能减轻或免除承包人根据法律规定和合同约定应承担的任何责任或义务。</w:t>
      </w:r>
    </w:p>
    <w:p w14:paraId="28FF299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除合同当事人另有约定外，项目进度计划的修订并不能减轻或者免除双方按第8.7款[工期延误]、第8.8款[工期提前]、第8.9款[暂停工作]应承担的合同责任。</w:t>
      </w:r>
    </w:p>
    <w:p w14:paraId="6D2B2F25">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023" w:name="_Toc54862252"/>
      <w:bookmarkStart w:id="1024" w:name="_Ref532362276"/>
      <w:bookmarkStart w:id="1025" w:name="_Ref532362278"/>
      <w:r>
        <w:rPr>
          <w:rFonts w:hint="eastAsia" w:asciiTheme="minorEastAsia" w:hAnsiTheme="minorEastAsia" w:eastAsiaTheme="minorEastAsia" w:cstheme="minorEastAsia"/>
          <w:b w:val="0"/>
          <w:bCs/>
        </w:rPr>
        <w:t>8.5 进度报告</w:t>
      </w:r>
      <w:bookmarkEnd w:id="1023"/>
      <w:bookmarkEnd w:id="1024"/>
      <w:bookmarkEnd w:id="1025"/>
    </w:p>
    <w:p w14:paraId="3EFF8F5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项目实施过程中，承包人应进行实际进度记录，并根据工程师的要求编制月进度报告，并提交给工程师。进度报告应包含以下主要内容：</w:t>
      </w:r>
    </w:p>
    <w:p w14:paraId="3D156B9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工程设计、采购、施工等各个工作内容的进展报告；</w:t>
      </w:r>
    </w:p>
    <w:p w14:paraId="369DAEC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工程施工方法的一般说明；</w:t>
      </w:r>
    </w:p>
    <w:p w14:paraId="00B2173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当月工程实施介入的项目人员、设备和材料的预估明细报告；</w:t>
      </w:r>
    </w:p>
    <w:p w14:paraId="66CF126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（4） 当月实际进度与进度计划对比分析，以及提出未来可能引起工期延误的情形，同时提出应对措施；需要修订项目进度计划的，应对项目进度计划的修订部分进行说明； </w:t>
      </w:r>
    </w:p>
    <w:p w14:paraId="1571133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承包人对于解决工期延误所提出的建议；</w:t>
      </w:r>
    </w:p>
    <w:p w14:paraId="14961A0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其他与工程有关的重大事项。</w:t>
      </w:r>
    </w:p>
    <w:p w14:paraId="603B8E4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进度报告的具体要求等，在专用合同条件约定。</w:t>
      </w:r>
    </w:p>
    <w:p w14:paraId="61800926">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026" w:name="_Toc54862253"/>
      <w:r>
        <w:rPr>
          <w:rFonts w:hint="eastAsia" w:asciiTheme="minorEastAsia" w:hAnsiTheme="minorEastAsia" w:eastAsiaTheme="minorEastAsia" w:cstheme="minorEastAsia"/>
          <w:b w:val="0"/>
          <w:bCs/>
        </w:rPr>
        <w:t>8.6 提前预警</w:t>
      </w:r>
      <w:bookmarkEnd w:id="1026"/>
    </w:p>
    <w:p w14:paraId="63D0A5C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任何一方应当在下列情形发生时尽快书面通知另一方：</w:t>
      </w:r>
    </w:p>
    <w:p w14:paraId="6F4605C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该情形可能对合同的履行或实现合同目的产生不利影响；</w:t>
      </w:r>
    </w:p>
    <w:p w14:paraId="1DC4F94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该情形可能对工程完成后的使用产生不利影响；</w:t>
      </w:r>
    </w:p>
    <w:p w14:paraId="460B299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该情形可能导致合同价款增加；</w:t>
      </w:r>
    </w:p>
    <w:p w14:paraId="5923148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该情形可能导致整个工程或单位/区段工程的工期延长。</w:t>
      </w:r>
    </w:p>
    <w:p w14:paraId="4536418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发包人有权要求承包人根据第13.2款[承包人的合理化建议]的约定提交变更建议，采取措施尽量避免或最小化上述情形的发生或影响。</w:t>
      </w:r>
    </w:p>
    <w:p w14:paraId="2A68914A">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027" w:name="_Toc4784168"/>
      <w:bookmarkEnd w:id="1027"/>
      <w:bookmarkStart w:id="1028" w:name="_Toc4784159"/>
      <w:bookmarkEnd w:id="1028"/>
      <w:bookmarkStart w:id="1029" w:name="_Toc4784165"/>
      <w:bookmarkEnd w:id="1029"/>
      <w:bookmarkStart w:id="1030" w:name="_Toc4784155"/>
      <w:bookmarkEnd w:id="1030"/>
      <w:bookmarkStart w:id="1031" w:name="_Toc4784160"/>
      <w:bookmarkEnd w:id="1031"/>
      <w:bookmarkStart w:id="1032" w:name="_Toc4784174"/>
      <w:bookmarkEnd w:id="1032"/>
      <w:bookmarkStart w:id="1033" w:name="_Toc4784169"/>
      <w:bookmarkEnd w:id="1033"/>
      <w:bookmarkStart w:id="1034" w:name="_Toc4784172"/>
      <w:bookmarkEnd w:id="1034"/>
      <w:bookmarkStart w:id="1035" w:name="_Toc4784164"/>
      <w:bookmarkEnd w:id="1035"/>
      <w:bookmarkStart w:id="1036" w:name="_Toc4784163"/>
      <w:bookmarkEnd w:id="1036"/>
      <w:bookmarkStart w:id="1037" w:name="_Toc4784157"/>
      <w:bookmarkEnd w:id="1037"/>
      <w:bookmarkStart w:id="1038" w:name="_Toc4784171"/>
      <w:bookmarkEnd w:id="1038"/>
      <w:bookmarkStart w:id="1039" w:name="_Toc4784154"/>
      <w:bookmarkEnd w:id="1039"/>
      <w:bookmarkStart w:id="1040" w:name="_Toc4784156"/>
      <w:bookmarkEnd w:id="1040"/>
      <w:bookmarkStart w:id="1041" w:name="_Toc4784173"/>
      <w:bookmarkEnd w:id="1041"/>
      <w:bookmarkStart w:id="1042" w:name="_Toc4784175"/>
      <w:bookmarkEnd w:id="1042"/>
      <w:bookmarkStart w:id="1043" w:name="_Toc4784170"/>
      <w:bookmarkEnd w:id="1043"/>
      <w:bookmarkStart w:id="1044" w:name="_Toc4784167"/>
      <w:bookmarkEnd w:id="1044"/>
      <w:bookmarkStart w:id="1045" w:name="_Toc4784162"/>
      <w:bookmarkEnd w:id="1045"/>
      <w:bookmarkStart w:id="1046" w:name="_Toc4784161"/>
      <w:bookmarkEnd w:id="1046"/>
      <w:bookmarkStart w:id="1047" w:name="_Toc4784158"/>
      <w:bookmarkEnd w:id="1047"/>
      <w:bookmarkStart w:id="1048" w:name="_Toc4784166"/>
      <w:bookmarkEnd w:id="1048"/>
      <w:bookmarkStart w:id="1049" w:name="_Toc54862254"/>
      <w:bookmarkStart w:id="1050" w:name="_Ref4770106"/>
      <w:bookmarkStart w:id="1051" w:name="_Ref532362359"/>
      <w:bookmarkStart w:id="1052" w:name="_Ref532362356"/>
      <w:r>
        <w:rPr>
          <w:rFonts w:hint="eastAsia" w:asciiTheme="minorEastAsia" w:hAnsiTheme="minorEastAsia" w:eastAsiaTheme="minorEastAsia" w:cstheme="minorEastAsia"/>
          <w:b w:val="0"/>
          <w:bCs/>
        </w:rPr>
        <w:t>8.7 工期延误</w:t>
      </w:r>
      <w:bookmarkEnd w:id="1049"/>
      <w:bookmarkEnd w:id="1050"/>
    </w:p>
    <w:p w14:paraId="52209B17">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053" w:name="_Ref4796050"/>
      <w:r>
        <w:rPr>
          <w:rFonts w:hint="eastAsia" w:asciiTheme="minorEastAsia" w:hAnsiTheme="minorEastAsia" w:eastAsiaTheme="minorEastAsia" w:cstheme="minorEastAsia"/>
          <w:szCs w:val="24"/>
        </w:rPr>
        <w:t>8.7.1 因发包人原因导致工期延误</w:t>
      </w:r>
      <w:bookmarkEnd w:id="1053"/>
    </w:p>
    <w:p w14:paraId="71A78AA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在合同履行过程中，因下列情况导致工期延误和（或）费用增加的，由发包人承担由此延误的工期和（或）增加的费用：</w:t>
      </w:r>
    </w:p>
    <w:p w14:paraId="4ECD33A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根据第13条[变更与调整]的约定构成一项变更的；</w:t>
      </w:r>
    </w:p>
    <w:p w14:paraId="5E4EEE8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发包人违反本合同约定，导致工期延误和（或）费用增加的；</w:t>
      </w:r>
    </w:p>
    <w:p w14:paraId="533F4DD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发包人、发包人代表、工程师或发包人聘请的任意第三方造成或引起的任何延误、妨碍和阻碍；</w:t>
      </w:r>
    </w:p>
    <w:p w14:paraId="34F7EFC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发包人未能依据第6.2.1项[发包人提供的材料和工程设备]的约定提供材料和工程设备导致工期延误和（或）费用增加的；</w:t>
      </w:r>
    </w:p>
    <w:p w14:paraId="1310BA3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因发包人原因导致的暂停施工；</w:t>
      </w:r>
    </w:p>
    <w:p w14:paraId="253821F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发包人未及时履行相关合同义务，造成工期延误的其他原因。</w:t>
      </w:r>
    </w:p>
    <w:p w14:paraId="116AFBD1">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054" w:name="_Ref4770209"/>
      <w:r>
        <w:rPr>
          <w:rFonts w:hint="eastAsia" w:asciiTheme="minorEastAsia" w:hAnsiTheme="minorEastAsia" w:eastAsiaTheme="minorEastAsia" w:cstheme="minorEastAsia"/>
          <w:szCs w:val="24"/>
        </w:rPr>
        <w:t>8.7.2 因承包人原因导致工期延误</w:t>
      </w:r>
      <w:bookmarkEnd w:id="1054"/>
    </w:p>
    <w:p w14:paraId="52CD483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由于承包人的原因，未能按项目进度计划完成工作，承包人应采取措施加快进度，并承担加快进度所增加的费用。</w:t>
      </w:r>
    </w:p>
    <w:p w14:paraId="14B59F7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14:paraId="64507DBC">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055" w:name="_Ref4770872"/>
      <w:r>
        <w:rPr>
          <w:rFonts w:hint="eastAsia" w:asciiTheme="minorEastAsia" w:hAnsiTheme="minorEastAsia" w:eastAsiaTheme="minorEastAsia" w:cstheme="minorEastAsia"/>
          <w:szCs w:val="24"/>
        </w:rPr>
        <w:t>8.7.3 行政审批迟延</w:t>
      </w:r>
      <w:bookmarkEnd w:id="1055"/>
      <w:r>
        <w:rPr>
          <w:rFonts w:hint="eastAsia" w:asciiTheme="minorEastAsia" w:hAnsiTheme="minorEastAsia" w:eastAsiaTheme="minorEastAsia" w:cstheme="minorEastAsia"/>
          <w:szCs w:val="24"/>
        </w:rPr>
        <w:t xml:space="preserve"> </w:t>
      </w:r>
    </w:p>
    <w:p w14:paraId="538B9E9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14:paraId="2C378F7E">
      <w:pPr>
        <w:pStyle w:val="260"/>
        <w:numPr>
          <w:ilvl w:val="0"/>
          <w:numId w:val="0"/>
        </w:numPr>
        <w:spacing w:line="240" w:lineRule="auto"/>
        <w:rPr>
          <w:rFonts w:hint="eastAsia" w:asciiTheme="minorEastAsia" w:hAnsiTheme="minorEastAsia" w:eastAsiaTheme="minorEastAsia" w:cstheme="minorEastAsia"/>
          <w:szCs w:val="24"/>
        </w:rPr>
      </w:pPr>
      <w:bookmarkStart w:id="1056" w:name="_Ref4770933"/>
      <w:r>
        <w:rPr>
          <w:rFonts w:hint="eastAsia" w:asciiTheme="minorEastAsia" w:hAnsiTheme="minorEastAsia" w:eastAsiaTheme="minorEastAsia" w:cstheme="minorEastAsia"/>
          <w:szCs w:val="24"/>
        </w:rPr>
        <w:t>8.7.4 异常恶劣的气候条件</w:t>
      </w:r>
      <w:bookmarkEnd w:id="1056"/>
    </w:p>
    <w:p w14:paraId="061C5A2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14:paraId="6807EE1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采取克服异常恶劣的气候条件的合理措施继续施工，并及时通知工程师。工程师应当及时发出指示，指示构成变更的，按第13条[变更与调整]约定办理。承包人因采取合理措施而延误的工期由发包人承担。</w:t>
      </w:r>
    </w:p>
    <w:p w14:paraId="419789A0">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057" w:name="_Ref4781828"/>
      <w:bookmarkStart w:id="1058" w:name="_Toc54862255"/>
      <w:r>
        <w:rPr>
          <w:rFonts w:hint="eastAsia" w:asciiTheme="minorEastAsia" w:hAnsiTheme="minorEastAsia" w:eastAsiaTheme="minorEastAsia" w:cstheme="minorEastAsia"/>
          <w:b w:val="0"/>
          <w:bCs/>
        </w:rPr>
        <w:t>8.8 工期提前</w:t>
      </w:r>
      <w:bookmarkEnd w:id="1051"/>
      <w:bookmarkEnd w:id="1052"/>
      <w:bookmarkEnd w:id="1057"/>
      <w:bookmarkEnd w:id="1058"/>
    </w:p>
    <w:p w14:paraId="6EF53099">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8.8.1 发包人指示承包人提前竣工且被承包人接受的，应与承包人共同协商采取加快工程进度的措施和修订项目进度计划。发包人应承担承包人由此增加的费用，增加的费用按第13条[变更与调整]的约定执行；发包人不得以任何理由要求承包人超过合理限度压缩工期。承包人有权不接受提前竣工的指示，工期按照合同约定执行。</w:t>
      </w:r>
    </w:p>
    <w:p w14:paraId="5C016F5D">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059" w:name="_Ref4429347"/>
      <w:r>
        <w:rPr>
          <w:rFonts w:hint="eastAsia" w:asciiTheme="minorEastAsia" w:hAnsiTheme="minorEastAsia" w:eastAsiaTheme="minorEastAsia" w:cstheme="minorEastAsia"/>
          <w:szCs w:val="24"/>
        </w:rPr>
        <w:t>8.8.2 承包人提出提前竣工的建议且发包人接受的，应与发包人共同协商采取加快工程进度的措施和修订项目进度计划。发包人应承担承包人由此增加的费用，增加的费用按第13条[变更与调整]的约定执行，并向承包人支付专用合同条件约定的相应奖励金。</w:t>
      </w:r>
      <w:bookmarkEnd w:id="1059"/>
    </w:p>
    <w:p w14:paraId="1D67D54A">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060" w:name="_Toc54862256"/>
      <w:bookmarkStart w:id="1061" w:name="_Ref4615031"/>
      <w:bookmarkStart w:id="1062" w:name="_Ref4615040"/>
      <w:r>
        <w:rPr>
          <w:rFonts w:hint="eastAsia" w:asciiTheme="minorEastAsia" w:hAnsiTheme="minorEastAsia" w:eastAsiaTheme="minorEastAsia" w:cstheme="minorEastAsia"/>
          <w:b w:val="0"/>
          <w:bCs/>
        </w:rPr>
        <w:t>8.9 暂停工作</w:t>
      </w:r>
      <w:bookmarkEnd w:id="1060"/>
      <w:bookmarkEnd w:id="1061"/>
      <w:bookmarkEnd w:id="1062"/>
      <w:r>
        <w:rPr>
          <w:rFonts w:hint="eastAsia" w:asciiTheme="minorEastAsia" w:hAnsiTheme="minorEastAsia" w:eastAsiaTheme="minorEastAsia" w:cstheme="minorEastAsia"/>
          <w:b w:val="0"/>
          <w:bCs/>
        </w:rPr>
        <w:t xml:space="preserve"> </w:t>
      </w:r>
    </w:p>
    <w:p w14:paraId="0D9AE75A">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063" w:name="_Ref4709151"/>
      <w:r>
        <w:rPr>
          <w:rFonts w:hint="eastAsia" w:asciiTheme="minorEastAsia" w:hAnsiTheme="minorEastAsia" w:eastAsiaTheme="minorEastAsia" w:cstheme="minorEastAsia"/>
          <w:szCs w:val="24"/>
        </w:rPr>
        <w:t>8.9.1 由发包人暂停工作</w:t>
      </w:r>
      <w:bookmarkEnd w:id="1063"/>
    </w:p>
    <w:p w14:paraId="3EF08E1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发包人认为必要时，可通过工程师向承包人发出经发包人签认的暂停工作通知，应列明暂停原因、暂停的日期及预计暂停的期限。承包人应按该通知暂停工作。</w:t>
      </w:r>
      <w:bookmarkStart w:id="1064" w:name="_Ref4709233"/>
    </w:p>
    <w:p w14:paraId="6ED0670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承包人因执行暂停工作通知而造成费用的增加和（或）工期延误由发包人承担，并有权要求发包人支付合理利润，但</w:t>
      </w:r>
      <w:bookmarkEnd w:id="1064"/>
      <w:r>
        <w:rPr>
          <w:rFonts w:hint="eastAsia" w:asciiTheme="minorEastAsia" w:hAnsiTheme="minorEastAsia" w:eastAsiaTheme="minorEastAsia" w:cstheme="minorEastAsia"/>
          <w:kern w:val="0"/>
          <w:sz w:val="24"/>
          <w:szCs w:val="24"/>
        </w:rPr>
        <w:t>由于承包人原因造成发包人暂停工作的除外。</w:t>
      </w:r>
    </w:p>
    <w:p w14:paraId="61BADC08">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065" w:name="_Ref18972173"/>
      <w:r>
        <w:rPr>
          <w:rFonts w:hint="eastAsia" w:asciiTheme="minorEastAsia" w:hAnsiTheme="minorEastAsia" w:eastAsiaTheme="minorEastAsia" w:cstheme="minorEastAsia"/>
          <w:szCs w:val="24"/>
        </w:rPr>
        <w:t>8.9.2 由承包人暂停工作</w:t>
      </w:r>
      <w:bookmarkEnd w:id="1065"/>
      <w:r>
        <w:rPr>
          <w:rFonts w:hint="eastAsia" w:asciiTheme="minorEastAsia" w:hAnsiTheme="minorEastAsia" w:eastAsiaTheme="minorEastAsia" w:cstheme="minorEastAsia"/>
          <w:szCs w:val="24"/>
        </w:rPr>
        <w:t xml:space="preserve"> </w:t>
      </w:r>
    </w:p>
    <w:p w14:paraId="2932BDE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原因所造成部分或全部工程的暂停，承包人应采取措施尽快复工并赶上进度，由此造成费用的增加或工期延误由承包人承担。因此造成逾期竣工的，承包人应按第8.7.2项[因承包人原因导致工期延误]承担逾期竣工违约责任。</w:t>
      </w:r>
    </w:p>
    <w:p w14:paraId="05A8721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14:paraId="705FACF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066" w:name="_Ref4709224"/>
      <w:r>
        <w:rPr>
          <w:rFonts w:hint="eastAsia" w:asciiTheme="minorEastAsia" w:hAnsiTheme="minorEastAsia" w:eastAsiaTheme="minorEastAsia" w:cstheme="minorEastAsia"/>
          <w:kern w:val="0"/>
          <w:sz w:val="24"/>
          <w:szCs w:val="24"/>
        </w:rPr>
        <w:t>（1） 发包人拖延、拒绝批准付款申请和支付证书，或未能按合同约定支付价款，导致付款延误的；</w:t>
      </w:r>
      <w:bookmarkEnd w:id="1066"/>
    </w:p>
    <w:p w14:paraId="685D44B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发包人未按约定履行合同其他义务导致承包人无法继续履行合同的，或者发包人明确表示暂停或实质上已暂停履行合同的。</w:t>
      </w:r>
    </w:p>
    <w:p w14:paraId="13EC7518">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8.9.3 除上述原因以外的暂停工作，双方应遵守第17条[不可抗力]的相关约定。</w:t>
      </w:r>
    </w:p>
    <w:p w14:paraId="0E813BB3">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067" w:name="_Ref4709158"/>
      <w:r>
        <w:rPr>
          <w:rFonts w:hint="eastAsia" w:asciiTheme="minorEastAsia" w:hAnsiTheme="minorEastAsia" w:eastAsiaTheme="minorEastAsia" w:cstheme="minorEastAsia"/>
          <w:szCs w:val="24"/>
        </w:rPr>
        <w:t>8.9.4 暂停工作期间的工程照管</w:t>
      </w:r>
      <w:bookmarkEnd w:id="1067"/>
      <w:r>
        <w:rPr>
          <w:rFonts w:hint="eastAsia" w:asciiTheme="minorEastAsia" w:hAnsiTheme="minorEastAsia" w:eastAsiaTheme="minorEastAsia" w:cstheme="minorEastAsia"/>
          <w:szCs w:val="24"/>
        </w:rPr>
        <w:t xml:space="preserve"> </w:t>
      </w:r>
    </w:p>
    <w:p w14:paraId="73AE919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不论由于何种原因引起暂停工作的，暂停工作期间，承包人应负责对工程、工程物资及文件等进行照管和保护，并提供安全保障，由此增加的费用按第8.9.1项[由发包人暂停工作]和第8.9.2项[由承包人暂停工作]的约定承担。</w:t>
      </w:r>
    </w:p>
    <w:p w14:paraId="7F4F72C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因承包人未能尽到照管、保护的责任造成损失的，使发包人的费用增加，（或）竣工日期延误的，由承包人按本合同约定承担责任。</w:t>
      </w:r>
    </w:p>
    <w:p w14:paraId="04E99481">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8.9.5 拖长的暂停</w:t>
      </w:r>
    </w:p>
    <w:p w14:paraId="5C84B246">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根据第8.9.1项[由发包人暂停工作]暂停工作持续超过56天的，承包人可向发包人发出要求复工的通知。如果发包人没有在收到书面通知后28天内准许已暂停工作的全部或部分继续工作，承包人有权根据第13条[变更与调整]的约定，要求以变更方式调减受暂停影响的部分工程。发包人的暂停超过56天且暂停影响到整个工程的，承包人有权根据第16.2款[由承包人解除合同]的约定，发出解除合同的通知。</w:t>
      </w:r>
    </w:p>
    <w:p w14:paraId="79702AD9">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068" w:name="_Toc54862257"/>
      <w:r>
        <w:rPr>
          <w:rFonts w:hint="eastAsia" w:asciiTheme="minorEastAsia" w:hAnsiTheme="minorEastAsia" w:eastAsiaTheme="minorEastAsia" w:cstheme="minorEastAsia"/>
          <w:b w:val="0"/>
          <w:bCs/>
        </w:rPr>
        <w:t>8.10 复工</w:t>
      </w:r>
      <w:bookmarkEnd w:id="1068"/>
      <w:r>
        <w:rPr>
          <w:rFonts w:hint="eastAsia" w:asciiTheme="minorEastAsia" w:hAnsiTheme="minorEastAsia" w:eastAsiaTheme="minorEastAsia" w:cstheme="minorEastAsia"/>
          <w:b w:val="0"/>
          <w:bCs/>
        </w:rPr>
        <w:t xml:space="preserve"> </w:t>
      </w:r>
    </w:p>
    <w:p w14:paraId="576FEE73">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8.10.1 收到发包人的复工通知后，承包人应按通知时间复工；发包人通知的复工时间应当给予承包人必要的准备复工时间。</w:t>
      </w:r>
    </w:p>
    <w:p w14:paraId="05696CE3">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8.10.2 不论由于何种原因引起暂停工作，双方均可要求对方一同对受暂停影响的工程、工程设备和工程物资进行检查，承包人应将检查结果及需要恢复、修复的内容和估算通知发包人。</w:t>
      </w:r>
    </w:p>
    <w:p w14:paraId="3AD51D68">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8.10.3 除第17条[不可抗力]另有约定外，发生的恢复、修复价款及工期延误的后果由责任方承担。</w:t>
      </w:r>
    </w:p>
    <w:p w14:paraId="702FFDAA">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069" w:name="_Ref4621041"/>
      <w:bookmarkStart w:id="1070" w:name="_Toc54862258"/>
      <w:bookmarkStart w:id="1071" w:name="_Ref4621029"/>
      <w:r>
        <w:rPr>
          <w:rFonts w:hint="eastAsia" w:asciiTheme="minorEastAsia" w:hAnsiTheme="minorEastAsia" w:eastAsiaTheme="minorEastAsia" w:cstheme="minorEastAsia"/>
          <w:b w:val="0"/>
          <w:bCs/>
          <w:kern w:val="0"/>
          <w:sz w:val="24"/>
          <w:szCs w:val="18"/>
        </w:rPr>
        <w:t>第9条 竣工试验</w:t>
      </w:r>
      <w:bookmarkEnd w:id="997"/>
      <w:bookmarkEnd w:id="1069"/>
      <w:bookmarkEnd w:id="1070"/>
      <w:bookmarkEnd w:id="1071"/>
      <w:r>
        <w:rPr>
          <w:rFonts w:hint="eastAsia" w:asciiTheme="minorEastAsia" w:hAnsiTheme="minorEastAsia" w:eastAsiaTheme="minorEastAsia" w:cstheme="minorEastAsia"/>
          <w:b w:val="0"/>
          <w:bCs/>
          <w:kern w:val="0"/>
          <w:sz w:val="24"/>
          <w:szCs w:val="18"/>
        </w:rPr>
        <w:t xml:space="preserve"> </w:t>
      </w:r>
    </w:p>
    <w:p w14:paraId="7DB1837A">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072" w:name="_Ref532586251"/>
      <w:bookmarkStart w:id="1073" w:name="_Toc54862259"/>
      <w:bookmarkStart w:id="1074" w:name="_Ref532586248"/>
      <w:r>
        <w:rPr>
          <w:rFonts w:hint="eastAsia" w:asciiTheme="minorEastAsia" w:hAnsiTheme="minorEastAsia" w:eastAsiaTheme="minorEastAsia" w:cstheme="minorEastAsia"/>
          <w:b w:val="0"/>
          <w:bCs/>
        </w:rPr>
        <w:t>9.1 竣工试验的义务</w:t>
      </w:r>
      <w:bookmarkEnd w:id="1072"/>
      <w:bookmarkEnd w:id="1073"/>
      <w:bookmarkEnd w:id="1074"/>
    </w:p>
    <w:p w14:paraId="35EDD1E3">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9.1.1 承包人完成工程或区段工程进行竣工试验所需的作业，并根据第5.4款[竣工文件]和第5.5款[操作和维修手册]提交文件后，进行竣工试验。</w:t>
      </w:r>
      <w:bookmarkStart w:id="1075" w:name="_Ref532586608"/>
    </w:p>
    <w:p w14:paraId="1AA7E68A">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076" w:name="_Ref11919920"/>
      <w:r>
        <w:rPr>
          <w:rFonts w:hint="eastAsia" w:asciiTheme="minorEastAsia" w:hAnsiTheme="minorEastAsia" w:eastAsiaTheme="minorEastAsia" w:cstheme="minorEastAsia"/>
          <w:szCs w:val="24"/>
        </w:rPr>
        <w:t>9.1.2 承包人应在进行竣工试验之前，至少提前42天向工程师提交详细的竣工试验计划，该计划应载明竣工试验的内容、地点、拟开展时间和需要发包人提供的资源条件。</w:t>
      </w:r>
      <w:bookmarkEnd w:id="1075"/>
      <w:r>
        <w:rPr>
          <w:rFonts w:hint="eastAsia" w:asciiTheme="minorEastAsia" w:hAnsiTheme="minorEastAsia" w:eastAsiaTheme="minorEastAsia" w:cstheme="minorEastAsia"/>
          <w:szCs w:val="24"/>
        </w:rPr>
        <w:t>工程师应在收到计划后的14天内进行审查，并就该计划不符合合同的部分提出意见，承包人应在收到意见后的14天内自费对计划进行修正。工程师逾期未提出意见的，视为竣工试验计划已得到确认。除提交竣工试验计划外，承包人还应提前21天将可以开始进行各项竣工试验的日期通知工程师，并在该日期后的14天内或工程师指示的日期进行竣工试验。</w:t>
      </w:r>
      <w:bookmarkEnd w:id="1076"/>
    </w:p>
    <w:p w14:paraId="1F16FB73">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077" w:name="_Ref532688147"/>
      <w:r>
        <w:rPr>
          <w:rFonts w:hint="eastAsia" w:asciiTheme="minorEastAsia" w:hAnsiTheme="minorEastAsia" w:eastAsiaTheme="minorEastAsia" w:cstheme="minorEastAsia"/>
          <w:szCs w:val="24"/>
        </w:rPr>
        <w:t>9.1.3 承包人应根据经确认的竣工试验计划以及第6.5款[由承包人试验和检验]进行竣工试验。除《发包人要求》中另有说明外，竣工试验应按以下顺序分阶段进行，即只有在工程或区段工程已通过上一阶段试验的情况下，才可进行下一阶段试验：</w:t>
      </w:r>
      <w:bookmarkEnd w:id="1077"/>
    </w:p>
    <w:p w14:paraId="51C78BC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承包人进行启动前试验，包括适当的检查和功能性试验，以证明工程或区段工程的每一部分均能够安全地承受下一阶段试验；</w:t>
      </w:r>
    </w:p>
    <w:p w14:paraId="14BA0E8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承包人进行启动试验，以证明工程或区段工程能够在所有可利用的操作条件下安全运行，并按照专用合同条件和《发包人要求》中的规定操作；</w:t>
      </w:r>
    </w:p>
    <w:p w14:paraId="39418A5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承包人进行试运行试验。当工程或区段工程能稳定安全运行时，承包人应通知工程师，可以进行其他竣工试验，包括各种性能测试，以证明工程或区段工程符合《发包人要求》中列明的性能保证指标。</w:t>
      </w:r>
    </w:p>
    <w:p w14:paraId="2257889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进行上述试验不应构成第10条[验收和工程接收]规定的接收，但试验所产生的任何产品或其他收益均应归属于发包人。</w:t>
      </w:r>
    </w:p>
    <w:p w14:paraId="1DD93ED1">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9.1.4 完成上述各阶段竣工试验后，承包人应向工程师提交试验结果报告，试验结果须符合约定的标准、规范和数据。工程师应在收到报告后14天内予以回复，逾期未回复的，视为认可竣工试验结果。但在考虑工程或区段工程是否通过竣工试验时，应适当考虑发包人对工程或其任何部分的使用，对工程或区段工程的性能、特性和试验结果产生的影响。</w:t>
      </w:r>
    </w:p>
    <w:p w14:paraId="55E9A59F">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078" w:name="_Toc54862260"/>
      <w:r>
        <w:rPr>
          <w:rFonts w:hint="eastAsia" w:asciiTheme="minorEastAsia" w:hAnsiTheme="minorEastAsia" w:eastAsiaTheme="minorEastAsia" w:cstheme="minorEastAsia"/>
          <w:b w:val="0"/>
          <w:bCs/>
        </w:rPr>
        <w:t>9.2 延误的试验</w:t>
      </w:r>
      <w:bookmarkEnd w:id="1078"/>
    </w:p>
    <w:p w14:paraId="1AD7D676">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9.2.1 如果承包人已根据第9.1款[竣工试验的义务]就可以开始进行各项竣工试验的日期通知工程师，但该等试验因发包人原因被延误14天以上的，发包人应承担由此增加的费用和工期延误，并支付承包人合理利润。同时，承包人应在合理可行的情况下尽快进行竣工试验。</w:t>
      </w:r>
    </w:p>
    <w:p w14:paraId="69DD3B95">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9.2.2 承包人无正当理由延误进行竣工试验的，工程师可向其发出通知，要求其在收到通知后的21天内进行该项竣工试验。承包人应在该21天的期限内确定进行试验的日期，并至少提前7天通知工程师。</w:t>
      </w:r>
    </w:p>
    <w:p w14:paraId="37B3F339">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9.2.3 如果承包人未在该期限内进行竣工试验，则发包人有权自行组织该项竣工试验，由此产生的合理费用由承包人承担。发包人应在试验完成后28天内向承包人发送试验结果。</w:t>
      </w:r>
    </w:p>
    <w:p w14:paraId="2118F3CB">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079" w:name="_Ref532594592"/>
      <w:bookmarkStart w:id="1080" w:name="_Ref532594588"/>
      <w:bookmarkStart w:id="1081" w:name="_Toc54862261"/>
      <w:r>
        <w:rPr>
          <w:rFonts w:hint="eastAsia" w:asciiTheme="minorEastAsia" w:hAnsiTheme="minorEastAsia" w:eastAsiaTheme="minorEastAsia" w:cstheme="minorEastAsia"/>
          <w:b w:val="0"/>
          <w:bCs/>
        </w:rPr>
        <w:t>9.3 重新试验</w:t>
      </w:r>
      <w:bookmarkEnd w:id="1079"/>
      <w:bookmarkEnd w:id="1080"/>
      <w:bookmarkEnd w:id="1081"/>
      <w:r>
        <w:rPr>
          <w:rFonts w:hint="eastAsia" w:asciiTheme="minorEastAsia" w:hAnsiTheme="minorEastAsia" w:eastAsiaTheme="minorEastAsia" w:cstheme="minorEastAsia"/>
          <w:b w:val="0"/>
          <w:bCs/>
        </w:rPr>
        <w:t xml:space="preserve"> </w:t>
      </w:r>
    </w:p>
    <w:p w14:paraId="17CFD28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果工程或区段工程未能通过竣工试验，则承包人应根据第6.6款[缺陷和修补]修补缺陷。发包人或承包人可要求按相同的条件，重新进行未通过的试验以及相关工程或区段工程的竣工试验。该等重新进行的试验仍应适用本条对于竣工试验的规定。</w:t>
      </w:r>
    </w:p>
    <w:p w14:paraId="11B58AAE">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082" w:name="_Toc54862262"/>
      <w:bookmarkStart w:id="1083" w:name="_Ref532688226"/>
      <w:bookmarkStart w:id="1084" w:name="_Ref532688221"/>
      <w:r>
        <w:rPr>
          <w:rFonts w:hint="eastAsia" w:asciiTheme="minorEastAsia" w:hAnsiTheme="minorEastAsia" w:eastAsiaTheme="minorEastAsia" w:cstheme="minorEastAsia"/>
          <w:b w:val="0"/>
          <w:bCs/>
        </w:rPr>
        <w:t>9.4 未能通过竣工试验</w:t>
      </w:r>
      <w:bookmarkEnd w:id="1082"/>
      <w:bookmarkEnd w:id="1083"/>
      <w:bookmarkEnd w:id="1084"/>
    </w:p>
    <w:p w14:paraId="45EF9BA5">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9.4.1 因发包人原因导致竣工试验未能通过的，承包人进行竣工试验的费用由发包人承担，竣工日期相应顺延。</w:t>
      </w:r>
    </w:p>
    <w:p w14:paraId="2D45F74E">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9.4.2 如果工程或区段工程未能通过根据第9.3款[重新试验]重新进行的竣工试验的，则：</w:t>
      </w:r>
    </w:p>
    <w:p w14:paraId="0C872DA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发包人有权要求承包人根据第6.6款[缺陷和修补]继续进行修补和改正，并根据第9.3款[重新试验]再次进行竣工试验；</w:t>
      </w:r>
    </w:p>
    <w:p w14:paraId="3C7FCA1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14:paraId="4ABD400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085" w:name="_Ref4621461"/>
      <w:r>
        <w:rPr>
          <w:rFonts w:hint="eastAsia" w:asciiTheme="minorEastAsia" w:hAnsiTheme="minorEastAsia" w:eastAsiaTheme="minorEastAsia" w:cstheme="minorEastAsia"/>
          <w:kern w:val="0"/>
          <w:sz w:val="24"/>
          <w:szCs w:val="24"/>
        </w:rPr>
        <w:t>（3） 未能通过竣工试验，使工程或区段工程的任何主要部分丧失了生产、使用功能时，发包人有权指令承包人更换相关部分，承包人应承担因此增加的费用和误期损害赔偿责任，并赔偿发包人的相应损失</w:t>
      </w:r>
      <w:bookmarkEnd w:id="1085"/>
      <w:r>
        <w:rPr>
          <w:rFonts w:hint="eastAsia" w:asciiTheme="minorEastAsia" w:hAnsiTheme="minorEastAsia" w:eastAsiaTheme="minorEastAsia" w:cstheme="minorEastAsia"/>
          <w:kern w:val="0"/>
          <w:sz w:val="24"/>
          <w:szCs w:val="24"/>
        </w:rPr>
        <w:t>；</w:t>
      </w:r>
    </w:p>
    <w:p w14:paraId="3363590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16.1款[由发包人解除合同]的约定解除合同。</w:t>
      </w:r>
    </w:p>
    <w:p w14:paraId="677A92F0">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086" w:name="_Toc54862263"/>
      <w:bookmarkStart w:id="1087" w:name="_Ref4618338"/>
      <w:bookmarkStart w:id="1088" w:name="_Ref4624043"/>
      <w:bookmarkStart w:id="1089" w:name="_Ref4618348"/>
      <w:r>
        <w:rPr>
          <w:rFonts w:hint="eastAsia" w:asciiTheme="minorEastAsia" w:hAnsiTheme="minorEastAsia" w:eastAsiaTheme="minorEastAsia" w:cstheme="minorEastAsia"/>
          <w:b w:val="0"/>
          <w:bCs/>
          <w:kern w:val="0"/>
          <w:sz w:val="24"/>
          <w:szCs w:val="18"/>
        </w:rPr>
        <w:t>第10条 验收和工程接收</w:t>
      </w:r>
      <w:bookmarkEnd w:id="1086"/>
      <w:bookmarkEnd w:id="1087"/>
      <w:bookmarkEnd w:id="1088"/>
      <w:bookmarkEnd w:id="1089"/>
    </w:p>
    <w:p w14:paraId="1E54C7C9">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090" w:name="_Ref532359152"/>
      <w:bookmarkStart w:id="1091" w:name="_Toc54862264"/>
      <w:bookmarkStart w:id="1092" w:name="_Ref532300801"/>
      <w:bookmarkStart w:id="1093" w:name="_Ref532301199"/>
      <w:bookmarkStart w:id="1094" w:name="_Ref532359143"/>
      <w:bookmarkStart w:id="1095" w:name="_Ref532300804"/>
      <w:bookmarkStart w:id="1096" w:name="_Ref532301202"/>
      <w:r>
        <w:rPr>
          <w:rFonts w:hint="eastAsia" w:asciiTheme="minorEastAsia" w:hAnsiTheme="minorEastAsia" w:eastAsiaTheme="minorEastAsia" w:cstheme="minorEastAsia"/>
          <w:b w:val="0"/>
          <w:bCs/>
        </w:rPr>
        <w:t>10.1 竣工验收</w:t>
      </w:r>
      <w:bookmarkEnd w:id="1090"/>
      <w:bookmarkEnd w:id="1091"/>
      <w:bookmarkEnd w:id="1092"/>
      <w:bookmarkEnd w:id="1093"/>
      <w:bookmarkEnd w:id="1094"/>
      <w:bookmarkEnd w:id="1095"/>
      <w:bookmarkEnd w:id="1096"/>
    </w:p>
    <w:p w14:paraId="666932E0">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097" w:name="_Ref532628356"/>
      <w:r>
        <w:rPr>
          <w:rFonts w:hint="eastAsia" w:asciiTheme="minorEastAsia" w:hAnsiTheme="minorEastAsia" w:eastAsiaTheme="minorEastAsia" w:cstheme="minorEastAsia"/>
          <w:szCs w:val="24"/>
        </w:rPr>
        <w:t>10.1.1 竣工验收条件</w:t>
      </w:r>
    </w:p>
    <w:p w14:paraId="4644ADA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工程具备以下条件的，承包人可以申请竣工验收：</w:t>
      </w:r>
    </w:p>
    <w:p w14:paraId="33D6C58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除因第13条[变更与调整]导致的工程量删减和第14.5.3项[扫尾工作清单]列入缺陷责任期内完成的扫尾工程和缺陷修补工作外，合同范围内的全部单位/区段工程以及有关工作，包括合同要求的试验和竣工试验均已完成，并符合合同要求；</w:t>
      </w:r>
    </w:p>
    <w:p w14:paraId="09F7CE8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已按合同约定编制了扫尾工作和缺陷修补工作清单以及相应实施计划；</w:t>
      </w:r>
    </w:p>
    <w:p w14:paraId="0F3B89D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已按合同约定的内容和份数备齐竣工资料；</w:t>
      </w:r>
    </w:p>
    <w:p w14:paraId="21588AD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合同约定要求在竣工验收前应完成的其他工作。</w:t>
      </w:r>
    </w:p>
    <w:bookmarkEnd w:id="1097"/>
    <w:p w14:paraId="66AC81F4">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098" w:name="_Ref4429424"/>
      <w:bookmarkStart w:id="1099" w:name="_Hlk51506601"/>
      <w:r>
        <w:rPr>
          <w:rFonts w:hint="eastAsia" w:asciiTheme="minorEastAsia" w:hAnsiTheme="minorEastAsia" w:eastAsiaTheme="minorEastAsia" w:cstheme="minorEastAsia"/>
          <w:szCs w:val="24"/>
        </w:rPr>
        <w:t>10.1.2 竣工验收程序</w:t>
      </w:r>
      <w:bookmarkEnd w:id="1098"/>
    </w:p>
    <w:bookmarkEnd w:id="1099"/>
    <w:p w14:paraId="79E66A0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除专用合同条件另有约定外，承包人申请竣工验收的，应当按照以下程序进行：</w:t>
      </w:r>
    </w:p>
    <w:p w14:paraId="04EC39D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向工程师报送竣工验收申请报告，工程师应在收到竣工验收申请报告后14天内完成审查并报送发包人。工程师审查后认为尚不具备竣工验收条件的，应在收到竣工验收申请报告后的14天内通知承包人，指出在颁发接收证书前承包人还需进行的工作内容。承包人完成工程师通知的全部工作内容后，应再次提交竣工验收申请报告，直至工程师同意为止。</w:t>
      </w:r>
    </w:p>
    <w:p w14:paraId="40CBA6C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工程师同意承包人提交的竣工验收申请报告的，或工程师收到竣工验收申请报告后14天内不予答复的，视为发包人收到并同意承包人的竣工验收申请，发包人应在收到该竣工验收申请报告后的28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14:paraId="656ADD3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26601EF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100" w:name="_Hlk51506640"/>
      <w:r>
        <w:rPr>
          <w:rFonts w:hint="eastAsia" w:asciiTheme="minorEastAsia" w:hAnsiTheme="minorEastAsia" w:eastAsiaTheme="minorEastAsia" w:cstheme="minorEastAsia"/>
          <w:kern w:val="0"/>
          <w:sz w:val="24"/>
          <w:szCs w:val="24"/>
        </w:rPr>
        <w:t>（4） 因发包人原因，未在工程师收到承包人竣工验收申请报告之日起42天内完成竣工验收的，以承包人提交竣工验收申请报告之日作为工程实际竣工日期。</w:t>
      </w:r>
    </w:p>
    <w:bookmarkEnd w:id="1100"/>
    <w:p w14:paraId="1C77A79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工程未经竣工验收，发包人擅自使用的，以转移占有工程之日为实际竣工日期。</w:t>
      </w:r>
    </w:p>
    <w:p w14:paraId="6CFA2119">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101" w:name="_Ref532301213"/>
      <w:bookmarkStart w:id="1102" w:name="_Ref532301210"/>
      <w:bookmarkStart w:id="1103" w:name="_Toc54862265"/>
      <w:r>
        <w:rPr>
          <w:rFonts w:hint="eastAsia" w:asciiTheme="minorEastAsia" w:hAnsiTheme="minorEastAsia" w:eastAsiaTheme="minorEastAsia" w:cstheme="minorEastAsia"/>
          <w:b w:val="0"/>
          <w:bCs/>
        </w:rPr>
        <w:t>10.2 单位/区段工程的验收</w:t>
      </w:r>
      <w:bookmarkEnd w:id="1101"/>
      <w:bookmarkEnd w:id="1102"/>
      <w:bookmarkEnd w:id="1103"/>
    </w:p>
    <w:p w14:paraId="2B8F00C0">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10.2.1 发包人根据项目进度计划安排，在全部工程竣工前需要使用已经竣工的单位/区段工程时，或承包人提出经发包人同意时，可进行单位/区段工程验收。验收的程序可参照第10.1款[竣工验收]的约定进行。验收合格后，由工程师向承包人出具经发包人签认的单位/区段工程验收证书。单位/区段工程的验收成果和结论作为全部工程竣工验收申请报告的附件。</w:t>
      </w:r>
    </w:p>
    <w:p w14:paraId="01A11571">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10.2.2 发包人在全部工程竣工前，使用已接收的单位/区段工程导致承包人费用增加的，发包人应承担由此增加的费用和（或）工期延误，并支付承包人合理利润。</w:t>
      </w:r>
    </w:p>
    <w:p w14:paraId="1C8E7C24">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104" w:name="_Toc54862266"/>
      <w:bookmarkStart w:id="1105" w:name="_Ref4429473"/>
      <w:bookmarkStart w:id="1106" w:name="_Ref532688354"/>
      <w:bookmarkStart w:id="1107" w:name="_Ref532688351"/>
      <w:r>
        <w:rPr>
          <w:rFonts w:hint="eastAsia" w:asciiTheme="minorEastAsia" w:hAnsiTheme="minorEastAsia" w:eastAsiaTheme="minorEastAsia" w:cstheme="minorEastAsia"/>
          <w:b w:val="0"/>
          <w:bCs/>
        </w:rPr>
        <w:t>10.3 工程的接收</w:t>
      </w:r>
      <w:bookmarkEnd w:id="1104"/>
    </w:p>
    <w:p w14:paraId="2CD01DF1">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10.3.1 根据工程项目的具体情况和特点，可按工程或单位/区段工程进行接收，并在专用合同条件约定接收的先后顺序、时间安排和其他要求。</w:t>
      </w:r>
    </w:p>
    <w:p w14:paraId="49F87028">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10.3.2 除按本条约定已经提交的资料外，接收工程时承包人需提交竣工验收资料的类别、内容、份数和提交时间，在专用合同条件中约定。</w:t>
      </w:r>
    </w:p>
    <w:p w14:paraId="173271DB">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10.3.3 发包人无正当理由不接收工程的，发包人自应当接收工程之日起，承担工程照管、成品保护、保管等与工程有关的各项费用，合同当事人可以在专用合同条件中另行约定发包人逾期接收工程的违约责任。</w:t>
      </w:r>
    </w:p>
    <w:p w14:paraId="3B976122">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10.3.4 承包人无正当理由不移交工程的，承包人应承担工程照管、成品保护、保管等与工程有关的各项费用，合同当事人可以在专用合同条件中另行约定承包人无正当理由不移交工程的违约责任。</w:t>
      </w:r>
    </w:p>
    <w:p w14:paraId="6B435853">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108" w:name="_Toc54862267"/>
      <w:r>
        <w:rPr>
          <w:rFonts w:hint="eastAsia" w:asciiTheme="minorEastAsia" w:hAnsiTheme="minorEastAsia" w:eastAsiaTheme="minorEastAsia" w:cstheme="minorEastAsia"/>
          <w:b w:val="0"/>
          <w:bCs/>
        </w:rPr>
        <w:t>10.4 接收证书</w:t>
      </w:r>
      <w:bookmarkEnd w:id="1105"/>
      <w:bookmarkEnd w:id="1108"/>
    </w:p>
    <w:p w14:paraId="3CEB6CD9">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109" w:name="_Ref4429542"/>
      <w:r>
        <w:rPr>
          <w:rFonts w:hint="eastAsia" w:asciiTheme="minorEastAsia" w:hAnsiTheme="minorEastAsia" w:eastAsiaTheme="minorEastAsia" w:cstheme="minorEastAsia"/>
          <w:szCs w:val="24"/>
        </w:rPr>
        <w:t>10.4.1 除专用合同条件另有约定外，承包人应在竣工验收合格后向发包人提交第14.6款[质量保证金]约定的质量保证金，发包人应在竣工验收合格且工程具备接收条件后的14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bookmarkEnd w:id="1109"/>
    </w:p>
    <w:p w14:paraId="309B3E37">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10.4.2 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p>
    <w:p w14:paraId="09529281">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10.4.3 竣工验收合格而发包人无正当理由逾期不颁发工程接收证书的，自验收合格后第15天起视为已颁发工程接收证书。</w:t>
      </w:r>
    </w:p>
    <w:p w14:paraId="6A013CD6">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10.4.4 工程未经验收或验收不合格，发包人擅自使用的，应在转移占有工程后7天内向承包人颁发工程接收证书；发包人无正当理由逾期不颁发工程接收证书的，自转移占有后第15天起视为已颁发工程接收证书。</w:t>
      </w:r>
    </w:p>
    <w:p w14:paraId="37D56403">
      <w:pPr>
        <w:pStyle w:val="260"/>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10.4.5 存在扫尾工作的，工程接收证书中应当将第14.5.3项[扫尾工作清单]中约定的扫尾工作清单作为工程接收证书附件。</w:t>
      </w:r>
    </w:p>
    <w:bookmarkEnd w:id="1106"/>
    <w:bookmarkEnd w:id="1107"/>
    <w:p w14:paraId="170C8861">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110" w:name="_Ref4429932"/>
      <w:bookmarkStart w:id="1111" w:name="_Ref4429935"/>
      <w:bookmarkStart w:id="1112" w:name="_Toc54862268"/>
      <w:r>
        <w:rPr>
          <w:rFonts w:hint="eastAsia" w:asciiTheme="minorEastAsia" w:hAnsiTheme="minorEastAsia" w:eastAsiaTheme="minorEastAsia" w:cstheme="minorEastAsia"/>
          <w:b w:val="0"/>
          <w:bCs/>
        </w:rPr>
        <w:t>10.5 竣工退场</w:t>
      </w:r>
      <w:bookmarkEnd w:id="1110"/>
      <w:bookmarkEnd w:id="1111"/>
      <w:bookmarkEnd w:id="1112"/>
    </w:p>
    <w:p w14:paraId="4B18D6AD">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113" w:name="_Ref4429943"/>
      <w:r>
        <w:rPr>
          <w:rFonts w:hint="eastAsia" w:asciiTheme="minorEastAsia" w:hAnsiTheme="minorEastAsia" w:eastAsiaTheme="minorEastAsia" w:cstheme="minorEastAsia"/>
          <w:szCs w:val="24"/>
        </w:rPr>
        <w:t>10.5.1 竣工退场</w:t>
      </w:r>
      <w:bookmarkEnd w:id="1113"/>
    </w:p>
    <w:p w14:paraId="3CF596D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颁发工程接收证书后，承包人应对施工现场进行清理，并撤离相关人员，使得施工现场处于以下状态，直至工程师检验合格为止：</w:t>
      </w:r>
    </w:p>
    <w:p w14:paraId="3720CAA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施工现场内残留的垃圾已全部清除出场；</w:t>
      </w:r>
    </w:p>
    <w:p w14:paraId="711D98B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临时工程已拆除，场地已按合同约定进行清理、平整或复原；</w:t>
      </w:r>
    </w:p>
    <w:p w14:paraId="64EE740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按合同约定应撤离的人员、承包人提供的施工设备和剩余的材料，包括废弃的施工设备和材料，已按计划撤离施工现场；</w:t>
      </w:r>
    </w:p>
    <w:p w14:paraId="4E30A7E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施工现场周边及其附近道路、河道的施工堆积物，已全部清理；</w:t>
      </w:r>
    </w:p>
    <w:p w14:paraId="44F4776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施工现场其他竣工退场工作已全部完成。</w:t>
      </w:r>
    </w:p>
    <w:p w14:paraId="2289912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14:paraId="4170DD88">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10.5.2 地表还原</w:t>
      </w:r>
    </w:p>
    <w:p w14:paraId="3A035FB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承包人应按合同约定和工程师的要求恢复临时占地及清理场地，否则发包人有权委托其他人恢复或清理，所发生的费用由承包人承担。</w:t>
      </w:r>
    </w:p>
    <w:p w14:paraId="13573FE4">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114" w:name="_Ref20159437"/>
      <w:r>
        <w:rPr>
          <w:rFonts w:hint="eastAsia" w:asciiTheme="minorEastAsia" w:hAnsiTheme="minorEastAsia" w:eastAsiaTheme="minorEastAsia" w:cstheme="minorEastAsia"/>
          <w:szCs w:val="24"/>
        </w:rPr>
        <w:t>10.5.3 人员撤离</w:t>
      </w:r>
      <w:bookmarkEnd w:id="1114"/>
    </w:p>
    <w:p w14:paraId="00B49CC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bookmarkEnd w:id="998"/>
    </w:p>
    <w:p w14:paraId="1E6A6AEF">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115" w:name="_Toc54862269"/>
      <w:bookmarkStart w:id="1116" w:name="_Ref4796906"/>
      <w:bookmarkStart w:id="1117" w:name="_Ref531955009"/>
      <w:bookmarkStart w:id="1118" w:name="_Ref4796909"/>
      <w:r>
        <w:rPr>
          <w:rFonts w:hint="eastAsia" w:asciiTheme="minorEastAsia" w:hAnsiTheme="minorEastAsia" w:eastAsiaTheme="minorEastAsia" w:cstheme="minorEastAsia"/>
          <w:b w:val="0"/>
          <w:bCs/>
          <w:kern w:val="0"/>
          <w:sz w:val="24"/>
          <w:szCs w:val="18"/>
        </w:rPr>
        <w:t>第11条 缺陷责任与保修</w:t>
      </w:r>
      <w:bookmarkEnd w:id="1115"/>
      <w:bookmarkEnd w:id="1116"/>
      <w:bookmarkEnd w:id="1117"/>
      <w:bookmarkEnd w:id="1118"/>
      <w:r>
        <w:rPr>
          <w:rFonts w:hint="eastAsia" w:asciiTheme="minorEastAsia" w:hAnsiTheme="minorEastAsia" w:eastAsiaTheme="minorEastAsia" w:cstheme="minorEastAsia"/>
          <w:b w:val="0"/>
          <w:bCs/>
          <w:kern w:val="0"/>
          <w:sz w:val="24"/>
          <w:szCs w:val="18"/>
        </w:rPr>
        <w:t xml:space="preserve"> </w:t>
      </w:r>
    </w:p>
    <w:p w14:paraId="49675BFE">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119" w:name="_Toc54862270"/>
      <w:bookmarkStart w:id="1120" w:name="_Ref531955245"/>
      <w:bookmarkStart w:id="1121" w:name="_Ref531955248"/>
      <w:bookmarkStart w:id="1122" w:name="_Ref532362928"/>
      <w:bookmarkStart w:id="1123" w:name="_Toc296503147"/>
      <w:bookmarkStart w:id="1124" w:name="_Toc296346648"/>
      <w:bookmarkStart w:id="1125" w:name="_Toc337558841"/>
      <w:r>
        <w:rPr>
          <w:rFonts w:hint="eastAsia" w:asciiTheme="minorEastAsia" w:hAnsiTheme="minorEastAsia" w:eastAsiaTheme="minorEastAsia" w:cstheme="minorEastAsia"/>
          <w:b w:val="0"/>
          <w:bCs/>
        </w:rPr>
        <w:t>11.1 工程保修的原则</w:t>
      </w:r>
      <w:bookmarkEnd w:id="1119"/>
    </w:p>
    <w:p w14:paraId="3217512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在工程移交发包人后，因承包人原因产生的质量缺陷，承包人应承担质量缺陷责任和保修义务。缺陷责任期届满，承包人仍应按合同约定的工程各部位保修年限承担保修义务。</w:t>
      </w:r>
    </w:p>
    <w:p w14:paraId="60AFF310">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126" w:name="_Ref4430062"/>
      <w:bookmarkStart w:id="1127" w:name="_Toc54862271"/>
      <w:r>
        <w:rPr>
          <w:rFonts w:hint="eastAsia" w:asciiTheme="minorEastAsia" w:hAnsiTheme="minorEastAsia" w:eastAsiaTheme="minorEastAsia" w:cstheme="minorEastAsia"/>
          <w:b w:val="0"/>
          <w:bCs/>
        </w:rPr>
        <w:t>11.2 缺陷责任</w:t>
      </w:r>
      <w:bookmarkEnd w:id="1120"/>
      <w:bookmarkEnd w:id="1121"/>
      <w:r>
        <w:rPr>
          <w:rFonts w:hint="eastAsia" w:asciiTheme="minorEastAsia" w:hAnsiTheme="minorEastAsia" w:eastAsiaTheme="minorEastAsia" w:cstheme="minorEastAsia"/>
          <w:b w:val="0"/>
          <w:bCs/>
        </w:rPr>
        <w:t>期</w:t>
      </w:r>
      <w:bookmarkEnd w:id="1122"/>
      <w:bookmarkEnd w:id="1126"/>
      <w:bookmarkEnd w:id="1127"/>
      <w:r>
        <w:rPr>
          <w:rFonts w:hint="eastAsia" w:asciiTheme="minorEastAsia" w:hAnsiTheme="minorEastAsia" w:eastAsiaTheme="minorEastAsia" w:cstheme="minorEastAsia"/>
          <w:b w:val="0"/>
          <w:bCs/>
        </w:rPr>
        <w:t xml:space="preserve"> </w:t>
      </w:r>
    </w:p>
    <w:p w14:paraId="7C776D4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缺陷责任期原则上从工程竣工验收合格之日起计算，合同当事人应在专用合同条件约定缺陷责任期的具体期限，但该期限最长不超过24个月。</w:t>
      </w:r>
    </w:p>
    <w:p w14:paraId="298460D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单位/区段工程先于全部工程进行验收，经验收合格并交付使用的，该单位/区段工程缺陷责任期自单位/区段工程验收合格之日起算。因发包人原因导致工程未在合同约定期限进行验收，但工程经验收合格的，以承包人提交竣工验收报告之日起算；因发包人原因导致工程未能进行竣工验收的，在承包人提交竣工验收报告90天后，工程自动进入缺陷责任期；发包人未经竣工验收擅自使用工程的，缺陷责任期自工程转移占有之日起开始计算。</w:t>
      </w:r>
    </w:p>
    <w:p w14:paraId="4E842B2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个月。</w:t>
      </w:r>
    </w:p>
    <w:p w14:paraId="44A85A99">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128" w:name="_Ref532662491"/>
      <w:bookmarkStart w:id="1129" w:name="_Toc54862272"/>
      <w:bookmarkStart w:id="1130" w:name="_Ref532662486"/>
      <w:r>
        <w:rPr>
          <w:rFonts w:hint="eastAsia" w:asciiTheme="minorEastAsia" w:hAnsiTheme="minorEastAsia" w:eastAsiaTheme="minorEastAsia" w:cstheme="minorEastAsia"/>
          <w:b w:val="0"/>
          <w:bCs/>
        </w:rPr>
        <w:t>11.3 缺陷调查</w:t>
      </w:r>
      <w:bookmarkEnd w:id="1128"/>
      <w:bookmarkEnd w:id="1129"/>
      <w:bookmarkEnd w:id="1130"/>
    </w:p>
    <w:p w14:paraId="0CA0A75A">
      <w:pPr>
        <w:pStyle w:val="260"/>
        <w:numPr>
          <w:ilvl w:val="0"/>
          <w:numId w:val="0"/>
        </w:numPr>
        <w:spacing w:line="240" w:lineRule="auto"/>
        <w:outlineLvl w:val="4"/>
        <w:rPr>
          <w:rFonts w:hint="eastAsia" w:asciiTheme="minorEastAsia" w:hAnsiTheme="minorEastAsia" w:eastAsiaTheme="minorEastAsia" w:cstheme="minorEastAsia"/>
          <w:b/>
          <w:szCs w:val="24"/>
        </w:rPr>
      </w:pPr>
      <w:r>
        <w:rPr>
          <w:rFonts w:hint="eastAsia" w:asciiTheme="minorEastAsia" w:hAnsiTheme="minorEastAsia" w:eastAsiaTheme="minorEastAsia" w:cstheme="minorEastAsia"/>
          <w:szCs w:val="24"/>
        </w:rPr>
        <w:t>11.3.1 承包人缺陷调查</w:t>
      </w:r>
    </w:p>
    <w:p w14:paraId="4731D39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14:paraId="358F3E8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14:paraId="26C5BC11">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11.3.2 缺陷责任</w:t>
      </w:r>
    </w:p>
    <w:p w14:paraId="5A132FE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14:paraId="34E8A724">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11.3.3 修复费用</w:t>
      </w:r>
    </w:p>
    <w:p w14:paraId="3774DFB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发包人和承包人应共同查清缺陷或损坏的原因。经查明属承包人原因造成的，应由承包人承担修复的费用。经查验非承包人原因造成的，发包人应承担修复的费用，并支付承包人合理利润。</w:t>
      </w:r>
    </w:p>
    <w:p w14:paraId="115341FB">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131" w:name="_Ref531955041"/>
      <w:r>
        <w:rPr>
          <w:rFonts w:hint="eastAsia" w:asciiTheme="minorEastAsia" w:hAnsiTheme="minorEastAsia" w:eastAsiaTheme="minorEastAsia" w:cstheme="minorEastAsia"/>
          <w:szCs w:val="24"/>
        </w:rPr>
        <w:t>11.3.4 修复通知</w:t>
      </w:r>
      <w:bookmarkEnd w:id="1131"/>
    </w:p>
    <w:p w14:paraId="4CA24B5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缺陷责任期内，发包人在使用过程中，发现已接收的工程存在缺陷或损坏的，应书面通知承包人予以修复，但情况紧急必须立即修复缺陷或损坏的，发包人可以口头通知承包人并在口头通知后48小时内书面确认，承包人应在专用合同条件约定的合理期限内到达工程现场并修复缺陷或损坏。</w:t>
      </w:r>
    </w:p>
    <w:p w14:paraId="300DF81C">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11.3.5 在现场外修复</w:t>
      </w:r>
    </w:p>
    <w:p w14:paraId="37FFDAD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全部重置成本增加质量保证金的数额。</w:t>
      </w:r>
    </w:p>
    <w:p w14:paraId="7ADB7EC2">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132" w:name="_Ref4534291"/>
      <w:bookmarkStart w:id="1133" w:name="_Hlk51506786"/>
      <w:r>
        <w:rPr>
          <w:rFonts w:hint="eastAsia" w:asciiTheme="minorEastAsia" w:hAnsiTheme="minorEastAsia" w:eastAsiaTheme="minorEastAsia" w:cstheme="minorEastAsia"/>
          <w:szCs w:val="24"/>
        </w:rPr>
        <w:t>11.3.6 未能修复</w:t>
      </w:r>
      <w:bookmarkEnd w:id="1132"/>
    </w:p>
    <w:bookmarkEnd w:id="1133"/>
    <w:p w14:paraId="21029FF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1FCF69D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如果工程或工程设备的缺陷或损害使发包人实质上失去了工程的整体功能，发包人有权向承包人追回已支付的工程款项，并要求其赔偿发包人相应损失。</w:t>
      </w:r>
    </w:p>
    <w:bookmarkEnd w:id="1123"/>
    <w:bookmarkEnd w:id="1124"/>
    <w:bookmarkEnd w:id="1125"/>
    <w:p w14:paraId="52848C61">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134" w:name="_Ref532662552"/>
      <w:bookmarkStart w:id="1135" w:name="_Ref532662554"/>
      <w:bookmarkStart w:id="1136" w:name="_Toc54862273"/>
      <w:r>
        <w:rPr>
          <w:rFonts w:hint="eastAsia" w:asciiTheme="minorEastAsia" w:hAnsiTheme="minorEastAsia" w:eastAsiaTheme="minorEastAsia" w:cstheme="minorEastAsia"/>
          <w:b w:val="0"/>
          <w:bCs/>
        </w:rPr>
        <w:t>11.4 缺陷修复后的进一步试验</w:t>
      </w:r>
      <w:bookmarkEnd w:id="1134"/>
      <w:bookmarkEnd w:id="1135"/>
      <w:bookmarkEnd w:id="1136"/>
    </w:p>
    <w:p w14:paraId="005E8E0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任何一项缺陷修补后的7天内，承包人应向发包人发出通知，告知已修补的情况。如根据第9条[竣工试验]或第12条[竣工后试验]的规定适用重新试验的，还应建议重新试验。发包人应在收到重新试验的通知后14天内答复，逾期未进行答复的视为同意重新试验。承包人未建议重新试验的，发包人也可在缺陷修补后的14天内指示进行必要的重新试验，以证明已修复的部分符合合同要求。</w:t>
      </w:r>
    </w:p>
    <w:p w14:paraId="20A1EF1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所有的重复试验应按照适用于先前试验的条款进行，但应由责任方承担修补工作的成本和重新试验的风险和费用。</w:t>
      </w:r>
    </w:p>
    <w:p w14:paraId="174CFD69">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137" w:name="_Toc54862274"/>
      <w:r>
        <w:rPr>
          <w:rFonts w:hint="eastAsia" w:asciiTheme="minorEastAsia" w:hAnsiTheme="minorEastAsia" w:eastAsiaTheme="minorEastAsia" w:cstheme="minorEastAsia"/>
          <w:b w:val="0"/>
          <w:bCs/>
        </w:rPr>
        <w:t>11.5 承包人出入权</w:t>
      </w:r>
      <w:bookmarkEnd w:id="1137"/>
    </w:p>
    <w:p w14:paraId="6F83B6D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缺陷责任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安保和保密等规定。</w:t>
      </w:r>
    </w:p>
    <w:p w14:paraId="2CB72FD3">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138" w:name="_Toc54862275"/>
      <w:bookmarkStart w:id="1139" w:name="_Ref4430223"/>
      <w:bookmarkStart w:id="1140" w:name="_Ref4430229"/>
      <w:r>
        <w:rPr>
          <w:rFonts w:hint="eastAsia" w:asciiTheme="minorEastAsia" w:hAnsiTheme="minorEastAsia" w:eastAsiaTheme="minorEastAsia" w:cstheme="minorEastAsia"/>
          <w:b w:val="0"/>
          <w:bCs/>
        </w:rPr>
        <w:t>11.6 缺陷责任期终止证书</w:t>
      </w:r>
      <w:bookmarkEnd w:id="1138"/>
      <w:bookmarkEnd w:id="1139"/>
      <w:bookmarkEnd w:id="1140"/>
    </w:p>
    <w:p w14:paraId="1F9A760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w:t>
      </w:r>
      <w:bookmarkStart w:id="1141" w:name="_Hlk4686672"/>
      <w:r>
        <w:rPr>
          <w:rFonts w:hint="eastAsia" w:asciiTheme="minorEastAsia" w:hAnsiTheme="minorEastAsia" w:eastAsiaTheme="minorEastAsia" w:cstheme="minorEastAsia"/>
          <w:kern w:val="0"/>
          <w:sz w:val="24"/>
          <w:szCs w:val="24"/>
        </w:rPr>
        <w:t>承包人应于缺陷责任期届满前7天内向发包人发出缺陷责任期即将届满通知，发包人应在收到通知后7天内核实承包人是否履行缺陷修复义务，承包人未能履行缺陷修复义务的，发包人有权扣除相应金额的维修费用。发包人应在缺陷责任期届满之日，向承包人颁发缺陷责任期终止证书，并按第14.6.3项[质量保证金的返还]返还质量保证金。</w:t>
      </w:r>
      <w:bookmarkEnd w:id="1141"/>
    </w:p>
    <w:p w14:paraId="1F92BA5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如根据第10.5.3项[人员撤离]承包人在施工现场还留有人员、施工设备和临时工程的，承包人应当在收到缺陷责任期终止证书后28天内，将上述人员、施工设备和临时工程撤离施工现场。</w:t>
      </w:r>
    </w:p>
    <w:p w14:paraId="796C569D">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142" w:name="_Ref4430272"/>
      <w:bookmarkStart w:id="1143" w:name="_Toc54862276"/>
      <w:r>
        <w:rPr>
          <w:rFonts w:hint="eastAsia" w:asciiTheme="minorEastAsia" w:hAnsiTheme="minorEastAsia" w:eastAsiaTheme="minorEastAsia" w:cstheme="minorEastAsia"/>
          <w:b w:val="0"/>
          <w:bCs/>
        </w:rPr>
        <w:t>11.7 保修责任</w:t>
      </w:r>
      <w:bookmarkEnd w:id="1142"/>
      <w:bookmarkEnd w:id="1143"/>
    </w:p>
    <w:p w14:paraId="2805EF9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因承包人原因导致的质量缺陷责任，由合同当事人根据有关法律规定，在专用合同条件和工程质量保修书中约定工程质量保修范围、期限和责任。</w:t>
      </w:r>
      <w:bookmarkEnd w:id="990"/>
      <w:bookmarkStart w:id="1144" w:name="_Ref531957860"/>
      <w:bookmarkStart w:id="1145" w:name="_Ref531958289"/>
    </w:p>
    <w:bookmarkEnd w:id="1144"/>
    <w:p w14:paraId="55C2D36B">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146" w:name="_Ref4621057"/>
      <w:bookmarkStart w:id="1147" w:name="_Toc54862277"/>
      <w:bookmarkStart w:id="1148" w:name="_Ref4621065"/>
      <w:bookmarkStart w:id="1149" w:name="_Ref4796955"/>
      <w:bookmarkStart w:id="1150" w:name="_Ref4796958"/>
      <w:r>
        <w:rPr>
          <w:rFonts w:hint="eastAsia" w:asciiTheme="minorEastAsia" w:hAnsiTheme="minorEastAsia" w:eastAsiaTheme="minorEastAsia" w:cstheme="minorEastAsia"/>
          <w:b w:val="0"/>
          <w:bCs/>
          <w:kern w:val="0"/>
          <w:sz w:val="24"/>
          <w:szCs w:val="18"/>
        </w:rPr>
        <w:t>第12条 竣工后试验</w:t>
      </w:r>
      <w:bookmarkEnd w:id="1146"/>
      <w:bookmarkEnd w:id="1147"/>
      <w:bookmarkEnd w:id="1148"/>
    </w:p>
    <w:p w14:paraId="2458BFB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本合同工程包含竣工后试验的，遵守本条约定。</w:t>
      </w:r>
    </w:p>
    <w:p w14:paraId="2D2D480A">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151" w:name="_Ref531954604"/>
      <w:bookmarkStart w:id="1152" w:name="_Ref531954601"/>
      <w:bookmarkStart w:id="1153" w:name="_Ref531954694"/>
      <w:bookmarkStart w:id="1154" w:name="_Toc54862278"/>
      <w:bookmarkStart w:id="1155" w:name="_Hlk522259976"/>
      <w:r>
        <w:rPr>
          <w:rFonts w:hint="eastAsia" w:asciiTheme="minorEastAsia" w:hAnsiTheme="minorEastAsia" w:eastAsiaTheme="minorEastAsia" w:cstheme="minorEastAsia"/>
          <w:b w:val="0"/>
          <w:bCs/>
        </w:rPr>
        <w:t>12.1 竣工后试验</w:t>
      </w:r>
      <w:bookmarkEnd w:id="1151"/>
      <w:bookmarkEnd w:id="1152"/>
      <w:r>
        <w:rPr>
          <w:rFonts w:hint="eastAsia" w:asciiTheme="minorEastAsia" w:hAnsiTheme="minorEastAsia" w:eastAsiaTheme="minorEastAsia" w:cstheme="minorEastAsia"/>
          <w:b w:val="0"/>
          <w:bCs/>
        </w:rPr>
        <w:t>的程序</w:t>
      </w:r>
      <w:bookmarkEnd w:id="1153"/>
      <w:bookmarkEnd w:id="1154"/>
    </w:p>
    <w:p w14:paraId="6B907305">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156" w:name="_Ref11920184"/>
      <w:r>
        <w:rPr>
          <w:rFonts w:hint="eastAsia" w:asciiTheme="minorEastAsia" w:hAnsiTheme="minorEastAsia" w:eastAsiaTheme="minorEastAsia" w:cstheme="minorEastAsia"/>
          <w:szCs w:val="24"/>
        </w:rPr>
        <w:t>12.1.1 工程或区段工程被发包人接收后，在合理可行的情况下应根据合同约定尽早进行竣工后试验。</w:t>
      </w:r>
      <w:bookmarkEnd w:id="1156"/>
    </w:p>
    <w:p w14:paraId="668CE7FC">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12.1.2 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p>
    <w:p w14:paraId="491F2E3A">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157" w:name="_Ref11920162"/>
      <w:r>
        <w:rPr>
          <w:rFonts w:hint="eastAsia" w:asciiTheme="minorEastAsia" w:hAnsiTheme="minorEastAsia" w:eastAsiaTheme="minorEastAsia" w:cstheme="minorEastAsia"/>
          <w:szCs w:val="24"/>
        </w:rPr>
        <w:t>12.1.3 除《发包人要求》另有约定外，发包人应在合理可行的情况下尽快进行每项竣工后试验，并至少提前21天将该项竣工后试验的内容、地点和时间，以及显示其他竣工后试验拟开展时间的竣工后试验计划通知承包人。</w:t>
      </w:r>
      <w:bookmarkEnd w:id="1157"/>
    </w:p>
    <w:p w14:paraId="4FF3159A">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158" w:name="_Ref11920146"/>
      <w:r>
        <w:rPr>
          <w:rFonts w:hint="eastAsia" w:asciiTheme="minorEastAsia" w:hAnsiTheme="minorEastAsia" w:eastAsiaTheme="minorEastAsia" w:cstheme="minorEastAsia"/>
          <w:szCs w:val="24"/>
        </w:rPr>
        <w:t>12.1.4 发包人应根据《发包人要求》、承包人按照第5.5款</w:t>
      </w:r>
      <w:bookmarkStart w:id="1159" w:name="_Hlk18943978"/>
      <w:r>
        <w:rPr>
          <w:rFonts w:hint="eastAsia" w:asciiTheme="minorEastAsia" w:hAnsiTheme="minorEastAsia" w:eastAsiaTheme="minorEastAsia" w:cstheme="minorEastAsia"/>
          <w:szCs w:val="24"/>
        </w:rPr>
        <w:t>[操作和维修手册]</w:t>
      </w:r>
      <w:bookmarkEnd w:id="1159"/>
      <w:r>
        <w:rPr>
          <w:rFonts w:hint="eastAsia" w:asciiTheme="minorEastAsia" w:hAnsiTheme="minorEastAsia" w:eastAsiaTheme="minorEastAsia" w:cstheme="minorEastAsia"/>
          <w:szCs w:val="24"/>
        </w:rPr>
        <w:t>提交的文件，以及承包人被要求提供的指导进行竣工后试验。如承包人未在发包人通知的时间和地点参加竣工后试验，发包人可自行进行，该试验应被视为是承包人在场的情况下进行的，且承包人应视为认可试验数据。</w:t>
      </w:r>
      <w:bookmarkEnd w:id="1158"/>
    </w:p>
    <w:p w14:paraId="0E11B8DE">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12.1.5 竣工后试验的结果应由双方进行整理和评价，并应适当考虑发包人对工程或其任何部分的使用，对工程或区段工程的性能、特性和试验结果产生的影响。</w:t>
      </w:r>
    </w:p>
    <w:p w14:paraId="6E0370AC">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160" w:name="_Ref531954785"/>
      <w:bookmarkStart w:id="1161" w:name="_Ref531954781"/>
      <w:bookmarkStart w:id="1162" w:name="_Toc54862279"/>
      <w:r>
        <w:rPr>
          <w:rFonts w:hint="eastAsia" w:asciiTheme="minorEastAsia" w:hAnsiTheme="minorEastAsia" w:eastAsiaTheme="minorEastAsia" w:cstheme="minorEastAsia"/>
          <w:b w:val="0"/>
          <w:bCs/>
        </w:rPr>
        <w:t>12.2 延误的试验</w:t>
      </w:r>
      <w:bookmarkEnd w:id="1160"/>
      <w:bookmarkEnd w:id="1161"/>
      <w:bookmarkEnd w:id="1162"/>
      <w:r>
        <w:rPr>
          <w:rFonts w:hint="eastAsia" w:asciiTheme="minorEastAsia" w:hAnsiTheme="minorEastAsia" w:eastAsiaTheme="minorEastAsia" w:cstheme="minorEastAsia"/>
          <w:b w:val="0"/>
          <w:bCs/>
        </w:rPr>
        <w:t xml:space="preserve"> </w:t>
      </w:r>
    </w:p>
    <w:p w14:paraId="0FA212F5">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12.2.1 如果竣工后试验因发包人原因被延误的，发包人应承担承包人由此增加的费用。</w:t>
      </w:r>
    </w:p>
    <w:p w14:paraId="59FC2317">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12.2.2 如果因承包人以外的原因，导致竣工后试验未能在缺陷责任期或双方另行同意的其他期限内完成，则相关工程或区段工程应视为已通过该竣工后试验。</w:t>
      </w:r>
    </w:p>
    <w:p w14:paraId="2F42880F">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163" w:name="_Toc54862280"/>
      <w:r>
        <w:rPr>
          <w:rFonts w:hint="eastAsia" w:asciiTheme="minorEastAsia" w:hAnsiTheme="minorEastAsia" w:eastAsiaTheme="minorEastAsia" w:cstheme="minorEastAsia"/>
          <w:b w:val="0"/>
          <w:bCs/>
        </w:rPr>
        <w:t>12.3 重新试验</w:t>
      </w:r>
      <w:bookmarkEnd w:id="1163"/>
    </w:p>
    <w:p w14:paraId="402202B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工程或区段工程未能通过竣工后试验，则承包人应根据第11.3款[缺陷调查]的规定修补缺陷，以达到合同约定的要求；并按照第11.4款[缺陷修复后的进一步试验]重新进行竣工后试验以及承担风险和费用。如未通过试验和重新试验是承包人原因造成的，则承包人还应承担发包人因此增加的费用。</w:t>
      </w:r>
    </w:p>
    <w:bookmarkEnd w:id="1155"/>
    <w:p w14:paraId="2157A7D6">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164" w:name="_Ref531954819"/>
      <w:bookmarkStart w:id="1165" w:name="_Toc54862281"/>
      <w:bookmarkStart w:id="1166" w:name="_Ref531954811"/>
      <w:r>
        <w:rPr>
          <w:rFonts w:hint="eastAsia" w:asciiTheme="minorEastAsia" w:hAnsiTheme="minorEastAsia" w:eastAsiaTheme="minorEastAsia" w:cstheme="minorEastAsia"/>
          <w:b w:val="0"/>
          <w:bCs/>
        </w:rPr>
        <w:t>12.4 未能通过竣工后试验</w:t>
      </w:r>
      <w:bookmarkEnd w:id="1164"/>
      <w:bookmarkEnd w:id="1165"/>
      <w:bookmarkEnd w:id="1166"/>
    </w:p>
    <w:p w14:paraId="2A8BD26C">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167" w:name="_Ref531954829"/>
      <w:r>
        <w:rPr>
          <w:rFonts w:hint="eastAsia" w:asciiTheme="minorEastAsia" w:hAnsiTheme="minorEastAsia" w:eastAsiaTheme="minorEastAsia" w:cstheme="minorEastAsia"/>
          <w:szCs w:val="24"/>
        </w:rPr>
        <w:t>12.4.1 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bookmarkEnd w:id="1167"/>
    </w:p>
    <w:p w14:paraId="267F80D6">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12.4.2 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p>
    <w:p w14:paraId="4FE4FD14">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12.4.3 发包人无故拖延给予承包人进行调查、调整或修补所需的进入工程或区段工程的许可，并造成承包人费用增加的，应承担由此增加的费用并支付承包人合理利润。</w:t>
      </w:r>
    </w:p>
    <w:p w14:paraId="6D912CE7">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168" w:name="_Ref4415801"/>
      <w:bookmarkStart w:id="1169" w:name="_Toc54862282"/>
      <w:r>
        <w:rPr>
          <w:rFonts w:hint="eastAsia" w:asciiTheme="minorEastAsia" w:hAnsiTheme="minorEastAsia" w:eastAsiaTheme="minorEastAsia" w:cstheme="minorEastAsia"/>
          <w:b w:val="0"/>
          <w:bCs/>
          <w:kern w:val="0"/>
          <w:sz w:val="24"/>
          <w:szCs w:val="18"/>
        </w:rPr>
        <w:t>第13条 变更与调整</w:t>
      </w:r>
      <w:bookmarkEnd w:id="1168"/>
      <w:bookmarkEnd w:id="1169"/>
    </w:p>
    <w:p w14:paraId="770B64AB">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170" w:name="_Ref532668569"/>
      <w:bookmarkStart w:id="1171" w:name="_Ref532670393"/>
      <w:bookmarkStart w:id="1172" w:name="_Toc54862283"/>
      <w:bookmarkStart w:id="1173" w:name="_Ref532677087"/>
      <w:bookmarkStart w:id="1174" w:name="_Ref532677084"/>
      <w:bookmarkStart w:id="1175" w:name="_Ref532670395"/>
      <w:bookmarkStart w:id="1176" w:name="_Ref532668573"/>
      <w:r>
        <w:rPr>
          <w:rFonts w:hint="eastAsia" w:asciiTheme="minorEastAsia" w:hAnsiTheme="minorEastAsia" w:eastAsiaTheme="minorEastAsia" w:cstheme="minorEastAsia"/>
          <w:b w:val="0"/>
          <w:bCs/>
        </w:rPr>
        <w:t>13.1 发包人变更权</w:t>
      </w:r>
      <w:bookmarkEnd w:id="1170"/>
      <w:bookmarkEnd w:id="1171"/>
      <w:bookmarkEnd w:id="1172"/>
      <w:bookmarkEnd w:id="1173"/>
      <w:bookmarkEnd w:id="1174"/>
      <w:bookmarkEnd w:id="1175"/>
      <w:bookmarkEnd w:id="1176"/>
      <w:r>
        <w:rPr>
          <w:rFonts w:hint="eastAsia" w:asciiTheme="minorEastAsia" w:hAnsiTheme="minorEastAsia" w:eastAsiaTheme="minorEastAsia" w:cstheme="minorEastAsia"/>
          <w:b w:val="0"/>
          <w:bCs/>
        </w:rPr>
        <w:t xml:space="preserve"> </w:t>
      </w:r>
    </w:p>
    <w:p w14:paraId="5B51ACA2">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177" w:name="_Ref4534979"/>
      <w:r>
        <w:rPr>
          <w:rFonts w:hint="eastAsia" w:asciiTheme="minorEastAsia" w:hAnsiTheme="minorEastAsia" w:eastAsiaTheme="minorEastAsia" w:cstheme="minorEastAsia"/>
          <w:szCs w:val="24"/>
        </w:rPr>
        <w:t>13.1.1 变更指示应经发包人同意，并由工程师发出经发包人签认的变更指示。除第11.3.6项[未能修复]约定的情况外，变更不应包括准备将任何工作删减并交由他人或发包人自行实施的情况。承包人收到变更指示后，方可实施变更。未经许可，承包人不得擅自对工程的任何部分进行变更。</w:t>
      </w:r>
      <w:bookmarkEnd w:id="1177"/>
      <w:r>
        <w:rPr>
          <w:rFonts w:hint="eastAsia" w:asciiTheme="minorEastAsia" w:hAnsiTheme="minorEastAsia" w:eastAsiaTheme="minorEastAsia" w:cstheme="minorEastAsia"/>
          <w:szCs w:val="24"/>
        </w:rPr>
        <w:t>发包人与承包人对某项指示或批准是否构成变更产生争议的，按第20条[争议解决]处理。</w:t>
      </w:r>
    </w:p>
    <w:p w14:paraId="4CFBDF2D">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13.1.2 承包人应按照变更指示执行，除非承包人及时向工程师发出通知，说明该项变更指示将降低工程的安全性、稳定性或适用性；涉及的工作内容和范围不可预见；所涉设备难以采购；导致承包人无法执行第7.5款[现场劳动用工]、第7.6款[安全文明施工]、第7.7款[职业健康]或第7.8款[环境保护]内容；将造成工期延误；与第4.1款[承包人的一般义务]相冲突等无法执行的理由。工程师接到承包人的通知后，应作出经发包人签认的取消、确认或改变原指示的书面回复。</w:t>
      </w:r>
    </w:p>
    <w:p w14:paraId="0C3D14BF">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178" w:name="_Ref531955590"/>
      <w:bookmarkStart w:id="1179" w:name="_Ref531955587"/>
      <w:bookmarkStart w:id="1180" w:name="_Ref4623207"/>
      <w:bookmarkStart w:id="1181" w:name="_Toc54862284"/>
      <w:r>
        <w:rPr>
          <w:rFonts w:hint="eastAsia" w:asciiTheme="minorEastAsia" w:hAnsiTheme="minorEastAsia" w:eastAsiaTheme="minorEastAsia" w:cstheme="minorEastAsia"/>
          <w:b w:val="0"/>
          <w:bCs/>
        </w:rPr>
        <w:t>13.2 承</w:t>
      </w:r>
      <w:bookmarkEnd w:id="1178"/>
      <w:bookmarkEnd w:id="1179"/>
      <w:r>
        <w:rPr>
          <w:rFonts w:hint="eastAsia" w:asciiTheme="minorEastAsia" w:hAnsiTheme="minorEastAsia" w:eastAsiaTheme="minorEastAsia" w:cstheme="minorEastAsia"/>
          <w:b w:val="0"/>
          <w:bCs/>
        </w:rPr>
        <w:t>包人的合理化建议</w:t>
      </w:r>
      <w:bookmarkEnd w:id="1180"/>
      <w:bookmarkEnd w:id="1181"/>
    </w:p>
    <w:p w14:paraId="2C6B5424">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13.2.1 承包人提出合理化建议的，应向工程师提交合理化建议说明，说明建议的内容、理由以及实施该建议对合同价格和工期的影响。</w:t>
      </w:r>
    </w:p>
    <w:p w14:paraId="2CDFBCFC">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182" w:name="_Ref4681686"/>
      <w:r>
        <w:rPr>
          <w:rFonts w:hint="eastAsia" w:asciiTheme="minorEastAsia" w:hAnsiTheme="minorEastAsia" w:eastAsiaTheme="minorEastAsia" w:cstheme="minorEastAsia"/>
          <w:szCs w:val="24"/>
        </w:rPr>
        <w:t>13.2.2 除专用合同条件另有约定外，</w:t>
      </w:r>
      <w:bookmarkStart w:id="1183" w:name="_Hlk4682273"/>
      <w:r>
        <w:rPr>
          <w:rFonts w:hint="eastAsia" w:asciiTheme="minorEastAsia" w:hAnsiTheme="minorEastAsia" w:eastAsiaTheme="minorEastAsia" w:cstheme="minorEastAsia"/>
          <w:szCs w:val="24"/>
        </w:rPr>
        <w:t>工程师应在收到承包人提交的合理化建议后7天内审查完毕并报送发包人，发现其中存在技术上的缺陷，应通知承包人修改。发包人应在收到工程师报送的合理化建议后7天内审批完毕。合理化建议经发包人批准的，工程师应及时发出变更指示，由此引起的合同价格调整按照第13.3.3项[变更估价]约定执行。发包人不同意变更的，工程师应书面通知承包人</w:t>
      </w:r>
      <w:bookmarkEnd w:id="1182"/>
      <w:r>
        <w:rPr>
          <w:rFonts w:hint="eastAsia" w:asciiTheme="minorEastAsia" w:hAnsiTheme="minorEastAsia" w:eastAsiaTheme="minorEastAsia" w:cstheme="minorEastAsia"/>
          <w:szCs w:val="24"/>
        </w:rPr>
        <w:t>。</w:t>
      </w:r>
    </w:p>
    <w:p w14:paraId="0E0D2AF4">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13.2.3 合理化建议降低了合同价格、缩短了工期或者提高了工程经济效益的，双方可以按照专用合同条件的约定进行利益分享。</w:t>
      </w:r>
    </w:p>
    <w:bookmarkEnd w:id="1183"/>
    <w:p w14:paraId="0D3D6AC9">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184" w:name="_Ref532671480"/>
      <w:bookmarkStart w:id="1185" w:name="_Toc54862285"/>
      <w:bookmarkStart w:id="1186" w:name="_Ref532669302"/>
      <w:bookmarkStart w:id="1187" w:name="_Ref532669305"/>
      <w:bookmarkStart w:id="1188" w:name="_Ref532673538"/>
      <w:bookmarkStart w:id="1189" w:name="_Ref532671484"/>
      <w:bookmarkStart w:id="1190" w:name="_Ref532673541"/>
      <w:r>
        <w:rPr>
          <w:rFonts w:hint="eastAsia" w:asciiTheme="minorEastAsia" w:hAnsiTheme="minorEastAsia" w:eastAsiaTheme="minorEastAsia" w:cstheme="minorEastAsia"/>
          <w:b w:val="0"/>
          <w:bCs/>
        </w:rPr>
        <w:t>13.3 变更程序</w:t>
      </w:r>
      <w:bookmarkEnd w:id="1184"/>
      <w:bookmarkEnd w:id="1185"/>
      <w:bookmarkEnd w:id="1186"/>
      <w:bookmarkEnd w:id="1187"/>
      <w:bookmarkEnd w:id="1188"/>
      <w:bookmarkEnd w:id="1189"/>
      <w:bookmarkEnd w:id="1190"/>
    </w:p>
    <w:p w14:paraId="711EDC1E">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191" w:name="_Ref4534600"/>
      <w:r>
        <w:rPr>
          <w:rFonts w:hint="eastAsia" w:asciiTheme="minorEastAsia" w:hAnsiTheme="minorEastAsia" w:eastAsiaTheme="minorEastAsia" w:cstheme="minorEastAsia"/>
          <w:szCs w:val="24"/>
        </w:rPr>
        <w:t>13.3.1 发包人提出变更</w:t>
      </w:r>
      <w:bookmarkEnd w:id="1191"/>
    </w:p>
    <w:p w14:paraId="485ADCF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发包人提出变更的，应通过工程师向承包人发出书面形式的变更指示，变更指示应说明计划变更的工程范围和变更的内容。</w:t>
      </w:r>
    </w:p>
    <w:p w14:paraId="14C9330A">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192" w:name="_Ref4534617"/>
      <w:r>
        <w:rPr>
          <w:rFonts w:hint="eastAsia" w:asciiTheme="minorEastAsia" w:hAnsiTheme="minorEastAsia" w:eastAsiaTheme="minorEastAsia" w:cstheme="minorEastAsia"/>
          <w:szCs w:val="24"/>
        </w:rPr>
        <w:t>13.3.2 变更执行</w:t>
      </w:r>
      <w:bookmarkEnd w:id="1192"/>
    </w:p>
    <w:p w14:paraId="04EB6BD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13.3.3项[变更估价]约定确定变更估价。</w:t>
      </w:r>
    </w:p>
    <w:p w14:paraId="634040B6">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193" w:name="_Ref3835481"/>
      <w:r>
        <w:rPr>
          <w:rFonts w:hint="eastAsia" w:asciiTheme="minorEastAsia" w:hAnsiTheme="minorEastAsia" w:eastAsiaTheme="minorEastAsia" w:cstheme="minorEastAsia"/>
          <w:szCs w:val="24"/>
        </w:rPr>
        <w:t>13.3.3 变更估价</w:t>
      </w:r>
      <w:bookmarkEnd w:id="1193"/>
    </w:p>
    <w:p w14:paraId="1A731B3C">
      <w:pPr>
        <w:pStyle w:val="261"/>
        <w:widowControl/>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13.3.3.1 变更估价原则</w:t>
      </w:r>
    </w:p>
    <w:p w14:paraId="24E4BD4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除专用合同条件另有约定外，变更估价按照本款约定处理：</w:t>
      </w:r>
    </w:p>
    <w:p w14:paraId="027632B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合同中未包含价格清单，合同价格应按照所执行的变更工程的成本加利润调整；</w:t>
      </w:r>
    </w:p>
    <w:p w14:paraId="0DC8E54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合同中包含价格清单，合同价格按照如下规则调整：</w:t>
      </w:r>
    </w:p>
    <w:p w14:paraId="7DBB10D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价格清单中有适用于变更工程项目的，应采用该项目的费率和价格；</w:t>
      </w:r>
    </w:p>
    <w:p w14:paraId="3E269AF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价格清单中没有适用但有类似于变更工程项目的，可在合理范围内参照类似项目的费率或价格；</w:t>
      </w:r>
    </w:p>
    <w:p w14:paraId="301EB9E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价格清单中没有适用也没有类似于变更工程项目的，该工程项目应按成本加利润原则调整适用新的费率或价格。</w:t>
      </w:r>
    </w:p>
    <w:p w14:paraId="4AE9840B">
      <w:pPr>
        <w:pStyle w:val="261"/>
        <w:widowControl/>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13.3.3.2 变更估价程序</w:t>
      </w:r>
    </w:p>
    <w:p w14:paraId="5B507E1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194" w:name="_Ref531955607"/>
      <w:bookmarkStart w:id="1195" w:name="_Ref531955605"/>
      <w:bookmarkStart w:id="1196" w:name="_Toc337558844"/>
      <w:bookmarkStart w:id="1197" w:name="_Toc296346651"/>
      <w:bookmarkStart w:id="1198" w:name="_Toc296503150"/>
      <w:r>
        <w:rPr>
          <w:rFonts w:hint="eastAsia" w:asciiTheme="minorEastAsia" w:hAnsiTheme="minorEastAsia" w:eastAsiaTheme="minorEastAsia" w:cstheme="minorEastAsia"/>
          <w:kern w:val="0"/>
          <w:sz w:val="24"/>
          <w:szCs w:val="24"/>
        </w:rPr>
        <w:t>承包人应在收到变更指示后14天内，向工程师提交变更估价申请。工程师应在收到承包人提交的变更估价申请后7天内审查完毕并报送发包人，工程师对变更估价申请有异议，通知承包人修改后重新提交。发包人应在承包人提交变更估价申请后14天内审批完毕。发包人逾期未完成审批或未提出异议的，视为认可承包人提交的变更估价申请。</w:t>
      </w:r>
    </w:p>
    <w:p w14:paraId="5396AA7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因变更引起的价格调整应计入最近一期的进度款中支付。</w:t>
      </w:r>
    </w:p>
    <w:p w14:paraId="734D87CC">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13.3.4 变更引起的工期调整</w:t>
      </w:r>
    </w:p>
    <w:p w14:paraId="7201E7A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因变更引起工期变化的，合同当事人均可要求调整合同工期，由合同当事人按照第3.6款[商定或确定]并参考工程所在地的工期定额标准确定增减工期天数。</w:t>
      </w:r>
    </w:p>
    <w:p w14:paraId="65066FF5">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199" w:name="_Ref4431237"/>
      <w:bookmarkStart w:id="1200" w:name="_Toc54862286"/>
      <w:r>
        <w:rPr>
          <w:rFonts w:hint="eastAsia" w:asciiTheme="minorEastAsia" w:hAnsiTheme="minorEastAsia" w:eastAsiaTheme="minorEastAsia" w:cstheme="minorEastAsia"/>
          <w:b w:val="0"/>
          <w:bCs/>
        </w:rPr>
        <w:t>13.4 暂估价</w:t>
      </w:r>
      <w:bookmarkEnd w:id="1199"/>
      <w:bookmarkEnd w:id="1200"/>
    </w:p>
    <w:p w14:paraId="5956783A">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201" w:name="_Ref4616729"/>
      <w:r>
        <w:rPr>
          <w:rFonts w:hint="eastAsia" w:asciiTheme="minorEastAsia" w:hAnsiTheme="minorEastAsia" w:eastAsiaTheme="minorEastAsia" w:cstheme="minorEastAsia"/>
          <w:szCs w:val="24"/>
        </w:rPr>
        <w:t>13.4.1 依法必须招标的暂估价项目</w:t>
      </w:r>
      <w:bookmarkEnd w:id="1201"/>
    </w:p>
    <w:p w14:paraId="2D1A772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对于依法必须招标的暂估价项目，专用合同条件约定由承包人作为招标人的，招标文件、评标方案、评标结果应报送发包人批准。与组织招标工作有关的费用应当被认为已经包括在承包人的签约合同价中。</w:t>
      </w:r>
    </w:p>
    <w:p w14:paraId="6A426E23">
      <w:pPr>
        <w:pStyle w:val="262"/>
        <w:widowControl/>
        <w:numPr>
          <w:ilvl w:val="0"/>
          <w:numId w:val="0"/>
        </w:numPr>
        <w:spacing w:line="240" w:lineRule="auto"/>
        <w:ind w:firstLine="480" w:firstLineChars="200"/>
        <w:rPr>
          <w:rFonts w:hint="eastAsia" w:asciiTheme="minorEastAsia" w:hAnsiTheme="minorEastAsia" w:eastAsiaTheme="minorEastAsia" w:cstheme="minorEastAsia"/>
          <w:kern w:val="0"/>
          <w:szCs w:val="24"/>
        </w:rPr>
      </w:pPr>
      <w:r>
        <w:rPr>
          <w:rFonts w:hint="eastAsia" w:asciiTheme="minorEastAsia" w:hAnsiTheme="minorEastAsia" w:eastAsiaTheme="minorEastAsia" w:cstheme="minorEastAsia"/>
          <w:kern w:val="0"/>
          <w:szCs w:val="24"/>
        </w:rPr>
        <w:t>专用合同条件约定由发包人和承包人共同作为招标人的，与组织招标工作有关的费用在专用合同条件中约定。</w:t>
      </w:r>
    </w:p>
    <w:p w14:paraId="05E0C7A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具体的招标程序以及发包人和承包人权利义务关系可在专用合同条件中约定。暂估价项目的中标金额与价格清单中所列暂估价的金额差以及相应的税金等其他费用应列入合同价格。</w:t>
      </w:r>
    </w:p>
    <w:p w14:paraId="03D76069">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202" w:name="_Ref4682312"/>
      <w:r>
        <w:rPr>
          <w:rFonts w:hint="eastAsia" w:asciiTheme="minorEastAsia" w:hAnsiTheme="minorEastAsia" w:eastAsiaTheme="minorEastAsia" w:cstheme="minorEastAsia"/>
          <w:szCs w:val="24"/>
        </w:rPr>
        <w:t>13.4.2 不属于依法必须招标的暂估价项目</w:t>
      </w:r>
      <w:bookmarkEnd w:id="1202"/>
    </w:p>
    <w:p w14:paraId="6F37832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价格清单中所列暂估价的金额差以及相应的税金等其他费用应列入合同价格。</w:t>
      </w:r>
    </w:p>
    <w:p w14:paraId="1E16512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4F6F23EB">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203" w:name="_Toc54862287"/>
      <w:bookmarkStart w:id="1204" w:name="_Ref4431250"/>
      <w:r>
        <w:rPr>
          <w:rFonts w:hint="eastAsia" w:asciiTheme="minorEastAsia" w:hAnsiTheme="minorEastAsia" w:eastAsiaTheme="minorEastAsia" w:cstheme="minorEastAsia"/>
          <w:b w:val="0"/>
          <w:bCs/>
        </w:rPr>
        <w:t>13.5 暂列金额</w:t>
      </w:r>
      <w:bookmarkEnd w:id="1203"/>
      <w:bookmarkEnd w:id="1204"/>
      <w:r>
        <w:rPr>
          <w:rFonts w:hint="eastAsia" w:asciiTheme="minorEastAsia" w:hAnsiTheme="minorEastAsia" w:eastAsiaTheme="minorEastAsia" w:cstheme="minorEastAsia"/>
          <w:b w:val="0"/>
          <w:bCs/>
        </w:rPr>
        <w:t xml:space="preserve"> </w:t>
      </w:r>
      <w:bookmarkEnd w:id="1194"/>
      <w:bookmarkEnd w:id="1195"/>
    </w:p>
    <w:bookmarkEnd w:id="1196"/>
    <w:bookmarkEnd w:id="1197"/>
    <w:bookmarkEnd w:id="1198"/>
    <w:p w14:paraId="58BD729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14:paraId="7F22989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对于每笔暂列金额，发包人可以指示用于下列支付：</w:t>
      </w:r>
    </w:p>
    <w:p w14:paraId="3F7EB34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发包人根据第13.1款[发包人变更权]指示变更，决定对合同价格和付款计划表（如有）进行调整的、由承包人实施的工作（包括要提供的工程设备、材料和服务）；</w:t>
      </w:r>
    </w:p>
    <w:p w14:paraId="2FC68B3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承包人购买的工程设备、材料、工作或服务，应支付包括承包人已付（或应付）的实际金额以及相应的管理费等费用和利润（管理费和利润应以实际金额为基数根据合同约定的费率（如有）或百分比计算）。</w:t>
      </w:r>
    </w:p>
    <w:p w14:paraId="7DB67C9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7天内未作回应的，承包人应有权自行接受其中任何一个报价。</w:t>
      </w:r>
    </w:p>
    <w:p w14:paraId="1B80676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每份包含暂列金额的文件还应包括用以证明暂列金额的所有有效的发票、凭证和账户或收据。</w:t>
      </w:r>
    </w:p>
    <w:p w14:paraId="034686D6">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205" w:name="_Toc296503152"/>
      <w:bookmarkStart w:id="1206" w:name="_Toc296346653"/>
      <w:bookmarkStart w:id="1207" w:name="_Ref4431438"/>
      <w:bookmarkStart w:id="1208" w:name="_Toc54862288"/>
      <w:bookmarkStart w:id="1209" w:name="_Toc337558845"/>
      <w:r>
        <w:rPr>
          <w:rFonts w:hint="eastAsia" w:asciiTheme="minorEastAsia" w:hAnsiTheme="minorEastAsia" w:eastAsiaTheme="minorEastAsia" w:cstheme="minorEastAsia"/>
          <w:b w:val="0"/>
          <w:bCs/>
        </w:rPr>
        <w:t>13.6 计日工</w:t>
      </w:r>
      <w:bookmarkEnd w:id="1205"/>
      <w:bookmarkEnd w:id="1206"/>
      <w:bookmarkEnd w:id="1207"/>
      <w:bookmarkEnd w:id="1208"/>
      <w:bookmarkEnd w:id="1209"/>
    </w:p>
    <w:p w14:paraId="5444D49B">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13.6.1 需要采用计日工方式的，经发包人同意后，由工程师通知承包人以计日工计价方式实施相应的工作，其价款按列入价格清单或预算书中的计日工计价项目及其单价进行计算；价格清单或预算书中无相应的计日工单价的，按照合理的成本与利润构成的原则，由工程师按照第3.6款[商定或确定]确定计日工的单价。</w:t>
      </w:r>
    </w:p>
    <w:p w14:paraId="182808FE">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13.6.2 采用计日工计价的任何一项工作，承包人应在该项工作实施过程中，每天提交以下报表和有关凭证报送工程师审查：</w:t>
      </w:r>
    </w:p>
    <w:p w14:paraId="7000F5C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工作名称、内容和数量；</w:t>
      </w:r>
    </w:p>
    <w:p w14:paraId="52B200B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投入该工作的所有人员的姓名、专业、工种、级别和耗用工时；</w:t>
      </w:r>
    </w:p>
    <w:p w14:paraId="5E0D6F8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投入该工作的材料类别和数量；</w:t>
      </w:r>
    </w:p>
    <w:p w14:paraId="579C4A3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投入该工作的施工设备型号、台数和耗用台时；</w:t>
      </w:r>
    </w:p>
    <w:p w14:paraId="40E0B28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其他有关资料和凭证。</w:t>
      </w:r>
    </w:p>
    <w:p w14:paraId="39E81A7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计日工由承包人汇总后，列入最近一期进度付款申请单，由工程师审查并经发包人批准后列入进度付款。</w:t>
      </w:r>
    </w:p>
    <w:p w14:paraId="3D2D9E03">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210" w:name="_Ref4617318"/>
      <w:bookmarkStart w:id="1211" w:name="_Toc54862289"/>
      <w:bookmarkStart w:id="1212" w:name="_Ref4617331"/>
      <w:r>
        <w:rPr>
          <w:rFonts w:hint="eastAsia" w:asciiTheme="minorEastAsia" w:hAnsiTheme="minorEastAsia" w:eastAsiaTheme="minorEastAsia" w:cstheme="minorEastAsia"/>
          <w:b w:val="0"/>
          <w:bCs/>
        </w:rPr>
        <w:t>13.7 法律变化引起的调整</w:t>
      </w:r>
      <w:bookmarkEnd w:id="1210"/>
      <w:bookmarkEnd w:id="1211"/>
      <w:bookmarkEnd w:id="1212"/>
    </w:p>
    <w:p w14:paraId="520C3CFE">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13.7.1 基准日期后，法律变化导致承包人在合同履行过程中所需要的费用发生除第13.8款[市场价格波动引起的调整]约定以外的增加时，由发包人承担由此增加的费用；减少时，应从合同价格中予以扣减。基准日期后，因法律变化造成工期延误时，工期应予以顺延。</w:t>
      </w:r>
    </w:p>
    <w:p w14:paraId="1FBC6DAB">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13.7.2 因法律变化引起的合同价格和工期调整，合同当事人无法达成一致的，由工程师按第3.6款[商定或确定]的约定处理。</w:t>
      </w:r>
    </w:p>
    <w:p w14:paraId="23402AFE">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13.7.3 因承包人原因造成工期延误，在工期延误期间出现法律变化的，由此增加的费用和（或）延误的工期由承包人承担。</w:t>
      </w:r>
    </w:p>
    <w:p w14:paraId="5AC1F573">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13.7.4 因法律变化而需要对工程的实施进行任何调整的，承包人应迅速通知发包人，或者发包人应迅速通知承包人，并附上详细的辅助资料。发包人接到通知后，应根据第13.3款[变更程序]发出变更指示。</w:t>
      </w:r>
    </w:p>
    <w:p w14:paraId="3DAF0D3D">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213" w:name="_Ref18977613"/>
      <w:bookmarkStart w:id="1214" w:name="_Toc54862290"/>
      <w:bookmarkStart w:id="1215" w:name="_Ref531955627"/>
      <w:bookmarkStart w:id="1216" w:name="_Ref531955630"/>
      <w:r>
        <w:rPr>
          <w:rFonts w:hint="eastAsia" w:asciiTheme="minorEastAsia" w:hAnsiTheme="minorEastAsia" w:eastAsiaTheme="minorEastAsia" w:cstheme="minorEastAsia"/>
          <w:b w:val="0"/>
          <w:bCs/>
        </w:rPr>
        <w:t>13.8 市场价格波动引起的调整</w:t>
      </w:r>
      <w:bookmarkEnd w:id="1213"/>
      <w:bookmarkEnd w:id="1214"/>
      <w:bookmarkEnd w:id="1215"/>
      <w:bookmarkEnd w:id="1216"/>
    </w:p>
    <w:p w14:paraId="4A493E9D">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217" w:name="_Ref4709841"/>
      <w:r>
        <w:rPr>
          <w:rFonts w:hint="eastAsia" w:asciiTheme="minorEastAsia" w:hAnsiTheme="minorEastAsia" w:eastAsiaTheme="minorEastAsia" w:cstheme="minorEastAsia"/>
          <w:szCs w:val="24"/>
        </w:rPr>
        <w:t>13.8.1 主要工程材料、设备、人工价格与招标时基期价相比，波动幅度超过合同约定幅度的，双方按照合同约定的价格调整方式调整。</w:t>
      </w:r>
    </w:p>
    <w:p w14:paraId="1F6EAB37">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13.8.2 发包人与承包人在专用合同条件中约定采用《价格指数权重表》的，适用本项约定。</w:t>
      </w:r>
    </w:p>
    <w:p w14:paraId="6D6782B1">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13.8.2.1 双方当事人可以将部分主要工程材料、工程设备、人工价格及其他双方认为应当根据市场价格调整的费用列入附件6[价格指数权重表]，并根据以下公式计算差额并调整合同价格：</w:t>
      </w:r>
    </w:p>
    <w:bookmarkEnd w:id="1217"/>
    <w:p w14:paraId="68A6AA1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18" w:name="_Ref4616996"/>
      <w:r>
        <w:rPr>
          <w:rFonts w:hint="eastAsia" w:asciiTheme="minorEastAsia" w:hAnsiTheme="minorEastAsia" w:eastAsiaTheme="minorEastAsia" w:cstheme="minorEastAsia"/>
          <w:kern w:val="0"/>
          <w:sz w:val="24"/>
          <w:szCs w:val="24"/>
        </w:rPr>
        <w:t>（1） 价格调整公式</w:t>
      </w:r>
      <w:bookmarkEnd w:id="1218"/>
    </w:p>
    <w:p w14:paraId="04F19F75">
      <w:pPr>
        <w:widowControl/>
        <w:wordWrap/>
        <w:topLinePunct w:val="0"/>
        <w:adjustRightInd w:val="0"/>
        <w:snapToGrid w:val="0"/>
        <w:spacing w:after="120" w:afterLines="50" w:line="240" w:lineRule="auto"/>
        <w:ind w:firstLine="42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1"/>
          <w:szCs w:val="16"/>
        </w:rPr>
        <w:drawing>
          <wp:inline distT="0" distB="0" distL="114300" distR="114300">
            <wp:extent cx="4777740" cy="678815"/>
            <wp:effectExtent l="0" t="0" r="7620" b="698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57"/>
                    <a:stretch>
                      <a:fillRect/>
                    </a:stretch>
                  </pic:blipFill>
                  <pic:spPr>
                    <a:xfrm>
                      <a:off x="0" y="0"/>
                      <a:ext cx="4777740" cy="678815"/>
                    </a:xfrm>
                    <a:prstGeom prst="rect">
                      <a:avLst/>
                    </a:prstGeom>
                    <a:noFill/>
                    <a:ln>
                      <a:noFill/>
                    </a:ln>
                  </pic:spPr>
                </pic:pic>
              </a:graphicData>
            </a:graphic>
          </wp:inline>
        </w:drawing>
      </w:r>
    </w:p>
    <w:p w14:paraId="16CC39E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公式中：△P---需调整的价格差额；</w:t>
      </w:r>
    </w:p>
    <w:p w14:paraId="68F478C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P</w:t>
      </w:r>
      <w:r>
        <w:rPr>
          <w:rFonts w:hint="eastAsia" w:asciiTheme="minorEastAsia" w:hAnsiTheme="minorEastAsia" w:eastAsiaTheme="minorEastAsia" w:cstheme="minorEastAsia"/>
          <w:kern w:val="0"/>
          <w:sz w:val="24"/>
          <w:szCs w:val="24"/>
          <w:vertAlign w:val="subscript"/>
        </w:rPr>
        <w:t>O</w:t>
      </w:r>
      <w:r>
        <w:rPr>
          <w:rFonts w:hint="eastAsia" w:asciiTheme="minorEastAsia" w:hAnsiTheme="minorEastAsia" w:eastAsiaTheme="minorEastAsia" w:cstheme="minorEastAsia"/>
          <w:kern w:val="0"/>
          <w:sz w:val="24"/>
          <w:szCs w:val="24"/>
        </w:rPr>
        <w:t>---付款证书中承包人应得到的已完成工作量的金额。此项金额应不包括价格调整、不计质量保证金的预留和支付、预付款的支付和扣回。第13条[变更与调整]约定的变更及其他金额已按当期价格计价的，也不计在内；</w:t>
      </w:r>
    </w:p>
    <w:p w14:paraId="7BDF233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A ---定值权重（即不调部分的权重）； </w:t>
      </w:r>
    </w:p>
    <w:p w14:paraId="630259A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19" w:name="_Hlk24103184"/>
      <w:r>
        <w:rPr>
          <w:rFonts w:hint="eastAsia" w:asciiTheme="minorEastAsia" w:hAnsiTheme="minorEastAsia" w:eastAsiaTheme="minorEastAsia" w:cstheme="minorEastAsia"/>
          <w:kern w:val="0"/>
          <w:sz w:val="24"/>
          <w:szCs w:val="24"/>
        </w:rPr>
        <w:t>B</w:t>
      </w:r>
      <w:r>
        <w:rPr>
          <w:rFonts w:hint="eastAsia" w:asciiTheme="minorEastAsia" w:hAnsiTheme="minorEastAsia" w:eastAsiaTheme="minorEastAsia" w:cstheme="minorEastAsia"/>
          <w:kern w:val="0"/>
          <w:sz w:val="24"/>
          <w:szCs w:val="24"/>
          <w:vertAlign w:val="subscript"/>
        </w:rPr>
        <w:t>1</w:t>
      </w:r>
      <w:bookmarkEnd w:id="1219"/>
      <w:r>
        <w:rPr>
          <w:rFonts w:hint="eastAsia" w:asciiTheme="minorEastAsia" w:hAnsiTheme="minorEastAsia" w:eastAsiaTheme="minorEastAsia" w:cstheme="minorEastAsia"/>
          <w:kern w:val="0"/>
          <w:sz w:val="24"/>
          <w:szCs w:val="24"/>
        </w:rPr>
        <w:t>；</w:t>
      </w:r>
      <w:bookmarkStart w:id="1220" w:name="_Hlk24103205"/>
      <w:r>
        <w:rPr>
          <w:rFonts w:hint="eastAsia" w:asciiTheme="minorEastAsia" w:hAnsiTheme="minorEastAsia" w:eastAsiaTheme="minorEastAsia" w:cstheme="minorEastAsia"/>
          <w:kern w:val="0"/>
          <w:sz w:val="24"/>
          <w:szCs w:val="24"/>
        </w:rPr>
        <w:t>B</w:t>
      </w:r>
      <w:r>
        <w:rPr>
          <w:rFonts w:hint="eastAsia" w:asciiTheme="minorEastAsia" w:hAnsiTheme="minorEastAsia" w:eastAsiaTheme="minorEastAsia" w:cstheme="minorEastAsia"/>
          <w:kern w:val="0"/>
          <w:sz w:val="24"/>
          <w:szCs w:val="24"/>
          <w:vertAlign w:val="subscript"/>
        </w:rPr>
        <w:t>2</w:t>
      </w:r>
      <w:bookmarkEnd w:id="1220"/>
      <w:r>
        <w:rPr>
          <w:rFonts w:hint="eastAsia" w:asciiTheme="minorEastAsia" w:hAnsiTheme="minorEastAsia" w:eastAsiaTheme="minorEastAsia" w:cstheme="minorEastAsia"/>
          <w:kern w:val="0"/>
          <w:sz w:val="24"/>
          <w:szCs w:val="24"/>
        </w:rPr>
        <w:t>；</w:t>
      </w:r>
      <w:bookmarkStart w:id="1221" w:name="_Hlk24103220"/>
      <w:r>
        <w:rPr>
          <w:rFonts w:hint="eastAsia" w:asciiTheme="minorEastAsia" w:hAnsiTheme="minorEastAsia" w:eastAsiaTheme="minorEastAsia" w:cstheme="minorEastAsia"/>
          <w:kern w:val="0"/>
          <w:sz w:val="24"/>
          <w:szCs w:val="24"/>
        </w:rPr>
        <w:t>B</w:t>
      </w:r>
      <w:r>
        <w:rPr>
          <w:rFonts w:hint="eastAsia" w:asciiTheme="minorEastAsia" w:hAnsiTheme="minorEastAsia" w:eastAsiaTheme="minorEastAsia" w:cstheme="minorEastAsia"/>
          <w:kern w:val="0"/>
          <w:sz w:val="24"/>
          <w:szCs w:val="24"/>
          <w:vertAlign w:val="subscript"/>
        </w:rPr>
        <w:t>3</w:t>
      </w:r>
      <w:bookmarkEnd w:id="1221"/>
      <w:r>
        <w:rPr>
          <w:rFonts w:hint="eastAsia" w:asciiTheme="minorEastAsia" w:hAnsiTheme="minorEastAsia" w:eastAsiaTheme="minorEastAsia" w:cstheme="minorEastAsia"/>
          <w:kern w:val="0"/>
          <w:sz w:val="24"/>
          <w:szCs w:val="24"/>
        </w:rPr>
        <w:t>；……</w:t>
      </w:r>
      <w:bookmarkStart w:id="1222" w:name="_Hlk24103245"/>
      <w:r>
        <w:rPr>
          <w:rFonts w:hint="eastAsia" w:asciiTheme="minorEastAsia" w:hAnsiTheme="minorEastAsia" w:eastAsiaTheme="minorEastAsia" w:cstheme="minorEastAsia"/>
          <w:kern w:val="0"/>
          <w:sz w:val="24"/>
          <w:szCs w:val="24"/>
        </w:rPr>
        <w:t>B</w:t>
      </w:r>
      <w:r>
        <w:rPr>
          <w:rFonts w:hint="eastAsia" w:asciiTheme="minorEastAsia" w:hAnsiTheme="minorEastAsia" w:eastAsiaTheme="minorEastAsia" w:cstheme="minorEastAsia"/>
          <w:kern w:val="0"/>
          <w:sz w:val="24"/>
          <w:szCs w:val="24"/>
          <w:vertAlign w:val="subscript"/>
        </w:rPr>
        <w:t>n</w:t>
      </w:r>
      <w:bookmarkEnd w:id="1222"/>
      <w:r>
        <w:rPr>
          <w:rFonts w:hint="eastAsia" w:asciiTheme="minorEastAsia" w:hAnsiTheme="minorEastAsia" w:eastAsiaTheme="minorEastAsia" w:cstheme="minorEastAsia"/>
          <w:kern w:val="0"/>
          <w:sz w:val="24"/>
          <w:szCs w:val="24"/>
        </w:rPr>
        <w:t>---各可调因子的变值权重（即可调部分的权重）为各可调因子在投标函投标总报价中所占的比例，且A+B</w:t>
      </w:r>
      <w:r>
        <w:rPr>
          <w:rFonts w:hint="eastAsia" w:asciiTheme="minorEastAsia" w:hAnsiTheme="minorEastAsia" w:eastAsiaTheme="minorEastAsia" w:cstheme="minorEastAsia"/>
          <w:kern w:val="0"/>
          <w:sz w:val="24"/>
          <w:szCs w:val="24"/>
          <w:vertAlign w:val="subscript"/>
        </w:rPr>
        <w:t>1</w:t>
      </w:r>
      <w:r>
        <w:rPr>
          <w:rFonts w:hint="eastAsia" w:asciiTheme="minorEastAsia" w:hAnsiTheme="minorEastAsia" w:eastAsiaTheme="minorEastAsia" w:cstheme="minorEastAsia"/>
          <w:kern w:val="0"/>
          <w:sz w:val="24"/>
          <w:szCs w:val="24"/>
        </w:rPr>
        <w:t>+B</w:t>
      </w:r>
      <w:r>
        <w:rPr>
          <w:rFonts w:hint="eastAsia" w:asciiTheme="minorEastAsia" w:hAnsiTheme="minorEastAsia" w:eastAsiaTheme="minorEastAsia" w:cstheme="minorEastAsia"/>
          <w:kern w:val="0"/>
          <w:sz w:val="24"/>
          <w:szCs w:val="24"/>
          <w:vertAlign w:val="subscript"/>
        </w:rPr>
        <w:t>2</w:t>
      </w:r>
      <w:r>
        <w:rPr>
          <w:rFonts w:hint="eastAsia" w:asciiTheme="minorEastAsia" w:hAnsiTheme="minorEastAsia" w:eastAsiaTheme="minorEastAsia" w:cstheme="minorEastAsia"/>
          <w:kern w:val="0"/>
          <w:sz w:val="24"/>
          <w:szCs w:val="24"/>
        </w:rPr>
        <w:t>+B</w:t>
      </w:r>
      <w:r>
        <w:rPr>
          <w:rFonts w:hint="eastAsia" w:asciiTheme="minorEastAsia" w:hAnsiTheme="minorEastAsia" w:eastAsiaTheme="minorEastAsia" w:cstheme="minorEastAsia"/>
          <w:kern w:val="0"/>
          <w:sz w:val="24"/>
          <w:szCs w:val="24"/>
          <w:vertAlign w:val="subscript"/>
        </w:rPr>
        <w:t>3</w:t>
      </w:r>
      <w:r>
        <w:rPr>
          <w:rFonts w:hint="eastAsia" w:asciiTheme="minorEastAsia" w:hAnsiTheme="minorEastAsia" w:eastAsiaTheme="minorEastAsia" w:cstheme="minorEastAsia"/>
          <w:kern w:val="0"/>
          <w:sz w:val="24"/>
          <w:szCs w:val="24"/>
        </w:rPr>
        <w:t>+……+B</w:t>
      </w:r>
      <w:r>
        <w:rPr>
          <w:rFonts w:hint="eastAsia" w:asciiTheme="minorEastAsia" w:hAnsiTheme="minorEastAsia" w:eastAsiaTheme="minorEastAsia" w:cstheme="minorEastAsia"/>
          <w:kern w:val="0"/>
          <w:sz w:val="24"/>
          <w:szCs w:val="24"/>
          <w:vertAlign w:val="subscript"/>
        </w:rPr>
        <w:t>n</w:t>
      </w:r>
      <w:r>
        <w:rPr>
          <w:rFonts w:hint="eastAsia" w:asciiTheme="minorEastAsia" w:hAnsiTheme="minorEastAsia" w:eastAsiaTheme="minorEastAsia" w:cstheme="minorEastAsia"/>
          <w:kern w:val="0"/>
          <w:sz w:val="24"/>
          <w:szCs w:val="24"/>
        </w:rPr>
        <w:t>=1；</w:t>
      </w:r>
    </w:p>
    <w:p w14:paraId="348F189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F</w:t>
      </w:r>
      <w:r>
        <w:rPr>
          <w:rFonts w:hint="eastAsia" w:asciiTheme="minorEastAsia" w:hAnsiTheme="minorEastAsia" w:eastAsiaTheme="minorEastAsia" w:cstheme="minorEastAsia"/>
          <w:kern w:val="0"/>
          <w:sz w:val="24"/>
          <w:szCs w:val="24"/>
          <w:vertAlign w:val="subscript"/>
        </w:rPr>
        <w:t>t1</w:t>
      </w:r>
      <w:r>
        <w:rPr>
          <w:rFonts w:hint="eastAsia" w:asciiTheme="minorEastAsia" w:hAnsiTheme="minorEastAsia" w:eastAsiaTheme="minorEastAsia" w:cstheme="minorEastAsia"/>
          <w:kern w:val="0"/>
          <w:sz w:val="24"/>
          <w:szCs w:val="24"/>
        </w:rPr>
        <w:t>；F</w:t>
      </w:r>
      <w:r>
        <w:rPr>
          <w:rFonts w:hint="eastAsia" w:asciiTheme="minorEastAsia" w:hAnsiTheme="minorEastAsia" w:eastAsiaTheme="minorEastAsia" w:cstheme="minorEastAsia"/>
          <w:kern w:val="0"/>
          <w:sz w:val="24"/>
          <w:szCs w:val="24"/>
          <w:vertAlign w:val="subscript"/>
        </w:rPr>
        <w:t>t2</w:t>
      </w:r>
      <w:r>
        <w:rPr>
          <w:rFonts w:hint="eastAsia" w:asciiTheme="minorEastAsia" w:hAnsiTheme="minorEastAsia" w:eastAsiaTheme="minorEastAsia" w:cstheme="minorEastAsia"/>
          <w:kern w:val="0"/>
          <w:sz w:val="24"/>
          <w:szCs w:val="24"/>
        </w:rPr>
        <w:t>；F</w:t>
      </w:r>
      <w:r>
        <w:rPr>
          <w:rFonts w:hint="eastAsia" w:asciiTheme="minorEastAsia" w:hAnsiTheme="minorEastAsia" w:eastAsiaTheme="minorEastAsia" w:cstheme="minorEastAsia"/>
          <w:kern w:val="0"/>
          <w:sz w:val="24"/>
          <w:szCs w:val="24"/>
          <w:vertAlign w:val="subscript"/>
        </w:rPr>
        <w:t>t3</w:t>
      </w:r>
      <w:r>
        <w:rPr>
          <w:rFonts w:hint="eastAsia" w:asciiTheme="minorEastAsia" w:hAnsiTheme="minorEastAsia" w:eastAsiaTheme="minorEastAsia" w:cstheme="minorEastAsia"/>
          <w:kern w:val="0"/>
          <w:sz w:val="24"/>
          <w:szCs w:val="24"/>
        </w:rPr>
        <w:t>；……F</w:t>
      </w:r>
      <w:r>
        <w:rPr>
          <w:rFonts w:hint="eastAsia" w:asciiTheme="minorEastAsia" w:hAnsiTheme="minorEastAsia" w:eastAsiaTheme="minorEastAsia" w:cstheme="minorEastAsia"/>
          <w:kern w:val="0"/>
          <w:sz w:val="24"/>
          <w:szCs w:val="24"/>
          <w:vertAlign w:val="subscript"/>
        </w:rPr>
        <w:t>tn</w:t>
      </w:r>
      <w:r>
        <w:rPr>
          <w:rFonts w:hint="eastAsia" w:asciiTheme="minorEastAsia" w:hAnsiTheme="minorEastAsia" w:eastAsiaTheme="minorEastAsia" w:cstheme="minorEastAsia"/>
          <w:kern w:val="0"/>
          <w:sz w:val="24"/>
          <w:szCs w:val="24"/>
        </w:rPr>
        <w:t>---各可调因子的当期价格指数，指付款证书相关周期最后一天的前42天的各可调因子的价格指数；</w:t>
      </w:r>
    </w:p>
    <w:p w14:paraId="7D6EDD0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F</w:t>
      </w:r>
      <w:r>
        <w:rPr>
          <w:rFonts w:hint="eastAsia" w:asciiTheme="minorEastAsia" w:hAnsiTheme="minorEastAsia" w:eastAsiaTheme="minorEastAsia" w:cstheme="minorEastAsia"/>
          <w:kern w:val="0"/>
          <w:sz w:val="24"/>
          <w:szCs w:val="24"/>
          <w:vertAlign w:val="subscript"/>
        </w:rPr>
        <w:t>01</w:t>
      </w:r>
      <w:r>
        <w:rPr>
          <w:rFonts w:hint="eastAsia" w:asciiTheme="minorEastAsia" w:hAnsiTheme="minorEastAsia" w:eastAsiaTheme="minorEastAsia" w:cstheme="minorEastAsia"/>
          <w:kern w:val="0"/>
          <w:sz w:val="24"/>
          <w:szCs w:val="24"/>
        </w:rPr>
        <w:t>；F</w:t>
      </w:r>
      <w:r>
        <w:rPr>
          <w:rFonts w:hint="eastAsia" w:asciiTheme="minorEastAsia" w:hAnsiTheme="minorEastAsia" w:eastAsiaTheme="minorEastAsia" w:cstheme="minorEastAsia"/>
          <w:kern w:val="0"/>
          <w:sz w:val="24"/>
          <w:szCs w:val="24"/>
          <w:vertAlign w:val="subscript"/>
        </w:rPr>
        <w:t>02</w:t>
      </w:r>
      <w:r>
        <w:rPr>
          <w:rFonts w:hint="eastAsia" w:asciiTheme="minorEastAsia" w:hAnsiTheme="minorEastAsia" w:eastAsiaTheme="minorEastAsia" w:cstheme="minorEastAsia"/>
          <w:kern w:val="0"/>
          <w:sz w:val="24"/>
          <w:szCs w:val="24"/>
        </w:rPr>
        <w:t>；F</w:t>
      </w:r>
      <w:r>
        <w:rPr>
          <w:rFonts w:hint="eastAsia" w:asciiTheme="minorEastAsia" w:hAnsiTheme="minorEastAsia" w:eastAsiaTheme="minorEastAsia" w:cstheme="minorEastAsia"/>
          <w:kern w:val="0"/>
          <w:sz w:val="24"/>
          <w:szCs w:val="24"/>
          <w:vertAlign w:val="subscript"/>
        </w:rPr>
        <w:t>03</w:t>
      </w:r>
      <w:r>
        <w:rPr>
          <w:rFonts w:hint="eastAsia" w:asciiTheme="minorEastAsia" w:hAnsiTheme="minorEastAsia" w:eastAsiaTheme="minorEastAsia" w:cstheme="minorEastAsia"/>
          <w:kern w:val="0"/>
          <w:sz w:val="24"/>
          <w:szCs w:val="24"/>
        </w:rPr>
        <w:t>；……F</w:t>
      </w:r>
      <w:r>
        <w:rPr>
          <w:rFonts w:hint="eastAsia" w:asciiTheme="minorEastAsia" w:hAnsiTheme="minorEastAsia" w:eastAsiaTheme="minorEastAsia" w:cstheme="minorEastAsia"/>
          <w:kern w:val="0"/>
          <w:sz w:val="24"/>
          <w:szCs w:val="24"/>
          <w:vertAlign w:val="subscript"/>
        </w:rPr>
        <w:t>0n</w:t>
      </w:r>
      <w:r>
        <w:rPr>
          <w:rFonts w:hint="eastAsia" w:asciiTheme="minorEastAsia" w:hAnsiTheme="minorEastAsia" w:eastAsiaTheme="minorEastAsia" w:cstheme="minorEastAsia"/>
          <w:kern w:val="0"/>
          <w:sz w:val="24"/>
          <w:szCs w:val="24"/>
        </w:rPr>
        <w:t>---各可调因子的基本价格指数，指基准日期的各可调因子的价格指数。</w:t>
      </w:r>
    </w:p>
    <w:p w14:paraId="41FBF2E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14:paraId="2E912D4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暂时确定调整差额</w:t>
      </w:r>
    </w:p>
    <w:p w14:paraId="6721A60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在计算调整差额时得不到当期价格指数的，可暂用上一次价格指数计算，并在以后的付款中再按实际价格指数进行调整。</w:t>
      </w:r>
    </w:p>
    <w:p w14:paraId="15F838A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权重的调整</w:t>
      </w:r>
    </w:p>
    <w:p w14:paraId="36B1039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按第13.1款[发包人变更权]约定的变更导致原定合同中的权重不合理的，由工程师与承包人和发包人协商后进行调整。</w:t>
      </w:r>
    </w:p>
    <w:p w14:paraId="0CD8370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承包人原因工期延误后的价格调整</w:t>
      </w:r>
    </w:p>
    <w:p w14:paraId="118B8F2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14:paraId="752EC36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发包人引起的工期延误后的价格调整</w:t>
      </w:r>
    </w:p>
    <w:p w14:paraId="7D39077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由于发包人原因未在约定的工期内竣工的，则对原约定竣工日期后继续施工的工程，在使用本款第（1）目价格调整公式时，应采用原约定竣工日期与实际竣工日期的两个价格指数中较高的一个作为当期价格指数。</w:t>
      </w:r>
    </w:p>
    <w:p w14:paraId="6E2F6A39">
      <w:pPr>
        <w:pStyle w:val="261"/>
        <w:numPr>
          <w:ilvl w:val="0"/>
          <w:numId w:val="0"/>
        </w:numPr>
        <w:spacing w:line="24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13.8.2.2 未列入</w:t>
      </w:r>
      <w:bookmarkStart w:id="1223" w:name="_Hlk24494865"/>
      <w:r>
        <w:rPr>
          <w:rFonts w:hint="eastAsia" w:asciiTheme="minorEastAsia" w:hAnsiTheme="minorEastAsia" w:eastAsiaTheme="minorEastAsia" w:cstheme="minorEastAsia"/>
          <w:szCs w:val="24"/>
        </w:rPr>
        <w:t>《价格指数权重表》</w:t>
      </w:r>
      <w:bookmarkEnd w:id="1223"/>
      <w:r>
        <w:rPr>
          <w:rFonts w:hint="eastAsia" w:asciiTheme="minorEastAsia" w:hAnsiTheme="minorEastAsia" w:eastAsiaTheme="minorEastAsia" w:cstheme="minorEastAsia"/>
          <w:szCs w:val="24"/>
        </w:rPr>
        <w:t>的费用不因市场变化而调整。</w:t>
      </w:r>
    </w:p>
    <w:p w14:paraId="761C2F4E">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13.8.3 双方约定采用其他方式调整合同价款的，以专用合同条件约定为准。</w:t>
      </w:r>
    </w:p>
    <w:p w14:paraId="7D82658C">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224" w:name="_Ref531955880"/>
      <w:bookmarkStart w:id="1225" w:name="_Toc54862291"/>
      <w:bookmarkStart w:id="1226" w:name="_Ref531955885"/>
      <w:r>
        <w:rPr>
          <w:rFonts w:hint="eastAsia" w:asciiTheme="minorEastAsia" w:hAnsiTheme="minorEastAsia" w:eastAsiaTheme="minorEastAsia" w:cstheme="minorEastAsia"/>
          <w:b w:val="0"/>
          <w:bCs/>
          <w:kern w:val="0"/>
          <w:sz w:val="24"/>
          <w:szCs w:val="18"/>
        </w:rPr>
        <w:t>第14条 合同价格与支付</w:t>
      </w:r>
      <w:bookmarkEnd w:id="1224"/>
      <w:bookmarkEnd w:id="1225"/>
      <w:bookmarkEnd w:id="1226"/>
    </w:p>
    <w:p w14:paraId="0FE7094C">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227" w:name="_Ref4431521"/>
      <w:bookmarkStart w:id="1228" w:name="_Toc54862292"/>
      <w:bookmarkStart w:id="1229" w:name="_Ref4431531"/>
      <w:r>
        <w:rPr>
          <w:rFonts w:hint="eastAsia" w:asciiTheme="minorEastAsia" w:hAnsiTheme="minorEastAsia" w:eastAsiaTheme="minorEastAsia" w:cstheme="minorEastAsia"/>
          <w:b w:val="0"/>
          <w:bCs/>
        </w:rPr>
        <w:t>14.1 合同价格形式</w:t>
      </w:r>
      <w:bookmarkEnd w:id="1227"/>
      <w:bookmarkEnd w:id="1228"/>
      <w:bookmarkEnd w:id="1229"/>
    </w:p>
    <w:p w14:paraId="31FBFCCD">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14.1.1 除专用合同条件中另有约定外，本合同为总价合同，除根据第13条[变更与调整]，以及合同中其它相关增减金额的约定进行调整外，合同价格不做调整。</w:t>
      </w:r>
    </w:p>
    <w:p w14:paraId="20878EAA">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14.1.2 除专用合同条件另有约定外：</w:t>
      </w:r>
    </w:p>
    <w:p w14:paraId="09E4645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工程款的支付应以合同协议书约定的签约合同价格为基础，按照合同约定进行调整；</w:t>
      </w:r>
    </w:p>
    <w:p w14:paraId="7A05186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承包人应支付根据法律规定或合同约定应由其支付的各项税费，除第13.7款[法律变化引起的调整]约定外，合同价格不应因任何这些税费进行调整；</w:t>
      </w:r>
    </w:p>
    <w:p w14:paraId="1AB3A17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价格清单列出的任何数量仅为估算的工作量，不得将其视为要求承包人实施的工程的实际或准确的工作量。在价格清单中列出的任何工作量和价格数据应仅限用于变更和支付的参考资料，而不能用于其他目的。</w:t>
      </w:r>
    </w:p>
    <w:p w14:paraId="1951FFEF">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14.1.3 合同约定工程的某部分按照实际完成的工程量进行支付的，应按照专用合同条件的约定进行计量和估价，并据此调整合同价格。</w:t>
      </w:r>
    </w:p>
    <w:p w14:paraId="017AF909">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230" w:name="_Ref531956884"/>
      <w:bookmarkStart w:id="1231" w:name="_Toc54862293"/>
      <w:bookmarkStart w:id="1232" w:name="_Ref531956881"/>
      <w:r>
        <w:rPr>
          <w:rFonts w:hint="eastAsia" w:asciiTheme="minorEastAsia" w:hAnsiTheme="minorEastAsia" w:eastAsiaTheme="minorEastAsia" w:cstheme="minorEastAsia"/>
          <w:b w:val="0"/>
          <w:bCs/>
        </w:rPr>
        <w:t>14.2 预付款</w:t>
      </w:r>
      <w:bookmarkEnd w:id="1230"/>
      <w:bookmarkEnd w:id="1231"/>
      <w:bookmarkEnd w:id="1232"/>
    </w:p>
    <w:p w14:paraId="15EE9379">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14.2.1 预付款支付</w:t>
      </w:r>
    </w:p>
    <w:p w14:paraId="569D37E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预付款的额度和支付按照专用合同条件约定执行。预付款应当专用于承包人为合同工程的设计和工程实施购置材料、工程设备、施工设备、修建临时设施以及组织施工队伍进场等合同工作。</w:t>
      </w:r>
    </w:p>
    <w:p w14:paraId="5413F31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除专用合同条件另有约定外，预付款在进度付款中同比例扣回。在颁发工程接收证书前，提前解除合同的，尚未扣完的预付款应与合同价款一并结算。</w:t>
      </w:r>
    </w:p>
    <w:p w14:paraId="79C63BB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发包人逾期支付预付款超过7天的，承包人有权向发包人发出要求预付的催告通知，发包人收到通知后7天内仍未支付的，承包人有权暂停施工，并按第15.1.1项[发包人违约的情形]执行。</w:t>
      </w:r>
    </w:p>
    <w:p w14:paraId="0130D0BC">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233" w:name="_Ref531956907"/>
      <w:bookmarkStart w:id="1234" w:name="_Ref4797624"/>
      <w:bookmarkStart w:id="1235" w:name="_Hlk54429963"/>
      <w:r>
        <w:rPr>
          <w:rFonts w:hint="eastAsia" w:asciiTheme="minorEastAsia" w:hAnsiTheme="minorEastAsia" w:eastAsiaTheme="minorEastAsia" w:cstheme="minorEastAsia"/>
          <w:szCs w:val="24"/>
        </w:rPr>
        <w:t>14.2.2 预付款</w:t>
      </w:r>
      <w:bookmarkEnd w:id="1233"/>
      <w:r>
        <w:rPr>
          <w:rFonts w:hint="eastAsia" w:asciiTheme="minorEastAsia" w:hAnsiTheme="minorEastAsia" w:eastAsiaTheme="minorEastAsia" w:cstheme="minorEastAsia"/>
          <w:szCs w:val="24"/>
        </w:rPr>
        <w:t>担保</w:t>
      </w:r>
      <w:bookmarkEnd w:id="1234"/>
    </w:p>
    <w:bookmarkEnd w:id="1235"/>
    <w:p w14:paraId="342C32B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指示承包人提供预付款担保的，承包人应在发包人支付预付款7天前提供预付款担保，专用合同条件另有约定除外。预付款担保可采用银行保函、担保公司担保等形式，具体由合同当事人在专用合同条件中约定。在预付款完全扣回之前，承包人应保证预付款担保持续有效。</w:t>
      </w:r>
    </w:p>
    <w:p w14:paraId="653EE7F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发包人在工程款中逐期扣回预付款后，预付款担保额度应相应减少，但剩余的预付款担保金额不得低于未被扣回的预付款金额。</w:t>
      </w:r>
    </w:p>
    <w:p w14:paraId="466B2CD4">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236" w:name="_Toc4784194"/>
      <w:bookmarkEnd w:id="1236"/>
      <w:bookmarkStart w:id="1237" w:name="_Toc4784193"/>
      <w:bookmarkEnd w:id="1237"/>
      <w:bookmarkStart w:id="1238" w:name="_Toc4784195"/>
      <w:bookmarkEnd w:id="1238"/>
      <w:bookmarkStart w:id="1239" w:name="_Ref531956963"/>
      <w:bookmarkStart w:id="1240" w:name="_Toc54862294"/>
      <w:bookmarkStart w:id="1241" w:name="_Ref4623398"/>
      <w:bookmarkStart w:id="1242" w:name="_Ref531956967"/>
      <w:r>
        <w:rPr>
          <w:rFonts w:hint="eastAsia" w:asciiTheme="minorEastAsia" w:hAnsiTheme="minorEastAsia" w:eastAsiaTheme="minorEastAsia" w:cstheme="minorEastAsia"/>
          <w:b w:val="0"/>
          <w:bCs/>
        </w:rPr>
        <w:t>14.3 工程进度款</w:t>
      </w:r>
      <w:bookmarkEnd w:id="1239"/>
      <w:bookmarkEnd w:id="1240"/>
      <w:bookmarkEnd w:id="1241"/>
      <w:bookmarkEnd w:id="1242"/>
    </w:p>
    <w:p w14:paraId="4CBF919B">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243" w:name="_Ref531956987"/>
      <w:bookmarkStart w:id="1244" w:name="_Ref532679934"/>
      <w:r>
        <w:rPr>
          <w:rFonts w:hint="eastAsia" w:asciiTheme="minorEastAsia" w:hAnsiTheme="minorEastAsia" w:eastAsiaTheme="minorEastAsia" w:cstheme="minorEastAsia"/>
          <w:szCs w:val="24"/>
        </w:rPr>
        <w:t>14.3.1 工程进度付款申请</w:t>
      </w:r>
      <w:bookmarkEnd w:id="1243"/>
      <w:bookmarkEnd w:id="1244"/>
    </w:p>
    <w:p w14:paraId="59157B7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（1）人工费的申请</w:t>
      </w:r>
    </w:p>
    <w:p w14:paraId="0AC7AF3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人工费应按月支付，工程师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p>
    <w:p w14:paraId="13F9BF9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（2）除专用合同条件另有约定外，承包人应在每月月末向工程师提交进度付款申请单，该进度付款申请单应包括下列内容：</w:t>
      </w:r>
    </w:p>
    <w:p w14:paraId="0971A7B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45" w:name="_Ref24496054"/>
      <w:r>
        <w:rPr>
          <w:rFonts w:hint="eastAsia" w:asciiTheme="minorEastAsia" w:hAnsiTheme="minorEastAsia" w:eastAsiaTheme="minorEastAsia" w:cstheme="minorEastAsia"/>
          <w:kern w:val="0"/>
          <w:sz w:val="24"/>
          <w:szCs w:val="24"/>
        </w:rPr>
        <w:t>1） 截至本次付款周期内已完成工作对应的金额；</w:t>
      </w:r>
      <w:bookmarkEnd w:id="1245"/>
    </w:p>
    <w:p w14:paraId="539DEEE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扣除依据本款第（1）目约定中已扣除的人工费金额；</w:t>
      </w:r>
    </w:p>
    <w:p w14:paraId="3ACE802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根据第13条[变更与调整]应增加和扣减的变更金额；</w:t>
      </w:r>
    </w:p>
    <w:p w14:paraId="2DFA583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根据第14.2款[预付款]约定应支付的预付款和扣减的返还预付款；</w:t>
      </w:r>
    </w:p>
    <w:p w14:paraId="2516C56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根据第14.6.2项[质量保证金的预留]约定应预留的质量保证金金额；</w:t>
      </w:r>
    </w:p>
    <w:p w14:paraId="24F0796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根据第19条[索赔]应增加和扣减的索赔金额；</w:t>
      </w:r>
    </w:p>
    <w:p w14:paraId="5298B61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对已签发的进度款支付证书中出现错误的修正，应在本次进度付款中支付或扣除的金额；</w:t>
      </w:r>
    </w:p>
    <w:p w14:paraId="608D10B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 根据合同约定应增加和扣减的其他金额。</w:t>
      </w:r>
    </w:p>
    <w:p w14:paraId="1DD0F285">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246" w:name="_Ref531957608"/>
      <w:r>
        <w:rPr>
          <w:rFonts w:hint="eastAsia" w:asciiTheme="minorEastAsia" w:hAnsiTheme="minorEastAsia" w:eastAsiaTheme="minorEastAsia" w:cstheme="minorEastAsia"/>
          <w:szCs w:val="24"/>
        </w:rPr>
        <w:t>14.3.2 进度付款审核和支付</w:t>
      </w:r>
      <w:bookmarkEnd w:id="1246"/>
    </w:p>
    <w:p w14:paraId="1D6A287B">
      <w:pPr>
        <w:pStyle w:val="262"/>
        <w:widowControl/>
        <w:numPr>
          <w:ilvl w:val="0"/>
          <w:numId w:val="0"/>
        </w:numPr>
        <w:spacing w:line="240" w:lineRule="auto"/>
        <w:ind w:firstLine="480" w:firstLineChars="200"/>
        <w:rPr>
          <w:rFonts w:hint="eastAsia" w:asciiTheme="minorEastAsia" w:hAnsiTheme="minorEastAsia" w:eastAsiaTheme="minorEastAsia" w:cstheme="minorEastAsia"/>
          <w:kern w:val="0"/>
          <w:szCs w:val="24"/>
        </w:rPr>
      </w:pPr>
      <w:r>
        <w:rPr>
          <w:rFonts w:hint="eastAsia" w:asciiTheme="minorEastAsia" w:hAnsiTheme="minorEastAsia" w:eastAsiaTheme="minorEastAsia" w:cstheme="minorEastAsia"/>
          <w:kern w:val="0"/>
          <w:szCs w:val="24"/>
        </w:rPr>
        <w:t>除专用合同条件另有约定外，工程师应在收到承包人进度付款申请单以及相关资料后7天内完成审查并报送发包人，发包人应在收到后7天内完成审批并向承包人签发进度款支付证书。发包人逾期（包括因工程师原因延误报送的时间）未完成审批且未提出异议的，视为已签发进度款支付证书。</w:t>
      </w:r>
    </w:p>
    <w:p w14:paraId="3A69835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师对承包人的进度付款申请单有异议的，有权要求承包人修正和提供补充资料，承包人应提交修正后的进度付款申请单。工程师应在收到承包人修正后的进度付款申请单及相关资料后7天内完成审查并报送发包人，发包人应在收到工程师报送的进度付款申请单及相关资料后7天内，向承包人签发无异议部分的进度款支付证书。存在争议的部分，按照第20条[争议解决]的约定处理。</w:t>
      </w:r>
    </w:p>
    <w:p w14:paraId="4E12F833">
      <w:pPr>
        <w:pStyle w:val="262"/>
        <w:widowControl/>
        <w:numPr>
          <w:ilvl w:val="0"/>
          <w:numId w:val="0"/>
        </w:numPr>
        <w:spacing w:line="240" w:lineRule="auto"/>
        <w:ind w:firstLine="480" w:firstLineChars="200"/>
        <w:rPr>
          <w:rFonts w:hint="eastAsia" w:asciiTheme="minorEastAsia" w:hAnsiTheme="minorEastAsia" w:eastAsiaTheme="minorEastAsia" w:cstheme="minorEastAsia"/>
          <w:kern w:val="0"/>
          <w:szCs w:val="24"/>
        </w:rPr>
      </w:pPr>
      <w:r>
        <w:rPr>
          <w:rFonts w:hint="eastAsia" w:asciiTheme="minorEastAsia" w:hAnsiTheme="minorEastAsia" w:eastAsiaTheme="minorEastAsia" w:cstheme="minorEastAsia"/>
          <w:kern w:val="0"/>
          <w:szCs w:val="24"/>
        </w:rPr>
        <w:t>发包人签发进度款支付证书，不表明发包人已同意、批准或接受了承包人完成的相应部分的工作。</w:t>
      </w:r>
    </w:p>
    <w:p w14:paraId="5F0AAF18">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247" w:name="_Ref531957023"/>
      <w:r>
        <w:rPr>
          <w:rFonts w:hint="eastAsia" w:asciiTheme="minorEastAsia" w:hAnsiTheme="minorEastAsia" w:eastAsiaTheme="minorEastAsia" w:cstheme="minorEastAsia"/>
          <w:szCs w:val="24"/>
        </w:rPr>
        <w:t>14.3.3 进度付款的修正</w:t>
      </w:r>
      <w:bookmarkEnd w:id="1247"/>
    </w:p>
    <w:p w14:paraId="62026FE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在对已签发的进度款支付证书进行阶段汇总和复核中发现错误、遗漏或重复的，发包人和承包人均有权提出修正申请。经发包人和承包人同意的修正，应在下期进度付款中支付或扣除。</w:t>
      </w:r>
    </w:p>
    <w:p w14:paraId="3C51C0A5">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248" w:name="_Toc54862295"/>
      <w:bookmarkStart w:id="1249" w:name="_Ref4538578"/>
      <w:bookmarkStart w:id="1250" w:name="_Ref536647822"/>
      <w:bookmarkStart w:id="1251" w:name="_Ref536647814"/>
      <w:r>
        <w:rPr>
          <w:rFonts w:hint="eastAsia" w:asciiTheme="minorEastAsia" w:hAnsiTheme="minorEastAsia" w:eastAsiaTheme="minorEastAsia" w:cstheme="minorEastAsia"/>
          <w:b w:val="0"/>
          <w:bCs/>
        </w:rPr>
        <w:t>14.4 付款计划表</w:t>
      </w:r>
      <w:bookmarkEnd w:id="1248"/>
      <w:bookmarkEnd w:id="1249"/>
    </w:p>
    <w:p w14:paraId="16B7F74B">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252" w:name="_Ref4570974"/>
      <w:r>
        <w:rPr>
          <w:rFonts w:hint="eastAsia" w:asciiTheme="minorEastAsia" w:hAnsiTheme="minorEastAsia" w:eastAsiaTheme="minorEastAsia" w:cstheme="minorEastAsia"/>
          <w:szCs w:val="24"/>
        </w:rPr>
        <w:t>14.4.1 付款计划表的编制要求</w:t>
      </w:r>
      <w:bookmarkEnd w:id="1252"/>
    </w:p>
    <w:p w14:paraId="277F265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除专用合同条件另有约定外，付款计划表按如下要求编制：</w:t>
      </w:r>
    </w:p>
    <w:p w14:paraId="5F9E403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付款计划表中所列的每期付款金额，应为第14.3.1项[工程进度付款申请]每期进度款的估算金额；</w:t>
      </w:r>
    </w:p>
    <w:p w14:paraId="31732AB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实际进度与项目进度计划不一致的，合同当事人可按照第3.6款[商定或确定]修改付款计划表；</w:t>
      </w:r>
    </w:p>
    <w:p w14:paraId="3D3AB66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不采用付款计划表的，承包人应向工程师提交按季度编制的支付估算付款计划表，用于支付参考。</w:t>
      </w:r>
    </w:p>
    <w:p w14:paraId="199C229F">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253" w:name="_Ref4571011"/>
      <w:r>
        <w:rPr>
          <w:rFonts w:hint="eastAsia" w:asciiTheme="minorEastAsia" w:hAnsiTheme="minorEastAsia" w:eastAsiaTheme="minorEastAsia" w:cstheme="minorEastAsia"/>
          <w:szCs w:val="24"/>
        </w:rPr>
        <w:t>14.4.2 付款计划表的编制与审批</w:t>
      </w:r>
      <w:bookmarkEnd w:id="1253"/>
    </w:p>
    <w:p w14:paraId="37E157F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除专用合同条件另有约定外，承包人应根据第8.4款[项目进度计划]约定的项目进度计划、签约合同价和工程量等因素对总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7天内，将付款计划表及编制付款计划表的支持性资料报送工程师。</w:t>
      </w:r>
    </w:p>
    <w:p w14:paraId="49EE516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工程师应在收到付款计划表后7天内完成审核并报送发包人。发包人应在收到经工程师审核的付款计划表后7天内完成审批，经发包人批准的付款计划表为有约束力的付款计划表。</w:t>
      </w:r>
    </w:p>
    <w:p w14:paraId="6415B9F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发包人逾期未完成付款计划表审批的，也未及时要求承包人进行修正和提供补充资料的，则承包人提交的付款计划表视为已经获得发包人批准。</w:t>
      </w:r>
    </w:p>
    <w:p w14:paraId="376DC783">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254" w:name="_Ref4538634"/>
      <w:bookmarkStart w:id="1255" w:name="_Toc54862296"/>
      <w:r>
        <w:rPr>
          <w:rFonts w:hint="eastAsia" w:asciiTheme="minorEastAsia" w:hAnsiTheme="minorEastAsia" w:eastAsiaTheme="minorEastAsia" w:cstheme="minorEastAsia"/>
          <w:b w:val="0"/>
          <w:bCs/>
        </w:rPr>
        <w:t>14.5 竣工结算</w:t>
      </w:r>
      <w:bookmarkEnd w:id="1254"/>
      <w:bookmarkEnd w:id="1255"/>
    </w:p>
    <w:p w14:paraId="2675CE3F">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256" w:name="_Ref4571361"/>
      <w:r>
        <w:rPr>
          <w:rFonts w:hint="eastAsia" w:asciiTheme="minorEastAsia" w:hAnsiTheme="minorEastAsia" w:eastAsiaTheme="minorEastAsia" w:cstheme="minorEastAsia"/>
          <w:szCs w:val="24"/>
        </w:rPr>
        <w:t>14.5.1 竣工结算申请</w:t>
      </w:r>
      <w:bookmarkEnd w:id="1256"/>
    </w:p>
    <w:p w14:paraId="3D497F1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除专用合同条件另有约定外，承包人应在工程竣工验收合格后42天内向工程师提交竣工结算申请单，并提交完整的结算资料，有关竣工结算申请单的资料清单和份数等要求由合同当事人在专用合同条件中约定。</w:t>
      </w:r>
    </w:p>
    <w:p w14:paraId="4ECE28D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除专用合同条件另有约定外，竣工结算申请单应包括以下内容：</w:t>
      </w:r>
    </w:p>
    <w:p w14:paraId="7FE9F44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竣工结算合同价格；</w:t>
      </w:r>
    </w:p>
    <w:p w14:paraId="63A5258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发包人已支付承包人的款项；</w:t>
      </w:r>
    </w:p>
    <w:p w14:paraId="0BAEBCB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采用第14.6.1项[承包人提供质量保证金的方式]第（2）种方式提供质量保证金的，应当列明应预留的质量保证金金额；采用第14.6.1项[承包人提供质量保证金的方式]中其他方式提供质量保证金的，应当按第14.6款[质量保证金]提供相关文件作为附件；</w:t>
      </w:r>
    </w:p>
    <w:p w14:paraId="79DBDFE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发包人应支付承包人的合同价款。</w:t>
      </w:r>
    </w:p>
    <w:p w14:paraId="32107664">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257" w:name="_Ref4571384"/>
      <w:r>
        <w:rPr>
          <w:rFonts w:hint="eastAsia" w:asciiTheme="minorEastAsia" w:hAnsiTheme="minorEastAsia" w:eastAsiaTheme="minorEastAsia" w:cstheme="minorEastAsia"/>
          <w:szCs w:val="24"/>
        </w:rPr>
        <w:t>14.5.2 竣工结算审核</w:t>
      </w:r>
      <w:bookmarkEnd w:id="1257"/>
    </w:p>
    <w:p w14:paraId="7C341FC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除专用合同条件另有约定外，工程师应在收到竣工结算申请单后14天内完成核查并报送发包人。发包人应在收到工程师提交的经审核的竣工结算申请单后14天内完成审批，并由工程师向承包人签发经发包人签认的竣工付款证书。工程师或发包人对竣工结算申请单有异议的，有权要求承包人进行修正和提供补充资料，承包人应提交修正后的竣工结算申请单。</w:t>
      </w:r>
    </w:p>
    <w:p w14:paraId="4C05669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7B79FFD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对发包人签认的竣工付款证书有异议的，对于有异议部分应在收到发包人签认的竣工付款证书后7天内提出异议，并由合同当事人按照专用合同条件约定的方式和程序进行复核，或按照第20条[争议解决]约定处理。对于无异议部分，发包人应签发临时竣工付款证书，并按本款第（2）项完成付款。承包人逾期未提出异议的，视为认可发包人的审批结果。</w:t>
      </w:r>
    </w:p>
    <w:p w14:paraId="72F3A38F">
      <w:pPr>
        <w:pStyle w:val="260"/>
        <w:numPr>
          <w:ilvl w:val="0"/>
          <w:numId w:val="0"/>
        </w:numPr>
        <w:spacing w:line="240" w:lineRule="auto"/>
        <w:rPr>
          <w:rFonts w:hint="eastAsia" w:asciiTheme="minorEastAsia" w:hAnsiTheme="minorEastAsia" w:eastAsiaTheme="minorEastAsia" w:cstheme="minorEastAsia"/>
          <w:szCs w:val="24"/>
        </w:rPr>
      </w:pPr>
      <w:bookmarkStart w:id="1258" w:name="_Ref15484305"/>
      <w:r>
        <w:rPr>
          <w:rFonts w:hint="eastAsia" w:asciiTheme="minorEastAsia" w:hAnsiTheme="minorEastAsia" w:eastAsiaTheme="minorEastAsia" w:cstheme="minorEastAsia"/>
          <w:szCs w:val="24"/>
        </w:rPr>
        <w:t>14.5.3 扫尾工作清单</w:t>
      </w:r>
      <w:bookmarkEnd w:id="1258"/>
    </w:p>
    <w:p w14:paraId="6083A4B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经双方协商，部分工作在工程竣工验收后进行的，承包人应当编制扫尾工作清单，扫尾工作清单中应当列明承包人应当完成的扫尾工作的内容及完成时间。</w:t>
      </w:r>
    </w:p>
    <w:p w14:paraId="287B7BC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承包人完成扫尾工作清单中的内容应取得的费用包含在第14.5.1项[竣工结算申请]及第14.5.2项[竣工结算审核]中一并结算。</w:t>
      </w:r>
    </w:p>
    <w:p w14:paraId="0E30E5A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扫尾工作的缺陷责任期按第11条[缺陷责任与保修]处理。承包人未能按照扫尾工作清单约定的完成时间完成扫尾工作的，视为承包人原因导致的工程质量缺陷按照第11.3款[缺陷调查]处理。</w:t>
      </w:r>
    </w:p>
    <w:p w14:paraId="74FF2486">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259" w:name="_Ref15395020"/>
      <w:bookmarkStart w:id="1260" w:name="_Ref4571100"/>
      <w:bookmarkStart w:id="1261" w:name="_Ref4617592"/>
      <w:bookmarkStart w:id="1262" w:name="_Ref4617582"/>
      <w:bookmarkStart w:id="1263" w:name="_Ref4582115"/>
      <w:bookmarkStart w:id="1264" w:name="_Toc54862297"/>
      <w:bookmarkStart w:id="1265" w:name="_Ref4571127"/>
      <w:bookmarkStart w:id="1266" w:name="_Hlk15394931"/>
      <w:r>
        <w:rPr>
          <w:rFonts w:hint="eastAsia" w:asciiTheme="minorEastAsia" w:hAnsiTheme="minorEastAsia" w:eastAsiaTheme="minorEastAsia" w:cstheme="minorEastAsia"/>
          <w:b w:val="0"/>
          <w:bCs/>
        </w:rPr>
        <w:t>14.6 质量保证金</w:t>
      </w:r>
      <w:bookmarkEnd w:id="1250"/>
      <w:bookmarkEnd w:id="1251"/>
      <w:bookmarkEnd w:id="1259"/>
      <w:bookmarkEnd w:id="1260"/>
      <w:bookmarkEnd w:id="1261"/>
      <w:bookmarkEnd w:id="1262"/>
      <w:bookmarkEnd w:id="1263"/>
      <w:bookmarkEnd w:id="1264"/>
      <w:bookmarkEnd w:id="1265"/>
      <w:r>
        <w:rPr>
          <w:rFonts w:hint="eastAsia" w:asciiTheme="minorEastAsia" w:hAnsiTheme="minorEastAsia" w:eastAsiaTheme="minorEastAsia" w:cstheme="minorEastAsia"/>
          <w:b w:val="0"/>
          <w:bCs/>
        </w:rPr>
        <w:t xml:space="preserve"> </w:t>
      </w:r>
    </w:p>
    <w:p w14:paraId="1961349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经合同当事人协商一致提供质量保证金的，应在专用合同条件中予以明确。在工程项目竣工前，承包人已经提供履约担保的，发包人不得同时要求承包人提供质量保证金。</w:t>
      </w:r>
    </w:p>
    <w:bookmarkEnd w:id="1266"/>
    <w:p w14:paraId="0AE5B1D9">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267" w:name="_Ref531955069"/>
      <w:bookmarkStart w:id="1268" w:name="_Ref531957153"/>
      <w:r>
        <w:rPr>
          <w:rFonts w:hint="eastAsia" w:asciiTheme="minorEastAsia" w:hAnsiTheme="minorEastAsia" w:eastAsiaTheme="minorEastAsia" w:cstheme="minorEastAsia"/>
          <w:szCs w:val="24"/>
        </w:rPr>
        <w:t>14.6.1 承包人提供质量保证金的方式</w:t>
      </w:r>
      <w:bookmarkEnd w:id="1267"/>
    </w:p>
    <w:p w14:paraId="630FA51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承包人提供质量保证金有以下三种方式：</w:t>
      </w:r>
    </w:p>
    <w:p w14:paraId="2C5B879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69" w:name="_Ref531955096"/>
      <w:r>
        <w:rPr>
          <w:rFonts w:hint="eastAsia" w:asciiTheme="minorEastAsia" w:hAnsiTheme="minorEastAsia" w:eastAsiaTheme="minorEastAsia" w:cstheme="minorEastAsia"/>
          <w:kern w:val="0"/>
          <w:sz w:val="24"/>
          <w:szCs w:val="24"/>
        </w:rPr>
        <w:t>（1） 提交工程质量保证担保；</w:t>
      </w:r>
      <w:bookmarkEnd w:id="1269"/>
    </w:p>
    <w:p w14:paraId="08941D2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70" w:name="_Ref531955107"/>
      <w:r>
        <w:rPr>
          <w:rFonts w:hint="eastAsia" w:asciiTheme="minorEastAsia" w:hAnsiTheme="minorEastAsia" w:eastAsiaTheme="minorEastAsia" w:cstheme="minorEastAsia"/>
          <w:kern w:val="0"/>
          <w:sz w:val="24"/>
          <w:szCs w:val="24"/>
        </w:rPr>
        <w:t>（2） 预留相应比例的工程款；</w:t>
      </w:r>
      <w:bookmarkEnd w:id="1270"/>
    </w:p>
    <w:p w14:paraId="5B86DDC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71" w:name="_Ref531955117"/>
      <w:r>
        <w:rPr>
          <w:rFonts w:hint="eastAsia" w:asciiTheme="minorEastAsia" w:hAnsiTheme="minorEastAsia" w:eastAsiaTheme="minorEastAsia" w:cstheme="minorEastAsia"/>
          <w:kern w:val="0"/>
          <w:sz w:val="24"/>
          <w:szCs w:val="24"/>
        </w:rPr>
        <w:t>（3） 双方约定的其他方式。</w:t>
      </w:r>
      <w:bookmarkEnd w:id="1271"/>
    </w:p>
    <w:p w14:paraId="0AA765D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质量保证金原则上采用上述第（1）种方式，且承包人应在工程竣工验收合格后7天内，向发包人提交工程质量保证担保。承包人提交工程质量保证担保时，发包人应同时返还预留的作为质量保证金的工程价款（如有）。但不论承包人以何种方式提供质量保证金，累计金额均不得高于工程价款结算总额的3%。</w:t>
      </w:r>
    </w:p>
    <w:p w14:paraId="6613FBD8">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272" w:name="_Ref18931667"/>
      <w:bookmarkStart w:id="1273" w:name="_Ref15419738"/>
      <w:r>
        <w:rPr>
          <w:rFonts w:hint="eastAsia" w:asciiTheme="minorEastAsia" w:hAnsiTheme="minorEastAsia" w:eastAsiaTheme="minorEastAsia" w:cstheme="minorEastAsia"/>
          <w:szCs w:val="24"/>
        </w:rPr>
        <w:t>14.6.2 质量保证金的预留</w:t>
      </w:r>
      <w:bookmarkEnd w:id="1272"/>
      <w:bookmarkEnd w:id="1273"/>
    </w:p>
    <w:p w14:paraId="3059993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双方约定采用预留相应比例的工程款方式提供质量保证金的，质量保证金的预留有以下三种方式：</w:t>
      </w:r>
    </w:p>
    <w:p w14:paraId="2B23955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74" w:name="_Hlk18840714"/>
      <w:bookmarkStart w:id="1275" w:name="_Ref531955143"/>
      <w:r>
        <w:rPr>
          <w:rFonts w:hint="eastAsia" w:asciiTheme="minorEastAsia" w:hAnsiTheme="minorEastAsia" w:eastAsiaTheme="minorEastAsia" w:cstheme="minorEastAsia"/>
          <w:kern w:val="0"/>
          <w:sz w:val="24"/>
          <w:szCs w:val="24"/>
        </w:rPr>
        <w:t>（1） 按专用合同条件的约定在支付工程进度款时逐次预留，直至预留的质量保证金总额达到专用合同条件约定的金额或比例为止</w:t>
      </w:r>
      <w:bookmarkEnd w:id="1274"/>
      <w:r>
        <w:rPr>
          <w:rFonts w:hint="eastAsia" w:asciiTheme="minorEastAsia" w:hAnsiTheme="minorEastAsia" w:eastAsiaTheme="minorEastAsia" w:cstheme="minorEastAsia"/>
          <w:kern w:val="0"/>
          <w:sz w:val="24"/>
          <w:szCs w:val="24"/>
        </w:rPr>
        <w:t>。在此情形下，质量保证金的计算基数不包括预付款的支付、扣回以及价格调整的金额；</w:t>
      </w:r>
      <w:bookmarkEnd w:id="1275"/>
    </w:p>
    <w:p w14:paraId="4E3E6EB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76" w:name="_Ref531955151"/>
      <w:r>
        <w:rPr>
          <w:rFonts w:hint="eastAsia" w:asciiTheme="minorEastAsia" w:hAnsiTheme="minorEastAsia" w:eastAsiaTheme="minorEastAsia" w:cstheme="minorEastAsia"/>
          <w:kern w:val="0"/>
          <w:sz w:val="24"/>
          <w:szCs w:val="24"/>
        </w:rPr>
        <w:t>（2） 工程竣工结算时一次性预留质量保证金；</w:t>
      </w:r>
      <w:bookmarkEnd w:id="1276"/>
    </w:p>
    <w:p w14:paraId="2884009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77" w:name="_Ref531955161"/>
      <w:r>
        <w:rPr>
          <w:rFonts w:hint="eastAsia" w:asciiTheme="minorEastAsia" w:hAnsiTheme="minorEastAsia" w:eastAsiaTheme="minorEastAsia" w:cstheme="minorEastAsia"/>
          <w:kern w:val="0"/>
          <w:sz w:val="24"/>
          <w:szCs w:val="24"/>
        </w:rPr>
        <w:t>（3） 双方约定的其他预留方式。</w:t>
      </w:r>
      <w:bookmarkEnd w:id="1277"/>
    </w:p>
    <w:p w14:paraId="265E72E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14:paraId="65EE2E08">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278" w:name="_Ref532690096"/>
      <w:bookmarkStart w:id="1279" w:name="_Ref4571243"/>
      <w:r>
        <w:rPr>
          <w:rFonts w:hint="eastAsia" w:asciiTheme="minorEastAsia" w:hAnsiTheme="minorEastAsia" w:eastAsiaTheme="minorEastAsia" w:cstheme="minorEastAsia"/>
          <w:szCs w:val="24"/>
        </w:rPr>
        <w:t>14.6.3 质量保证金的</w:t>
      </w:r>
      <w:bookmarkEnd w:id="1278"/>
      <w:r>
        <w:rPr>
          <w:rFonts w:hint="eastAsia" w:asciiTheme="minorEastAsia" w:hAnsiTheme="minorEastAsia" w:eastAsiaTheme="minorEastAsia" w:cstheme="minorEastAsia"/>
          <w:szCs w:val="24"/>
        </w:rPr>
        <w:t>返还</w:t>
      </w:r>
      <w:bookmarkEnd w:id="1279"/>
    </w:p>
    <w:p w14:paraId="33667DE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缺陷责任期内，承包人认真履行合同约定的责任，缺陷责任期满，发包人根据第11.6款[缺陷责任期终止证书]向承包人颁发缺陷责任期终止证书后，承包人可向发包人申请返还质量保证金。</w:t>
      </w:r>
    </w:p>
    <w:p w14:paraId="60DBCCC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发包人和承包人对质量保证金预留、返还以及工程维修质量、费用有争议的，按本合同第20条[争议解决]约定的争议和纠纷解决程序处理。</w:t>
      </w:r>
    </w:p>
    <w:bookmarkEnd w:id="1268"/>
    <w:p w14:paraId="54909D03">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280" w:name="_Toc54862298"/>
      <w:bookmarkStart w:id="1281" w:name="_Ref531957341"/>
      <w:bookmarkStart w:id="1282" w:name="_Ref531957339"/>
      <w:r>
        <w:rPr>
          <w:rFonts w:hint="eastAsia" w:asciiTheme="minorEastAsia" w:hAnsiTheme="minorEastAsia" w:eastAsiaTheme="minorEastAsia" w:cstheme="minorEastAsia"/>
          <w:b w:val="0"/>
          <w:bCs/>
        </w:rPr>
        <w:t>14.7 最终结清</w:t>
      </w:r>
      <w:bookmarkEnd w:id="1280"/>
      <w:bookmarkEnd w:id="1281"/>
      <w:bookmarkEnd w:id="1282"/>
      <w:r>
        <w:rPr>
          <w:rFonts w:hint="eastAsia" w:asciiTheme="minorEastAsia" w:hAnsiTheme="minorEastAsia" w:eastAsiaTheme="minorEastAsia" w:cstheme="minorEastAsia"/>
          <w:b w:val="0"/>
          <w:bCs/>
        </w:rPr>
        <w:t xml:space="preserve"> </w:t>
      </w:r>
    </w:p>
    <w:p w14:paraId="677BC246">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283" w:name="_Ref531957350"/>
      <w:r>
        <w:rPr>
          <w:rFonts w:hint="eastAsia" w:asciiTheme="minorEastAsia" w:hAnsiTheme="minorEastAsia" w:eastAsiaTheme="minorEastAsia" w:cstheme="minorEastAsia"/>
          <w:szCs w:val="24"/>
        </w:rPr>
        <w:t>14.7.1 最终结清申请</w:t>
      </w:r>
      <w:bookmarkEnd w:id="1283"/>
      <w:r>
        <w:rPr>
          <w:rFonts w:hint="eastAsia" w:asciiTheme="minorEastAsia" w:hAnsiTheme="minorEastAsia" w:eastAsiaTheme="minorEastAsia" w:cstheme="minorEastAsia"/>
          <w:szCs w:val="24"/>
        </w:rPr>
        <w:t>单</w:t>
      </w:r>
    </w:p>
    <w:p w14:paraId="1401EB1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除专用合同条件另有约定外，承包人应在缺陷责任期终止证书颁发后7天内，按专用合同条件约定的份数向发包人提交最终结清申请单，并提供相关证明材料。</w:t>
      </w:r>
    </w:p>
    <w:p w14:paraId="2EC830D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除专用合同条件另有约定外，最终结清申请单应列明质量保证金、应扣除的质量保证金、缺陷责任期内发生的增减费用。</w:t>
      </w:r>
    </w:p>
    <w:p w14:paraId="0EB1872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发包人对最终结清申请单内容有异议的，有权要求承包人进行修正和提供补充资料，承包人应向发包人提交修正后的最终结清申请单。</w:t>
      </w:r>
    </w:p>
    <w:p w14:paraId="018C2DFE">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284" w:name="_Ref531957369"/>
      <w:bookmarkStart w:id="1285" w:name="_Ref4624099"/>
      <w:r>
        <w:rPr>
          <w:rFonts w:hint="eastAsia" w:asciiTheme="minorEastAsia" w:hAnsiTheme="minorEastAsia" w:eastAsiaTheme="minorEastAsia" w:cstheme="minorEastAsia"/>
          <w:szCs w:val="24"/>
        </w:rPr>
        <w:t>14.7.2 最终结清证书</w:t>
      </w:r>
      <w:bookmarkEnd w:id="1284"/>
      <w:r>
        <w:rPr>
          <w:rFonts w:hint="eastAsia" w:asciiTheme="minorEastAsia" w:hAnsiTheme="minorEastAsia" w:eastAsiaTheme="minorEastAsia" w:cstheme="minorEastAsia"/>
          <w:szCs w:val="24"/>
        </w:rPr>
        <w:t>和支付</w:t>
      </w:r>
      <w:bookmarkEnd w:id="1285"/>
    </w:p>
    <w:p w14:paraId="6AA3DBC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除专用合同条件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06FA0D7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承包人对发包人颁发的最终结清证书有异议的，按第20条[争议解决]的约定办理。</w:t>
      </w:r>
    </w:p>
    <w:p w14:paraId="0571B8C9">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286" w:name="_Ref11920396"/>
      <w:bookmarkStart w:id="1287" w:name="_Ref11874957"/>
      <w:bookmarkStart w:id="1288" w:name="_Toc54862299"/>
      <w:bookmarkStart w:id="1289" w:name="_Ref11920407"/>
      <w:r>
        <w:rPr>
          <w:rFonts w:hint="eastAsia" w:asciiTheme="minorEastAsia" w:hAnsiTheme="minorEastAsia" w:eastAsiaTheme="minorEastAsia" w:cstheme="minorEastAsia"/>
          <w:b w:val="0"/>
          <w:bCs/>
          <w:kern w:val="0"/>
          <w:sz w:val="24"/>
          <w:szCs w:val="18"/>
        </w:rPr>
        <w:t>第15条 违约</w:t>
      </w:r>
      <w:bookmarkEnd w:id="1145"/>
      <w:bookmarkEnd w:id="1149"/>
      <w:bookmarkEnd w:id="1150"/>
      <w:bookmarkEnd w:id="1286"/>
      <w:bookmarkEnd w:id="1287"/>
      <w:bookmarkEnd w:id="1288"/>
      <w:bookmarkEnd w:id="1289"/>
    </w:p>
    <w:p w14:paraId="13A32C6C">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290" w:name="_Toc54862300"/>
      <w:bookmarkStart w:id="1291" w:name="_Ref4534376"/>
      <w:bookmarkStart w:id="1292" w:name="_Ref4534399"/>
      <w:bookmarkStart w:id="1293" w:name="_Ref4534411"/>
      <w:bookmarkStart w:id="1294" w:name="_Ref4534384"/>
      <w:r>
        <w:rPr>
          <w:rFonts w:hint="eastAsia" w:asciiTheme="minorEastAsia" w:hAnsiTheme="minorEastAsia" w:eastAsiaTheme="minorEastAsia" w:cstheme="minorEastAsia"/>
          <w:b w:val="0"/>
          <w:bCs/>
        </w:rPr>
        <w:t>15.1 发包人违约</w:t>
      </w:r>
      <w:bookmarkEnd w:id="1290"/>
      <w:bookmarkEnd w:id="1291"/>
      <w:bookmarkEnd w:id="1292"/>
      <w:bookmarkEnd w:id="1293"/>
      <w:bookmarkEnd w:id="1294"/>
    </w:p>
    <w:p w14:paraId="14BE630C">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295" w:name="_Ref3841087"/>
      <w:r>
        <w:rPr>
          <w:rFonts w:hint="eastAsia" w:asciiTheme="minorEastAsia" w:hAnsiTheme="minorEastAsia" w:eastAsiaTheme="minorEastAsia" w:cstheme="minorEastAsia"/>
          <w:szCs w:val="24"/>
        </w:rPr>
        <w:t>15.1.1 发包人违约的情形</w:t>
      </w:r>
      <w:bookmarkEnd w:id="1295"/>
    </w:p>
    <w:p w14:paraId="3BBF620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除专用合同条件另有约定外，在合同履行过程中发生的下列情形，属于发包人违约：</w:t>
      </w:r>
    </w:p>
    <w:p w14:paraId="3D3A2CD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（1） 因发包人原因导致开始工作日期延误的； </w:t>
      </w:r>
    </w:p>
    <w:p w14:paraId="3C6790F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因发包人原因未能按合同约定支付合同价款的；</w:t>
      </w:r>
    </w:p>
    <w:p w14:paraId="664FCAA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发包人违反第13.1.1项约定，自行实施被取消的工作或转由他人实施的；</w:t>
      </w:r>
    </w:p>
    <w:p w14:paraId="52EA4B2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因发包人违反合同约定造成工程暂停施工的；</w:t>
      </w:r>
    </w:p>
    <w:p w14:paraId="4F49129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工程师无正当理由没有在约定期限内发出复工指示，导致承包人无法复工的；</w:t>
      </w:r>
    </w:p>
    <w:p w14:paraId="0DFF7FF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发包人明确表示或者以其行为表明不履行合同主要义务的；</w:t>
      </w:r>
    </w:p>
    <w:p w14:paraId="0C24617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发包人未能按照合同约定履行其他义务的。</w:t>
      </w:r>
    </w:p>
    <w:p w14:paraId="3304E87A">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296" w:name="_Ref4535692"/>
      <w:r>
        <w:rPr>
          <w:rFonts w:hint="eastAsia" w:asciiTheme="minorEastAsia" w:hAnsiTheme="minorEastAsia" w:eastAsiaTheme="minorEastAsia" w:cstheme="minorEastAsia"/>
          <w:szCs w:val="24"/>
        </w:rPr>
        <w:t>15.1.2 通知改正</w:t>
      </w:r>
      <w:bookmarkEnd w:id="1296"/>
    </w:p>
    <w:p w14:paraId="47B15E5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97" w:name="_Hlk16248297"/>
      <w:r>
        <w:rPr>
          <w:rFonts w:hint="eastAsia" w:asciiTheme="minorEastAsia" w:hAnsiTheme="minorEastAsia" w:eastAsiaTheme="minorEastAsia" w:cstheme="minorEastAsia"/>
          <w:kern w:val="0"/>
          <w:sz w:val="24"/>
          <w:szCs w:val="24"/>
        </w:rPr>
        <w:t>发包人发生除第15.1.1项第(6)目以外的违约情况时，承包人可向发包人发出通知，要求发包人采取有效措施纠正违约行为。发包人收到承包人通知后28天内仍不纠正违约行为的，承包人有权暂停相应部位工程实施，并通知工程师。</w:t>
      </w:r>
      <w:bookmarkEnd w:id="1297"/>
    </w:p>
    <w:p w14:paraId="6D3C5E73">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298" w:name="_Ref3841132"/>
      <w:r>
        <w:rPr>
          <w:rFonts w:hint="eastAsia" w:asciiTheme="minorEastAsia" w:hAnsiTheme="minorEastAsia" w:eastAsiaTheme="minorEastAsia" w:cstheme="minorEastAsia"/>
          <w:szCs w:val="24"/>
        </w:rPr>
        <w:t>15.1.3 发包人违约的责任</w:t>
      </w:r>
      <w:bookmarkEnd w:id="1298"/>
    </w:p>
    <w:p w14:paraId="11DACB2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99" w:name="_Hlk16247984"/>
      <w:r>
        <w:rPr>
          <w:rFonts w:hint="eastAsia" w:asciiTheme="minorEastAsia" w:hAnsiTheme="minorEastAsia" w:eastAsiaTheme="minorEastAsia" w:cstheme="minorEastAsia"/>
          <w:kern w:val="0"/>
          <w:sz w:val="24"/>
          <w:szCs w:val="24"/>
        </w:rPr>
        <w:t>发包人应承担因其违约给承包人增加的费用和（或）延误的工期。此外，合同当事人可在专用合同条件中另行约定发包人违约责任的承担方式和计算方法。</w:t>
      </w:r>
      <w:bookmarkEnd w:id="1299"/>
    </w:p>
    <w:p w14:paraId="342C1891">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00" w:name="_Ref11958660"/>
      <w:bookmarkStart w:id="1301" w:name="_Toc54862301"/>
      <w:bookmarkStart w:id="1302" w:name="_Ref11958663"/>
      <w:r>
        <w:rPr>
          <w:rFonts w:hint="eastAsia" w:asciiTheme="minorEastAsia" w:hAnsiTheme="minorEastAsia" w:eastAsiaTheme="minorEastAsia" w:cstheme="minorEastAsia"/>
          <w:b w:val="0"/>
          <w:bCs/>
        </w:rPr>
        <w:t>15.2 承包人违约</w:t>
      </w:r>
      <w:bookmarkEnd w:id="1300"/>
      <w:bookmarkEnd w:id="1301"/>
      <w:bookmarkEnd w:id="1302"/>
    </w:p>
    <w:p w14:paraId="2A4A7697">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303" w:name="_Ref3841153"/>
      <w:r>
        <w:rPr>
          <w:rFonts w:hint="eastAsia" w:asciiTheme="minorEastAsia" w:hAnsiTheme="minorEastAsia" w:eastAsiaTheme="minorEastAsia" w:cstheme="minorEastAsia"/>
          <w:szCs w:val="24"/>
        </w:rPr>
        <w:t>15.2.1 承包人违约的情形</w:t>
      </w:r>
      <w:bookmarkEnd w:id="1303"/>
    </w:p>
    <w:p w14:paraId="5A39851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除专用合同条件另有约定外，在履行合同过程中发生的下列情况之一的，属于承包人违约：</w:t>
      </w:r>
    </w:p>
    <w:p w14:paraId="2C303C6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承包人的原因导致的承包人文件、实施和竣工的工程不符合法律法规、工程质量验收标准以及合同约定；</w:t>
      </w:r>
    </w:p>
    <w:p w14:paraId="030B01C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承包人违反合同约定进行转包或违法分包的；</w:t>
      </w:r>
    </w:p>
    <w:p w14:paraId="5DB6DD6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承包人违反约定采购和使用不合格材料或工程设备；</w:t>
      </w:r>
    </w:p>
    <w:p w14:paraId="64A807D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因承包人原因导致工程质量不符合合同要求的；</w:t>
      </w:r>
    </w:p>
    <w:p w14:paraId="60DFCB7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承包人未经工程师批准，擅自将已按合同约定进入施工现场的施工设备、临时设施或材料撤离施工现场；</w:t>
      </w:r>
    </w:p>
    <w:p w14:paraId="3AF32B0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承包人未能按项目进度计划及时完成合同约定的工作，造成工期延误；</w:t>
      </w:r>
    </w:p>
    <w:p w14:paraId="6C20ECB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由于承包人原因未能通过竣工试验或竣工后试验的；</w:t>
      </w:r>
    </w:p>
    <w:p w14:paraId="0EE0C30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 承包人在缺陷责任期及保修期内，未能在合理期限对工程缺陷进行修复，或拒绝按发包人指示进行修复的；</w:t>
      </w:r>
    </w:p>
    <w:p w14:paraId="59B5AB7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 承包人明确表示或者以其行为表明不履行合同主要义务的；</w:t>
      </w:r>
    </w:p>
    <w:p w14:paraId="0F8D293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 承包人未能按照合同约定履行其他义务的。</w:t>
      </w:r>
    </w:p>
    <w:p w14:paraId="46B24D91">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304" w:name="_Ref531958512"/>
      <w:r>
        <w:rPr>
          <w:rFonts w:hint="eastAsia" w:asciiTheme="minorEastAsia" w:hAnsiTheme="minorEastAsia" w:eastAsiaTheme="minorEastAsia" w:cstheme="minorEastAsia"/>
          <w:szCs w:val="24"/>
        </w:rPr>
        <w:t>15.2.2 通知改正</w:t>
      </w:r>
      <w:bookmarkEnd w:id="1304"/>
    </w:p>
    <w:p w14:paraId="0792ED3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承包人发生除第15.2.1项第(7)目、第(9)目约定以外的其他违约情况时，工程师可在专用合同条件约定的合理期限内向承包人发出整改通知，要求其在指定的期限内改正。</w:t>
      </w:r>
    </w:p>
    <w:p w14:paraId="0D3E4819">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305" w:name="_Ref3841166"/>
      <w:r>
        <w:rPr>
          <w:rFonts w:hint="eastAsia" w:asciiTheme="minorEastAsia" w:hAnsiTheme="minorEastAsia" w:eastAsiaTheme="minorEastAsia" w:cstheme="minorEastAsia"/>
          <w:szCs w:val="24"/>
        </w:rPr>
        <w:t>15.2.3 承包人违约的责任</w:t>
      </w:r>
      <w:bookmarkEnd w:id="1305"/>
    </w:p>
    <w:p w14:paraId="37C2E3A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承包人应承担因其违约行为而增加的费用和（或）延误的工期。此外，合同当事人可在专用合同条件中另行约定承包人违约责任的承担方式和计算方法。</w:t>
      </w:r>
    </w:p>
    <w:p w14:paraId="4590EEEB">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06" w:name="_Toc54862302"/>
      <w:r>
        <w:rPr>
          <w:rFonts w:hint="eastAsia" w:asciiTheme="minorEastAsia" w:hAnsiTheme="minorEastAsia" w:eastAsiaTheme="minorEastAsia" w:cstheme="minorEastAsia"/>
          <w:b w:val="0"/>
          <w:bCs/>
        </w:rPr>
        <w:t>15.3 第三人造成的违约</w:t>
      </w:r>
      <w:bookmarkEnd w:id="1306"/>
    </w:p>
    <w:p w14:paraId="3AE35F9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在履行合同过程中，一方当事人因第三人的原因造成违约的，应当向对方当事人承担违约责任。一方当事人和第三人之间的纠纷，依照法律规定或者按照约定解决。</w:t>
      </w:r>
    </w:p>
    <w:p w14:paraId="07435657">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307" w:name="_Toc54862303"/>
      <w:bookmarkStart w:id="1308" w:name="_Ref4510572"/>
      <w:bookmarkStart w:id="1309" w:name="_Ref532142069"/>
      <w:bookmarkStart w:id="1310" w:name="_Ref3840457"/>
      <w:r>
        <w:rPr>
          <w:rFonts w:hint="eastAsia" w:asciiTheme="minorEastAsia" w:hAnsiTheme="minorEastAsia" w:eastAsiaTheme="minorEastAsia" w:cstheme="minorEastAsia"/>
          <w:b w:val="0"/>
          <w:bCs/>
          <w:kern w:val="0"/>
          <w:sz w:val="24"/>
          <w:szCs w:val="18"/>
        </w:rPr>
        <w:t>第16条 合同解除</w:t>
      </w:r>
      <w:bookmarkEnd w:id="1307"/>
      <w:bookmarkEnd w:id="1308"/>
    </w:p>
    <w:p w14:paraId="3D33AC0B">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11" w:name="_Ref531958499"/>
      <w:bookmarkStart w:id="1312" w:name="_Toc54862304"/>
      <w:bookmarkStart w:id="1313" w:name="_Ref531958502"/>
      <w:r>
        <w:rPr>
          <w:rFonts w:hint="eastAsia" w:asciiTheme="minorEastAsia" w:hAnsiTheme="minorEastAsia" w:eastAsiaTheme="minorEastAsia" w:cstheme="minorEastAsia"/>
          <w:b w:val="0"/>
          <w:bCs/>
        </w:rPr>
        <w:t>16.1 由发包人解除合同</w:t>
      </w:r>
      <w:bookmarkEnd w:id="1311"/>
      <w:bookmarkEnd w:id="1312"/>
      <w:bookmarkEnd w:id="1313"/>
    </w:p>
    <w:p w14:paraId="1D6DCFC6">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314" w:name="_Ref4535422"/>
      <w:r>
        <w:rPr>
          <w:rFonts w:hint="eastAsia" w:asciiTheme="minorEastAsia" w:hAnsiTheme="minorEastAsia" w:eastAsiaTheme="minorEastAsia" w:cstheme="minorEastAsia"/>
          <w:szCs w:val="24"/>
        </w:rPr>
        <w:t>16.1.1 因承包人违约解除合同</w:t>
      </w:r>
      <w:bookmarkEnd w:id="1314"/>
    </w:p>
    <w:p w14:paraId="156A7A8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除专用合同条件另有约定外，发包人有权基于下列原因，以书面形式通知承包人解除合同，发包人可向承包人发出正式解除合同通知立即解除合同。解除日期应为承包人收到正式解除合同通知的日期：</w:t>
      </w:r>
    </w:p>
    <w:p w14:paraId="2F2C787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315" w:name="_Ref531958536"/>
      <w:r>
        <w:rPr>
          <w:rFonts w:hint="eastAsia" w:asciiTheme="minorEastAsia" w:hAnsiTheme="minorEastAsia" w:eastAsiaTheme="minorEastAsia" w:cstheme="minorEastAsia"/>
          <w:kern w:val="0"/>
          <w:sz w:val="24"/>
          <w:szCs w:val="24"/>
        </w:rPr>
        <w:t>（1） 承包人未能遵守第4.2款</w:t>
      </w:r>
      <w:bookmarkStart w:id="1316" w:name="_Hlk18839947"/>
      <w:r>
        <w:rPr>
          <w:rFonts w:hint="eastAsia" w:asciiTheme="minorEastAsia" w:hAnsiTheme="minorEastAsia" w:eastAsiaTheme="minorEastAsia" w:cstheme="minorEastAsia"/>
          <w:kern w:val="0"/>
          <w:sz w:val="24"/>
          <w:szCs w:val="24"/>
        </w:rPr>
        <w:t>[履约担保]</w:t>
      </w:r>
      <w:bookmarkEnd w:id="1316"/>
      <w:r>
        <w:rPr>
          <w:rFonts w:hint="eastAsia" w:asciiTheme="minorEastAsia" w:hAnsiTheme="minorEastAsia" w:eastAsiaTheme="minorEastAsia" w:cstheme="minorEastAsia"/>
          <w:kern w:val="0"/>
          <w:sz w:val="24"/>
          <w:szCs w:val="24"/>
        </w:rPr>
        <w:t>的约定；</w:t>
      </w:r>
    </w:p>
    <w:p w14:paraId="74D08D2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承包人未能遵守第4.5款[分包]有关分包和转包的约定；</w:t>
      </w:r>
    </w:p>
    <w:p w14:paraId="44E8DF8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承包人实际进度明显落后于进度计划，并且未按发包人的指令采取措施并修正进度计划；</w:t>
      </w:r>
    </w:p>
    <w:p w14:paraId="688F35B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工程质量有严重缺陷，承包人无正当理由使修复开始日期拖延达28天以上；</w:t>
      </w:r>
    </w:p>
    <w:p w14:paraId="7D29F88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3835978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承包人明确表示或以自己的行为表明不履行合同、或经发包人以书面形式通知其履约后仍未能依约履行合同、或以不适当的方式履行合同；</w:t>
      </w:r>
    </w:p>
    <w:p w14:paraId="5787298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未能通过的竣工试验、未能通过的竣工后试验，使工程的任何部分和（或）整个工程丧失了主要使用功能、生产功能；</w:t>
      </w:r>
    </w:p>
    <w:p w14:paraId="1C691A5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 因承包人的原因暂停工作超过56天且暂停影响到整个工程，或因承包人的原因暂停工作超过182天；</w:t>
      </w:r>
    </w:p>
    <w:p w14:paraId="2971E6A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 承包人未能遵守第8.2款[竣工日期]规定，延误超过182天；</w:t>
      </w:r>
    </w:p>
    <w:p w14:paraId="4EA05A8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 工程师根据第15.2.2项[通知改正]发出整改通知后，承包人在指定的合理期限内仍不纠正违约行为并致使合同目的不能实现的。</w:t>
      </w:r>
    </w:p>
    <w:bookmarkEnd w:id="1315"/>
    <w:p w14:paraId="2F9CFC71">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317" w:name="_Ref3841839"/>
      <w:bookmarkStart w:id="1318" w:name="_Ref4624315"/>
      <w:r>
        <w:rPr>
          <w:rFonts w:hint="eastAsia" w:asciiTheme="minorEastAsia" w:hAnsiTheme="minorEastAsia" w:eastAsiaTheme="minorEastAsia" w:cstheme="minorEastAsia"/>
          <w:szCs w:val="24"/>
        </w:rPr>
        <w:t>16.1.2 因承包人违约解除合同后</w:t>
      </w:r>
      <w:bookmarkEnd w:id="1317"/>
      <w:r>
        <w:rPr>
          <w:rFonts w:hint="eastAsia" w:asciiTheme="minorEastAsia" w:hAnsiTheme="minorEastAsia" w:eastAsiaTheme="minorEastAsia" w:cstheme="minorEastAsia"/>
          <w:szCs w:val="24"/>
        </w:rPr>
        <w:t>承包人的义务</w:t>
      </w:r>
      <w:bookmarkEnd w:id="1318"/>
    </w:p>
    <w:p w14:paraId="367E589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合同解除后，承包人应按以下约定执行：</w:t>
      </w:r>
    </w:p>
    <w:p w14:paraId="2FDA803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除了为保护生命、财产或工程安全、清理和必须执行的工作外，停止执行所有被通知解除的工作，并将相关人员撤离现场；</w:t>
      </w:r>
    </w:p>
    <w:p w14:paraId="062C2E4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经发包人批准，承包人应将与被解除合同相关的和正在执行的分包合同及相关的责任和义务转让至发包人和（或）发包人指定方的名下，包括永久性工程及工程物资，以及相关工作；</w:t>
      </w:r>
    </w:p>
    <w:p w14:paraId="1EEDCCC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移交已完成的永久性工程及负责已运抵现场的工程物资。在移交前，妥善做好己完工程和已运抵现场的工程物资的保管、维护和保养；</w:t>
      </w:r>
    </w:p>
    <w:p w14:paraId="424753F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将发包人提供的所有信息及承包人为本工程编制的设计文件、技术资料及其它文件移交给发包人。在承包人留有的资料文件中，销毁与发包人提供的所有信息相关的数据及资料的备份；</w:t>
      </w:r>
    </w:p>
    <w:p w14:paraId="09A4F64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移交相应实施阶段已经付款的并已完成的和尚待完成的设计文件、图纸、资料、操作维修手册、施工组织设计、质检资料、竣工资料等；</w:t>
      </w:r>
    </w:p>
    <w:p w14:paraId="5510021E">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16.1.3 因承包人违约解除合同后的估价、付款和结算</w:t>
      </w:r>
    </w:p>
    <w:p w14:paraId="7D724EF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因承包人原因导致合同解除的，则合同当事人应在合同解除后28天内完成估价、付款和清算，并按以下约定执行：</w:t>
      </w:r>
    </w:p>
    <w:p w14:paraId="5C314C8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合同解除后，按第3.6款[商定或确定]商定或确定承包人实际完成工作对应的合同价款，以及承包人已提供的材料、工程设备、施工设备和临时工程等的价值；</w:t>
      </w:r>
    </w:p>
    <w:p w14:paraId="4F9C994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合同解除后，承包人应支付的违约金；</w:t>
      </w:r>
    </w:p>
    <w:p w14:paraId="6875DC4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合同解除后，因解除合同给发包人造成的损失；</w:t>
      </w:r>
    </w:p>
    <w:p w14:paraId="6A8C6C7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合同解除后，承包人应按照发包人的指示完成现场的清理和撤离；</w:t>
      </w:r>
    </w:p>
    <w:p w14:paraId="3D23FA4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发包人和承包人应在合同解除后进行清算，出具最终结清付款证书，结清全部款项。</w:t>
      </w:r>
    </w:p>
    <w:p w14:paraId="696D504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因承包人违约解除合同的，发包人有权暂停对承包人的付款，查清各项付款和已扣款项，发包人和承包人未能就合同解除后的清算和款项支付达成一致的，按照第20条[争议解决]的约定处理。</w:t>
      </w:r>
    </w:p>
    <w:p w14:paraId="2F5F3B0B">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16.1.4 因承包人违约解除合同的合同权益转让</w:t>
      </w:r>
    </w:p>
    <w:p w14:paraId="497AE78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解除后，发包人可以继续完成工程，和（或）安排第三人完成。发包人有权要求承包人将其为实施合同而订立的材料和设备的订货合同或任何服务合同利益转让给发包人，并在承包人收到解除合同通知后的14天内，依法办理转让手续。发包人和（或）第三人有权使用承包人在施工现场的材料、设备、临时工程、承包人文件和由承包人或以其名义编制的其他文件。</w:t>
      </w:r>
    </w:p>
    <w:p w14:paraId="0F56FD1E">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19" w:name="_Ref531958549"/>
      <w:bookmarkStart w:id="1320" w:name="_Ref531958554"/>
      <w:bookmarkStart w:id="1321" w:name="_Toc54862305"/>
      <w:r>
        <w:rPr>
          <w:rFonts w:hint="eastAsia" w:asciiTheme="minorEastAsia" w:hAnsiTheme="minorEastAsia" w:eastAsiaTheme="minorEastAsia" w:cstheme="minorEastAsia"/>
          <w:b w:val="0"/>
          <w:bCs/>
        </w:rPr>
        <w:t>16.2 由承包人解除合同</w:t>
      </w:r>
      <w:bookmarkEnd w:id="1319"/>
      <w:bookmarkEnd w:id="1320"/>
      <w:bookmarkEnd w:id="1321"/>
    </w:p>
    <w:p w14:paraId="5EE286FD">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322" w:name="_Ref3841758"/>
      <w:r>
        <w:rPr>
          <w:rFonts w:hint="eastAsia" w:asciiTheme="minorEastAsia" w:hAnsiTheme="minorEastAsia" w:eastAsiaTheme="minorEastAsia" w:cstheme="minorEastAsia"/>
          <w:szCs w:val="24"/>
        </w:rPr>
        <w:t>16.2.1 因发包人违约解除合同</w:t>
      </w:r>
      <w:bookmarkEnd w:id="1322"/>
    </w:p>
    <w:p w14:paraId="25C5FB3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承包人有权基于下列原因，以书面形式通知发包人解除合同，解除通知中应注明是根据第16.2.1项发出的，承包人应在发出正式解除合同通知14天前告知发包人其解除合同意向，除非发包人在收到该解除合同意向通知后14天内采取了补救措施，否则承包人可向发包人发出正式解除合同通知立即解除合同。解除日期应为发包人收到正式解除合同通知的日期：</w:t>
      </w:r>
    </w:p>
    <w:p w14:paraId="1220B46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承包人就发包人未能遵守第2.5.2项关于发包人的资金安排发出通知后42天内，仍未收到合理的证明；</w:t>
      </w:r>
    </w:p>
    <w:p w14:paraId="6168224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发包人实质上未能根据合同约定履行其义务，构成根本性违约；</w:t>
      </w:r>
    </w:p>
    <w:p w14:paraId="32E214F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发承包双方订立本合同协议书后的84天内，承包人未收到根据第8.1款[开始工作]的开始工作通知；</w:t>
      </w:r>
    </w:p>
    <w:p w14:paraId="628EEED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0F7ED52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发包人未能遵守第2.5.3项的约定提交支付担保；</w:t>
      </w:r>
    </w:p>
    <w:p w14:paraId="10AE7B4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发包人未能执行第15.1.2项[通知改正]的约定，致使合同目的不能实现的；</w:t>
      </w:r>
    </w:p>
    <w:p w14:paraId="1E7DDD1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因发包人的原因暂停工作超过56天且暂停影响到整个工程，或因发包人的原因暂停工作超过182天的；</w:t>
      </w:r>
    </w:p>
    <w:p w14:paraId="0E8495C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因发包人原因造成开始工作日期迟于承包人收到中标通知书（或在无中标通知书的情况下，订立本合同之日）后第84天的。</w:t>
      </w:r>
    </w:p>
    <w:p w14:paraId="4AF53B7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发包人接到承包人解除合同意向通知后14天内，发包人随后给予了付款，或同意复工、或继续履行其义务、或提供了支付担保等，承包人应尽快安排并恢复正常工作；因此造成工期延误的，竣工日期顺延。</w:t>
      </w:r>
    </w:p>
    <w:p w14:paraId="32EA6FE3">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323" w:name="_Ref3842018"/>
      <w:bookmarkStart w:id="1324" w:name="_Ref4624336"/>
      <w:r>
        <w:rPr>
          <w:rFonts w:hint="eastAsia" w:asciiTheme="minorEastAsia" w:hAnsiTheme="minorEastAsia" w:eastAsiaTheme="minorEastAsia" w:cstheme="minorEastAsia"/>
          <w:szCs w:val="24"/>
        </w:rPr>
        <w:t>16.2.2 因发包人违约解除合同后</w:t>
      </w:r>
      <w:bookmarkEnd w:id="1323"/>
      <w:r>
        <w:rPr>
          <w:rFonts w:hint="eastAsia" w:asciiTheme="minorEastAsia" w:hAnsiTheme="minorEastAsia" w:eastAsiaTheme="minorEastAsia" w:cstheme="minorEastAsia"/>
          <w:szCs w:val="24"/>
        </w:rPr>
        <w:t>承包人的义务</w:t>
      </w:r>
      <w:bookmarkEnd w:id="1324"/>
    </w:p>
    <w:p w14:paraId="3B5C86A1">
      <w:pPr>
        <w:pStyle w:val="262"/>
        <w:widowControl/>
        <w:numPr>
          <w:ilvl w:val="0"/>
          <w:numId w:val="0"/>
        </w:numPr>
        <w:spacing w:line="240" w:lineRule="auto"/>
        <w:ind w:left="400" w:firstLine="425"/>
        <w:rPr>
          <w:rFonts w:hint="eastAsia" w:asciiTheme="minorEastAsia" w:hAnsiTheme="minorEastAsia" w:eastAsiaTheme="minorEastAsia" w:cstheme="minorEastAsia"/>
          <w:kern w:val="0"/>
          <w:szCs w:val="24"/>
        </w:rPr>
      </w:pPr>
      <w:r>
        <w:rPr>
          <w:rFonts w:hint="eastAsia" w:asciiTheme="minorEastAsia" w:hAnsiTheme="minorEastAsia" w:eastAsiaTheme="minorEastAsia" w:cstheme="minorEastAsia"/>
          <w:kern w:val="0"/>
          <w:szCs w:val="24"/>
        </w:rPr>
        <w:t>合同解除后，承包人应按以下约定执行：</w:t>
      </w:r>
    </w:p>
    <w:p w14:paraId="50D36AD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除为保护生命、财产、工程安全的工作外，停止所有进一步的工作；承包人因执行该保护工作而产生费用的，由发包人承担；</w:t>
      </w:r>
    </w:p>
    <w:p w14:paraId="369D20A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向发包人移交承包人已获得支付的承包人文件、生产设备、材料和其他工作；</w:t>
      </w:r>
    </w:p>
    <w:p w14:paraId="0EE5761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从现场运走除为了安全需要以外的所有属于承包人的其他货物，并撤离现场。</w:t>
      </w:r>
    </w:p>
    <w:p w14:paraId="4FB8EC10">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16.2.3 因发包人违约解除合同后的付款</w:t>
      </w:r>
    </w:p>
    <w:p w14:paraId="14A594B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承包人按照本款约定解除合同的，发包人应在解除合同后28天内支付下列款项，并退还履约担保：</w:t>
      </w:r>
    </w:p>
    <w:p w14:paraId="5906253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合同解除前所完成工作的价款；</w:t>
      </w:r>
    </w:p>
    <w:p w14:paraId="714D48C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承包人为工程施工订购并已付款的材料、工程设备和其他物品的价款；发包人付款后，该材料、工程设备和其他物品归发包人所有；</w:t>
      </w:r>
    </w:p>
    <w:p w14:paraId="2AD15E8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承包人为完成工程所发生的，而发包人未支付的金额；</w:t>
      </w:r>
    </w:p>
    <w:p w14:paraId="422C34C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承包人撤离施工现场以及遣散承包人人员的款项；</w:t>
      </w:r>
    </w:p>
    <w:p w14:paraId="5BFF422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按照合同约定在合同解除前应支付的违约金；</w:t>
      </w:r>
    </w:p>
    <w:p w14:paraId="6B49D2A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按照合同约定应当支付给承包人的其他款项；</w:t>
      </w:r>
    </w:p>
    <w:p w14:paraId="108DD42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按照合同约定应返还的质量保证金；</w:t>
      </w:r>
    </w:p>
    <w:p w14:paraId="172796A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 因解除合同给承包人造成的损失。</w:t>
      </w:r>
    </w:p>
    <w:p w14:paraId="7FD0987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承包人应妥善做好已完工程和与工程有关的已购材料、工程设备的保护和移交工作，并将施工设备和人员撤出施工现场，发包人应为承包人撤出提供必要条件。</w:t>
      </w:r>
    </w:p>
    <w:p w14:paraId="598E9EDD">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25" w:name="_Ref3841966"/>
      <w:bookmarkStart w:id="1326" w:name="_Toc54862306"/>
      <w:r>
        <w:rPr>
          <w:rFonts w:hint="eastAsia" w:asciiTheme="minorEastAsia" w:hAnsiTheme="minorEastAsia" w:eastAsiaTheme="minorEastAsia" w:cstheme="minorEastAsia"/>
          <w:b w:val="0"/>
          <w:bCs/>
        </w:rPr>
        <w:t>16.3 合同解除后的事项</w:t>
      </w:r>
      <w:bookmarkEnd w:id="1325"/>
      <w:bookmarkEnd w:id="1326"/>
    </w:p>
    <w:p w14:paraId="20B1A4A0">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16.3.1 结算约定依然有效</w:t>
      </w:r>
    </w:p>
    <w:p w14:paraId="617C6C3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合同解除后，由发包人或由承包人解除合同的结算及结算后的付款约定仍然有效，直至解除合同的结算工作结清。</w:t>
      </w:r>
    </w:p>
    <w:p w14:paraId="6B7B1D7D">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16.3.2 解除合同的争议</w:t>
      </w:r>
    </w:p>
    <w:p w14:paraId="2FD693C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327" w:name="_Hlk18988355"/>
      <w:r>
        <w:rPr>
          <w:rFonts w:hint="eastAsia" w:asciiTheme="minorEastAsia" w:hAnsiTheme="minorEastAsia" w:eastAsiaTheme="minorEastAsia" w:cstheme="minorEastAsia"/>
          <w:kern w:val="0"/>
          <w:sz w:val="24"/>
          <w:szCs w:val="24"/>
        </w:rPr>
        <w:t>双方对解除合同或解除合同后的结算有争议的，按照第20条[争议解决]的约定处理。</w:t>
      </w:r>
      <w:bookmarkEnd w:id="1327"/>
    </w:p>
    <w:p w14:paraId="0A7C34DE">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328" w:name="_Toc54862307"/>
      <w:bookmarkStart w:id="1329" w:name="_Ref3840974"/>
      <w:bookmarkStart w:id="1330" w:name="_Ref3840605"/>
      <w:r>
        <w:rPr>
          <w:rFonts w:hint="eastAsia" w:asciiTheme="minorEastAsia" w:hAnsiTheme="minorEastAsia" w:eastAsiaTheme="minorEastAsia" w:cstheme="minorEastAsia"/>
          <w:b w:val="0"/>
          <w:bCs/>
          <w:kern w:val="0"/>
          <w:sz w:val="24"/>
          <w:szCs w:val="18"/>
        </w:rPr>
        <w:t>第17条 不可抗力</w:t>
      </w:r>
      <w:bookmarkEnd w:id="1328"/>
      <w:bookmarkEnd w:id="1329"/>
    </w:p>
    <w:p w14:paraId="08F6E707">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31" w:name="_Ref531958158"/>
      <w:bookmarkStart w:id="1332" w:name="_Ref531958161"/>
      <w:bookmarkStart w:id="1333" w:name="_Toc54862308"/>
      <w:r>
        <w:rPr>
          <w:rFonts w:hint="eastAsia" w:asciiTheme="minorEastAsia" w:hAnsiTheme="minorEastAsia" w:eastAsiaTheme="minorEastAsia" w:cstheme="minorEastAsia"/>
          <w:b w:val="0"/>
          <w:bCs/>
        </w:rPr>
        <w:t>17.1 不可抗力的</w:t>
      </w:r>
      <w:bookmarkEnd w:id="1331"/>
      <w:bookmarkEnd w:id="1332"/>
      <w:r>
        <w:rPr>
          <w:rFonts w:hint="eastAsia" w:asciiTheme="minorEastAsia" w:hAnsiTheme="minorEastAsia" w:eastAsiaTheme="minorEastAsia" w:cstheme="minorEastAsia"/>
          <w:b w:val="0"/>
          <w:bCs/>
        </w:rPr>
        <w:t>定义</w:t>
      </w:r>
      <w:bookmarkEnd w:id="1333"/>
    </w:p>
    <w:p w14:paraId="6F2EA2C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14:paraId="08EB847E">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34" w:name="_Toc54862309"/>
      <w:r>
        <w:rPr>
          <w:rFonts w:hint="eastAsia" w:asciiTheme="minorEastAsia" w:hAnsiTheme="minorEastAsia" w:eastAsiaTheme="minorEastAsia" w:cstheme="minorEastAsia"/>
          <w:b w:val="0"/>
          <w:bCs/>
        </w:rPr>
        <w:t>17.2 不可抗力的通知</w:t>
      </w:r>
      <w:bookmarkEnd w:id="1334"/>
      <w:r>
        <w:rPr>
          <w:rFonts w:hint="eastAsia" w:asciiTheme="minorEastAsia" w:hAnsiTheme="minorEastAsia" w:eastAsiaTheme="minorEastAsia" w:cstheme="minorEastAsia"/>
          <w:b w:val="0"/>
          <w:bCs/>
        </w:rPr>
        <w:t xml:space="preserve"> </w:t>
      </w:r>
    </w:p>
    <w:p w14:paraId="0D501B6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合同一方当事人觉察或发现不可抗力事件发生，使其履行合同义务受到阻碍时，有义务立即通知合同另一方当事人和工程师，书面说明不可抗力和受阻碍的详细情况，并提供必要的证明。</w:t>
      </w:r>
    </w:p>
    <w:p w14:paraId="206D24B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不可抗力持续发生的，合同一方当事人应每隔28天向合同另一方当事人和工程师提交中间报告，说明不可抗力和履行合同受阻的情况，并于不可抗力事件结束后28天内提交最终报告及有关资料。</w:t>
      </w:r>
    </w:p>
    <w:p w14:paraId="5AAE195E">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35" w:name="_Toc54862310"/>
      <w:r>
        <w:rPr>
          <w:rFonts w:hint="eastAsia" w:asciiTheme="minorEastAsia" w:hAnsiTheme="minorEastAsia" w:eastAsiaTheme="minorEastAsia" w:cstheme="minorEastAsia"/>
          <w:b w:val="0"/>
          <w:bCs/>
        </w:rPr>
        <w:t>17.3 将损失减至最小的义务</w:t>
      </w:r>
      <w:bookmarkEnd w:id="1335"/>
    </w:p>
    <w:p w14:paraId="5379712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14:paraId="573020DE">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36" w:name="_Ref531958172"/>
      <w:bookmarkStart w:id="1337" w:name="_Ref531958170"/>
      <w:bookmarkStart w:id="1338" w:name="_Ref3840916"/>
      <w:bookmarkStart w:id="1339" w:name="_Toc54862311"/>
      <w:r>
        <w:rPr>
          <w:rFonts w:hint="eastAsia" w:asciiTheme="minorEastAsia" w:hAnsiTheme="minorEastAsia" w:eastAsiaTheme="minorEastAsia" w:cstheme="minorEastAsia"/>
          <w:b w:val="0"/>
          <w:bCs/>
        </w:rPr>
        <w:t>17.4 不可抗力后果</w:t>
      </w:r>
      <w:bookmarkEnd w:id="1336"/>
      <w:bookmarkEnd w:id="1337"/>
      <w:r>
        <w:rPr>
          <w:rFonts w:hint="eastAsia" w:asciiTheme="minorEastAsia" w:hAnsiTheme="minorEastAsia" w:eastAsiaTheme="minorEastAsia" w:cstheme="minorEastAsia"/>
          <w:b w:val="0"/>
          <w:bCs/>
        </w:rPr>
        <w:t>的承担</w:t>
      </w:r>
      <w:bookmarkEnd w:id="1338"/>
      <w:bookmarkEnd w:id="1339"/>
      <w:r>
        <w:rPr>
          <w:rFonts w:hint="eastAsia" w:asciiTheme="minorEastAsia" w:hAnsiTheme="minorEastAsia" w:eastAsiaTheme="minorEastAsia" w:cstheme="minorEastAsia"/>
          <w:b w:val="0"/>
          <w:bCs/>
        </w:rPr>
        <w:t xml:space="preserve"> </w:t>
      </w:r>
    </w:p>
    <w:p w14:paraId="59D7F56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不可抗力导致的人员伤亡、财产损失、费用增加和（或）工期延误等后果，由合同当事人按以下原则承担：</w:t>
      </w:r>
    </w:p>
    <w:p w14:paraId="564115F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永久工程，包括已运至施工现场的材料和工程设备的损害，以及因工程损害造成的第三人人员伤亡和财产损失由发包人承担；</w:t>
      </w:r>
    </w:p>
    <w:p w14:paraId="3649A39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承包人提供的施工设备的损坏由承包人承担；</w:t>
      </w:r>
    </w:p>
    <w:p w14:paraId="59DB333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发包人和承包人各自承担其人员伤亡及其他财产损失；</w:t>
      </w:r>
    </w:p>
    <w:p w14:paraId="2BD8156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因不可抗力影响承包人履行合同约定的义务，已经引起或将引起工期延误的，应当顺延工期，由此导致承包人停工的费用损失由发包人和承包人合理分担；</w:t>
      </w:r>
    </w:p>
    <w:p w14:paraId="4EC4774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因不可抗力引起或将引起工期延误，发包人指示赶工的，由此增加的赶工费用由发包人承担；</w:t>
      </w:r>
    </w:p>
    <w:p w14:paraId="7C37AF6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承包人在停工期间按照工程师或发包人要求照管、清理和修复工程的费用由发包人承担。</w:t>
      </w:r>
    </w:p>
    <w:p w14:paraId="4DEDE51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不可抗力引起的后果及造成的损失由合同当事人按照法律规定及合同约定各自承担。不可抗力发生前已完成的工程应当按照合同约定进行支付。</w:t>
      </w:r>
    </w:p>
    <w:p w14:paraId="7F9E66E6">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40" w:name="_Toc54862312"/>
      <w:r>
        <w:rPr>
          <w:rFonts w:hint="eastAsia" w:asciiTheme="minorEastAsia" w:hAnsiTheme="minorEastAsia" w:eastAsiaTheme="minorEastAsia" w:cstheme="minorEastAsia"/>
          <w:b w:val="0"/>
          <w:bCs/>
        </w:rPr>
        <w:t>17.5 不可抗力影响分包人</w:t>
      </w:r>
      <w:bookmarkEnd w:id="1340"/>
      <w:r>
        <w:rPr>
          <w:rFonts w:hint="eastAsia" w:asciiTheme="minorEastAsia" w:hAnsiTheme="minorEastAsia" w:eastAsiaTheme="minorEastAsia" w:cstheme="minorEastAsia"/>
          <w:b w:val="0"/>
          <w:bCs/>
        </w:rPr>
        <w:t xml:space="preserve"> </w:t>
      </w:r>
    </w:p>
    <w:p w14:paraId="426185D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分包人根据分包合同的约定，有权获得更多或者更广的不可抗力而免除某些义务时，承包人不得以分包合同中不可抗力约定向发包人抗辩免除其义务。</w:t>
      </w:r>
    </w:p>
    <w:p w14:paraId="52845C04">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41" w:name="_Ref531958184"/>
      <w:bookmarkStart w:id="1342" w:name="_Ref531958181"/>
      <w:bookmarkStart w:id="1343" w:name="_Ref4538024"/>
      <w:bookmarkStart w:id="1344" w:name="_Ref3840892"/>
      <w:bookmarkStart w:id="1345" w:name="_Toc54862313"/>
      <w:r>
        <w:rPr>
          <w:rFonts w:hint="eastAsia" w:asciiTheme="minorEastAsia" w:hAnsiTheme="minorEastAsia" w:eastAsiaTheme="minorEastAsia" w:cstheme="minorEastAsia"/>
          <w:b w:val="0"/>
          <w:bCs/>
        </w:rPr>
        <w:t>17.6 因不可抗力解除</w:t>
      </w:r>
      <w:bookmarkEnd w:id="1341"/>
      <w:bookmarkEnd w:id="1342"/>
      <w:r>
        <w:rPr>
          <w:rFonts w:hint="eastAsia" w:asciiTheme="minorEastAsia" w:hAnsiTheme="minorEastAsia" w:eastAsiaTheme="minorEastAsia" w:cstheme="minorEastAsia"/>
          <w:b w:val="0"/>
          <w:bCs/>
        </w:rPr>
        <w:t>合同</w:t>
      </w:r>
      <w:bookmarkEnd w:id="1343"/>
      <w:bookmarkEnd w:id="1344"/>
      <w:bookmarkEnd w:id="1345"/>
      <w:r>
        <w:rPr>
          <w:rFonts w:hint="eastAsia" w:asciiTheme="minorEastAsia" w:hAnsiTheme="minorEastAsia" w:eastAsiaTheme="minorEastAsia" w:cstheme="minorEastAsia"/>
          <w:b w:val="0"/>
          <w:bCs/>
        </w:rPr>
        <w:t xml:space="preserve"> </w:t>
      </w:r>
    </w:p>
    <w:p w14:paraId="6FED30E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单次不可抗力导致合同无法履行连续超过84天或累计超过140天的，发包人和承包人均有权解除合同。合同解除后，承包人应按照第10.5款[竣工退场]的规定进行。由双方当事人按照第3.6款[商定或确定]商定或确定发包人应支付的款项，该款项包括：</w:t>
      </w:r>
    </w:p>
    <w:p w14:paraId="3B8FEB6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合同解除前承包人已完成工作的价款；</w:t>
      </w:r>
    </w:p>
    <w:p w14:paraId="64FA448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14:paraId="77585F8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发包人指示承包人退货或解除订货合同而产生的费用，或因不能退货或解除合同而产生的损失；</w:t>
      </w:r>
    </w:p>
    <w:p w14:paraId="2CA9F56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承包人撤离施工现场以及遣散承包人人员的费用；</w:t>
      </w:r>
    </w:p>
    <w:p w14:paraId="79329DD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按照合同约定在合同解除前应支付给承包人的其他款项；</w:t>
      </w:r>
    </w:p>
    <w:p w14:paraId="58C204A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扣减承包人按照合同约定应向发包人支付的款项；</w:t>
      </w:r>
    </w:p>
    <w:p w14:paraId="48E1C3A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双方商定或确定的其他款项。</w:t>
      </w:r>
    </w:p>
    <w:p w14:paraId="69DBE3E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除专用合同条件另有约定外，合同解除后，发包人应当在商定或确定上述款项后28天内完成上述款项的支付。</w:t>
      </w:r>
    </w:p>
    <w:p w14:paraId="099D3C81">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346" w:name="_Toc54862314"/>
      <w:bookmarkStart w:id="1347" w:name="_Ref11848264"/>
      <w:bookmarkStart w:id="1348" w:name="_Ref11848274"/>
      <w:r>
        <w:rPr>
          <w:rFonts w:hint="eastAsia" w:asciiTheme="minorEastAsia" w:hAnsiTheme="minorEastAsia" w:eastAsiaTheme="minorEastAsia" w:cstheme="minorEastAsia"/>
          <w:b w:val="0"/>
          <w:bCs/>
          <w:kern w:val="0"/>
          <w:sz w:val="24"/>
          <w:szCs w:val="18"/>
        </w:rPr>
        <w:t>第18条 保险</w:t>
      </w:r>
      <w:bookmarkEnd w:id="1330"/>
      <w:bookmarkEnd w:id="1346"/>
      <w:bookmarkEnd w:id="1347"/>
      <w:bookmarkEnd w:id="1348"/>
      <w:r>
        <w:rPr>
          <w:rFonts w:hint="eastAsia" w:asciiTheme="minorEastAsia" w:hAnsiTheme="minorEastAsia" w:eastAsiaTheme="minorEastAsia" w:cstheme="minorEastAsia"/>
          <w:b w:val="0"/>
          <w:bCs/>
          <w:kern w:val="0"/>
          <w:sz w:val="24"/>
          <w:szCs w:val="18"/>
        </w:rPr>
        <w:t xml:space="preserve"> </w:t>
      </w:r>
    </w:p>
    <w:p w14:paraId="646EA492">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49" w:name="_Ref3840734"/>
      <w:bookmarkStart w:id="1350" w:name="_Toc54862315"/>
      <w:bookmarkStart w:id="1351" w:name="_Ref3840730"/>
      <w:bookmarkStart w:id="1352" w:name="_Ref531957911"/>
      <w:bookmarkStart w:id="1353" w:name="_Ref531957914"/>
      <w:bookmarkStart w:id="1354" w:name="_Toc351203616"/>
      <w:r>
        <w:rPr>
          <w:rFonts w:hint="eastAsia" w:asciiTheme="minorEastAsia" w:hAnsiTheme="minorEastAsia" w:eastAsiaTheme="minorEastAsia" w:cstheme="minorEastAsia"/>
          <w:b w:val="0"/>
          <w:bCs/>
        </w:rPr>
        <w:t>18.1 设计和工程保险</w:t>
      </w:r>
      <w:bookmarkEnd w:id="1349"/>
      <w:bookmarkEnd w:id="1350"/>
      <w:bookmarkEnd w:id="1351"/>
    </w:p>
    <w:bookmarkEnd w:id="1352"/>
    <w:bookmarkEnd w:id="1353"/>
    <w:p w14:paraId="10B3F93A">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18.1.1 双方应按照专用合同条件的约定向双方同意的保险人投保建设工程设计责任险、建筑安装工程一切险等保险。具体的投保险种、保险范围、保险金额、保险费率、保险期限等有关内容应当在专用合同条件中明确约定。</w:t>
      </w:r>
    </w:p>
    <w:p w14:paraId="7F561F31">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18.1.2 双方应按照专用合同条件的约定投保第三者责任险，并在缺陷责任期终止证书颁发前维持其持续有效。第三者责任险最低投保额应在专用合同条件内约定。</w:t>
      </w:r>
    </w:p>
    <w:p w14:paraId="179332F3">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55" w:name="_Ref3840683"/>
      <w:bookmarkStart w:id="1356" w:name="_Toc54862316"/>
      <w:r>
        <w:rPr>
          <w:rFonts w:hint="eastAsia" w:asciiTheme="minorEastAsia" w:hAnsiTheme="minorEastAsia" w:eastAsiaTheme="minorEastAsia" w:cstheme="minorEastAsia"/>
          <w:b w:val="0"/>
          <w:bCs/>
        </w:rPr>
        <w:t>18.2 工伤和意外伤害保险</w:t>
      </w:r>
      <w:bookmarkEnd w:id="1355"/>
      <w:bookmarkEnd w:id="1356"/>
    </w:p>
    <w:p w14:paraId="2066FB00">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18.2.1 发包人应依照法律规定为其在施工现场的雇用人员办理工伤保险，缴纳工伤保险费；并要求工程师及由发包人为履行合同聘请的第三方在施工现场的雇用人员依法办理工伤保险。</w:t>
      </w:r>
    </w:p>
    <w:p w14:paraId="5C2D08F1">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18.2.2 承包人应依照法律规定为其履行合同雇用的全部人员办理工伤保险，缴纳工伤保险费，并要求分包人及由承包人为履行合同聘请的第三方雇用的全部人员依法办理工伤保险。</w:t>
      </w:r>
    </w:p>
    <w:p w14:paraId="096FA8C2">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18.2.3 发包人和承包人可以为其施工现场的全部人员办理意外伤害保险并支付保险费，包括其员工及为履行合同聘请的第三方的人员，具体事项由合同当事人在专用合同条件约定。</w:t>
      </w:r>
    </w:p>
    <w:p w14:paraId="4D05D828">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57" w:name="_Ref3840782"/>
      <w:bookmarkStart w:id="1358" w:name="_Toc54862317"/>
      <w:r>
        <w:rPr>
          <w:rFonts w:hint="eastAsia" w:asciiTheme="minorEastAsia" w:hAnsiTheme="minorEastAsia" w:eastAsiaTheme="minorEastAsia" w:cstheme="minorEastAsia"/>
          <w:b w:val="0"/>
          <w:bCs/>
        </w:rPr>
        <w:t>18.3 货物保险</w:t>
      </w:r>
      <w:bookmarkEnd w:id="1357"/>
      <w:bookmarkEnd w:id="1358"/>
    </w:p>
    <w:p w14:paraId="212B4E1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w:t>
      </w:r>
      <w:r>
        <w:rPr>
          <w:rFonts w:hint="eastAsia" w:asciiTheme="minorEastAsia" w:hAnsiTheme="minorEastAsia" w:eastAsiaTheme="minorEastAsia" w:cstheme="minorEastAsia"/>
          <w:iCs/>
          <w:kern w:val="0"/>
          <w:sz w:val="24"/>
          <w:szCs w:val="24"/>
        </w:rPr>
        <w:t>按照</w:t>
      </w:r>
      <w:r>
        <w:rPr>
          <w:rFonts w:hint="eastAsia" w:asciiTheme="minorEastAsia" w:hAnsiTheme="minorEastAsia" w:eastAsiaTheme="minorEastAsia" w:cstheme="minorEastAsia"/>
          <w:kern w:val="0"/>
          <w:sz w:val="24"/>
          <w:szCs w:val="24"/>
        </w:rPr>
        <w:t>专用合同条件的约定为</w:t>
      </w:r>
      <w:r>
        <w:rPr>
          <w:rFonts w:hint="eastAsia" w:asciiTheme="minorEastAsia" w:hAnsiTheme="minorEastAsia" w:eastAsiaTheme="minorEastAsia" w:cstheme="minorEastAsia"/>
          <w:iCs/>
          <w:kern w:val="0"/>
          <w:sz w:val="24"/>
          <w:szCs w:val="24"/>
        </w:rPr>
        <w:t>运抵现场的</w:t>
      </w:r>
      <w:r>
        <w:rPr>
          <w:rFonts w:hint="eastAsia" w:asciiTheme="minorEastAsia" w:hAnsiTheme="minorEastAsia" w:eastAsiaTheme="minorEastAsia" w:cstheme="minorEastAsia"/>
          <w:kern w:val="0"/>
          <w:sz w:val="24"/>
          <w:szCs w:val="24"/>
        </w:rPr>
        <w:t>施工设备、材料、工程设备和临时工程等办理财产保险，保险期限自上述货物运抵现场至其不再为工程所需要为止。</w:t>
      </w:r>
    </w:p>
    <w:p w14:paraId="4827BE05">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59" w:name="_Toc54862318"/>
      <w:bookmarkStart w:id="1360" w:name="_Ref4692238"/>
      <w:bookmarkStart w:id="1361" w:name="_Ref4692231"/>
      <w:r>
        <w:rPr>
          <w:rFonts w:hint="eastAsia" w:asciiTheme="minorEastAsia" w:hAnsiTheme="minorEastAsia" w:eastAsiaTheme="minorEastAsia" w:cstheme="minorEastAsia"/>
          <w:b w:val="0"/>
          <w:bCs/>
        </w:rPr>
        <w:t>18.4 其他保险</w:t>
      </w:r>
      <w:bookmarkEnd w:id="1359"/>
      <w:bookmarkEnd w:id="1360"/>
      <w:bookmarkEnd w:id="1361"/>
    </w:p>
    <w:p w14:paraId="56DC924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w:t>
      </w:r>
      <w:bookmarkEnd w:id="1354"/>
      <w:r>
        <w:rPr>
          <w:rFonts w:hint="eastAsia" w:asciiTheme="minorEastAsia" w:hAnsiTheme="minorEastAsia" w:eastAsiaTheme="minorEastAsia" w:cstheme="minorEastAsia"/>
          <w:kern w:val="0"/>
          <w:sz w:val="24"/>
          <w:szCs w:val="24"/>
        </w:rPr>
        <w:t>保费用包含在合同价格中，但在合同执行过程中，新颁布适用的法律法规规定由承包人投保的强制保险，应根据本合同</w:t>
      </w:r>
      <w:bookmarkStart w:id="1362" w:name="_Toc351203617"/>
      <w:bookmarkStart w:id="1363" w:name="_Toc296346627"/>
      <w:bookmarkStart w:id="1364" w:name="_Toc337558832"/>
      <w:bookmarkStart w:id="1365" w:name="_Toc296503126"/>
      <w:r>
        <w:rPr>
          <w:rFonts w:hint="eastAsia" w:asciiTheme="minorEastAsia" w:hAnsiTheme="minorEastAsia" w:eastAsiaTheme="minorEastAsia" w:cstheme="minorEastAsia"/>
          <w:kern w:val="0"/>
          <w:sz w:val="24"/>
          <w:szCs w:val="24"/>
        </w:rPr>
        <w:t>第13条[变更与调整]的约定增加合同价款。</w:t>
      </w:r>
    </w:p>
    <w:p w14:paraId="03A3CE62">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66" w:name="_Ref3840659"/>
      <w:bookmarkStart w:id="1367" w:name="_Toc54862319"/>
      <w:r>
        <w:rPr>
          <w:rFonts w:hint="eastAsia" w:asciiTheme="minorEastAsia" w:hAnsiTheme="minorEastAsia" w:eastAsiaTheme="minorEastAsia" w:cstheme="minorEastAsia"/>
          <w:b w:val="0"/>
          <w:bCs/>
        </w:rPr>
        <w:t>18.5 对各项保险的一般要求</w:t>
      </w:r>
      <w:bookmarkEnd w:id="1366"/>
      <w:bookmarkEnd w:id="1367"/>
    </w:p>
    <w:p w14:paraId="2F4FFEE9">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18.5.1 持续保险</w:t>
      </w:r>
    </w:p>
    <w:p w14:paraId="3079917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合同当事人应与保险人保持联系，使保险人能够随时了</w:t>
      </w:r>
      <w:bookmarkEnd w:id="1362"/>
      <w:r>
        <w:rPr>
          <w:rFonts w:hint="eastAsia" w:asciiTheme="minorEastAsia" w:hAnsiTheme="minorEastAsia" w:eastAsiaTheme="minorEastAsia" w:cstheme="minorEastAsia"/>
          <w:kern w:val="0"/>
          <w:sz w:val="24"/>
          <w:szCs w:val="24"/>
        </w:rPr>
        <w:t>解</w:t>
      </w:r>
      <w:bookmarkEnd w:id="1363"/>
      <w:bookmarkEnd w:id="1364"/>
      <w:bookmarkEnd w:id="1365"/>
      <w:r>
        <w:rPr>
          <w:rFonts w:hint="eastAsia" w:asciiTheme="minorEastAsia" w:hAnsiTheme="minorEastAsia" w:eastAsiaTheme="minorEastAsia" w:cstheme="minorEastAsia"/>
          <w:kern w:val="0"/>
          <w:sz w:val="24"/>
          <w:szCs w:val="24"/>
        </w:rPr>
        <w:t>工程实施中的变动，并确保按保险合同条款要求持续保险。</w:t>
      </w:r>
    </w:p>
    <w:p w14:paraId="03DE84F5">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368" w:name="_Ref4777650"/>
      <w:r>
        <w:rPr>
          <w:rFonts w:hint="eastAsia" w:asciiTheme="minorEastAsia" w:hAnsiTheme="minorEastAsia" w:eastAsiaTheme="minorEastAsia" w:cstheme="minorEastAsia"/>
          <w:szCs w:val="24"/>
        </w:rPr>
        <w:t>18.5.2 保险凭证</w:t>
      </w:r>
      <w:bookmarkEnd w:id="1368"/>
    </w:p>
    <w:p w14:paraId="2257C6B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合同当事人应及时向另一方当事人提交其已投保的各项保险的凭证和保险单复印件，保险单必须与专用合同条件约定的条件保持一致。</w:t>
      </w:r>
    </w:p>
    <w:p w14:paraId="41E16462">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18.5.3 未按约定投保的补救</w:t>
      </w:r>
    </w:p>
    <w:p w14:paraId="01EA679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负有投保义务的一方当事人未按合同约定办理保险，或未能使保险持续有效的，则另一方当事人可代为办理，所需费用由负有投保义务的一方当事人承担。</w:t>
      </w:r>
    </w:p>
    <w:p w14:paraId="3FDC20E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负有投保</w:t>
      </w:r>
      <w:bookmarkStart w:id="1369" w:name="_Toc351203619"/>
      <w:bookmarkStart w:id="1370" w:name="_Toc337558834"/>
      <w:r>
        <w:rPr>
          <w:rFonts w:hint="eastAsia" w:asciiTheme="minorEastAsia" w:hAnsiTheme="minorEastAsia" w:eastAsiaTheme="minorEastAsia" w:cstheme="minorEastAsia"/>
          <w:kern w:val="0"/>
          <w:sz w:val="24"/>
          <w:szCs w:val="24"/>
        </w:rPr>
        <w:t>义务的一方当事人未</w:t>
      </w:r>
      <w:bookmarkEnd w:id="1369"/>
      <w:r>
        <w:rPr>
          <w:rFonts w:hint="eastAsia" w:asciiTheme="minorEastAsia" w:hAnsiTheme="minorEastAsia" w:eastAsiaTheme="minorEastAsia" w:cstheme="minorEastAsia"/>
          <w:kern w:val="0"/>
          <w:sz w:val="24"/>
          <w:szCs w:val="24"/>
        </w:rPr>
        <w:t>按</w:t>
      </w:r>
      <w:bookmarkEnd w:id="1370"/>
      <w:r>
        <w:rPr>
          <w:rFonts w:hint="eastAsia" w:asciiTheme="minorEastAsia" w:hAnsiTheme="minorEastAsia" w:eastAsiaTheme="minorEastAsia" w:cstheme="minorEastAsia"/>
          <w:kern w:val="0"/>
          <w:sz w:val="24"/>
          <w:szCs w:val="24"/>
        </w:rPr>
        <w:t>合同约定办理某项保险，导致受益人未能得到足额赔偿的，由负有投保义务的一方当事人负责按照原应从该项保险得到的保险金数额进行补足。</w:t>
      </w:r>
    </w:p>
    <w:p w14:paraId="7FC9AC18">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371" w:name="_Ref4692685"/>
      <w:r>
        <w:rPr>
          <w:rFonts w:hint="eastAsia" w:asciiTheme="minorEastAsia" w:hAnsiTheme="minorEastAsia" w:eastAsiaTheme="minorEastAsia" w:cstheme="minorEastAsia"/>
          <w:szCs w:val="24"/>
        </w:rPr>
        <w:t>18.5.4 通知义务</w:t>
      </w:r>
      <w:bookmarkEnd w:id="1371"/>
    </w:p>
    <w:p w14:paraId="22C8A8D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除专用合同条件另有约定外，任何一方当事人变更除工伤保险之外的保险合同时，应事先征得另一方当事人同意，并通知工程师。</w:t>
      </w:r>
    </w:p>
    <w:p w14:paraId="65C3A07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保险事故发生时，投保人应按照保险合同规定的条件和期限及时向保险人报告。发包人和承包人应当在知道保险事故发生后及时通知对方。</w:t>
      </w:r>
    </w:p>
    <w:p w14:paraId="4D0C3D7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双方按本条规定投保不减少双方在合同下的其他义务。</w:t>
      </w:r>
    </w:p>
    <w:p w14:paraId="3E7BCD7B">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372" w:name="_Toc54862320"/>
      <w:bookmarkStart w:id="1373" w:name="_Ref11874997"/>
      <w:r>
        <w:rPr>
          <w:rFonts w:hint="eastAsia" w:asciiTheme="minorEastAsia" w:hAnsiTheme="minorEastAsia" w:eastAsiaTheme="minorEastAsia" w:cstheme="minorEastAsia"/>
          <w:b w:val="0"/>
          <w:bCs/>
          <w:kern w:val="0"/>
          <w:sz w:val="24"/>
          <w:szCs w:val="18"/>
        </w:rPr>
        <w:t>第19条 索赔</w:t>
      </w:r>
      <w:bookmarkEnd w:id="1309"/>
      <w:bookmarkEnd w:id="1310"/>
      <w:bookmarkEnd w:id="1372"/>
      <w:bookmarkEnd w:id="1373"/>
      <w:r>
        <w:rPr>
          <w:rFonts w:hint="eastAsia" w:asciiTheme="minorEastAsia" w:hAnsiTheme="minorEastAsia" w:eastAsiaTheme="minorEastAsia" w:cstheme="minorEastAsia"/>
          <w:b w:val="0"/>
          <w:bCs/>
          <w:kern w:val="0"/>
          <w:sz w:val="24"/>
          <w:szCs w:val="18"/>
        </w:rPr>
        <w:t xml:space="preserve"> </w:t>
      </w:r>
    </w:p>
    <w:p w14:paraId="6E2FAD37">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74" w:name="_Ref4798164"/>
      <w:bookmarkStart w:id="1375" w:name="_Ref4798173"/>
      <w:bookmarkStart w:id="1376" w:name="_Toc54862321"/>
      <w:r>
        <w:rPr>
          <w:rFonts w:hint="eastAsia" w:asciiTheme="minorEastAsia" w:hAnsiTheme="minorEastAsia" w:eastAsiaTheme="minorEastAsia" w:cstheme="minorEastAsia"/>
          <w:b w:val="0"/>
          <w:bCs/>
        </w:rPr>
        <w:t>19.1 索赔</w:t>
      </w:r>
      <w:bookmarkEnd w:id="1374"/>
      <w:bookmarkEnd w:id="1375"/>
      <w:r>
        <w:rPr>
          <w:rFonts w:hint="eastAsia" w:asciiTheme="minorEastAsia" w:hAnsiTheme="minorEastAsia" w:eastAsiaTheme="minorEastAsia" w:cstheme="minorEastAsia"/>
          <w:b w:val="0"/>
          <w:bCs/>
        </w:rPr>
        <w:t>的提出</w:t>
      </w:r>
      <w:bookmarkEnd w:id="1376"/>
    </w:p>
    <w:p w14:paraId="3672649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根据合同约定，任意一方认为有权得到追加/减少付款、延长缺陷责任期和（或）延长工期的，应按以下程序向对方提出索赔：</w:t>
      </w:r>
    </w:p>
    <w:p w14:paraId="68CD94A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索赔方应在知道或应当知道索赔事件发生后28天内，向对方递交索赔意向通知书，并说明发生索赔事件的事由；索赔方未在前述28天内发出索赔意向通知书的，丧失要求追加/减少付款、延长缺陷责任期和（或）延长工期的权利；</w:t>
      </w:r>
    </w:p>
    <w:p w14:paraId="1CA199D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索赔方应在发出索赔意向通知书后28天内，向对方正式递交索赔报告；索赔报告应详细说明索赔理由以及要求追加的付款金额、延长缺陷责任期和（或）延长的工期，并附必要的记录和证明材料；</w:t>
      </w:r>
    </w:p>
    <w:p w14:paraId="4A978C7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索赔事件具有持续影响的，索赔方应每月递交延续索赔通知，说明持续影响的实际情况和记录，列出累计的追加付款金额、延长缺陷责任期和（或）工期延长天数；</w:t>
      </w:r>
    </w:p>
    <w:p w14:paraId="73C04A3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377" w:name="_Ref4796178"/>
      <w:r>
        <w:rPr>
          <w:rFonts w:hint="eastAsia" w:asciiTheme="minorEastAsia" w:hAnsiTheme="minorEastAsia" w:eastAsiaTheme="minorEastAsia" w:cstheme="minorEastAsia"/>
          <w:kern w:val="0"/>
          <w:sz w:val="24"/>
          <w:szCs w:val="24"/>
        </w:rPr>
        <w:t>（4） 在索赔事件影响结束后28天内，索赔方应向对方递交最终索赔报告，说明最终要求索赔的追加付款金额、延长缺陷责任期和（或）延长的工期，并附必要的记录和证明材料。</w:t>
      </w:r>
      <w:bookmarkEnd w:id="1377"/>
    </w:p>
    <w:p w14:paraId="280589F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承包人作为索赔方时，其索赔意向通知书、索赔报告及相关索赔文件应向工程师提出；发包人作为索赔方时，其索赔意向通知书、索赔报告及相关索赔文件可自行向承包人提出或由工程师向承包人提出。</w:t>
      </w:r>
    </w:p>
    <w:p w14:paraId="5FC3131A">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78" w:name="_Ref4796262"/>
      <w:bookmarkStart w:id="1379" w:name="_Ref4796254"/>
      <w:bookmarkStart w:id="1380" w:name="_Toc54862322"/>
      <w:r>
        <w:rPr>
          <w:rFonts w:hint="eastAsia" w:asciiTheme="minorEastAsia" w:hAnsiTheme="minorEastAsia" w:eastAsiaTheme="minorEastAsia" w:cstheme="minorEastAsia"/>
          <w:b w:val="0"/>
          <w:bCs/>
        </w:rPr>
        <w:t>19.2 承包人索赔的处理程序</w:t>
      </w:r>
      <w:bookmarkEnd w:id="1378"/>
      <w:bookmarkEnd w:id="1379"/>
      <w:bookmarkEnd w:id="1380"/>
    </w:p>
    <w:p w14:paraId="26CE837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工程师收到承包人提交的索赔报告后，应及时审查索赔报告的内容、查验承包人的记录和证明材料，必要时工程师可要求承包人提交全部原始记录副本。</w:t>
      </w:r>
    </w:p>
    <w:p w14:paraId="4C6E68E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工程师应按第3.6款[商定或确定]商定或确定追加的付款和（或）延长的工期，并在收到上述索赔报告或有关索赔的进一步证明材料后及时书面告知发包人，并在42天内，将发包人书面认可的索赔处理结果答复承包人。工程师在收到索赔报告或有关索赔的进一步证明材料后的42天内不予答复的，视为认可索赔。</w:t>
      </w:r>
    </w:p>
    <w:p w14:paraId="19A4143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承包人接受索赔处理结果的，发包人应在作出索赔处理结果答复后28天内完成支付。承包人不接受索赔处理结果的，按照第20条[争议解决]约定处理。</w:t>
      </w:r>
    </w:p>
    <w:p w14:paraId="0E40745A">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81" w:name="_Toc54862323"/>
      <w:r>
        <w:rPr>
          <w:rFonts w:hint="eastAsia" w:asciiTheme="minorEastAsia" w:hAnsiTheme="minorEastAsia" w:eastAsiaTheme="minorEastAsia" w:cstheme="minorEastAsia"/>
          <w:b w:val="0"/>
          <w:bCs/>
        </w:rPr>
        <w:t>19.3 发包人索赔的处理程序</w:t>
      </w:r>
      <w:bookmarkEnd w:id="1381"/>
    </w:p>
    <w:p w14:paraId="69EA143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承包人收到发包人提交的索赔报告后，应及时审查索赔报告的内容、查验发包人证明材料；</w:t>
      </w:r>
    </w:p>
    <w:p w14:paraId="1737B37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承包人应在收到上述索赔报告或有关索赔的进一步证明材料后42天内，将索赔处理结果答复发包人。承包人在收到索赔通知书或有关索赔的进一步证明材料后的42天内不予答复的，视为认可索赔。</w:t>
      </w:r>
    </w:p>
    <w:p w14:paraId="6294900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发包人接受索赔处理结果的，发包人可从应支付给承包人的合同价款中扣除赔付的金额或延长缺陷责任期；发包人不接受索赔处理结果的，按第20条[争议解决]约定处理。</w:t>
      </w:r>
    </w:p>
    <w:p w14:paraId="6A7126DF">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82" w:name="_Toc54862324"/>
      <w:r>
        <w:rPr>
          <w:rFonts w:hint="eastAsia" w:asciiTheme="minorEastAsia" w:hAnsiTheme="minorEastAsia" w:eastAsiaTheme="minorEastAsia" w:cstheme="minorEastAsia"/>
          <w:b w:val="0"/>
          <w:bCs/>
        </w:rPr>
        <w:t>19.4 提出索赔的期限</w:t>
      </w:r>
      <w:bookmarkEnd w:id="1382"/>
    </w:p>
    <w:p w14:paraId="27A5FE4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承包人按第14.5款[竣工结算</w:t>
      </w:r>
      <w:bookmarkStart w:id="1383" w:name="_Ref3826629"/>
      <w:bookmarkStart w:id="1384" w:name="_Ref3826634"/>
      <w:r>
        <w:rPr>
          <w:rFonts w:hint="eastAsia" w:asciiTheme="minorEastAsia" w:hAnsiTheme="minorEastAsia" w:eastAsiaTheme="minorEastAsia" w:cstheme="minorEastAsia"/>
          <w:kern w:val="0"/>
          <w:sz w:val="24"/>
          <w:szCs w:val="24"/>
        </w:rPr>
        <w:t>]约定接收竣工付款证书后，应被认为已无权再提出在合同工程接收证书颁发前所发生的任何索赔。</w:t>
      </w:r>
    </w:p>
    <w:p w14:paraId="155A846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承包人按第14.7款[最终结清]提交的最终结清申请单中，只限于提出工程接收证书颁发后发生的索赔。提出索赔的期限均自接受最终结清证书时终止。</w:t>
      </w:r>
      <w:bookmarkEnd w:id="1383"/>
      <w:bookmarkEnd w:id="1384"/>
    </w:p>
    <w:p w14:paraId="39960BCF">
      <w:pPr>
        <w:pStyle w:val="258"/>
        <w:widowControl/>
        <w:numPr>
          <w:ilvl w:val="0"/>
          <w:numId w:val="0"/>
        </w:numPr>
        <w:wordWrap/>
        <w:topLinePunct w:val="0"/>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385" w:name="_Ref532197861"/>
      <w:bookmarkStart w:id="1386" w:name="_Toc54862325"/>
      <w:bookmarkStart w:id="1387" w:name="_Ref532142075"/>
      <w:r>
        <w:rPr>
          <w:rFonts w:hint="eastAsia" w:asciiTheme="minorEastAsia" w:hAnsiTheme="minorEastAsia" w:eastAsiaTheme="minorEastAsia" w:cstheme="minorEastAsia"/>
          <w:b w:val="0"/>
          <w:bCs/>
          <w:kern w:val="0"/>
          <w:sz w:val="24"/>
          <w:szCs w:val="18"/>
        </w:rPr>
        <w:t>第20条 争议解决</w:t>
      </w:r>
      <w:bookmarkEnd w:id="1385"/>
      <w:bookmarkEnd w:id="1386"/>
      <w:bookmarkEnd w:id="1387"/>
      <w:r>
        <w:rPr>
          <w:rFonts w:hint="eastAsia" w:asciiTheme="minorEastAsia" w:hAnsiTheme="minorEastAsia" w:eastAsiaTheme="minorEastAsia" w:cstheme="minorEastAsia"/>
          <w:b w:val="0"/>
          <w:bCs/>
          <w:kern w:val="0"/>
          <w:sz w:val="24"/>
          <w:szCs w:val="18"/>
        </w:rPr>
        <w:t xml:space="preserve"> </w:t>
      </w:r>
    </w:p>
    <w:p w14:paraId="2014AFDF">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88" w:name="_Ref415507198"/>
      <w:bookmarkStart w:id="1389" w:name="_Toc54862326"/>
      <w:r>
        <w:rPr>
          <w:rFonts w:hint="eastAsia" w:asciiTheme="minorEastAsia" w:hAnsiTheme="minorEastAsia" w:eastAsiaTheme="minorEastAsia" w:cstheme="minorEastAsia"/>
          <w:b w:val="0"/>
          <w:bCs/>
        </w:rPr>
        <w:t>20.1 和解</w:t>
      </w:r>
      <w:bookmarkEnd w:id="1388"/>
      <w:bookmarkEnd w:id="1389"/>
    </w:p>
    <w:p w14:paraId="04D3FC1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合同当事人可以就争议自行和解，自行和解达成协议的经双方签字并盖章后作为合同补充文件，双方均应遵照执行。</w:t>
      </w:r>
    </w:p>
    <w:p w14:paraId="49EF8091">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90" w:name="_Toc54862327"/>
      <w:r>
        <w:rPr>
          <w:rFonts w:hint="eastAsia" w:asciiTheme="minorEastAsia" w:hAnsiTheme="minorEastAsia" w:eastAsiaTheme="minorEastAsia" w:cstheme="minorEastAsia"/>
          <w:b w:val="0"/>
          <w:bCs/>
        </w:rPr>
        <w:t>20.2 调解</w:t>
      </w:r>
      <w:bookmarkEnd w:id="1390"/>
      <w:r>
        <w:rPr>
          <w:rFonts w:hint="eastAsia" w:asciiTheme="minorEastAsia" w:hAnsiTheme="minorEastAsia" w:eastAsiaTheme="minorEastAsia" w:cstheme="minorEastAsia"/>
          <w:b w:val="0"/>
          <w:bCs/>
        </w:rPr>
        <w:t xml:space="preserve"> </w:t>
      </w:r>
    </w:p>
    <w:p w14:paraId="6F950A4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合同当事人可以就争议请求建设行政主管部门、行业协会或其他第三方进行调解，调解达成协议的，经双方签字盖章后作为合同补充文件，双方均应遵照执行。</w:t>
      </w:r>
    </w:p>
    <w:p w14:paraId="600049B1">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91" w:name="_Ref532221532"/>
      <w:bookmarkStart w:id="1392" w:name="_Ref532221527"/>
      <w:bookmarkStart w:id="1393" w:name="_Toc54862328"/>
      <w:r>
        <w:rPr>
          <w:rFonts w:hint="eastAsia" w:asciiTheme="minorEastAsia" w:hAnsiTheme="minorEastAsia" w:eastAsiaTheme="minorEastAsia" w:cstheme="minorEastAsia"/>
          <w:b w:val="0"/>
          <w:bCs/>
        </w:rPr>
        <w:t>20.3 争议评审</w:t>
      </w:r>
      <w:bookmarkEnd w:id="1391"/>
      <w:bookmarkEnd w:id="1392"/>
      <w:bookmarkEnd w:id="1393"/>
    </w:p>
    <w:p w14:paraId="309B379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合同当事人在专用合同条件中约定采取争议评审方式及评审规则解决争议的，按下列约定执行：</w:t>
      </w:r>
    </w:p>
    <w:p w14:paraId="09CB03A3">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20.3.1 争议评审小组的确定</w:t>
      </w:r>
    </w:p>
    <w:p w14:paraId="0308094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可以共同选择一名或三名争议评审员，组成争议评审小组。如专用合同条件未对成员人数进行约定，则应由三名成员组成。除专用合同条件另有约定外，合同当事人应当自合同订立后28天内，或者争议发生后14天内，选定争议评审员。</w:t>
      </w:r>
    </w:p>
    <w:p w14:paraId="2CB5E06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14:paraId="6A98A4C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除专用合同条件另有约定外，争议评审员报酬由发包人和承包人各承担一半。</w:t>
      </w:r>
    </w:p>
    <w:p w14:paraId="08ED4CE8">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394" w:name="_Ref532287270"/>
      <w:r>
        <w:rPr>
          <w:rFonts w:hint="eastAsia" w:asciiTheme="minorEastAsia" w:hAnsiTheme="minorEastAsia" w:eastAsiaTheme="minorEastAsia" w:cstheme="minorEastAsia"/>
          <w:szCs w:val="24"/>
        </w:rPr>
        <w:t>20.3.2 争议的避免</w:t>
      </w:r>
      <w:bookmarkEnd w:id="1394"/>
    </w:p>
    <w:p w14:paraId="392C5D52">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合同当事人协商一致，可以共同书面请求争议评审小组，就合同履行过程中可能出现争议的情况提供协助或进行非正式讨论，争议评审小组应给出公正的意见或建议。</w:t>
      </w:r>
    </w:p>
    <w:p w14:paraId="21C326E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此类协助或非正式讨论可在任何会议、施工现场视察或其他场合进行，并且除专用合同条件另有约定外，发包人和承包人均应出席。</w:t>
      </w:r>
    </w:p>
    <w:p w14:paraId="464C57B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争议评审小组在此类非正式讨论上给出的任何意见或建议，无论是口头还是书面的，对发包人和承包人不具有约束力，争议评审小组在之后的争议评审程序或决定中也不受此类意见或建议的约束。</w:t>
      </w:r>
    </w:p>
    <w:p w14:paraId="76F44B0A">
      <w:pPr>
        <w:pStyle w:val="260"/>
        <w:numPr>
          <w:ilvl w:val="0"/>
          <w:numId w:val="0"/>
        </w:numPr>
        <w:spacing w:line="240" w:lineRule="auto"/>
        <w:outlineLvl w:val="4"/>
        <w:rPr>
          <w:rFonts w:hint="eastAsia" w:asciiTheme="minorEastAsia" w:hAnsiTheme="minorEastAsia" w:eastAsiaTheme="minorEastAsia" w:cstheme="minorEastAsia"/>
          <w:szCs w:val="24"/>
        </w:rPr>
      </w:pPr>
      <w:bookmarkStart w:id="1395" w:name="_Ref4695594"/>
      <w:r>
        <w:rPr>
          <w:rFonts w:hint="eastAsia" w:asciiTheme="minorEastAsia" w:hAnsiTheme="minorEastAsia" w:eastAsiaTheme="minorEastAsia" w:cstheme="minorEastAsia"/>
          <w:szCs w:val="24"/>
        </w:rPr>
        <w:t>20.3.3 争议评审小组的决定</w:t>
      </w:r>
      <w:bookmarkEnd w:id="1395"/>
    </w:p>
    <w:p w14:paraId="274640C6">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或争议评审小组建议并经双方同意的其他期限内作出书面决定，并说明理由。合同当事人可以在专用合同条件中对本项事项另行约定。</w:t>
      </w:r>
    </w:p>
    <w:p w14:paraId="7A2DD229">
      <w:pPr>
        <w:pStyle w:val="260"/>
        <w:numPr>
          <w:ilvl w:val="0"/>
          <w:numId w:val="0"/>
        </w:numPr>
        <w:spacing w:line="240" w:lineRule="auto"/>
        <w:outlineLvl w:val="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20.3.4 争议评审小组决定的效力</w:t>
      </w:r>
    </w:p>
    <w:p w14:paraId="56D226BB">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争议评审小组作出的书面决定经合同当事人签字确认后，对双方具有约束力，双方应遵照执行。</w:t>
      </w:r>
    </w:p>
    <w:p w14:paraId="536EE877">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任何一方当事人不接受争议评审小组决定或不履行争议评审小组决定的，双方可选择采用其他争议解决方式。</w:t>
      </w:r>
    </w:p>
    <w:p w14:paraId="4EEB5186">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任何一方当事人不接受争议评审小组的决定，并不影响暂时执行争议评审小组的决定，直到在后续的采用其他争议解决方式中对争议评审小组的决定进行了改变。</w:t>
      </w:r>
    </w:p>
    <w:p w14:paraId="21A0A7A5">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96" w:name="_Toc54862329"/>
      <w:bookmarkStart w:id="1397" w:name="_Ref532221748"/>
      <w:bookmarkStart w:id="1398" w:name="_Ref532221752"/>
      <w:r>
        <w:rPr>
          <w:rFonts w:hint="eastAsia" w:asciiTheme="minorEastAsia" w:hAnsiTheme="minorEastAsia" w:eastAsiaTheme="minorEastAsia" w:cstheme="minorEastAsia"/>
          <w:b w:val="0"/>
          <w:bCs/>
        </w:rPr>
        <w:t>20.4 仲裁或诉讼</w:t>
      </w:r>
      <w:bookmarkEnd w:id="1396"/>
      <w:bookmarkEnd w:id="1397"/>
      <w:bookmarkEnd w:id="1398"/>
    </w:p>
    <w:p w14:paraId="50C62CF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因合同及合同有关事项产生的争议，合同当事人可以在专用合同条件中约定以下一种方式解决争议：</w:t>
      </w:r>
    </w:p>
    <w:p w14:paraId="76FB01CE">
      <w:pPr>
        <w:pStyle w:val="262"/>
        <w:widowControl/>
        <w:numPr>
          <w:ilvl w:val="0"/>
          <w:numId w:val="0"/>
        </w:numPr>
        <w:spacing w:line="240" w:lineRule="auto"/>
        <w:ind w:left="841"/>
        <w:rPr>
          <w:rFonts w:hint="eastAsia" w:asciiTheme="minorEastAsia" w:hAnsiTheme="minorEastAsia" w:eastAsiaTheme="minorEastAsia" w:cstheme="minorEastAsia"/>
          <w:kern w:val="0"/>
          <w:szCs w:val="24"/>
        </w:rPr>
      </w:pPr>
      <w:r>
        <w:rPr>
          <w:rFonts w:hint="eastAsia" w:asciiTheme="minorEastAsia" w:hAnsiTheme="minorEastAsia" w:eastAsiaTheme="minorEastAsia" w:cstheme="minorEastAsia"/>
          <w:kern w:val="0"/>
          <w:szCs w:val="24"/>
        </w:rPr>
        <w:t>（1） 向约定的仲裁委员会申请仲裁；</w:t>
      </w:r>
    </w:p>
    <w:p w14:paraId="22DD77E2">
      <w:pPr>
        <w:pStyle w:val="262"/>
        <w:widowControl/>
        <w:numPr>
          <w:ilvl w:val="0"/>
          <w:numId w:val="0"/>
        </w:numPr>
        <w:spacing w:line="240" w:lineRule="auto"/>
        <w:ind w:left="841"/>
        <w:rPr>
          <w:rFonts w:hint="eastAsia" w:asciiTheme="minorEastAsia" w:hAnsiTheme="minorEastAsia" w:eastAsiaTheme="minorEastAsia" w:cstheme="minorEastAsia"/>
          <w:kern w:val="0"/>
          <w:szCs w:val="24"/>
        </w:rPr>
      </w:pPr>
      <w:r>
        <w:rPr>
          <w:rFonts w:hint="eastAsia" w:asciiTheme="minorEastAsia" w:hAnsiTheme="minorEastAsia" w:eastAsiaTheme="minorEastAsia" w:cstheme="minorEastAsia"/>
          <w:kern w:val="0"/>
          <w:szCs w:val="24"/>
        </w:rPr>
        <w:t>（2） 向有管辖权的人民法院起诉。</w:t>
      </w:r>
    </w:p>
    <w:p w14:paraId="71F3D7D4">
      <w:pPr>
        <w:pStyle w:val="259"/>
        <w:widowControl/>
        <w:numPr>
          <w:ilvl w:val="0"/>
          <w:numId w:val="0"/>
        </w:numPr>
        <w:spacing w:line="240" w:lineRule="auto"/>
        <w:outlineLvl w:val="3"/>
        <w:rPr>
          <w:rFonts w:hint="eastAsia" w:asciiTheme="minorEastAsia" w:hAnsiTheme="minorEastAsia" w:eastAsiaTheme="minorEastAsia" w:cstheme="minorEastAsia"/>
          <w:b w:val="0"/>
          <w:bCs/>
        </w:rPr>
      </w:pPr>
      <w:bookmarkStart w:id="1399" w:name="_Toc54862330"/>
      <w:r>
        <w:rPr>
          <w:rFonts w:hint="eastAsia" w:asciiTheme="minorEastAsia" w:hAnsiTheme="minorEastAsia" w:eastAsiaTheme="minorEastAsia" w:cstheme="minorEastAsia"/>
          <w:b w:val="0"/>
          <w:bCs/>
        </w:rPr>
        <w:t>20.5 争议解决条款效力</w:t>
      </w:r>
      <w:bookmarkEnd w:id="1399"/>
    </w:p>
    <w:p w14:paraId="629273E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合同有关争议解决的条款独立存在，合同的不生效、无效、被撤销或者终止的，不影响合同中有关争议解决条款的效力。</w:t>
      </w:r>
    </w:p>
    <w:p w14:paraId="51D43B95">
      <w:pPr>
        <w:widowControl/>
        <w:wordWrap/>
        <w:topLinePunct w:val="0"/>
        <w:adjustRightInd w:val="0"/>
        <w:snapToGrid w:val="0"/>
        <w:spacing w:after="120" w:afterLines="50" w:line="240" w:lineRule="auto"/>
        <w:ind w:firstLine="420" w:firstLineChars="200"/>
        <w:rPr>
          <w:rFonts w:hint="eastAsia" w:asciiTheme="minorEastAsia" w:hAnsiTheme="minorEastAsia" w:eastAsiaTheme="minorEastAsia" w:cstheme="minorEastAsia"/>
          <w:kern w:val="0"/>
          <w:sz w:val="21"/>
          <w:szCs w:val="16"/>
        </w:rPr>
      </w:pPr>
      <w:r>
        <w:rPr>
          <w:rFonts w:hint="eastAsia" w:asciiTheme="minorEastAsia" w:hAnsiTheme="minorEastAsia" w:eastAsiaTheme="minorEastAsia" w:cstheme="minorEastAsia"/>
          <w:kern w:val="0"/>
          <w:sz w:val="21"/>
          <w:szCs w:val="16"/>
        </w:rPr>
        <w:br w:type="page"/>
      </w:r>
    </w:p>
    <w:p w14:paraId="654F78C2">
      <w:pPr>
        <w:pStyle w:val="255"/>
        <w:keepNext w:val="0"/>
        <w:keepLines w:val="0"/>
        <w:widowControl/>
        <w:autoSpaceDE/>
        <w:autoSpaceDN/>
        <w:adjustRightInd w:val="0"/>
        <w:snapToGrid w:val="0"/>
        <w:spacing w:before="0" w:after="50" w:line="240" w:lineRule="auto"/>
        <w:outlineLvl w:val="1"/>
        <w:rPr>
          <w:rFonts w:hint="eastAsia" w:asciiTheme="minorEastAsia" w:hAnsiTheme="minorEastAsia" w:eastAsiaTheme="minorEastAsia" w:cstheme="minorEastAsia"/>
        </w:rPr>
      </w:pPr>
      <w:bookmarkStart w:id="1400" w:name="_Toc54862331"/>
      <w:r>
        <w:rPr>
          <w:rFonts w:hint="eastAsia" w:asciiTheme="minorEastAsia" w:hAnsiTheme="minorEastAsia" w:eastAsiaTheme="minorEastAsia" w:cstheme="minorEastAsia"/>
        </w:rPr>
        <w:t>第三部分 专用合同条款</w:t>
      </w:r>
      <w:bookmarkEnd w:id="1400"/>
    </w:p>
    <w:p w14:paraId="08673A69">
      <w:pPr>
        <w:pStyle w:val="263"/>
        <w:widowControl/>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401" w:name="_Toc54862332"/>
      <w:r>
        <w:rPr>
          <w:rFonts w:hint="eastAsia" w:asciiTheme="minorEastAsia" w:hAnsiTheme="minorEastAsia" w:eastAsiaTheme="minorEastAsia" w:cstheme="minorEastAsia"/>
          <w:b w:val="0"/>
          <w:bCs/>
          <w:kern w:val="0"/>
          <w:sz w:val="24"/>
          <w:szCs w:val="18"/>
        </w:rPr>
        <w:t>第1条 一般约定</w:t>
      </w:r>
      <w:bookmarkEnd w:id="1401"/>
    </w:p>
    <w:p w14:paraId="28ED070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 词语定义和解释</w:t>
      </w:r>
    </w:p>
    <w:p w14:paraId="3FFED1E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1.1.1 合同</w:t>
      </w:r>
    </w:p>
    <w:p w14:paraId="4CB7EBF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1.1.1.10 其他合同文件：</w:t>
      </w:r>
      <w:r>
        <w:rPr>
          <w:rFonts w:hint="eastAsia" w:asciiTheme="minorEastAsia" w:hAnsiTheme="minorEastAsia" w:eastAsiaTheme="minorEastAsia" w:cstheme="minorEastAsia"/>
          <w:kern w:val="0"/>
          <w:sz w:val="24"/>
          <w:szCs w:val="24"/>
          <w:u w:val="single"/>
        </w:rPr>
        <w:t xml:space="preserve"> 发承包双方签署的与工程有关的变更、洽商、纪要、信函、备忘录等文件，其解释顺序与其所补充、解释或修改的文件一致。对于同一类合同文件，其签署、颁发的时间在后者具有优先解释顺序。除非合同中另有特别注明，如果合同文件之间出现歧义或矛盾时，质量要求或工艺标准以较高者和要求较严者为准，不受合同解释顺序的限制，签约合同价已包括按照较高或较严者执行的费用 </w:t>
      </w:r>
      <w:r>
        <w:rPr>
          <w:rFonts w:hint="eastAsia" w:asciiTheme="minorEastAsia" w:hAnsiTheme="minorEastAsia" w:eastAsiaTheme="minorEastAsia" w:cstheme="minorEastAsia"/>
          <w:kern w:val="0"/>
          <w:sz w:val="24"/>
          <w:szCs w:val="24"/>
        </w:rPr>
        <w:t>。</w:t>
      </w:r>
    </w:p>
    <w:p w14:paraId="58CBACD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1.1.3 工程和设备</w:t>
      </w:r>
    </w:p>
    <w:p w14:paraId="7772172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1.1.3.5 单位/区段工程的范围：</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76630A9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1.1.3.9 作为施工场所组成部分的其他场所包括：</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597B2F9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1.1.3.10 永久占地包括：</w:t>
      </w:r>
      <w:r>
        <w:rPr>
          <w:rFonts w:hint="eastAsia" w:asciiTheme="minorEastAsia" w:hAnsiTheme="minorEastAsia" w:eastAsiaTheme="minorEastAsia" w:cstheme="minorEastAsia"/>
          <w:kern w:val="0"/>
          <w:sz w:val="24"/>
          <w:szCs w:val="24"/>
          <w:u w:val="single"/>
        </w:rPr>
        <w:t xml:space="preserve"> 本项目政府相关批复文件中约定为实施本合同工程所需的永久占用的土地 </w:t>
      </w:r>
      <w:r>
        <w:rPr>
          <w:rFonts w:hint="eastAsia" w:asciiTheme="minorEastAsia" w:hAnsiTheme="minorEastAsia" w:eastAsiaTheme="minorEastAsia" w:cstheme="minorEastAsia"/>
          <w:kern w:val="0"/>
          <w:sz w:val="24"/>
          <w:szCs w:val="24"/>
        </w:rPr>
        <w:t>。</w:t>
      </w:r>
    </w:p>
    <w:p w14:paraId="7E48B0D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1.1.3.11 临时占地包括：</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159915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1.2 语言文字</w:t>
      </w:r>
    </w:p>
    <w:p w14:paraId="2E072A2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本合同除使用汉语外，还使用</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语言。</w:t>
      </w:r>
    </w:p>
    <w:p w14:paraId="170B03F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 法律</w:t>
      </w:r>
    </w:p>
    <w:p w14:paraId="228132E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适用于合同的其他规范性文件：</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24D7455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 标准和规范</w:t>
      </w:r>
    </w:p>
    <w:p w14:paraId="3D9EB17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1.4.1 适用于本合同的标准、规范（名称）包括：</w:t>
      </w:r>
      <w:r>
        <w:rPr>
          <w:rFonts w:hint="eastAsia" w:asciiTheme="minorEastAsia" w:hAnsiTheme="minorEastAsia" w:eastAsiaTheme="minorEastAsia" w:cstheme="minorEastAsia"/>
          <w:kern w:val="0"/>
          <w:sz w:val="24"/>
          <w:szCs w:val="24"/>
          <w:u w:val="single"/>
        </w:rPr>
        <w:t>现行国家相关标准、规范</w:t>
      </w:r>
      <w:r>
        <w:rPr>
          <w:rFonts w:hint="eastAsia" w:asciiTheme="minorEastAsia" w:hAnsiTheme="minorEastAsia" w:eastAsiaTheme="minorEastAsia" w:cstheme="minorEastAsia"/>
          <w:kern w:val="0"/>
          <w:sz w:val="24"/>
          <w:szCs w:val="24"/>
        </w:rPr>
        <w:t>。</w:t>
      </w:r>
    </w:p>
    <w:p w14:paraId="54D7343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1.4.2 发包人提供的国外标准、规范的名称：</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；发包人提供的国外标准、规范的份数：</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；发包人提供的国外标准、规范的时间：</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86568D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1.4.3 没有成文规范、标准规定的约定：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4FC6A61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1.4.4 发包人对于工程的技术标准、功能要求：</w:t>
      </w:r>
      <w:r>
        <w:rPr>
          <w:rFonts w:hint="eastAsia" w:asciiTheme="minorEastAsia" w:hAnsiTheme="minorEastAsia" w:eastAsiaTheme="minorEastAsia" w:cstheme="minorEastAsia"/>
          <w:kern w:val="0"/>
          <w:sz w:val="24"/>
          <w:szCs w:val="24"/>
          <w:u w:val="single"/>
        </w:rPr>
        <w:t xml:space="preserve"> 详见附件1 </w:t>
      </w:r>
      <w:r>
        <w:rPr>
          <w:rFonts w:hint="eastAsia" w:asciiTheme="minorEastAsia" w:hAnsiTheme="minorEastAsia" w:eastAsiaTheme="minorEastAsia" w:cstheme="minorEastAsia"/>
          <w:kern w:val="0"/>
          <w:sz w:val="24"/>
          <w:szCs w:val="24"/>
        </w:rPr>
        <w:t>。</w:t>
      </w:r>
    </w:p>
    <w:p w14:paraId="573E3BE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 合同文件的优先顺序</w:t>
      </w:r>
    </w:p>
    <w:p w14:paraId="410605D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合同文件组成及优先顺序为：</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68DDE7C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 文件的提供和照管</w:t>
      </w:r>
    </w:p>
    <w:p w14:paraId="190D7AE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1.6.1 发包人文件的提供</w:t>
      </w:r>
    </w:p>
    <w:p w14:paraId="5A3BC97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发包人文件的提供期限、名称、数量和形式：</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801B7F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1.6.2 承包人文件的提供</w:t>
      </w:r>
    </w:p>
    <w:p w14:paraId="7E6293F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承包人文件的内容、提供期限、名称、数量和形式：</w:t>
      </w:r>
      <w:r>
        <w:rPr>
          <w:rFonts w:hint="eastAsia" w:asciiTheme="minorEastAsia" w:hAnsiTheme="minorEastAsia" w:eastAsiaTheme="minorEastAsia" w:cstheme="minorEastAsia"/>
          <w:kern w:val="0"/>
          <w:sz w:val="24"/>
          <w:szCs w:val="24"/>
          <w:u w:val="single"/>
        </w:rPr>
        <w:t>合同签订后15日历天提供此工程范围勘察报告、施工图纸CAD 及 PDF电子版和8套纸版蓝图、施工图预算电子版及纸质盖章版</w:t>
      </w:r>
      <w:r>
        <w:rPr>
          <w:rFonts w:hint="eastAsia" w:asciiTheme="minorEastAsia" w:hAnsiTheme="minorEastAsia" w:eastAsiaTheme="minorEastAsia" w:cstheme="minorEastAsia"/>
          <w:kern w:val="0"/>
          <w:sz w:val="24"/>
          <w:szCs w:val="24"/>
        </w:rPr>
        <w:t>。</w:t>
      </w:r>
    </w:p>
    <w:p w14:paraId="59B40AD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1.6.4 文件的照管</w:t>
      </w:r>
    </w:p>
    <w:p w14:paraId="5841050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关于现场文件准备的约定：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1BDD5AE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1.7 联络</w:t>
      </w:r>
    </w:p>
    <w:p w14:paraId="205C363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1.7.2 发包人指定的送达方式（包括电子传输方式）：</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74A1A7B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发包人的送达地址：</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63FF699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承包人指定的送达方式（包括电子传输方式）： </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42F7950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承包人的送达地址：</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1E63438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1.10 知识产权</w:t>
      </w:r>
    </w:p>
    <w:p w14:paraId="53A4CB3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1.10.1 由发包人（或以发包人名义）编制的《发包人要求》和其他文件的著作权归属：</w:t>
      </w:r>
      <w:r>
        <w:rPr>
          <w:rFonts w:hint="eastAsia" w:asciiTheme="minorEastAsia" w:hAnsiTheme="minorEastAsia" w:eastAsiaTheme="minorEastAsia" w:cstheme="minorEastAsia"/>
          <w:kern w:val="0"/>
          <w:sz w:val="24"/>
          <w:szCs w:val="24"/>
          <w:u w:val="single"/>
        </w:rPr>
        <w:t xml:space="preserve">  发包人 </w:t>
      </w:r>
      <w:r>
        <w:rPr>
          <w:rFonts w:hint="eastAsia" w:asciiTheme="minorEastAsia" w:hAnsiTheme="minorEastAsia" w:eastAsiaTheme="minorEastAsia" w:cstheme="minorEastAsia"/>
          <w:kern w:val="0"/>
          <w:sz w:val="24"/>
          <w:szCs w:val="24"/>
        </w:rPr>
        <w:t>。</w:t>
      </w:r>
    </w:p>
    <w:p w14:paraId="1A58A70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1.10.2 由承包人（或以承包人名义）为实施工程所编制的文件、承包人完成的设计工作成果和建造完成的建筑物的知识产权归属：</w:t>
      </w:r>
      <w:r>
        <w:rPr>
          <w:rFonts w:hint="eastAsia" w:asciiTheme="minorEastAsia" w:hAnsiTheme="minorEastAsia" w:eastAsiaTheme="minorEastAsia" w:cstheme="minorEastAsia"/>
          <w:kern w:val="0"/>
          <w:sz w:val="24"/>
          <w:szCs w:val="24"/>
          <w:u w:val="single"/>
        </w:rPr>
        <w:t xml:space="preserve"> 发包人  </w:t>
      </w:r>
      <w:r>
        <w:rPr>
          <w:rFonts w:hint="eastAsia" w:asciiTheme="minorEastAsia" w:hAnsiTheme="minorEastAsia" w:eastAsiaTheme="minorEastAsia" w:cstheme="minorEastAsia"/>
          <w:kern w:val="0"/>
          <w:sz w:val="24"/>
          <w:szCs w:val="24"/>
        </w:rPr>
        <w:t>。</w:t>
      </w:r>
    </w:p>
    <w:p w14:paraId="38B45B2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1.10.4 承包人在投标文件中采用的专利、专有技术、技术秘密的使用费的承担方式</w:t>
      </w:r>
      <w:r>
        <w:rPr>
          <w:rFonts w:hint="eastAsia" w:asciiTheme="minorEastAsia" w:hAnsiTheme="minorEastAsia" w:eastAsiaTheme="minorEastAsia" w:cstheme="minorEastAsia"/>
          <w:kern w:val="0"/>
          <w:sz w:val="24"/>
          <w:szCs w:val="24"/>
          <w:u w:val="single"/>
        </w:rPr>
        <w:t xml:space="preserve"> 由承包人自行承担，已包含在合同总价中 </w:t>
      </w:r>
      <w:r>
        <w:rPr>
          <w:rFonts w:hint="eastAsia" w:asciiTheme="minorEastAsia" w:hAnsiTheme="minorEastAsia" w:eastAsiaTheme="minorEastAsia" w:cstheme="minorEastAsia"/>
          <w:kern w:val="0"/>
          <w:sz w:val="24"/>
          <w:szCs w:val="24"/>
        </w:rPr>
        <w:t>。</w:t>
      </w:r>
    </w:p>
    <w:p w14:paraId="021C845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1.11 保密</w:t>
      </w:r>
    </w:p>
    <w:p w14:paraId="281C212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双方订立的商业保密协议（名称）：</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，作为本合同附件。</w:t>
      </w:r>
    </w:p>
    <w:p w14:paraId="5243B1A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双方订立的技术保密协议（名称）：</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，作为本合同附件。</w:t>
      </w:r>
    </w:p>
    <w:p w14:paraId="53220DF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1.13 责任限制</w:t>
      </w:r>
    </w:p>
    <w:p w14:paraId="698C63C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承包人对发包人赔偿责任的最高限额为</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23BB519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1.14 建筑信息模型技术的应用</w:t>
      </w:r>
    </w:p>
    <w:p w14:paraId="1F38FDB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关于建筑信息模型技术的开发、使用、存储、传输、交付及费用约定如下：</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572F550B">
      <w:pPr>
        <w:pStyle w:val="263"/>
        <w:widowControl/>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402" w:name="_Toc54862333"/>
      <w:r>
        <w:rPr>
          <w:rFonts w:hint="eastAsia" w:asciiTheme="minorEastAsia" w:hAnsiTheme="minorEastAsia" w:eastAsiaTheme="minorEastAsia" w:cstheme="minorEastAsia"/>
          <w:b w:val="0"/>
          <w:bCs/>
          <w:kern w:val="0"/>
          <w:sz w:val="24"/>
          <w:szCs w:val="18"/>
        </w:rPr>
        <w:t>第2条 发包人</w:t>
      </w:r>
      <w:bookmarkEnd w:id="1402"/>
    </w:p>
    <w:p w14:paraId="0AD7B9A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2.2 提供施工现场和工作条件</w:t>
      </w:r>
    </w:p>
    <w:p w14:paraId="6787870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2.2.1 提供施工现场</w:t>
      </w:r>
    </w:p>
    <w:p w14:paraId="0AF919E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关于发包人提供施工现场的范围和期限：</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101460E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2.2.2 提供工作条件</w:t>
      </w:r>
    </w:p>
    <w:p w14:paraId="618E76A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关于发包人应负责提供的工作条件包括：</w:t>
      </w:r>
      <w:r>
        <w:rPr>
          <w:rFonts w:hint="eastAsia" w:asciiTheme="minorEastAsia" w:hAnsiTheme="minorEastAsia" w:eastAsiaTheme="minorEastAsia" w:cstheme="minorEastAsia"/>
          <w:kern w:val="0"/>
          <w:sz w:val="24"/>
          <w:szCs w:val="24"/>
          <w:u w:val="single"/>
        </w:rPr>
        <w:t xml:space="preserve"> 按通用条款执行</w:t>
      </w:r>
      <w:r>
        <w:rPr>
          <w:rFonts w:hint="eastAsia" w:asciiTheme="minorEastAsia" w:hAnsiTheme="minorEastAsia" w:eastAsiaTheme="minorEastAsia" w:cstheme="minorEastAsia"/>
          <w:kern w:val="0"/>
          <w:sz w:val="24"/>
          <w:szCs w:val="24"/>
        </w:rPr>
        <w:t>。</w:t>
      </w:r>
    </w:p>
    <w:p w14:paraId="3389D5B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2.3 提供基础资料</w:t>
      </w:r>
    </w:p>
    <w:p w14:paraId="1C3FE99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关于发包人应提供的基础资料的范围和期限：</w:t>
      </w:r>
      <w:r>
        <w:rPr>
          <w:rFonts w:hint="eastAsia" w:asciiTheme="minorEastAsia" w:hAnsiTheme="minorEastAsia" w:eastAsiaTheme="minorEastAsia" w:cstheme="minorEastAsia"/>
          <w:kern w:val="0"/>
          <w:sz w:val="24"/>
          <w:szCs w:val="24"/>
          <w:u w:val="single"/>
        </w:rPr>
        <w:t xml:space="preserve"> 前期工作相关文件、地下管线资料，合同签订后7日历天内 </w:t>
      </w:r>
      <w:r>
        <w:rPr>
          <w:rFonts w:hint="eastAsia" w:asciiTheme="minorEastAsia" w:hAnsiTheme="minorEastAsia" w:eastAsiaTheme="minorEastAsia" w:cstheme="minorEastAsia"/>
          <w:kern w:val="0"/>
          <w:sz w:val="24"/>
          <w:szCs w:val="24"/>
        </w:rPr>
        <w:t>。</w:t>
      </w:r>
    </w:p>
    <w:p w14:paraId="5EE05AE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2.5 支付合同价款</w:t>
      </w:r>
    </w:p>
    <w:p w14:paraId="582EB08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2.5.2 发包人提供资金来源证明及资金安排的期限要求：</w:t>
      </w:r>
      <w:r>
        <w:rPr>
          <w:rFonts w:hint="eastAsia" w:asciiTheme="minorEastAsia" w:hAnsiTheme="minorEastAsia" w:eastAsiaTheme="minorEastAsia" w:cstheme="minorEastAsia"/>
          <w:kern w:val="0"/>
          <w:sz w:val="24"/>
          <w:szCs w:val="24"/>
          <w:u w:val="single"/>
        </w:rPr>
        <w:t xml:space="preserve"> 合同签订后7日历天内 </w:t>
      </w:r>
      <w:r>
        <w:rPr>
          <w:rFonts w:hint="eastAsia" w:asciiTheme="minorEastAsia" w:hAnsiTheme="minorEastAsia" w:eastAsiaTheme="minorEastAsia" w:cstheme="minorEastAsia"/>
          <w:kern w:val="0"/>
          <w:sz w:val="24"/>
          <w:szCs w:val="24"/>
        </w:rPr>
        <w:t>。</w:t>
      </w:r>
    </w:p>
    <w:p w14:paraId="0BB96A4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2.5.3 发包人提供支付担保的形式、期限、金额（或比例）：</w:t>
      </w:r>
      <w:r>
        <w:rPr>
          <w:rFonts w:hint="eastAsia" w:asciiTheme="minorEastAsia" w:hAnsiTheme="minorEastAsia" w:eastAsiaTheme="minorEastAsia" w:cstheme="minorEastAsia"/>
          <w:kern w:val="0"/>
          <w:sz w:val="24"/>
          <w:szCs w:val="24"/>
          <w:u w:val="single"/>
        </w:rPr>
        <w:t xml:space="preserve">  本项目不提供支付担保 </w:t>
      </w:r>
      <w:r>
        <w:rPr>
          <w:rFonts w:hint="eastAsia" w:asciiTheme="minorEastAsia" w:hAnsiTheme="minorEastAsia" w:eastAsiaTheme="minorEastAsia" w:cstheme="minorEastAsia"/>
          <w:kern w:val="0"/>
          <w:sz w:val="24"/>
          <w:szCs w:val="24"/>
        </w:rPr>
        <w:t>。</w:t>
      </w:r>
    </w:p>
    <w:p w14:paraId="1911EC0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2.7 其他义务</w:t>
      </w:r>
    </w:p>
    <w:p w14:paraId="2EDD76A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发包人应履行的其他义务：</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410AD7BB">
      <w:pPr>
        <w:pStyle w:val="263"/>
        <w:widowControl/>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403" w:name="_Toc54862334"/>
      <w:r>
        <w:rPr>
          <w:rFonts w:hint="eastAsia" w:asciiTheme="minorEastAsia" w:hAnsiTheme="minorEastAsia" w:eastAsiaTheme="minorEastAsia" w:cstheme="minorEastAsia"/>
          <w:b w:val="0"/>
          <w:bCs/>
          <w:kern w:val="0"/>
          <w:sz w:val="24"/>
          <w:szCs w:val="18"/>
        </w:rPr>
        <w:t>第3条 发包人的管理</w:t>
      </w:r>
      <w:bookmarkEnd w:id="1403"/>
    </w:p>
    <w:p w14:paraId="647984A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3.1 发包人代表</w:t>
      </w:r>
    </w:p>
    <w:p w14:paraId="12DB452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发包人代表的姓名：</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73A251A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发包人代表的身份证号：</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6FAC782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发包人代表的职务：</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436D578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发包人代表的联系电话：</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52A24DB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发包人代表的电子邮箱：</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7968C65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发包人代表的通信地址：</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4998E69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发包人对发包人代表的授权范围如下：</w:t>
      </w:r>
      <w:r>
        <w:rPr>
          <w:rFonts w:hint="eastAsia" w:asciiTheme="minorEastAsia" w:hAnsiTheme="minorEastAsia" w:eastAsiaTheme="minorEastAsia" w:cstheme="minorEastAsia"/>
          <w:kern w:val="0"/>
          <w:sz w:val="24"/>
          <w:szCs w:val="24"/>
          <w:u w:val="single"/>
        </w:rPr>
        <w:t xml:space="preserve"> 公交375场站优化提升改造项目——北京北站落客区建设工程总承包所含工作内容 </w:t>
      </w:r>
      <w:r>
        <w:rPr>
          <w:rFonts w:hint="eastAsia" w:asciiTheme="minorEastAsia" w:hAnsiTheme="minorEastAsia" w:eastAsiaTheme="minorEastAsia" w:cstheme="minorEastAsia"/>
          <w:kern w:val="0"/>
          <w:sz w:val="24"/>
          <w:szCs w:val="24"/>
        </w:rPr>
        <w:t>；</w:t>
      </w:r>
    </w:p>
    <w:p w14:paraId="0F7568B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发包人代表的职责：</w:t>
      </w:r>
      <w:r>
        <w:rPr>
          <w:rFonts w:hint="eastAsia" w:asciiTheme="minorEastAsia" w:hAnsiTheme="minorEastAsia" w:eastAsiaTheme="minorEastAsia" w:cstheme="minorEastAsia"/>
          <w:kern w:val="0"/>
          <w:sz w:val="24"/>
          <w:szCs w:val="24"/>
          <w:u w:val="single"/>
        </w:rPr>
        <w:t xml:space="preserve"> 除发包人代表以外，任何个人都无权签认可能涉及合同价格调整、工期调整、工程量调整的变更文件。任何涉及造价、工期、工程量内容的变更单、变更报告、洽商文件、备忘录、通知等，如果没有发包人代表或其书面委托的有相应权利的发包人代表签署，对发包人均不具有约束力 </w:t>
      </w:r>
      <w:r>
        <w:rPr>
          <w:rFonts w:hint="eastAsia" w:asciiTheme="minorEastAsia" w:hAnsiTheme="minorEastAsia" w:eastAsiaTheme="minorEastAsia" w:cstheme="minorEastAsia"/>
          <w:kern w:val="0"/>
          <w:sz w:val="24"/>
          <w:szCs w:val="24"/>
        </w:rPr>
        <w:t>。</w:t>
      </w:r>
    </w:p>
    <w:p w14:paraId="557F45D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3.2 发包人人员</w:t>
      </w:r>
    </w:p>
    <w:p w14:paraId="6C84846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发包人人员姓名：</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23B71F2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发包人人员职务：</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791917E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发包人人员职责：</w:t>
      </w:r>
      <w:r>
        <w:rPr>
          <w:rFonts w:hint="eastAsia" w:asciiTheme="minorEastAsia" w:hAnsiTheme="minorEastAsia" w:eastAsiaTheme="minorEastAsia" w:cstheme="minorEastAsia"/>
          <w:kern w:val="0"/>
          <w:sz w:val="24"/>
          <w:szCs w:val="24"/>
          <w:u w:val="single"/>
        </w:rPr>
        <w:t xml:space="preserve"> 对项目施工质量、监理、造价咨询等工作进行监督、协调 </w:t>
      </w:r>
      <w:r>
        <w:rPr>
          <w:rFonts w:hint="eastAsia" w:asciiTheme="minorEastAsia" w:hAnsiTheme="minorEastAsia" w:eastAsiaTheme="minorEastAsia" w:cstheme="minorEastAsia"/>
          <w:kern w:val="0"/>
          <w:sz w:val="24"/>
          <w:szCs w:val="24"/>
        </w:rPr>
        <w:t>。</w:t>
      </w:r>
    </w:p>
    <w:p w14:paraId="582F1C8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3.3 工程师</w:t>
      </w:r>
    </w:p>
    <w:p w14:paraId="5D431C7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3.3.1 工程师名称：</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；工程师监督管理范围、内容：</w:t>
      </w:r>
      <w:r>
        <w:rPr>
          <w:rFonts w:hint="eastAsia" w:asciiTheme="minorEastAsia" w:hAnsiTheme="minorEastAsia" w:eastAsiaTheme="minorEastAsia" w:cstheme="minorEastAsia"/>
          <w:kern w:val="0"/>
          <w:sz w:val="24"/>
          <w:szCs w:val="24"/>
          <w:u w:val="single"/>
        </w:rPr>
        <w:t xml:space="preserve">  本项目所含工作范围  </w:t>
      </w:r>
      <w:r>
        <w:rPr>
          <w:rFonts w:hint="eastAsia" w:asciiTheme="minorEastAsia" w:hAnsiTheme="minorEastAsia" w:eastAsiaTheme="minorEastAsia" w:cstheme="minorEastAsia"/>
          <w:kern w:val="0"/>
          <w:sz w:val="24"/>
          <w:szCs w:val="24"/>
        </w:rPr>
        <w:t>；工程师权限：</w:t>
      </w:r>
      <w:r>
        <w:rPr>
          <w:rFonts w:hint="eastAsia" w:asciiTheme="minorEastAsia" w:hAnsiTheme="minorEastAsia" w:eastAsiaTheme="minorEastAsia" w:cstheme="minorEastAsia"/>
          <w:kern w:val="0"/>
          <w:sz w:val="24"/>
          <w:szCs w:val="24"/>
          <w:u w:val="single"/>
        </w:rPr>
        <w:t xml:space="preserve"> 所有由工程师发出的书面通知、指示、同意、批准、证书、决定及其他通讯联络，只要与本工程的合同价格、款项支付、计量、计价、工期延长等有关，须事先经过发包人的审核与批准，并有发包人代表或其合法授权人的签字，方可成为双方有合同约束力的文件 </w:t>
      </w:r>
      <w:r>
        <w:rPr>
          <w:rFonts w:hint="eastAsia" w:asciiTheme="minorEastAsia" w:hAnsiTheme="minorEastAsia" w:eastAsiaTheme="minorEastAsia" w:cstheme="minorEastAsia"/>
          <w:kern w:val="0"/>
          <w:sz w:val="24"/>
          <w:szCs w:val="24"/>
        </w:rPr>
        <w:t>。</w:t>
      </w:r>
    </w:p>
    <w:p w14:paraId="0DD77B1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3.6 商定或确定</w:t>
      </w:r>
    </w:p>
    <w:p w14:paraId="78BEFF0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3.6.2 关于商定时间限制的具体约定：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34E2D5A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3.6.3 关于商定或确定效力的具体约定：</w:t>
      </w:r>
      <w:r>
        <w:rPr>
          <w:rFonts w:hint="eastAsia" w:asciiTheme="minorEastAsia" w:hAnsiTheme="minorEastAsia" w:eastAsiaTheme="minorEastAsia" w:cstheme="minorEastAsia"/>
          <w:kern w:val="0"/>
          <w:sz w:val="24"/>
          <w:szCs w:val="24"/>
          <w:u w:val="single"/>
        </w:rPr>
        <w:t xml:space="preserve"> 按通用条款执行</w:t>
      </w:r>
      <w:r>
        <w:rPr>
          <w:rFonts w:hint="eastAsia" w:asciiTheme="minorEastAsia" w:hAnsiTheme="minorEastAsia" w:eastAsiaTheme="minorEastAsia" w:cstheme="minorEastAsia"/>
          <w:kern w:val="0"/>
          <w:sz w:val="24"/>
          <w:szCs w:val="24"/>
        </w:rPr>
        <w:t>；关于对工程师的确定提出异议的具体约定：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33CF199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3.7 会议</w:t>
      </w:r>
    </w:p>
    <w:p w14:paraId="522E852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3.7.1 关于召开会议的具体约定：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67F9108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3.7.2 关于保存和提供会议纪要的具体约定：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6B7F6CFD">
      <w:pPr>
        <w:pStyle w:val="263"/>
        <w:widowControl/>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404" w:name="_Toc54862335"/>
      <w:r>
        <w:rPr>
          <w:rFonts w:hint="eastAsia" w:asciiTheme="minorEastAsia" w:hAnsiTheme="minorEastAsia" w:eastAsiaTheme="minorEastAsia" w:cstheme="minorEastAsia"/>
          <w:b w:val="0"/>
          <w:bCs/>
          <w:kern w:val="0"/>
          <w:sz w:val="24"/>
          <w:szCs w:val="18"/>
        </w:rPr>
        <w:t>第4条 承包人</w:t>
      </w:r>
      <w:bookmarkEnd w:id="1404"/>
    </w:p>
    <w:p w14:paraId="493F0D5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4.1 承包人的一般义务</w:t>
      </w:r>
    </w:p>
    <w:p w14:paraId="5E75FD6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承包人应履行的其他义务：</w:t>
      </w:r>
    </w:p>
    <w:p w14:paraId="615E395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（1）工程所用的材料、设备的安置、存放由承包人负责。如承包人需另行租赁场地存放材料、设备，因此发生的租赁地费用、材料设备转运、转送费用由承包人自行承担。</w:t>
      </w:r>
    </w:p>
    <w:p w14:paraId="06D5C78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（2）承包人负责渣土消纳相关的手续。</w:t>
      </w:r>
    </w:p>
    <w:p w14:paraId="5D06F1E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（3）承包人必须使用符合要求的非道路移动机械。</w:t>
      </w:r>
    </w:p>
    <w:p w14:paraId="2CFA84D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（4）承包人要做好消防、公安、住建委、城管、交通、环卫、防疫等政府部门的协调工作。</w:t>
      </w:r>
    </w:p>
    <w:p w14:paraId="6AD7A1A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5）承包人应最大限度地减少对周边毗邻地区和公共区域的干扰，应全面了解现场情况，施工期间可能发生的扰民及民扰；并采取相应的措施，由此发生的费用包括在合同总价中。承包人保证发包人不会承担任何与施工扰民或民扰有关的费用，且不会遭受任何与施工扰民或民扰有关的费用和延长工期索赔。</w:t>
      </w:r>
    </w:p>
    <w:p w14:paraId="1F663F6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（6）承包人负责本工程施工现场的清洁卫生，按照建设行政主管部门和相关部门的规定执行，所需费用由承包方承担。</w:t>
      </w:r>
    </w:p>
    <w:p w14:paraId="75FB9EE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u w:val="single"/>
        </w:rPr>
        <w:t>（7）承包人现场使用的劳动防护用品（安全帽、安全网、安全带、电箱、漏电保护品等）应符合国家及当地政府的相关规定，须严格按发包人要求执行，否则发包人有权停止不符合要求的产品在工地使用</w:t>
      </w:r>
      <w:r>
        <w:rPr>
          <w:rFonts w:hint="eastAsia" w:asciiTheme="minorEastAsia" w:hAnsiTheme="minorEastAsia" w:eastAsiaTheme="minorEastAsia" w:cstheme="minorEastAsia"/>
          <w:kern w:val="0"/>
          <w:sz w:val="24"/>
          <w:szCs w:val="24"/>
        </w:rPr>
        <w:t>。</w:t>
      </w:r>
    </w:p>
    <w:p w14:paraId="12A8843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8）若发包人认为承包人自施范围内所提供材料不能满足工程需要，发包人有权要求承包人进行更换，承包人应在收到发包人书面通知后5天内完成更换，并保证工程的延续性，否则承包人应承担违约责任。施工使用的所有材料均为合格产品，且三证齐全，发包人推荐品牌，无论如何，承包人应对材料供应商的选择承担全部责任。 </w:t>
      </w:r>
    </w:p>
    <w:p w14:paraId="6D448FD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9）承包人需满足发包人提出的节点工期要求，在工程设计、采购、施工中拖延工期，工程师认为工程进度过慢，无法确保工程按规定的时间完成时，工程师向承包人发出要求加快进度的通知，承包人须立即采取必要措施，加快工程进度，确保工程按期完成，承包人无权因采取此种措施而获得任何经济补偿和工期补偿。 </w:t>
      </w:r>
    </w:p>
    <w:p w14:paraId="7B196F8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10）承包人的管理班子必须稳定，未经发包人允许，承包人项目经理不得擅自更换，否则视为违约。发包人有权要求承包人更换发包人不满意的项目经理和项目管理人员，承包人在接到通知后2天内向发包人提交拟更换人员名单，该更换人员在发包人同意后可接替前任进行工作。 </w:t>
      </w:r>
    </w:p>
    <w:p w14:paraId="0D2C349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（11）发包人支付给承包人的工程款，承包人应专用于本工程，保证专款专用，并保证设备款、农民工工资支付及时有效，确保不因工资支付问题造成群体性事件，不影响工程实施及项目撤场。 </w:t>
      </w:r>
    </w:p>
    <w:p w14:paraId="33B6D6A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12）承包人应通过有效的技术手段和管理措施，将施工产生的扬尘控制在国家相关部门规定的指标范围内。确保工地沙土覆盖、工地路面硬化、出工地车辆冲洗车轮、工地洒水压尘、垃圾分类密闭存放，保证渣土运输车辆符合相关规定要求；承包人应在施工期间加强环保意识、保持工地清洁、控制扬尘、杜绝漏洒材料，确保施工现场及周围无扬尘污染，相关费用含在投标报价措施费中。 </w:t>
      </w:r>
    </w:p>
    <w:p w14:paraId="3C3B46A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（13）承包人施工现场临时设施的建设标准，应符合北京市相关主管部门关于安全文明施工相关技术标准和安全文明施工费的达标工地要求。 </w:t>
      </w:r>
    </w:p>
    <w:p w14:paraId="00816DB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14）承包人应按建设行政管理部门和相关部门的要求，自费承担施工安全保卫及施工照明工作；提供临时设施（含警卫）和相应设施（如护板、围栏、标志等须按照北京市安全防护标准实施），以保护公共安全，并提供方便。如因承包人原因未履行条款中约定义务造成工程财产损失，由承包人承担责任和损失。 </w:t>
      </w:r>
    </w:p>
    <w:p w14:paraId="217DCBB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（15）承包人进场的施工机械设备必须经检查验收合格，并经工程师签字确认后方可使用；承包人使用的施工机械和运输车辆司机、焊工、电工等必须持有效证件上岗。 </w:t>
      </w:r>
    </w:p>
    <w:p w14:paraId="409B6C6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（16）承包人应在施工现场按规定设置各项安全防护设施和警示标志并符合规范要求。施工现场周边安全防护、临时用电设施需严格按照《北京市建设工程施工现场标准化图集》执行。 </w:t>
      </w:r>
    </w:p>
    <w:p w14:paraId="71D0B11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（17）承包人应在施工现场重点部位按要求配备合格有效的消防器材，并严格管理动火作业。承包人设置的办公、住宿设施必须符合消防安全标准要求，并确保安全用电和防火措施到位。 </w:t>
      </w:r>
    </w:p>
    <w:p w14:paraId="061D7D6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（18）施工阶段，承包人项目经理需保证一周在现场办公时间不得少于5天，如未能按发包人要求驻场的，视为承包人违约，并承担相应违约责任，按照相应违约条款处罚。 </w:t>
      </w:r>
    </w:p>
    <w:p w14:paraId="0F9B3E4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4.2 履约担保</w:t>
      </w:r>
    </w:p>
    <w:p w14:paraId="1EABA39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承包人是否提供履约担保：</w:t>
      </w:r>
      <w:r>
        <w:rPr>
          <w:rFonts w:hint="eastAsia" w:asciiTheme="minorEastAsia" w:hAnsiTheme="minorEastAsia" w:eastAsiaTheme="minorEastAsia" w:cstheme="minorEastAsia"/>
          <w:kern w:val="0"/>
          <w:sz w:val="24"/>
          <w:szCs w:val="24"/>
          <w:u w:val="single"/>
        </w:rPr>
        <w:t xml:space="preserve">            否            </w:t>
      </w:r>
      <w:r>
        <w:rPr>
          <w:rFonts w:hint="eastAsia" w:asciiTheme="minorEastAsia" w:hAnsiTheme="minorEastAsia" w:eastAsiaTheme="minorEastAsia" w:cstheme="minorEastAsia"/>
          <w:kern w:val="0"/>
          <w:sz w:val="24"/>
          <w:szCs w:val="24"/>
        </w:rPr>
        <w:t>。</w:t>
      </w:r>
    </w:p>
    <w:p w14:paraId="3320683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履约担保的方式、金额及期限:</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56A1FA0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4.3 工程总承包项目经理</w:t>
      </w:r>
    </w:p>
    <w:p w14:paraId="6A76965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4.3.1 工程总承包项目经理姓名：</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76C1C66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执业资格或职称类型：</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10E4A60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执业资格证或职称证号码：</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22132E2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联系电话：</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658C596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电子邮箱：</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3BB7BB1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通信地址：</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4716C41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承包人未提交劳动合同，以及没有为工程总承包项目经理缴纳社会保险证明的违约责任：</w:t>
      </w:r>
      <w:r>
        <w:rPr>
          <w:rFonts w:hint="eastAsia" w:asciiTheme="minorEastAsia" w:hAnsiTheme="minorEastAsia" w:eastAsiaTheme="minorEastAsia" w:cstheme="minorEastAsia"/>
          <w:kern w:val="0"/>
          <w:sz w:val="24"/>
          <w:szCs w:val="24"/>
          <w:u w:val="single"/>
        </w:rPr>
        <w:t xml:space="preserve"> 该项目经理将不被发包人认可，承包人应当 2 日内按照合同约定更换项目经理，并取得发包人认可 </w:t>
      </w:r>
      <w:r>
        <w:rPr>
          <w:rFonts w:hint="eastAsia" w:asciiTheme="minorEastAsia" w:hAnsiTheme="minorEastAsia" w:eastAsiaTheme="minorEastAsia" w:cstheme="minorEastAsia"/>
          <w:kern w:val="0"/>
          <w:sz w:val="24"/>
          <w:szCs w:val="24"/>
        </w:rPr>
        <w:t>。</w:t>
      </w:r>
    </w:p>
    <w:p w14:paraId="32BA778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4.3.2 工程总承包项目经理每月在现场的时间要求：</w:t>
      </w:r>
      <w:r>
        <w:rPr>
          <w:rFonts w:hint="eastAsia" w:asciiTheme="minorEastAsia" w:hAnsiTheme="minorEastAsia" w:eastAsiaTheme="minorEastAsia" w:cstheme="minorEastAsia"/>
          <w:kern w:val="0"/>
          <w:sz w:val="24"/>
          <w:szCs w:val="24"/>
          <w:u w:val="single"/>
        </w:rPr>
        <w:t xml:space="preserve">  每月不少于 22 个工作日  </w:t>
      </w:r>
      <w:r>
        <w:rPr>
          <w:rFonts w:hint="eastAsia" w:asciiTheme="minorEastAsia" w:hAnsiTheme="minorEastAsia" w:eastAsiaTheme="minorEastAsia" w:cstheme="minorEastAsia"/>
          <w:kern w:val="0"/>
          <w:sz w:val="24"/>
          <w:szCs w:val="24"/>
        </w:rPr>
        <w:t>。</w:t>
      </w:r>
    </w:p>
    <w:p w14:paraId="7208886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工程总承包项目经理未经批准擅自离开施工现场的违约责任：</w:t>
      </w:r>
      <w:r>
        <w:rPr>
          <w:rFonts w:hint="eastAsia" w:asciiTheme="minorEastAsia" w:hAnsiTheme="minorEastAsia" w:eastAsiaTheme="minorEastAsia" w:cstheme="minorEastAsia"/>
          <w:kern w:val="0"/>
          <w:sz w:val="24"/>
          <w:szCs w:val="24"/>
          <w:u w:val="single"/>
        </w:rPr>
        <w:t xml:space="preserve"> ：项目经理未经批准擅自离开施工现场连续超过3天的，承包人每次承担 2 万元的违约金 </w:t>
      </w:r>
      <w:r>
        <w:rPr>
          <w:rFonts w:hint="eastAsia" w:asciiTheme="minorEastAsia" w:hAnsiTheme="minorEastAsia" w:eastAsiaTheme="minorEastAsia" w:cstheme="minorEastAsia"/>
          <w:kern w:val="0"/>
          <w:sz w:val="24"/>
          <w:szCs w:val="24"/>
        </w:rPr>
        <w:t>。</w:t>
      </w:r>
    </w:p>
    <w:p w14:paraId="1D100FC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4.3.3 承包人对工程总承包项目经理的授权范围:</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53D3D53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4.3.4 承包人擅自更换工程总承包项目经理的违约责任：</w:t>
      </w:r>
      <w:r>
        <w:rPr>
          <w:rFonts w:hint="eastAsia" w:asciiTheme="minorEastAsia" w:hAnsiTheme="minorEastAsia" w:eastAsiaTheme="minorEastAsia" w:cstheme="minorEastAsia"/>
          <w:kern w:val="0"/>
          <w:sz w:val="24"/>
          <w:szCs w:val="24"/>
          <w:u w:val="single"/>
        </w:rPr>
        <w:t xml:space="preserve">    每更换一次承担10万元的违约金</w:t>
      </w:r>
      <w:r>
        <w:rPr>
          <w:rFonts w:hint="eastAsia" w:asciiTheme="minorEastAsia" w:hAnsiTheme="minorEastAsia" w:eastAsiaTheme="minorEastAsia" w:cstheme="minorEastAsia"/>
          <w:kern w:val="0"/>
          <w:sz w:val="24"/>
          <w:szCs w:val="24"/>
        </w:rPr>
        <w:t>。</w:t>
      </w:r>
    </w:p>
    <w:p w14:paraId="0F0F1A0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4.3.5 承包人无正当理由拒绝更换工程总承包项目经理的违约责任:</w:t>
      </w:r>
      <w:r>
        <w:rPr>
          <w:rFonts w:hint="eastAsia" w:asciiTheme="minorEastAsia" w:hAnsiTheme="minorEastAsia" w:eastAsiaTheme="minorEastAsia" w:cstheme="minorEastAsia"/>
          <w:kern w:val="0"/>
          <w:sz w:val="24"/>
          <w:szCs w:val="24"/>
          <w:u w:val="single"/>
        </w:rPr>
        <w:t xml:space="preserve"> 每次承担10万元的违约金 </w:t>
      </w:r>
      <w:r>
        <w:rPr>
          <w:rFonts w:hint="eastAsia" w:asciiTheme="minorEastAsia" w:hAnsiTheme="minorEastAsia" w:eastAsiaTheme="minorEastAsia" w:cstheme="minorEastAsia"/>
          <w:kern w:val="0"/>
          <w:sz w:val="24"/>
          <w:szCs w:val="24"/>
        </w:rPr>
        <w:t>。</w:t>
      </w:r>
    </w:p>
    <w:p w14:paraId="5503BAB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4.4 承包人人员</w:t>
      </w:r>
    </w:p>
    <w:p w14:paraId="0F2F771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4.4.1 人员安排</w:t>
      </w:r>
    </w:p>
    <w:p w14:paraId="7822611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承包人提交项目管理机构及施工现场人员安排的报告的期限：</w:t>
      </w:r>
      <w:r>
        <w:rPr>
          <w:rFonts w:hint="eastAsia" w:asciiTheme="minorEastAsia" w:hAnsiTheme="minorEastAsia" w:eastAsiaTheme="minorEastAsia" w:cstheme="minorEastAsia"/>
          <w:kern w:val="0"/>
          <w:sz w:val="24"/>
          <w:szCs w:val="24"/>
          <w:u w:val="single"/>
        </w:rPr>
        <w:t xml:space="preserve">  人员入场前7天  </w:t>
      </w:r>
      <w:r>
        <w:rPr>
          <w:rFonts w:hint="eastAsia" w:asciiTheme="minorEastAsia" w:hAnsiTheme="minorEastAsia" w:eastAsiaTheme="minorEastAsia" w:cstheme="minorEastAsia"/>
          <w:kern w:val="0"/>
          <w:sz w:val="24"/>
          <w:szCs w:val="24"/>
        </w:rPr>
        <w:t>。</w:t>
      </w:r>
    </w:p>
    <w:p w14:paraId="6F9B6CB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承包人提交关键人员信息及注册执业资格等证明其具备担任关键人员能力的相关文件的期限：</w:t>
      </w:r>
      <w:r>
        <w:rPr>
          <w:rFonts w:hint="eastAsia" w:asciiTheme="minorEastAsia" w:hAnsiTheme="minorEastAsia" w:eastAsiaTheme="minorEastAsia" w:cstheme="minorEastAsia"/>
          <w:kern w:val="0"/>
          <w:sz w:val="24"/>
          <w:szCs w:val="24"/>
          <w:u w:val="single"/>
        </w:rPr>
        <w:t xml:space="preserve"> 人员入场前7天 </w:t>
      </w:r>
      <w:r>
        <w:rPr>
          <w:rFonts w:hint="eastAsia" w:asciiTheme="minorEastAsia" w:hAnsiTheme="minorEastAsia" w:eastAsiaTheme="minorEastAsia" w:cstheme="minorEastAsia"/>
          <w:kern w:val="0"/>
          <w:sz w:val="24"/>
          <w:szCs w:val="24"/>
        </w:rPr>
        <w:t>。</w:t>
      </w:r>
    </w:p>
    <w:p w14:paraId="28E8602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4.4.2 关键人员更换</w:t>
      </w:r>
    </w:p>
    <w:p w14:paraId="7F9F78E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承包人擅自更换关键人员的违约责任：</w:t>
      </w:r>
      <w:r>
        <w:rPr>
          <w:rFonts w:hint="eastAsia" w:asciiTheme="minorEastAsia" w:hAnsiTheme="minorEastAsia" w:eastAsiaTheme="minorEastAsia" w:cstheme="minorEastAsia"/>
          <w:kern w:val="0"/>
          <w:sz w:val="24"/>
          <w:szCs w:val="24"/>
          <w:u w:val="single"/>
        </w:rPr>
        <w:t xml:space="preserve"> 每更换一人一次承担 8万元的违约金 </w:t>
      </w:r>
      <w:r>
        <w:rPr>
          <w:rFonts w:hint="eastAsia" w:asciiTheme="minorEastAsia" w:hAnsiTheme="minorEastAsia" w:eastAsiaTheme="minorEastAsia" w:cstheme="minorEastAsia"/>
          <w:kern w:val="0"/>
          <w:sz w:val="24"/>
          <w:szCs w:val="24"/>
        </w:rPr>
        <w:t>。</w:t>
      </w:r>
    </w:p>
    <w:p w14:paraId="7F5F1FA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承包人无正当理由拒绝撤换关键人员的违约责任：</w:t>
      </w:r>
      <w:r>
        <w:rPr>
          <w:rFonts w:hint="eastAsia" w:asciiTheme="minorEastAsia" w:hAnsiTheme="minorEastAsia" w:eastAsiaTheme="minorEastAsia" w:cstheme="minorEastAsia"/>
          <w:kern w:val="0"/>
          <w:sz w:val="24"/>
          <w:szCs w:val="24"/>
          <w:u w:val="single"/>
        </w:rPr>
        <w:t xml:space="preserve"> 每次承担8万元的违约金 </w:t>
      </w:r>
      <w:r>
        <w:rPr>
          <w:rFonts w:hint="eastAsia" w:asciiTheme="minorEastAsia" w:hAnsiTheme="minorEastAsia" w:eastAsiaTheme="minorEastAsia" w:cstheme="minorEastAsia"/>
          <w:kern w:val="0"/>
          <w:sz w:val="24"/>
          <w:szCs w:val="24"/>
        </w:rPr>
        <w:t>。</w:t>
      </w:r>
    </w:p>
    <w:p w14:paraId="315598E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4.4.3 现场管理关键人员在岗要求</w:t>
      </w:r>
    </w:p>
    <w:p w14:paraId="59EB930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承包人现场管理关键人员离开施工现场的批准要求：</w:t>
      </w:r>
      <w:r>
        <w:rPr>
          <w:rFonts w:hint="eastAsia" w:asciiTheme="minorEastAsia" w:hAnsiTheme="minorEastAsia" w:eastAsiaTheme="minorEastAsia" w:cstheme="minorEastAsia"/>
          <w:kern w:val="0"/>
          <w:sz w:val="24"/>
          <w:szCs w:val="24"/>
          <w:u w:val="single"/>
        </w:rPr>
        <w:t xml:space="preserve"> 得到发包人和工程师批准  </w:t>
      </w:r>
      <w:r>
        <w:rPr>
          <w:rFonts w:hint="eastAsia" w:asciiTheme="minorEastAsia" w:hAnsiTheme="minorEastAsia" w:eastAsiaTheme="minorEastAsia" w:cstheme="minorEastAsia"/>
          <w:kern w:val="0"/>
          <w:sz w:val="24"/>
          <w:szCs w:val="24"/>
        </w:rPr>
        <w:t>。</w:t>
      </w:r>
    </w:p>
    <w:p w14:paraId="524FD9F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承包人现场管理关键人员擅自离开施工现场的违约责任：</w:t>
      </w:r>
      <w:r>
        <w:rPr>
          <w:rFonts w:hint="eastAsia" w:asciiTheme="minorEastAsia" w:hAnsiTheme="minorEastAsia" w:eastAsiaTheme="minorEastAsia" w:cstheme="minorEastAsia"/>
          <w:kern w:val="0"/>
          <w:sz w:val="24"/>
          <w:szCs w:val="24"/>
          <w:u w:val="single"/>
        </w:rPr>
        <w:t xml:space="preserve"> 承包人关键人员未经批准擅自离开施工现场连续超过3天的，承包人每次承担2万元的违约金  </w:t>
      </w:r>
      <w:r>
        <w:rPr>
          <w:rFonts w:hint="eastAsia" w:asciiTheme="minorEastAsia" w:hAnsiTheme="minorEastAsia" w:eastAsiaTheme="minorEastAsia" w:cstheme="minorEastAsia"/>
          <w:kern w:val="0"/>
          <w:sz w:val="24"/>
          <w:szCs w:val="24"/>
        </w:rPr>
        <w:t>。</w:t>
      </w:r>
    </w:p>
    <w:p w14:paraId="3449EA1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4.5 分包</w:t>
      </w:r>
    </w:p>
    <w:p w14:paraId="5EEAD57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4.5.1 一般约定</w:t>
      </w:r>
    </w:p>
    <w:p w14:paraId="3FEEC30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禁止分包的工程包括：</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780C5DF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4.5.2 分包的确定</w:t>
      </w:r>
    </w:p>
    <w:p w14:paraId="54B484D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允许分包的工程包括：</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77A54F7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其他关于分包的约定：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4404F26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4.5.5 分包合同价款支付</w:t>
      </w:r>
    </w:p>
    <w:p w14:paraId="08E623B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关于分包合同价款支付的约定：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0059873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4.6 联合体</w:t>
      </w:r>
    </w:p>
    <w:p w14:paraId="5587E5E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4.6.2 联合体各成员的分工、费用收取、发票开具等事项：</w:t>
      </w:r>
      <w:r>
        <w:rPr>
          <w:rFonts w:hint="eastAsia" w:asciiTheme="minorEastAsia" w:hAnsiTheme="minorEastAsia" w:eastAsiaTheme="minorEastAsia" w:cstheme="minorEastAsia"/>
          <w:kern w:val="0"/>
          <w:sz w:val="24"/>
          <w:szCs w:val="24"/>
          <w:u w:val="single"/>
        </w:rPr>
        <w:t xml:space="preserve">    承包人联合体协议书中有约定的从其约定，没有约定的，承包人内部协商定案后告知发包人，发包人有其他要求的，按照发包人要求实施  </w:t>
      </w:r>
      <w:r>
        <w:rPr>
          <w:rFonts w:hint="eastAsia" w:asciiTheme="minorEastAsia" w:hAnsiTheme="minorEastAsia" w:eastAsiaTheme="minorEastAsia" w:cstheme="minorEastAsia"/>
          <w:kern w:val="0"/>
          <w:sz w:val="24"/>
          <w:szCs w:val="24"/>
        </w:rPr>
        <w:t>。</w:t>
      </w:r>
    </w:p>
    <w:p w14:paraId="6630CCE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4.7 承包人现场查勘</w:t>
      </w:r>
    </w:p>
    <w:p w14:paraId="063AF78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4.7.1 双方当事人对现场查勘的责任承担的约定：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24E5654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4.8 不可预见的困难</w:t>
      </w:r>
    </w:p>
    <w:p w14:paraId="0A01444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不可预见的困难包括：</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155738F6">
      <w:pPr>
        <w:pStyle w:val="263"/>
        <w:widowControl/>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405" w:name="_Toc54862336"/>
      <w:r>
        <w:rPr>
          <w:rFonts w:hint="eastAsia" w:asciiTheme="minorEastAsia" w:hAnsiTheme="minorEastAsia" w:eastAsiaTheme="minorEastAsia" w:cstheme="minorEastAsia"/>
          <w:b w:val="0"/>
          <w:bCs/>
          <w:kern w:val="0"/>
          <w:sz w:val="24"/>
          <w:szCs w:val="18"/>
        </w:rPr>
        <w:t>第5条 设计</w:t>
      </w:r>
      <w:bookmarkEnd w:id="1405"/>
    </w:p>
    <w:p w14:paraId="3F82D22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5.2 承包人文件审查</w:t>
      </w:r>
    </w:p>
    <w:p w14:paraId="58C2674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5.2.1 承包人文件审查的期限：</w:t>
      </w:r>
      <w:r>
        <w:rPr>
          <w:rFonts w:hint="eastAsia" w:asciiTheme="minorEastAsia" w:hAnsiTheme="minorEastAsia" w:eastAsiaTheme="minorEastAsia" w:cstheme="minorEastAsia"/>
          <w:kern w:val="0"/>
          <w:sz w:val="24"/>
          <w:szCs w:val="24"/>
          <w:u w:val="single"/>
        </w:rPr>
        <w:t xml:space="preserve"> 相关资料上报后7个日历日内 </w:t>
      </w:r>
      <w:r>
        <w:rPr>
          <w:rFonts w:hint="eastAsia" w:asciiTheme="minorEastAsia" w:hAnsiTheme="minorEastAsia" w:eastAsiaTheme="minorEastAsia" w:cstheme="minorEastAsia"/>
          <w:kern w:val="0"/>
          <w:sz w:val="24"/>
          <w:szCs w:val="24"/>
        </w:rPr>
        <w:t>。</w:t>
      </w:r>
    </w:p>
    <w:p w14:paraId="396BF8D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5.2.2 审查会议的审查形式和时间安排为：</w:t>
      </w:r>
      <w:r>
        <w:rPr>
          <w:rFonts w:hint="eastAsia" w:asciiTheme="minorEastAsia" w:hAnsiTheme="minorEastAsia" w:eastAsiaTheme="minorEastAsia" w:cstheme="minorEastAsia"/>
          <w:kern w:val="0"/>
          <w:sz w:val="24"/>
          <w:szCs w:val="24"/>
          <w:u w:val="single"/>
        </w:rPr>
        <w:t xml:space="preserve">  根据实际情况安排  </w:t>
      </w:r>
      <w:r>
        <w:rPr>
          <w:rFonts w:hint="eastAsia" w:asciiTheme="minorEastAsia" w:hAnsiTheme="minorEastAsia" w:eastAsiaTheme="minorEastAsia" w:cstheme="minorEastAsia"/>
          <w:kern w:val="0"/>
          <w:sz w:val="24"/>
          <w:szCs w:val="24"/>
        </w:rPr>
        <w:t>，审查会议的相关费用由</w:t>
      </w:r>
      <w:r>
        <w:rPr>
          <w:rFonts w:hint="eastAsia" w:asciiTheme="minorEastAsia" w:hAnsiTheme="minorEastAsia" w:eastAsiaTheme="minorEastAsia" w:cstheme="minorEastAsia"/>
          <w:kern w:val="0"/>
          <w:sz w:val="24"/>
          <w:szCs w:val="24"/>
          <w:u w:val="single"/>
        </w:rPr>
        <w:t xml:space="preserve">  承包人 </w:t>
      </w:r>
      <w:r>
        <w:rPr>
          <w:rFonts w:hint="eastAsia" w:asciiTheme="minorEastAsia" w:hAnsiTheme="minorEastAsia" w:eastAsiaTheme="minorEastAsia" w:cstheme="minorEastAsia"/>
          <w:kern w:val="0"/>
          <w:sz w:val="24"/>
          <w:szCs w:val="24"/>
        </w:rPr>
        <w:t>承担。</w:t>
      </w:r>
    </w:p>
    <w:p w14:paraId="67720DD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5.2.3 关于第三方审查单位的约定：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29B4C6A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5.3 培训</w:t>
      </w:r>
    </w:p>
    <w:p w14:paraId="6D6D952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培训的时长为</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，承包人应为培训提供的人员、设施和其它必要条件为</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05F6EC4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5.4 竣工文件</w:t>
      </w:r>
    </w:p>
    <w:p w14:paraId="516EB7D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5.4.1 竣工文件的形式、提供的份数、技术标准以及其它相关要求：</w:t>
      </w:r>
      <w:r>
        <w:rPr>
          <w:rFonts w:hint="eastAsia" w:asciiTheme="minorEastAsia" w:hAnsiTheme="minorEastAsia" w:eastAsiaTheme="minorEastAsia" w:cstheme="minorEastAsia"/>
          <w:kern w:val="0"/>
          <w:sz w:val="24"/>
          <w:szCs w:val="24"/>
          <w:u w:val="single"/>
        </w:rPr>
        <w:t xml:space="preserve">   陆份，应满足国家及北京市相关规范及标准要求  </w:t>
      </w:r>
      <w:r>
        <w:rPr>
          <w:rFonts w:hint="eastAsia" w:asciiTheme="minorEastAsia" w:hAnsiTheme="minorEastAsia" w:eastAsiaTheme="minorEastAsia" w:cstheme="minorEastAsia"/>
          <w:kern w:val="0"/>
          <w:sz w:val="24"/>
          <w:szCs w:val="24"/>
        </w:rPr>
        <w:t>。</w:t>
      </w:r>
    </w:p>
    <w:p w14:paraId="00A0171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5.4.3 关于竣工文件的其他约定：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610A1FA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5.5 操作和维修手册</w:t>
      </w:r>
    </w:p>
    <w:p w14:paraId="5275A3F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5.5.3 对最终操作和维修手册的约定：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270C4AC2">
      <w:pPr>
        <w:pStyle w:val="263"/>
        <w:widowControl/>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406" w:name="_Toc54862337"/>
      <w:r>
        <w:rPr>
          <w:rFonts w:hint="eastAsia" w:asciiTheme="minorEastAsia" w:hAnsiTheme="minorEastAsia" w:eastAsiaTheme="minorEastAsia" w:cstheme="minorEastAsia"/>
          <w:b w:val="0"/>
          <w:bCs/>
          <w:kern w:val="0"/>
          <w:sz w:val="24"/>
          <w:szCs w:val="18"/>
        </w:rPr>
        <w:t>第6条 材料、工程设备</w:t>
      </w:r>
      <w:bookmarkEnd w:id="1406"/>
    </w:p>
    <w:p w14:paraId="3C58924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6.1 实施方法</w:t>
      </w:r>
    </w:p>
    <w:p w14:paraId="5E76EE7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双方当事人约定的实施方法、设备、设施和材料：</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2FC08FD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6.2 材料和工程设备</w:t>
      </w:r>
    </w:p>
    <w:p w14:paraId="5C7A5A6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6.2.1 发包人提供的材料和工程设备</w:t>
      </w:r>
    </w:p>
    <w:p w14:paraId="1788817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发包人提供的材料和工程设备验收后，由</w:t>
      </w:r>
      <w:r>
        <w:rPr>
          <w:rFonts w:hint="eastAsia" w:asciiTheme="minorEastAsia" w:hAnsiTheme="minorEastAsia" w:eastAsiaTheme="minorEastAsia" w:cstheme="minorEastAsia"/>
          <w:kern w:val="0"/>
          <w:sz w:val="24"/>
          <w:szCs w:val="24"/>
          <w:u w:val="single"/>
        </w:rPr>
        <w:t xml:space="preserve"> 承包人  </w:t>
      </w:r>
      <w:r>
        <w:rPr>
          <w:rFonts w:hint="eastAsia" w:asciiTheme="minorEastAsia" w:hAnsiTheme="minorEastAsia" w:eastAsiaTheme="minorEastAsia" w:cstheme="minorEastAsia"/>
          <w:kern w:val="0"/>
          <w:sz w:val="24"/>
          <w:szCs w:val="24"/>
        </w:rPr>
        <w:t>负责接收、运输和保管。</w:t>
      </w:r>
    </w:p>
    <w:p w14:paraId="32F0B8E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6.2.2 承包人提供的材料和工程设备</w:t>
      </w:r>
    </w:p>
    <w:p w14:paraId="6E4828B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材料和工程设备的类别、估算数量：</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0E720FD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竣工后试验的生产性材料的类别或（和）清单：</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5896444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6.2.3 材料和工程设备的保管</w:t>
      </w:r>
    </w:p>
    <w:p w14:paraId="1D03EEC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发包人供应的材料和工程设备的保管费用由</w:t>
      </w:r>
      <w:r>
        <w:rPr>
          <w:rFonts w:hint="eastAsia" w:asciiTheme="minorEastAsia" w:hAnsiTheme="minorEastAsia" w:eastAsiaTheme="minorEastAsia" w:cstheme="minorEastAsia"/>
          <w:kern w:val="0"/>
          <w:sz w:val="24"/>
          <w:szCs w:val="24"/>
          <w:u w:val="single"/>
        </w:rPr>
        <w:t xml:space="preserve"> 承包人 </w:t>
      </w:r>
      <w:r>
        <w:rPr>
          <w:rFonts w:hint="eastAsia" w:asciiTheme="minorEastAsia" w:hAnsiTheme="minorEastAsia" w:eastAsiaTheme="minorEastAsia" w:cstheme="minorEastAsia"/>
          <w:kern w:val="0"/>
          <w:sz w:val="24"/>
          <w:szCs w:val="24"/>
        </w:rPr>
        <w:t>承担。</w:t>
      </w:r>
    </w:p>
    <w:p w14:paraId="5301A3D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承包人提交保管、维护方案的时间：</w:t>
      </w:r>
      <w:r>
        <w:rPr>
          <w:rFonts w:hint="eastAsia" w:asciiTheme="minorEastAsia" w:hAnsiTheme="minorEastAsia" w:eastAsiaTheme="minorEastAsia" w:cstheme="minorEastAsia"/>
          <w:kern w:val="0"/>
          <w:sz w:val="24"/>
          <w:szCs w:val="24"/>
          <w:u w:val="single"/>
        </w:rPr>
        <w:t>材料设备进场前7天内</w:t>
      </w:r>
      <w:r>
        <w:rPr>
          <w:rFonts w:hint="eastAsia" w:asciiTheme="minorEastAsia" w:hAnsiTheme="minorEastAsia" w:eastAsiaTheme="minorEastAsia" w:cstheme="minorEastAsia"/>
          <w:kern w:val="0"/>
          <w:sz w:val="24"/>
          <w:szCs w:val="24"/>
        </w:rPr>
        <w:t>。</w:t>
      </w:r>
    </w:p>
    <w:p w14:paraId="41A98B4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发包人提供的库房、堆场、设施和设备：</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5D4017E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6.3 样品</w:t>
      </w:r>
    </w:p>
    <w:p w14:paraId="6439803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6.3.1 样品的报送与封存</w:t>
      </w:r>
    </w:p>
    <w:p w14:paraId="375C6E0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需要承包人报送样品的材料或工程设备，样品种类、名称、规格、数量：</w:t>
      </w:r>
      <w:r>
        <w:rPr>
          <w:rFonts w:hint="eastAsia" w:asciiTheme="minorEastAsia" w:hAnsiTheme="minorEastAsia" w:eastAsiaTheme="minorEastAsia" w:cstheme="minorEastAsia"/>
          <w:kern w:val="0"/>
          <w:sz w:val="24"/>
          <w:szCs w:val="24"/>
          <w:u w:val="single"/>
        </w:rPr>
        <w:t xml:space="preserve"> 根据工程进度确定 </w:t>
      </w:r>
      <w:r>
        <w:rPr>
          <w:rFonts w:hint="eastAsia" w:asciiTheme="minorEastAsia" w:hAnsiTheme="minorEastAsia" w:eastAsiaTheme="minorEastAsia" w:cstheme="minorEastAsia"/>
          <w:kern w:val="0"/>
          <w:sz w:val="24"/>
          <w:szCs w:val="24"/>
        </w:rPr>
        <w:t>。</w:t>
      </w:r>
    </w:p>
    <w:p w14:paraId="07BE607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6.4 质量检查</w:t>
      </w:r>
    </w:p>
    <w:p w14:paraId="21957E0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6.4.1 工程质量要求</w:t>
      </w:r>
    </w:p>
    <w:p w14:paraId="657D636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工程质量的特殊标准或要求：</w:t>
      </w:r>
      <w:r>
        <w:rPr>
          <w:rFonts w:hint="eastAsia" w:asciiTheme="minorEastAsia" w:hAnsiTheme="minorEastAsia" w:eastAsiaTheme="minorEastAsia" w:cstheme="minorEastAsia"/>
          <w:kern w:val="0"/>
          <w:sz w:val="24"/>
          <w:szCs w:val="24"/>
          <w:u w:val="single"/>
        </w:rPr>
        <w:t xml:space="preserve">            无          </w:t>
      </w:r>
      <w:r>
        <w:rPr>
          <w:rFonts w:hint="eastAsia" w:asciiTheme="minorEastAsia" w:hAnsiTheme="minorEastAsia" w:eastAsiaTheme="minorEastAsia" w:cstheme="minorEastAsia"/>
          <w:kern w:val="0"/>
          <w:sz w:val="24"/>
          <w:szCs w:val="24"/>
        </w:rPr>
        <w:t>。</w:t>
      </w:r>
    </w:p>
    <w:p w14:paraId="410A85F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6.4.2 质量检查</w:t>
      </w:r>
    </w:p>
    <w:p w14:paraId="6BFA59B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除通用合同条件已列明的质量检查的地点外，发包人有权进行质量检查的其他地点：</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7571CD6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6.4.3 隐蔽工程检查</w:t>
      </w:r>
    </w:p>
    <w:p w14:paraId="7FF49EA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关于隐蔽工程和中间验收的特别约定：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4DAA98F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6.5 由承包人试验和检验</w:t>
      </w:r>
    </w:p>
    <w:p w14:paraId="7F75F7E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6.5.1 试验设备与试验人员</w:t>
      </w:r>
    </w:p>
    <w:p w14:paraId="18B9F79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试验的内容、时间和地点：</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58FC768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试验所需要的试验设备、取样装置、试验场所和试验条件：</w:t>
      </w:r>
      <w:r>
        <w:rPr>
          <w:rFonts w:hint="eastAsia" w:asciiTheme="minorEastAsia" w:hAnsiTheme="minorEastAsia" w:eastAsiaTheme="minorEastAsia" w:cstheme="minorEastAsia"/>
          <w:kern w:val="0"/>
          <w:sz w:val="24"/>
          <w:szCs w:val="24"/>
          <w:u w:val="single"/>
        </w:rPr>
        <w:t xml:space="preserve">  承包人自行配备，应满足行业标准、施工规范，费用已包含在合同总价中   </w:t>
      </w:r>
      <w:r>
        <w:rPr>
          <w:rFonts w:hint="eastAsia" w:asciiTheme="minorEastAsia" w:hAnsiTheme="minorEastAsia" w:eastAsiaTheme="minorEastAsia" w:cstheme="minorEastAsia"/>
          <w:kern w:val="0"/>
          <w:sz w:val="24"/>
          <w:szCs w:val="24"/>
        </w:rPr>
        <w:t>。</w:t>
      </w:r>
    </w:p>
    <w:p w14:paraId="4E4C5C8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rPr>
        <w:t>试验和检验费用的计价原则：</w:t>
      </w:r>
      <w:r>
        <w:rPr>
          <w:rFonts w:hint="eastAsia" w:asciiTheme="minorEastAsia" w:hAnsiTheme="minorEastAsia" w:eastAsiaTheme="minorEastAsia" w:cstheme="minorEastAsia"/>
          <w:kern w:val="0"/>
          <w:sz w:val="24"/>
          <w:szCs w:val="24"/>
          <w:u w:val="single"/>
        </w:rPr>
        <w:t xml:space="preserve">  费用已包含在合同总价中  </w:t>
      </w:r>
      <w:r>
        <w:rPr>
          <w:rFonts w:hint="eastAsia" w:asciiTheme="minorEastAsia" w:hAnsiTheme="minorEastAsia" w:eastAsiaTheme="minorEastAsia" w:cstheme="minorEastAsia"/>
          <w:kern w:val="0"/>
          <w:sz w:val="24"/>
          <w:szCs w:val="24"/>
        </w:rPr>
        <w:t>。</w:t>
      </w:r>
    </w:p>
    <w:p w14:paraId="29CA4076">
      <w:pPr>
        <w:pStyle w:val="263"/>
        <w:widowControl/>
        <w:autoSpaceDE/>
        <w:autoSpaceDN/>
        <w:spacing w:before="0" w:line="240" w:lineRule="auto"/>
        <w:outlineLvl w:val="2"/>
        <w:rPr>
          <w:rFonts w:hint="eastAsia" w:asciiTheme="minorEastAsia" w:hAnsiTheme="minorEastAsia" w:eastAsiaTheme="minorEastAsia" w:cstheme="minorEastAsia"/>
          <w:kern w:val="0"/>
          <w:sz w:val="24"/>
          <w:szCs w:val="18"/>
        </w:rPr>
      </w:pPr>
      <w:bookmarkStart w:id="1407" w:name="_Toc54862338"/>
      <w:r>
        <w:rPr>
          <w:rFonts w:hint="eastAsia" w:asciiTheme="minorEastAsia" w:hAnsiTheme="minorEastAsia" w:eastAsiaTheme="minorEastAsia" w:cstheme="minorEastAsia"/>
          <w:kern w:val="0"/>
          <w:sz w:val="24"/>
          <w:szCs w:val="18"/>
        </w:rPr>
        <w:t>第7条 施工</w:t>
      </w:r>
      <w:bookmarkEnd w:id="1407"/>
    </w:p>
    <w:p w14:paraId="69E71F7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7.1 交通运输</w:t>
      </w:r>
    </w:p>
    <w:p w14:paraId="471820E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7.1.1 出入现场的权利</w:t>
      </w:r>
    </w:p>
    <w:p w14:paraId="5C7A6EC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关于出入现场的权利的约定：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12C35C8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7.1.2 场外交通</w:t>
      </w:r>
    </w:p>
    <w:p w14:paraId="4F1137C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关于场外交通的特别约定：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22DEFE8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7.1.3 场内交通</w:t>
      </w:r>
    </w:p>
    <w:p w14:paraId="1D2DA0E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关于场内交通的特别约定：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7ADA3F3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关于场内交通与场外交通边界的约定：</w:t>
      </w:r>
      <w:r>
        <w:rPr>
          <w:rFonts w:hint="eastAsia" w:asciiTheme="minorEastAsia" w:hAnsiTheme="minorEastAsia" w:eastAsiaTheme="minorEastAsia" w:cstheme="minorEastAsia"/>
          <w:kern w:val="0"/>
          <w:sz w:val="24"/>
          <w:szCs w:val="24"/>
          <w:u w:val="single"/>
        </w:rPr>
        <w:t xml:space="preserve"> 以项目围挡为边界 </w:t>
      </w:r>
      <w:r>
        <w:rPr>
          <w:rFonts w:hint="eastAsia" w:asciiTheme="minorEastAsia" w:hAnsiTheme="minorEastAsia" w:eastAsiaTheme="minorEastAsia" w:cstheme="minorEastAsia"/>
          <w:kern w:val="0"/>
          <w:sz w:val="24"/>
          <w:szCs w:val="24"/>
        </w:rPr>
        <w:t>。</w:t>
      </w:r>
    </w:p>
    <w:p w14:paraId="320909C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7.1.4 超大件和超重件的运输</w:t>
      </w:r>
    </w:p>
    <w:p w14:paraId="788BC09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运输超大件或超重件所需的道路和桥梁临时加固改造费用和其他有关费用由</w:t>
      </w:r>
      <w:r>
        <w:rPr>
          <w:rFonts w:hint="eastAsia" w:asciiTheme="minorEastAsia" w:hAnsiTheme="minorEastAsia" w:eastAsiaTheme="minorEastAsia" w:cstheme="minorEastAsia"/>
          <w:kern w:val="0"/>
          <w:sz w:val="24"/>
          <w:szCs w:val="24"/>
          <w:u w:val="single"/>
        </w:rPr>
        <w:t xml:space="preserve">  承包人  </w:t>
      </w:r>
      <w:r>
        <w:rPr>
          <w:rFonts w:hint="eastAsia" w:asciiTheme="minorEastAsia" w:hAnsiTheme="minorEastAsia" w:eastAsiaTheme="minorEastAsia" w:cstheme="minorEastAsia"/>
          <w:kern w:val="0"/>
          <w:sz w:val="24"/>
          <w:szCs w:val="24"/>
        </w:rPr>
        <w:t>承担。</w:t>
      </w:r>
    </w:p>
    <w:p w14:paraId="1CA3640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7.2 施工设备和临时设施</w:t>
      </w:r>
    </w:p>
    <w:p w14:paraId="14FD375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7.2.1 承包人提供的施工设备和临时设施</w:t>
      </w:r>
    </w:p>
    <w:p w14:paraId="15F6A61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临时设施的费用和临时占地手续和费用承担的特别约定：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5341C37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7.2.2 发包人提供的施工设备和临时设施</w:t>
      </w:r>
    </w:p>
    <w:p w14:paraId="295F40E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发包人提供的施工设备或临时设施范围：</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725E3D3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7.3 现场合作</w:t>
      </w:r>
    </w:p>
    <w:p w14:paraId="4DF32C6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关于现场合作费用的特别约定：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12F3506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7.4 测量放线</w:t>
      </w:r>
    </w:p>
    <w:p w14:paraId="77ACC90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7.4.1 关于测量放线的特别约定的技术规范：</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。施工控制网资料的告知期限：</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18E2121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7.5 现场劳动用工</w:t>
      </w:r>
    </w:p>
    <w:p w14:paraId="455062B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7.5.2 合同当事人对建筑工人工资清偿事宜和违约责任的约定：</w:t>
      </w:r>
      <w:r>
        <w:rPr>
          <w:rFonts w:hint="eastAsia" w:asciiTheme="minorEastAsia" w:hAnsiTheme="minorEastAsia" w:eastAsiaTheme="minorEastAsia" w:cstheme="minorEastAsia"/>
          <w:kern w:val="0"/>
          <w:sz w:val="24"/>
          <w:szCs w:val="24"/>
          <w:u w:val="single"/>
        </w:rPr>
        <w:t xml:space="preserve"> 执行国家和地方相关法律、法规  </w:t>
      </w:r>
      <w:r>
        <w:rPr>
          <w:rFonts w:hint="eastAsia" w:asciiTheme="minorEastAsia" w:hAnsiTheme="minorEastAsia" w:eastAsiaTheme="minorEastAsia" w:cstheme="minorEastAsia"/>
          <w:kern w:val="0"/>
          <w:sz w:val="24"/>
          <w:szCs w:val="24"/>
        </w:rPr>
        <w:t>。</w:t>
      </w:r>
    </w:p>
    <w:p w14:paraId="34363B2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7.6 安全文明施工</w:t>
      </w:r>
    </w:p>
    <w:p w14:paraId="622B3D9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7.6.1 安全生产要求</w:t>
      </w:r>
    </w:p>
    <w:p w14:paraId="2896AC67">
      <w:pPr>
        <w:widowControl/>
        <w:wordWrap/>
        <w:topLinePunct w:val="0"/>
        <w:adjustRightInd w:val="0"/>
        <w:snapToGrid w:val="0"/>
        <w:spacing w:after="120" w:afterLines="50" w:line="240" w:lineRule="auto"/>
        <w:ind w:left="124" w:leftChars="59"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合同当事人对安全施工的要求：</w:t>
      </w:r>
      <w:r>
        <w:rPr>
          <w:rFonts w:hint="eastAsia" w:asciiTheme="minorEastAsia" w:hAnsiTheme="minorEastAsia" w:eastAsiaTheme="minorEastAsia" w:cstheme="minorEastAsia"/>
          <w:kern w:val="0"/>
          <w:sz w:val="24"/>
          <w:szCs w:val="24"/>
          <w:u w:val="single"/>
        </w:rPr>
        <w:t xml:space="preserve">  执行国家和地方相关法律、法规，达到达标标准  </w:t>
      </w:r>
      <w:r>
        <w:rPr>
          <w:rFonts w:hint="eastAsia" w:asciiTheme="minorEastAsia" w:hAnsiTheme="minorEastAsia" w:eastAsiaTheme="minorEastAsia" w:cstheme="minorEastAsia"/>
          <w:kern w:val="0"/>
          <w:sz w:val="24"/>
          <w:szCs w:val="24"/>
        </w:rPr>
        <w:t>。</w:t>
      </w:r>
    </w:p>
    <w:p w14:paraId="24D73A3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7.6.3 文明施工</w:t>
      </w:r>
    </w:p>
    <w:p w14:paraId="5DF8F38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合同当事人对文明施工的要求：</w:t>
      </w:r>
      <w:r>
        <w:rPr>
          <w:rFonts w:hint="eastAsia" w:asciiTheme="minorEastAsia" w:hAnsiTheme="minorEastAsia" w:eastAsiaTheme="minorEastAsia" w:cstheme="minorEastAsia"/>
          <w:kern w:val="0"/>
          <w:sz w:val="24"/>
          <w:szCs w:val="24"/>
          <w:u w:val="single"/>
        </w:rPr>
        <w:t xml:space="preserve">  执行国家和地方相关法律、法规, 达到达标标准 </w:t>
      </w:r>
      <w:r>
        <w:rPr>
          <w:rFonts w:hint="eastAsia" w:asciiTheme="minorEastAsia" w:hAnsiTheme="minorEastAsia" w:eastAsiaTheme="minorEastAsia" w:cstheme="minorEastAsia"/>
          <w:kern w:val="0"/>
          <w:sz w:val="24"/>
          <w:szCs w:val="24"/>
        </w:rPr>
        <w:t>。</w:t>
      </w:r>
    </w:p>
    <w:p w14:paraId="162029B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7.9 临时性公用设施</w:t>
      </w:r>
    </w:p>
    <w:p w14:paraId="77FDC72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关于临时性公用设施的特别约定：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27EBBA0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7.10 现场安保</w:t>
      </w:r>
    </w:p>
    <w:p w14:paraId="02FA997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承包人现场安保义务的特别约定：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1A5306D9">
      <w:pPr>
        <w:pStyle w:val="263"/>
        <w:widowControl/>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408" w:name="_Toc54862339"/>
      <w:r>
        <w:rPr>
          <w:rFonts w:hint="eastAsia" w:asciiTheme="minorEastAsia" w:hAnsiTheme="minorEastAsia" w:eastAsiaTheme="minorEastAsia" w:cstheme="minorEastAsia"/>
          <w:b w:val="0"/>
          <w:bCs/>
          <w:kern w:val="0"/>
          <w:sz w:val="24"/>
          <w:szCs w:val="18"/>
        </w:rPr>
        <w:t>第8条 工期和进度</w:t>
      </w:r>
      <w:bookmarkEnd w:id="1408"/>
    </w:p>
    <w:p w14:paraId="5027443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8.1 开始工作</w:t>
      </w:r>
    </w:p>
    <w:p w14:paraId="284616A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8.1.1 开始准备工作：</w:t>
      </w:r>
      <w:r>
        <w:rPr>
          <w:rFonts w:hint="eastAsia" w:asciiTheme="minorEastAsia" w:hAnsiTheme="minorEastAsia" w:eastAsiaTheme="minorEastAsia" w:cstheme="minorEastAsia"/>
          <w:kern w:val="0"/>
          <w:sz w:val="24"/>
          <w:szCs w:val="24"/>
          <w:u w:val="single"/>
        </w:rPr>
        <w:t xml:space="preserve">   场地交接，数据及资料交接  </w:t>
      </w:r>
      <w:r>
        <w:rPr>
          <w:rFonts w:hint="eastAsia" w:asciiTheme="minorEastAsia" w:hAnsiTheme="minorEastAsia" w:eastAsiaTheme="minorEastAsia" w:cstheme="minorEastAsia"/>
          <w:kern w:val="0"/>
          <w:sz w:val="24"/>
          <w:szCs w:val="24"/>
        </w:rPr>
        <w:t>。</w:t>
      </w:r>
    </w:p>
    <w:p w14:paraId="1974FB2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8.1.2 发包人可在计划开始工作之日起84日后发出开始工作通知的特殊情形：</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4A94FA8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8.2 竣工日期</w:t>
      </w:r>
    </w:p>
    <w:p w14:paraId="07AD184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竣工日期的约定：</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14FF4F7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8.3 项目实施计划</w:t>
      </w:r>
    </w:p>
    <w:p w14:paraId="7BAFAA1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8.3.1 项目实施计划的内容</w:t>
      </w:r>
    </w:p>
    <w:p w14:paraId="2D2C00B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项目实施计划的内容：</w:t>
      </w:r>
    </w:p>
    <w:p w14:paraId="2498E19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（1）施工部署(明确本项目实施的质量、进度和安全目标；明确项目管理的总体安排，包括实行项目经理责任制，项目经理部的设立和岗位设置及相应的规章制度等)； </w:t>
      </w:r>
    </w:p>
    <w:p w14:paraId="1278017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2）工程进度计划(按照合同工期，编制施工进度计划，包括总进度计划和设计进度计划、采购进度计划、施工进度计划、调试运行计划或分项工程。进度表可采用横道图或关键线路网络图表示，说明各个阶段的开工日期和完工日期)、资源供应计划(按照招标项目项目的进度、质量、安全的要求和现场实际施工条件，提出相应的资源供应计划，包括劳动力需求计划、机械设备需求计划和主要材料和周转材料需求计划等)； </w:t>
      </w:r>
    </w:p>
    <w:p w14:paraId="52328D5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u w:val="single"/>
        </w:rPr>
        <w:t>（3）施工方案(包括施工流向和施工顺序、主要施工方法和施工机械选择等)、技术组织措施(包括保证进度目标的措施、施工与设计的衔接、施工与采购的衔接、保证质量目标的措施、保证安全目标的措施、保证成本目标的措施、保证季节施工的措施、保证环境的措施和文明施工措施、保证绿色施工措施等)、实施难点和对策</w:t>
      </w:r>
      <w:r>
        <w:rPr>
          <w:rFonts w:hint="eastAsia" w:asciiTheme="minorEastAsia" w:hAnsiTheme="minorEastAsia" w:eastAsiaTheme="minorEastAsia" w:cstheme="minorEastAsia"/>
          <w:kern w:val="0"/>
          <w:sz w:val="24"/>
          <w:szCs w:val="24"/>
        </w:rPr>
        <w:t>。</w:t>
      </w:r>
    </w:p>
    <w:p w14:paraId="408FC6E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8.3.2 项目实施计划的提交和修改</w:t>
      </w:r>
    </w:p>
    <w:p w14:paraId="321A8F0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项目实施计划的提交及修改期限：</w:t>
      </w:r>
      <w:r>
        <w:rPr>
          <w:rFonts w:hint="eastAsia" w:asciiTheme="minorEastAsia" w:hAnsiTheme="minorEastAsia" w:eastAsiaTheme="minorEastAsia" w:cstheme="minorEastAsia"/>
          <w:kern w:val="0"/>
          <w:sz w:val="24"/>
          <w:szCs w:val="24"/>
          <w:u w:val="single"/>
        </w:rPr>
        <w:t xml:space="preserve"> 项目施工图设计完成后7日内，修改时间：项目运行与实施计划偏离15天 </w:t>
      </w:r>
      <w:r>
        <w:rPr>
          <w:rFonts w:hint="eastAsia" w:asciiTheme="minorEastAsia" w:hAnsiTheme="minorEastAsia" w:eastAsiaTheme="minorEastAsia" w:cstheme="minorEastAsia"/>
          <w:kern w:val="0"/>
          <w:sz w:val="24"/>
          <w:szCs w:val="24"/>
        </w:rPr>
        <w:t>。</w:t>
      </w:r>
    </w:p>
    <w:p w14:paraId="0B5863D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8.4 项目进度计划</w:t>
      </w:r>
    </w:p>
    <w:p w14:paraId="6B0A093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8.4.1 工程师在收到进度计划后确认或提出修改意见的期限：</w:t>
      </w:r>
      <w:r>
        <w:rPr>
          <w:rFonts w:hint="eastAsia" w:asciiTheme="minorEastAsia" w:hAnsiTheme="minorEastAsia" w:eastAsiaTheme="minorEastAsia" w:cstheme="minorEastAsia"/>
          <w:kern w:val="0"/>
          <w:sz w:val="24"/>
          <w:szCs w:val="24"/>
          <w:u w:val="single"/>
        </w:rPr>
        <w:t xml:space="preserve"> 收到进度计划后7天内 </w:t>
      </w:r>
      <w:r>
        <w:rPr>
          <w:rFonts w:hint="eastAsia" w:asciiTheme="minorEastAsia" w:hAnsiTheme="minorEastAsia" w:eastAsiaTheme="minorEastAsia" w:cstheme="minorEastAsia"/>
          <w:kern w:val="0"/>
          <w:sz w:val="24"/>
          <w:szCs w:val="24"/>
        </w:rPr>
        <w:t>。</w:t>
      </w:r>
    </w:p>
    <w:p w14:paraId="695D675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8.4.2 进度计划的具体要求：</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56533A2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关键路径及关键路径变化的确定原则：</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6F0D7CE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承包人提交项目进度计划的份数和时间：</w:t>
      </w:r>
      <w:r>
        <w:rPr>
          <w:rFonts w:hint="eastAsia" w:asciiTheme="minorEastAsia" w:hAnsiTheme="minorEastAsia" w:eastAsiaTheme="minorEastAsia" w:cstheme="minorEastAsia"/>
          <w:kern w:val="0"/>
          <w:sz w:val="24"/>
          <w:szCs w:val="24"/>
          <w:u w:val="single"/>
        </w:rPr>
        <w:t>6份，合同签订后7日内提交</w:t>
      </w:r>
      <w:r>
        <w:rPr>
          <w:rFonts w:hint="eastAsia" w:asciiTheme="minorEastAsia" w:hAnsiTheme="minorEastAsia" w:eastAsiaTheme="minorEastAsia" w:cstheme="minorEastAsia"/>
          <w:kern w:val="0"/>
          <w:sz w:val="24"/>
          <w:szCs w:val="24"/>
        </w:rPr>
        <w:t>。</w:t>
      </w:r>
    </w:p>
    <w:p w14:paraId="5690090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8.4.3 进度计划的修订</w:t>
      </w:r>
    </w:p>
    <w:p w14:paraId="0CE7BC0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承包人提交修订项目进度计划申请报告的期限：</w:t>
      </w:r>
      <w:r>
        <w:rPr>
          <w:rFonts w:hint="eastAsia" w:asciiTheme="minorEastAsia" w:hAnsiTheme="minorEastAsia" w:eastAsiaTheme="minorEastAsia" w:cstheme="minorEastAsia"/>
          <w:kern w:val="0"/>
          <w:sz w:val="24"/>
          <w:szCs w:val="24"/>
          <w:u w:val="single"/>
        </w:rPr>
        <w:t>发生实际进度与计划不符后7日历天内</w:t>
      </w:r>
      <w:r>
        <w:rPr>
          <w:rFonts w:hint="eastAsia" w:asciiTheme="minorEastAsia" w:hAnsiTheme="minorEastAsia" w:eastAsiaTheme="minorEastAsia" w:cstheme="minorEastAsia"/>
          <w:kern w:val="0"/>
          <w:sz w:val="24"/>
          <w:szCs w:val="24"/>
        </w:rPr>
        <w:t>。</w:t>
      </w:r>
    </w:p>
    <w:p w14:paraId="63EB09C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发包人批复修订项目进度计划申请报告的期限：</w:t>
      </w:r>
      <w:r>
        <w:rPr>
          <w:rFonts w:hint="eastAsia" w:asciiTheme="minorEastAsia" w:hAnsiTheme="minorEastAsia" w:eastAsiaTheme="minorEastAsia" w:cstheme="minorEastAsia"/>
          <w:kern w:val="0"/>
          <w:sz w:val="24"/>
          <w:szCs w:val="24"/>
          <w:u w:val="single"/>
        </w:rPr>
        <w:t>收到修定进度计划资料后7日历天内</w:t>
      </w:r>
      <w:r>
        <w:rPr>
          <w:rFonts w:hint="eastAsia" w:asciiTheme="minorEastAsia" w:hAnsiTheme="minorEastAsia" w:eastAsiaTheme="minorEastAsia" w:cstheme="minorEastAsia"/>
          <w:kern w:val="0"/>
          <w:sz w:val="24"/>
          <w:szCs w:val="24"/>
        </w:rPr>
        <w:t>。</w:t>
      </w:r>
    </w:p>
    <w:p w14:paraId="071BCBE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承包人答复发包人提出修订合同计划的期限：</w:t>
      </w:r>
      <w:r>
        <w:rPr>
          <w:rFonts w:hint="eastAsia" w:asciiTheme="minorEastAsia" w:hAnsiTheme="minorEastAsia" w:eastAsiaTheme="minorEastAsia" w:cstheme="minorEastAsia"/>
          <w:kern w:val="0"/>
          <w:sz w:val="24"/>
          <w:szCs w:val="24"/>
          <w:u w:val="single"/>
        </w:rPr>
        <w:t>收到修定进度计划资料后7日历天内</w:t>
      </w:r>
      <w:r>
        <w:rPr>
          <w:rFonts w:hint="eastAsia" w:asciiTheme="minorEastAsia" w:hAnsiTheme="minorEastAsia" w:eastAsiaTheme="minorEastAsia" w:cstheme="minorEastAsia"/>
          <w:kern w:val="0"/>
          <w:sz w:val="24"/>
          <w:szCs w:val="24"/>
        </w:rPr>
        <w:t>。</w:t>
      </w:r>
    </w:p>
    <w:p w14:paraId="1F32C0C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8.5 进度报告</w:t>
      </w:r>
    </w:p>
    <w:p w14:paraId="6C62639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进度报告的具体要求：</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08E6C25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8.7 工期延误</w:t>
      </w:r>
    </w:p>
    <w:p w14:paraId="1634629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8.7.2 因承包人原因导致工期延误</w:t>
      </w:r>
    </w:p>
    <w:p w14:paraId="1EC779B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因承包人原因使竣工日期延误，每延误1日的误期赔偿金额为合同协议书的合同价格的</w:t>
      </w:r>
      <w:r>
        <w:rPr>
          <w:rFonts w:hint="eastAsia" w:asciiTheme="minorEastAsia" w:hAnsiTheme="minorEastAsia" w:eastAsiaTheme="minorEastAsia" w:cstheme="minorEastAsia"/>
          <w:kern w:val="0"/>
          <w:sz w:val="24"/>
          <w:szCs w:val="24"/>
          <w:u w:val="single"/>
        </w:rPr>
        <w:t xml:space="preserve"> 0.5 </w:t>
      </w:r>
      <w:r>
        <w:rPr>
          <w:rFonts w:hint="eastAsia" w:asciiTheme="minorEastAsia" w:hAnsiTheme="minorEastAsia" w:eastAsiaTheme="minorEastAsia" w:cstheme="minorEastAsia"/>
          <w:kern w:val="0"/>
          <w:sz w:val="24"/>
          <w:szCs w:val="24"/>
        </w:rPr>
        <w:t>%或人民币金额为：</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13F625B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8.7.3 行政审批迟延</w:t>
      </w:r>
    </w:p>
    <w:p w14:paraId="722C51A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行政审批报送的职责分工：</w:t>
      </w:r>
      <w:r>
        <w:rPr>
          <w:rFonts w:hint="eastAsia" w:asciiTheme="minorEastAsia" w:hAnsiTheme="minorEastAsia" w:eastAsiaTheme="minorEastAsia" w:cstheme="minorEastAsia"/>
          <w:kern w:val="0"/>
          <w:sz w:val="24"/>
          <w:szCs w:val="24"/>
          <w:u w:val="single"/>
        </w:rPr>
        <w:t xml:space="preserve">   承包人负责行政审批报送  </w:t>
      </w:r>
      <w:r>
        <w:rPr>
          <w:rFonts w:hint="eastAsia" w:asciiTheme="minorEastAsia" w:hAnsiTheme="minorEastAsia" w:eastAsiaTheme="minorEastAsia" w:cstheme="minorEastAsia"/>
          <w:kern w:val="0"/>
          <w:sz w:val="24"/>
          <w:szCs w:val="24"/>
        </w:rPr>
        <w:t>。</w:t>
      </w:r>
    </w:p>
    <w:p w14:paraId="73003AB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8.7.4 异常恶劣的气候条件</w:t>
      </w:r>
    </w:p>
    <w:p w14:paraId="3DA5671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双方约定视为异常恶劣的气候条件的情形：</w:t>
      </w:r>
      <w:r>
        <w:rPr>
          <w:rFonts w:hint="eastAsia" w:asciiTheme="minorEastAsia" w:hAnsiTheme="minorEastAsia" w:eastAsiaTheme="minorEastAsia" w:cstheme="minorEastAsia"/>
          <w:kern w:val="0"/>
          <w:sz w:val="24"/>
          <w:szCs w:val="24"/>
          <w:u w:val="single"/>
        </w:rPr>
        <w:t xml:space="preserve"> 50年一遇的最大降水（雪）量，最高（低）温度等，以当地气象部门发布的标准为准,本工程工期已经将异常恶劣的气候条件等考虑在内，非经发包人事先书面许可，本项目工期不予顺延 </w:t>
      </w:r>
      <w:r>
        <w:rPr>
          <w:rFonts w:hint="eastAsia" w:asciiTheme="minorEastAsia" w:hAnsiTheme="minorEastAsia" w:eastAsiaTheme="minorEastAsia" w:cstheme="minorEastAsia"/>
          <w:kern w:val="0"/>
          <w:sz w:val="24"/>
          <w:szCs w:val="24"/>
        </w:rPr>
        <w:t>。</w:t>
      </w:r>
    </w:p>
    <w:p w14:paraId="7884F25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8.8 工期提前</w:t>
      </w:r>
    </w:p>
    <w:p w14:paraId="1F7E1FF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8.8.2 承包人提前竣工的奖励：</w:t>
      </w:r>
      <w:r>
        <w:rPr>
          <w:rFonts w:hint="eastAsia" w:asciiTheme="minorEastAsia" w:hAnsiTheme="minorEastAsia" w:eastAsiaTheme="minorEastAsia" w:cstheme="minorEastAsia"/>
          <w:kern w:val="0"/>
          <w:sz w:val="24"/>
          <w:szCs w:val="24"/>
          <w:u w:val="single"/>
        </w:rPr>
        <w:t xml:space="preserve">           无          </w:t>
      </w:r>
      <w:r>
        <w:rPr>
          <w:rFonts w:hint="eastAsia" w:asciiTheme="minorEastAsia" w:hAnsiTheme="minorEastAsia" w:eastAsiaTheme="minorEastAsia" w:cstheme="minorEastAsia"/>
          <w:kern w:val="0"/>
          <w:sz w:val="24"/>
          <w:szCs w:val="24"/>
        </w:rPr>
        <w:t>。</w:t>
      </w:r>
    </w:p>
    <w:p w14:paraId="19C82B34">
      <w:pPr>
        <w:pStyle w:val="263"/>
        <w:widowControl/>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409" w:name="_Toc54862340"/>
      <w:r>
        <w:rPr>
          <w:rFonts w:hint="eastAsia" w:asciiTheme="minorEastAsia" w:hAnsiTheme="minorEastAsia" w:eastAsiaTheme="minorEastAsia" w:cstheme="minorEastAsia"/>
          <w:b w:val="0"/>
          <w:bCs/>
          <w:kern w:val="0"/>
          <w:sz w:val="24"/>
          <w:szCs w:val="18"/>
        </w:rPr>
        <w:t>第9条 竣工试验</w:t>
      </w:r>
      <w:bookmarkEnd w:id="1409"/>
    </w:p>
    <w:p w14:paraId="34DE74C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9.1 竣工试验的义务</w:t>
      </w:r>
    </w:p>
    <w:p w14:paraId="385D2BD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9.1.3 竣工试验的阶段、内容和顺序：</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024EDEF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竣工试验的操作要求：</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66060228">
      <w:pPr>
        <w:pStyle w:val="263"/>
        <w:widowControl/>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410" w:name="_Toc4784273"/>
      <w:bookmarkEnd w:id="1410"/>
      <w:bookmarkStart w:id="1411" w:name="_Toc4784272"/>
      <w:bookmarkEnd w:id="1411"/>
      <w:bookmarkStart w:id="1412" w:name="_Toc54862341"/>
      <w:r>
        <w:rPr>
          <w:rFonts w:hint="eastAsia" w:asciiTheme="minorEastAsia" w:hAnsiTheme="minorEastAsia" w:eastAsiaTheme="minorEastAsia" w:cstheme="minorEastAsia"/>
          <w:b w:val="0"/>
          <w:bCs/>
          <w:kern w:val="0"/>
          <w:sz w:val="24"/>
          <w:szCs w:val="18"/>
        </w:rPr>
        <w:t>第10条 验收和工程接收</w:t>
      </w:r>
      <w:bookmarkEnd w:id="1412"/>
    </w:p>
    <w:p w14:paraId="6E84A92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10.1 竣工验收</w:t>
      </w:r>
    </w:p>
    <w:p w14:paraId="6ADCFD1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10.1.2 关于竣工验收程序的约定：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0916EA2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413" w:name="_Hlk46406260"/>
      <w:r>
        <w:rPr>
          <w:rFonts w:hint="eastAsia" w:asciiTheme="minorEastAsia" w:hAnsiTheme="minorEastAsia" w:eastAsiaTheme="minorEastAsia" w:cstheme="minorEastAsia"/>
          <w:kern w:val="0"/>
          <w:sz w:val="24"/>
          <w:szCs w:val="24"/>
        </w:rPr>
        <w:t>发包人不按照合同约定组织竣工验收、颁发工程接受证书的违约金的计算方式：</w:t>
      </w:r>
      <w:r>
        <w:rPr>
          <w:rFonts w:hint="eastAsia" w:asciiTheme="minorEastAsia" w:hAnsiTheme="minorEastAsia" w:eastAsiaTheme="minorEastAsia" w:cstheme="minorEastAsia"/>
          <w:kern w:val="0"/>
          <w:sz w:val="24"/>
          <w:szCs w:val="24"/>
          <w:u w:val="single"/>
        </w:rPr>
        <w:t xml:space="preserve">                无                   </w:t>
      </w:r>
      <w:r>
        <w:rPr>
          <w:rFonts w:hint="eastAsia" w:asciiTheme="minorEastAsia" w:hAnsiTheme="minorEastAsia" w:eastAsiaTheme="minorEastAsia" w:cstheme="minorEastAsia"/>
          <w:kern w:val="0"/>
          <w:sz w:val="24"/>
          <w:szCs w:val="24"/>
        </w:rPr>
        <w:t>。</w:t>
      </w:r>
    </w:p>
    <w:bookmarkEnd w:id="1413"/>
    <w:p w14:paraId="4325772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10.3</w:t>
      </w:r>
      <w:r>
        <w:rPr>
          <w:rFonts w:hint="eastAsia" w:asciiTheme="minorEastAsia" w:hAnsiTheme="minorEastAsia" w:eastAsiaTheme="minorEastAsia" w:cstheme="minorEastAsia"/>
          <w:kern w:val="0"/>
          <w:sz w:val="24"/>
          <w:szCs w:val="24"/>
        </w:rPr>
        <w:tab/>
      </w:r>
      <w:r>
        <w:rPr>
          <w:rFonts w:hint="eastAsia" w:asciiTheme="minorEastAsia" w:hAnsiTheme="minorEastAsia" w:eastAsiaTheme="minorEastAsia" w:cstheme="minorEastAsia"/>
          <w:kern w:val="0"/>
          <w:sz w:val="24"/>
          <w:szCs w:val="24"/>
        </w:rPr>
        <w:t xml:space="preserve"> 工程的接收</w:t>
      </w:r>
    </w:p>
    <w:p w14:paraId="7FAE237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10.3.1工程接收的先后顺序、时间安排和其他要求：</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24D9401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10.3.2 接受工程时承包人需提交竣工验收资料的类别、内容、份数和提交时间：</w:t>
      </w:r>
      <w:r>
        <w:rPr>
          <w:rFonts w:hint="eastAsia" w:asciiTheme="minorEastAsia" w:hAnsiTheme="minorEastAsia" w:eastAsiaTheme="minorEastAsia" w:cstheme="minorEastAsia"/>
          <w:kern w:val="0"/>
          <w:sz w:val="24"/>
          <w:szCs w:val="24"/>
          <w:u w:val="single"/>
        </w:rPr>
        <w:t xml:space="preserve">              待定                </w:t>
      </w:r>
      <w:r>
        <w:rPr>
          <w:rFonts w:hint="eastAsia" w:asciiTheme="minorEastAsia" w:hAnsiTheme="minorEastAsia" w:eastAsiaTheme="minorEastAsia" w:cstheme="minorEastAsia"/>
          <w:kern w:val="0"/>
          <w:sz w:val="24"/>
          <w:szCs w:val="24"/>
        </w:rPr>
        <w:t>。</w:t>
      </w:r>
    </w:p>
    <w:p w14:paraId="5757724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10.3.3 发包人逾期接收工程的违约责任：</w:t>
      </w:r>
      <w:r>
        <w:rPr>
          <w:rFonts w:hint="eastAsia" w:asciiTheme="minorEastAsia" w:hAnsiTheme="minorEastAsia" w:eastAsiaTheme="minorEastAsia" w:cstheme="minorEastAsia"/>
          <w:kern w:val="0"/>
          <w:sz w:val="24"/>
          <w:szCs w:val="24"/>
          <w:u w:val="single"/>
        </w:rPr>
        <w:t>无</w:t>
      </w:r>
      <w:r>
        <w:rPr>
          <w:rFonts w:hint="eastAsia" w:asciiTheme="minorEastAsia" w:hAnsiTheme="minorEastAsia" w:eastAsiaTheme="minorEastAsia" w:cstheme="minorEastAsia"/>
          <w:kern w:val="0"/>
          <w:sz w:val="24"/>
          <w:szCs w:val="24"/>
        </w:rPr>
        <w:t>。</w:t>
      </w:r>
    </w:p>
    <w:p w14:paraId="79E9BCB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10.3.4 承包人无正当理由不移交工程的违约责任：</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3EFB6F3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10.4 接收证书</w:t>
      </w:r>
    </w:p>
    <w:p w14:paraId="1D36EA4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10.4.1 工程接收证书颁发时间：</w:t>
      </w:r>
      <w:r>
        <w:rPr>
          <w:rFonts w:hint="eastAsia" w:asciiTheme="minorEastAsia" w:hAnsiTheme="minorEastAsia" w:eastAsiaTheme="minorEastAsia" w:cstheme="minorEastAsia"/>
          <w:kern w:val="0"/>
          <w:sz w:val="24"/>
          <w:szCs w:val="24"/>
          <w:u w:val="single"/>
        </w:rPr>
        <w:t xml:space="preserve">    待定  </w:t>
      </w:r>
      <w:r>
        <w:rPr>
          <w:rFonts w:hint="eastAsia" w:asciiTheme="minorEastAsia" w:hAnsiTheme="minorEastAsia" w:eastAsiaTheme="minorEastAsia" w:cstheme="minorEastAsia"/>
          <w:kern w:val="0"/>
          <w:sz w:val="24"/>
          <w:szCs w:val="24"/>
        </w:rPr>
        <w:t>。</w:t>
      </w:r>
    </w:p>
    <w:p w14:paraId="25EBD45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10.5 竣工退场</w:t>
      </w:r>
    </w:p>
    <w:p w14:paraId="061B3E1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10.5.1 竣工退场的相关约定：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5F09A34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10.5.3人员撤离</w:t>
      </w:r>
    </w:p>
    <w:p w14:paraId="27D6007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工程师同意需在缺陷责任期内继续工作和使用的人员、施工设备和临时工程的内容：</w:t>
      </w:r>
      <w:r>
        <w:rPr>
          <w:rFonts w:hint="eastAsia" w:asciiTheme="minorEastAsia" w:hAnsiTheme="minorEastAsia" w:eastAsiaTheme="minorEastAsia" w:cstheme="minorEastAsia"/>
          <w:kern w:val="0"/>
          <w:sz w:val="24"/>
          <w:szCs w:val="24"/>
          <w:u w:val="single"/>
        </w:rPr>
        <w:t xml:space="preserve"> 根据调试运行情况及实际需求由发包人确定 </w:t>
      </w:r>
      <w:r>
        <w:rPr>
          <w:rFonts w:hint="eastAsia" w:asciiTheme="minorEastAsia" w:hAnsiTheme="minorEastAsia" w:eastAsiaTheme="minorEastAsia" w:cstheme="minorEastAsia"/>
          <w:kern w:val="0"/>
          <w:sz w:val="24"/>
          <w:szCs w:val="24"/>
        </w:rPr>
        <w:t>。</w:t>
      </w:r>
    </w:p>
    <w:p w14:paraId="324EDA3F">
      <w:pPr>
        <w:pStyle w:val="263"/>
        <w:widowControl/>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414" w:name="_Toc54862342"/>
      <w:r>
        <w:rPr>
          <w:rFonts w:hint="eastAsia" w:asciiTheme="minorEastAsia" w:hAnsiTheme="minorEastAsia" w:eastAsiaTheme="minorEastAsia" w:cstheme="minorEastAsia"/>
          <w:b w:val="0"/>
          <w:bCs/>
          <w:kern w:val="0"/>
          <w:sz w:val="24"/>
          <w:szCs w:val="18"/>
        </w:rPr>
        <w:t>第11条 缺陷责任与保修</w:t>
      </w:r>
      <w:bookmarkEnd w:id="1414"/>
    </w:p>
    <w:p w14:paraId="340D910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11.2 缺陷责任期</w:t>
      </w:r>
    </w:p>
    <w:p w14:paraId="56C46CC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缺陷责任期的期限：</w:t>
      </w:r>
      <w:r>
        <w:rPr>
          <w:rFonts w:hint="eastAsia" w:asciiTheme="minorEastAsia" w:hAnsiTheme="minorEastAsia" w:eastAsiaTheme="minorEastAsia" w:cstheme="minorEastAsia"/>
          <w:kern w:val="0"/>
          <w:sz w:val="24"/>
          <w:szCs w:val="24"/>
          <w:u w:val="single"/>
        </w:rPr>
        <w:t xml:space="preserve">   24个月，特殊设备或材料的缺陷责任期遵从其行业规定 </w:t>
      </w:r>
      <w:r>
        <w:rPr>
          <w:rFonts w:hint="eastAsia" w:asciiTheme="minorEastAsia" w:hAnsiTheme="minorEastAsia" w:eastAsiaTheme="minorEastAsia" w:cstheme="minorEastAsia"/>
          <w:kern w:val="0"/>
          <w:sz w:val="24"/>
          <w:szCs w:val="24"/>
        </w:rPr>
        <w:t>。</w:t>
      </w:r>
    </w:p>
    <w:p w14:paraId="660E517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11.3 缺陷调查</w:t>
      </w:r>
    </w:p>
    <w:p w14:paraId="7E5C39A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11.3.4 修复通知</w:t>
      </w:r>
    </w:p>
    <w:p w14:paraId="6FD542D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承包人收到保修通知并到达工程现场的合理时间：</w:t>
      </w:r>
      <w:r>
        <w:rPr>
          <w:rFonts w:hint="eastAsia" w:asciiTheme="minorEastAsia" w:hAnsiTheme="minorEastAsia" w:eastAsiaTheme="minorEastAsia" w:cstheme="minorEastAsia"/>
          <w:kern w:val="0"/>
          <w:sz w:val="24"/>
          <w:szCs w:val="24"/>
          <w:u w:val="single"/>
        </w:rPr>
        <w:t>12小时内</w:t>
      </w:r>
      <w:r>
        <w:rPr>
          <w:rFonts w:hint="eastAsia" w:asciiTheme="minorEastAsia" w:hAnsiTheme="minorEastAsia" w:eastAsiaTheme="minorEastAsia" w:cstheme="minorEastAsia"/>
          <w:kern w:val="0"/>
          <w:sz w:val="24"/>
          <w:szCs w:val="24"/>
        </w:rPr>
        <w:t>。</w:t>
      </w:r>
    </w:p>
    <w:p w14:paraId="1B47A52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11.6 缺陷责任期终止证书</w:t>
      </w:r>
    </w:p>
    <w:p w14:paraId="48BC32E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承包人应于缺陷责任期届满后</w:t>
      </w:r>
      <w:r>
        <w:rPr>
          <w:rFonts w:hint="eastAsia" w:asciiTheme="minorEastAsia" w:hAnsiTheme="minorEastAsia" w:eastAsiaTheme="minorEastAsia" w:cstheme="minorEastAsia"/>
          <w:kern w:val="0"/>
          <w:sz w:val="24"/>
          <w:szCs w:val="24"/>
          <w:u w:val="single"/>
        </w:rPr>
        <w:t xml:space="preserve"> 30 </w:t>
      </w:r>
      <w:r>
        <w:rPr>
          <w:rFonts w:hint="eastAsia" w:asciiTheme="minorEastAsia" w:hAnsiTheme="minorEastAsia" w:eastAsiaTheme="minorEastAsia" w:cstheme="minorEastAsia"/>
          <w:kern w:val="0"/>
          <w:sz w:val="24"/>
          <w:szCs w:val="24"/>
        </w:rPr>
        <w:t>天内向发包人发出缺陷责任期届满通知，发包人应在收到缺陷责任期满通知后</w:t>
      </w:r>
      <w:r>
        <w:rPr>
          <w:rFonts w:hint="eastAsia" w:asciiTheme="minorEastAsia" w:hAnsiTheme="minorEastAsia" w:eastAsiaTheme="minorEastAsia" w:cstheme="minorEastAsia"/>
          <w:kern w:val="0"/>
          <w:sz w:val="24"/>
          <w:szCs w:val="24"/>
          <w:u w:val="single"/>
        </w:rPr>
        <w:t xml:space="preserve"> 28 </w:t>
      </w:r>
      <w:r>
        <w:rPr>
          <w:rFonts w:hint="eastAsia" w:asciiTheme="minorEastAsia" w:hAnsiTheme="minorEastAsia" w:eastAsiaTheme="minorEastAsia" w:cstheme="minorEastAsia"/>
          <w:kern w:val="0"/>
          <w:sz w:val="24"/>
          <w:szCs w:val="24"/>
        </w:rPr>
        <w:t>天内核实承包人是否履行缺陷修复义务，承包人未能履行缺陷修复义务的，发包人有权扣除相应金额的维修费用。发包人应在收到缺陷责任期届满通知后</w:t>
      </w:r>
      <w:r>
        <w:rPr>
          <w:rFonts w:hint="eastAsia" w:asciiTheme="minorEastAsia" w:hAnsiTheme="minorEastAsia" w:eastAsiaTheme="minorEastAsia" w:cstheme="minorEastAsia"/>
          <w:kern w:val="0"/>
          <w:sz w:val="24"/>
          <w:szCs w:val="24"/>
          <w:u w:val="single"/>
        </w:rPr>
        <w:t xml:space="preserve"> 30 </w:t>
      </w:r>
      <w:r>
        <w:rPr>
          <w:rFonts w:hint="eastAsia" w:asciiTheme="minorEastAsia" w:hAnsiTheme="minorEastAsia" w:eastAsiaTheme="minorEastAsia" w:cstheme="minorEastAsia"/>
          <w:kern w:val="0"/>
          <w:sz w:val="24"/>
          <w:szCs w:val="24"/>
        </w:rPr>
        <w:t>天内，向承包人颁发缺陷责任期终止证书。</w:t>
      </w:r>
    </w:p>
    <w:p w14:paraId="7EADE59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11.7 保修责任</w:t>
      </w:r>
    </w:p>
    <w:p w14:paraId="0CA2F86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工程质量保修范围、期限和责任为：</w:t>
      </w:r>
      <w:r>
        <w:rPr>
          <w:rFonts w:hint="eastAsia" w:asciiTheme="minorEastAsia" w:hAnsiTheme="minorEastAsia" w:eastAsiaTheme="minorEastAsia" w:cstheme="minorEastAsia"/>
          <w:kern w:val="0"/>
          <w:sz w:val="24"/>
          <w:szCs w:val="24"/>
          <w:u w:val="single"/>
        </w:rPr>
        <w:t xml:space="preserve"> 执行国家和地方相关法律、法规，具体以附件：工程质量保修书为准  </w:t>
      </w:r>
      <w:r>
        <w:rPr>
          <w:rFonts w:hint="eastAsia" w:asciiTheme="minorEastAsia" w:hAnsiTheme="minorEastAsia" w:eastAsiaTheme="minorEastAsia" w:cstheme="minorEastAsia"/>
          <w:kern w:val="0"/>
          <w:sz w:val="24"/>
          <w:szCs w:val="24"/>
        </w:rPr>
        <w:t>。</w:t>
      </w:r>
    </w:p>
    <w:p w14:paraId="07A345AD">
      <w:pPr>
        <w:pStyle w:val="263"/>
        <w:widowControl/>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415" w:name="_Toc54862343"/>
      <w:r>
        <w:rPr>
          <w:rFonts w:hint="eastAsia" w:asciiTheme="minorEastAsia" w:hAnsiTheme="minorEastAsia" w:eastAsiaTheme="minorEastAsia" w:cstheme="minorEastAsia"/>
          <w:b w:val="0"/>
          <w:bCs/>
          <w:kern w:val="0"/>
          <w:sz w:val="24"/>
          <w:szCs w:val="18"/>
        </w:rPr>
        <w:t>第12条 竣工后试验</w:t>
      </w:r>
      <w:bookmarkEnd w:id="1415"/>
    </w:p>
    <w:p w14:paraId="170017A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本合同工程是否包含竣工后试验：</w:t>
      </w:r>
      <w:r>
        <w:rPr>
          <w:rFonts w:hint="eastAsia" w:asciiTheme="minorEastAsia" w:hAnsiTheme="minorEastAsia" w:eastAsiaTheme="minorEastAsia" w:cstheme="minorEastAsia"/>
          <w:kern w:val="0"/>
          <w:sz w:val="24"/>
          <w:szCs w:val="24"/>
          <w:u w:val="single"/>
        </w:rPr>
        <w:t xml:space="preserve">   包含  </w:t>
      </w:r>
      <w:r>
        <w:rPr>
          <w:rFonts w:hint="eastAsia" w:asciiTheme="minorEastAsia" w:hAnsiTheme="minorEastAsia" w:eastAsiaTheme="minorEastAsia" w:cstheme="minorEastAsia"/>
          <w:kern w:val="0"/>
          <w:sz w:val="24"/>
          <w:szCs w:val="24"/>
        </w:rPr>
        <w:t>。</w:t>
      </w:r>
    </w:p>
    <w:p w14:paraId="396B2CD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12.1 竣工后试验的程序</w:t>
      </w:r>
    </w:p>
    <w:p w14:paraId="70B2BFC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12.1.2 竣工后试验全部电力、水、污水处理、燃料、消耗品和材料，以及全部其他仪器、协助、文件或其他信息、设备、工具、劳力，启动工程设备，并组织安排有适当资质、经验和能力的工作人员等必要条件的提供方：</w:t>
      </w:r>
      <w:r>
        <w:rPr>
          <w:rFonts w:hint="eastAsia" w:asciiTheme="minorEastAsia" w:hAnsiTheme="minorEastAsia" w:eastAsiaTheme="minorEastAsia" w:cstheme="minorEastAsia"/>
          <w:kern w:val="0"/>
          <w:sz w:val="24"/>
          <w:szCs w:val="24"/>
          <w:u w:val="single"/>
        </w:rPr>
        <w:t xml:space="preserve">  承包人  </w:t>
      </w:r>
      <w:r>
        <w:rPr>
          <w:rFonts w:hint="eastAsia" w:asciiTheme="minorEastAsia" w:hAnsiTheme="minorEastAsia" w:eastAsiaTheme="minorEastAsia" w:cstheme="minorEastAsia"/>
          <w:kern w:val="0"/>
          <w:sz w:val="24"/>
          <w:szCs w:val="24"/>
        </w:rPr>
        <w:t>。</w:t>
      </w:r>
    </w:p>
    <w:p w14:paraId="190A88A5">
      <w:pPr>
        <w:pStyle w:val="263"/>
        <w:widowControl/>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416" w:name="_Toc54862344"/>
      <w:r>
        <w:rPr>
          <w:rFonts w:hint="eastAsia" w:asciiTheme="minorEastAsia" w:hAnsiTheme="minorEastAsia" w:eastAsiaTheme="minorEastAsia" w:cstheme="minorEastAsia"/>
          <w:b w:val="0"/>
          <w:bCs/>
          <w:kern w:val="0"/>
          <w:sz w:val="24"/>
          <w:szCs w:val="18"/>
        </w:rPr>
        <w:t>第13条 变更与调整</w:t>
      </w:r>
      <w:bookmarkEnd w:id="1416"/>
    </w:p>
    <w:p w14:paraId="3FF816C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13.2 承包人的合理化建议</w:t>
      </w:r>
    </w:p>
    <w:p w14:paraId="6004DFB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13.2.2 工程师应在收到承包人提交的合理化建议后</w:t>
      </w:r>
      <w:r>
        <w:rPr>
          <w:rFonts w:hint="eastAsia" w:asciiTheme="minorEastAsia" w:hAnsiTheme="minorEastAsia" w:eastAsiaTheme="minorEastAsia" w:cstheme="minorEastAsia"/>
          <w:kern w:val="0"/>
          <w:sz w:val="24"/>
          <w:szCs w:val="24"/>
          <w:u w:val="single"/>
        </w:rPr>
        <w:t xml:space="preserve"> 7 </w:t>
      </w:r>
      <w:r>
        <w:rPr>
          <w:rFonts w:hint="eastAsia" w:asciiTheme="minorEastAsia" w:hAnsiTheme="minorEastAsia" w:eastAsiaTheme="minorEastAsia" w:cstheme="minorEastAsia"/>
          <w:kern w:val="0"/>
          <w:sz w:val="24"/>
          <w:szCs w:val="24"/>
        </w:rPr>
        <w:t>日内审查完毕并报送发包人，发现其中存在技术上的缺陷，应通知承包人修改。发包人应在收到工程师报送的合理化建议后</w:t>
      </w:r>
      <w:r>
        <w:rPr>
          <w:rFonts w:hint="eastAsia" w:asciiTheme="minorEastAsia" w:hAnsiTheme="minorEastAsia" w:eastAsiaTheme="minorEastAsia" w:cstheme="minorEastAsia"/>
          <w:kern w:val="0"/>
          <w:sz w:val="24"/>
          <w:szCs w:val="24"/>
          <w:u w:val="single"/>
        </w:rPr>
        <w:t xml:space="preserve"> 7 </w:t>
      </w:r>
      <w:r>
        <w:rPr>
          <w:rFonts w:hint="eastAsia" w:asciiTheme="minorEastAsia" w:hAnsiTheme="minorEastAsia" w:eastAsiaTheme="minorEastAsia" w:cstheme="minorEastAsia"/>
          <w:kern w:val="0"/>
          <w:sz w:val="24"/>
          <w:szCs w:val="24"/>
        </w:rPr>
        <w:t>日内审批完毕。合理化建议经发包人批准的，工程师应及时发出变更指示，由此引起的合同价格调整按照</w:t>
      </w:r>
      <w:r>
        <w:rPr>
          <w:rFonts w:hint="eastAsia" w:asciiTheme="minorEastAsia" w:hAnsiTheme="minorEastAsia" w:eastAsiaTheme="minorEastAsia" w:cstheme="minorEastAsia"/>
          <w:kern w:val="0"/>
          <w:sz w:val="24"/>
          <w:szCs w:val="24"/>
          <w:u w:val="single"/>
        </w:rPr>
        <w:t xml:space="preserve">  通用条款 </w:t>
      </w:r>
      <w:r>
        <w:rPr>
          <w:rFonts w:hint="eastAsia" w:asciiTheme="minorEastAsia" w:hAnsiTheme="minorEastAsia" w:eastAsiaTheme="minorEastAsia" w:cstheme="minorEastAsia"/>
          <w:kern w:val="0"/>
          <w:sz w:val="24"/>
          <w:szCs w:val="24"/>
        </w:rPr>
        <w:t>执行。发包人不同意变更的，工程师应书面通知承包人</w:t>
      </w:r>
    </w:p>
    <w:p w14:paraId="71DF0D2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13.2.3 承包人提出的合理化变更建议的利益分享约定：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7CDE733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13.3 变更程序</w:t>
      </w:r>
    </w:p>
    <w:p w14:paraId="5C76AF8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13.3.3 变更估价</w:t>
      </w:r>
    </w:p>
    <w:p w14:paraId="7AA08A7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13.3.3.1 变更估价原则</w:t>
      </w:r>
    </w:p>
    <w:p w14:paraId="1F08381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关于变更估价原则的约定：</w:t>
      </w:r>
      <w:r>
        <w:rPr>
          <w:rFonts w:hint="eastAsia" w:asciiTheme="minorEastAsia" w:hAnsiTheme="minorEastAsia" w:eastAsiaTheme="minorEastAsia" w:cstheme="minorEastAsia"/>
          <w:kern w:val="0"/>
          <w:sz w:val="24"/>
          <w:szCs w:val="24"/>
          <w:u w:val="single"/>
        </w:rPr>
        <w:t xml:space="preserve"> 在发包人技术要求不发生变化的情况，发包人就技术要求的细化、澄清、对设计文件调整要求均不构成变更，合同价格不作任何调整 </w:t>
      </w:r>
      <w:r>
        <w:rPr>
          <w:rFonts w:hint="eastAsia" w:asciiTheme="minorEastAsia" w:hAnsiTheme="minorEastAsia" w:eastAsiaTheme="minorEastAsia" w:cstheme="minorEastAsia"/>
          <w:kern w:val="0"/>
          <w:sz w:val="24"/>
          <w:szCs w:val="24"/>
        </w:rPr>
        <w:t>。</w:t>
      </w:r>
    </w:p>
    <w:p w14:paraId="64C64B8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13.4 暂估价</w:t>
      </w:r>
    </w:p>
    <w:p w14:paraId="2B7D4F9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13.4.1 依法必须招标的暂估价项目</w:t>
      </w:r>
    </w:p>
    <w:p w14:paraId="0504079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承包人可以参与投标的暂估价项目范围：</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ADC68C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承包人不得参与投标的暂估价项目范围：</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473006F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招投标程序及其他约定：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02A7D9F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13.4.2 不属于依法必须招标的暂估价项目</w:t>
      </w:r>
    </w:p>
    <w:p w14:paraId="194B0FE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不属于依法必须招标的暂估价项目的协商及估价的约定：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2521A4E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13.5 暂列金额</w:t>
      </w:r>
    </w:p>
    <w:p w14:paraId="1FB7DA2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其他关于暂列金额使用的约定：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6BDB7EE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13.8 市场价格波动引起的调整</w:t>
      </w:r>
    </w:p>
    <w:p w14:paraId="58A8F76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13.8.2 关于是否采用《价格指数权重表》的约定：</w:t>
      </w:r>
      <w:r>
        <w:rPr>
          <w:rFonts w:hint="eastAsia" w:asciiTheme="minorEastAsia" w:hAnsiTheme="minorEastAsia" w:eastAsiaTheme="minorEastAsia" w:cstheme="minorEastAsia"/>
          <w:kern w:val="0"/>
          <w:sz w:val="24"/>
          <w:szCs w:val="24"/>
          <w:u w:val="single"/>
        </w:rPr>
        <w:t>否， 因本工程工期较短，且发包人支付了较高的预付款用于承包人材料采购及设备订购，本工程合同价格不因市场价格波动作任何调整</w:t>
      </w:r>
      <w:r>
        <w:rPr>
          <w:rFonts w:hint="eastAsia" w:asciiTheme="minorEastAsia" w:hAnsiTheme="minorEastAsia" w:eastAsiaTheme="minorEastAsia" w:cstheme="minorEastAsia"/>
          <w:kern w:val="0"/>
          <w:sz w:val="24"/>
          <w:szCs w:val="24"/>
        </w:rPr>
        <w:t>。</w:t>
      </w:r>
    </w:p>
    <w:p w14:paraId="01889A7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13.8.3 关于采用其他方式调整合同价款的约定：</w:t>
      </w:r>
      <w:r>
        <w:rPr>
          <w:rFonts w:hint="eastAsia" w:asciiTheme="minorEastAsia" w:hAnsiTheme="minorEastAsia" w:eastAsiaTheme="minorEastAsia" w:cstheme="minorEastAsia"/>
          <w:kern w:val="0"/>
          <w:sz w:val="24"/>
          <w:szCs w:val="24"/>
          <w:u w:val="single"/>
        </w:rPr>
        <w:t xml:space="preserve">                     无</w:t>
      </w:r>
      <w:r>
        <w:rPr>
          <w:rFonts w:hint="eastAsia" w:asciiTheme="minorEastAsia" w:hAnsiTheme="minorEastAsia" w:eastAsiaTheme="minorEastAsia" w:cstheme="minorEastAsia"/>
          <w:kern w:val="0"/>
          <w:sz w:val="24"/>
          <w:szCs w:val="24"/>
        </w:rPr>
        <w:t>。</w:t>
      </w:r>
    </w:p>
    <w:p w14:paraId="1D589AC7">
      <w:pPr>
        <w:pStyle w:val="263"/>
        <w:widowControl/>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417" w:name="_Toc54862345"/>
      <w:r>
        <w:rPr>
          <w:rFonts w:hint="eastAsia" w:asciiTheme="minorEastAsia" w:hAnsiTheme="minorEastAsia" w:eastAsiaTheme="minorEastAsia" w:cstheme="minorEastAsia"/>
          <w:b w:val="0"/>
          <w:bCs/>
          <w:kern w:val="0"/>
          <w:sz w:val="24"/>
          <w:szCs w:val="18"/>
        </w:rPr>
        <w:t>第14条 合同价格与支付</w:t>
      </w:r>
      <w:bookmarkEnd w:id="1417"/>
    </w:p>
    <w:p w14:paraId="6D49E5C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14.1 合同价格形式</w:t>
      </w:r>
    </w:p>
    <w:p w14:paraId="4D03796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14.1.1 关于合同价格形式的约定：</w:t>
      </w:r>
      <w:r>
        <w:rPr>
          <w:rFonts w:hint="eastAsia" w:asciiTheme="minorEastAsia" w:hAnsiTheme="minorEastAsia" w:eastAsiaTheme="minorEastAsia" w:cstheme="minorEastAsia"/>
          <w:kern w:val="0"/>
          <w:sz w:val="24"/>
          <w:szCs w:val="24"/>
          <w:u w:val="single"/>
        </w:rPr>
        <w:t>固定总价</w:t>
      </w:r>
      <w:r>
        <w:rPr>
          <w:rFonts w:hint="eastAsia" w:asciiTheme="minorEastAsia" w:hAnsiTheme="minorEastAsia" w:eastAsiaTheme="minorEastAsia" w:cstheme="minorEastAsia"/>
          <w:kern w:val="0"/>
          <w:sz w:val="24"/>
          <w:szCs w:val="24"/>
        </w:rPr>
        <w:t>。</w:t>
      </w:r>
    </w:p>
    <w:p w14:paraId="5792F8C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14.1.2 关于合同价格调整的约定：</w:t>
      </w:r>
      <w:r>
        <w:rPr>
          <w:rFonts w:hint="eastAsia" w:asciiTheme="minorEastAsia" w:hAnsiTheme="minorEastAsia" w:eastAsiaTheme="minorEastAsia" w:cstheme="minorEastAsia"/>
          <w:kern w:val="0"/>
          <w:sz w:val="24"/>
          <w:szCs w:val="24"/>
          <w:u w:val="single"/>
        </w:rPr>
        <w:t>执行通用合同条件</w:t>
      </w:r>
      <w:r>
        <w:rPr>
          <w:rFonts w:hint="eastAsia" w:asciiTheme="minorEastAsia" w:hAnsiTheme="minorEastAsia" w:eastAsiaTheme="minorEastAsia" w:cstheme="minorEastAsia"/>
          <w:kern w:val="0"/>
          <w:sz w:val="24"/>
          <w:szCs w:val="24"/>
        </w:rPr>
        <w:t>。</w:t>
      </w:r>
    </w:p>
    <w:p w14:paraId="2FA0410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14.1.3 按实际完成的工程量支付工程价款的计量方法、估价方法：</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780264B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14.2 预付款</w:t>
      </w:r>
    </w:p>
    <w:p w14:paraId="2370ED7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14.2.1 预付款支付</w:t>
      </w:r>
    </w:p>
    <w:p w14:paraId="36DDE5F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预付款的金额或比例为：</w:t>
      </w:r>
      <w:r>
        <w:rPr>
          <w:rFonts w:hint="eastAsia" w:asciiTheme="minorEastAsia" w:hAnsiTheme="minorEastAsia" w:eastAsiaTheme="minorEastAsia" w:cstheme="minorEastAsia"/>
          <w:kern w:val="0"/>
          <w:sz w:val="24"/>
          <w:szCs w:val="24"/>
          <w:u w:val="single"/>
        </w:rPr>
        <w:t xml:space="preserve"> 签约合同价（扣除暂列金额后）的10%  </w:t>
      </w:r>
      <w:r>
        <w:rPr>
          <w:rFonts w:hint="eastAsia" w:asciiTheme="minorEastAsia" w:hAnsiTheme="minorEastAsia" w:eastAsiaTheme="minorEastAsia" w:cstheme="minorEastAsia"/>
          <w:kern w:val="0"/>
          <w:sz w:val="24"/>
          <w:szCs w:val="24"/>
        </w:rPr>
        <w:t>。</w:t>
      </w:r>
    </w:p>
    <w:p w14:paraId="6052241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预付款支付期限：</w:t>
      </w:r>
      <w:r>
        <w:rPr>
          <w:rFonts w:hint="eastAsia" w:asciiTheme="minorEastAsia" w:hAnsiTheme="minorEastAsia" w:eastAsiaTheme="minorEastAsia" w:cstheme="minorEastAsia"/>
          <w:kern w:val="0"/>
          <w:sz w:val="24"/>
          <w:szCs w:val="24"/>
          <w:u w:val="single"/>
        </w:rPr>
        <w:t xml:space="preserve"> 合同签订生效后10天内 </w:t>
      </w:r>
      <w:r>
        <w:rPr>
          <w:rFonts w:hint="eastAsia" w:asciiTheme="minorEastAsia" w:hAnsiTheme="minorEastAsia" w:eastAsiaTheme="minorEastAsia" w:cstheme="minorEastAsia"/>
          <w:kern w:val="0"/>
          <w:sz w:val="24"/>
          <w:szCs w:val="24"/>
        </w:rPr>
        <w:t>。</w:t>
      </w:r>
    </w:p>
    <w:p w14:paraId="02E6EE3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预付款扣回的方式：</w:t>
      </w:r>
      <w:r>
        <w:rPr>
          <w:rFonts w:hint="eastAsia" w:asciiTheme="minorEastAsia" w:hAnsiTheme="minorEastAsia" w:eastAsiaTheme="minorEastAsia" w:cstheme="minorEastAsia"/>
          <w:kern w:val="0"/>
          <w:sz w:val="24"/>
          <w:szCs w:val="24"/>
          <w:u w:val="single"/>
        </w:rPr>
        <w:t xml:space="preserve">         不抵扣          </w:t>
      </w:r>
      <w:r>
        <w:rPr>
          <w:rFonts w:hint="eastAsia" w:asciiTheme="minorEastAsia" w:hAnsiTheme="minorEastAsia" w:eastAsiaTheme="minorEastAsia" w:cstheme="minorEastAsia"/>
          <w:kern w:val="0"/>
          <w:sz w:val="24"/>
          <w:szCs w:val="24"/>
        </w:rPr>
        <w:t>。</w:t>
      </w:r>
    </w:p>
    <w:p w14:paraId="19F9141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14.2.2预付款担保</w:t>
      </w:r>
    </w:p>
    <w:p w14:paraId="5B1A939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提供预付款担保期限：</w:t>
      </w:r>
      <w:r>
        <w:rPr>
          <w:rFonts w:hint="eastAsia" w:asciiTheme="minorEastAsia" w:hAnsiTheme="minorEastAsia" w:eastAsiaTheme="minorEastAsia" w:cstheme="minorEastAsia"/>
          <w:kern w:val="0"/>
          <w:sz w:val="24"/>
          <w:szCs w:val="24"/>
          <w:u w:val="single"/>
        </w:rPr>
        <w:t xml:space="preserve"> 不要求提供预付款担保  </w:t>
      </w:r>
      <w:r>
        <w:rPr>
          <w:rFonts w:hint="eastAsia" w:asciiTheme="minorEastAsia" w:hAnsiTheme="minorEastAsia" w:eastAsiaTheme="minorEastAsia" w:cstheme="minorEastAsia"/>
          <w:kern w:val="0"/>
          <w:sz w:val="24"/>
          <w:szCs w:val="24"/>
        </w:rPr>
        <w:t>。</w:t>
      </w:r>
    </w:p>
    <w:p w14:paraId="27F4B27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预付款担保形式：</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7143EB9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14.3 工程进度款</w:t>
      </w:r>
    </w:p>
    <w:p w14:paraId="5800624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14.3.1 工程进度付款申请</w:t>
      </w:r>
    </w:p>
    <w:p w14:paraId="60A93ED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工程进度付款申请方式：</w:t>
      </w:r>
      <w:r>
        <w:rPr>
          <w:rFonts w:hint="eastAsia" w:asciiTheme="minorEastAsia" w:hAnsiTheme="minorEastAsia" w:eastAsiaTheme="minorEastAsia" w:cstheme="minorEastAsia"/>
          <w:kern w:val="0"/>
          <w:sz w:val="24"/>
          <w:szCs w:val="24"/>
          <w:u w:val="single"/>
        </w:rPr>
        <w:t xml:space="preserve"> 按通用合同条款执行  </w:t>
      </w:r>
      <w:r>
        <w:rPr>
          <w:rFonts w:hint="eastAsia" w:asciiTheme="minorEastAsia" w:hAnsiTheme="minorEastAsia" w:eastAsiaTheme="minorEastAsia" w:cstheme="minorEastAsia"/>
          <w:kern w:val="0"/>
          <w:sz w:val="24"/>
          <w:szCs w:val="24"/>
        </w:rPr>
        <w:t>。</w:t>
      </w:r>
    </w:p>
    <w:p w14:paraId="0AC7636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承包人提交进度付款申请单的格式、内容、份数和时间：</w:t>
      </w:r>
      <w:r>
        <w:rPr>
          <w:rFonts w:hint="eastAsia" w:asciiTheme="minorEastAsia" w:hAnsiTheme="minorEastAsia" w:eastAsiaTheme="minorEastAsia" w:cstheme="minorEastAsia"/>
          <w:kern w:val="0"/>
          <w:sz w:val="24"/>
          <w:szCs w:val="24"/>
          <w:u w:val="single"/>
        </w:rPr>
        <w:t xml:space="preserve">      一式六份      </w:t>
      </w:r>
      <w:r>
        <w:rPr>
          <w:rFonts w:hint="eastAsia" w:asciiTheme="minorEastAsia" w:hAnsiTheme="minorEastAsia" w:eastAsiaTheme="minorEastAsia" w:cstheme="minorEastAsia"/>
          <w:kern w:val="0"/>
          <w:sz w:val="24"/>
          <w:szCs w:val="24"/>
        </w:rPr>
        <w:t>。</w:t>
      </w:r>
    </w:p>
    <w:p w14:paraId="5225E29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进度付款申请单应包括的内容：</w:t>
      </w:r>
      <w:r>
        <w:rPr>
          <w:rFonts w:hint="eastAsia" w:asciiTheme="minorEastAsia" w:hAnsiTheme="minorEastAsia" w:eastAsiaTheme="minorEastAsia" w:cstheme="minorEastAsia"/>
          <w:kern w:val="0"/>
          <w:sz w:val="24"/>
          <w:szCs w:val="24"/>
          <w:u w:val="single"/>
        </w:rPr>
        <w:t xml:space="preserve">  按通用合同条款执行 </w:t>
      </w:r>
      <w:r>
        <w:rPr>
          <w:rFonts w:hint="eastAsia" w:asciiTheme="minorEastAsia" w:hAnsiTheme="minorEastAsia" w:eastAsiaTheme="minorEastAsia" w:cstheme="minorEastAsia"/>
          <w:kern w:val="0"/>
          <w:sz w:val="24"/>
          <w:szCs w:val="24"/>
        </w:rPr>
        <w:t>。</w:t>
      </w:r>
    </w:p>
    <w:p w14:paraId="187F82A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14.3.2 进度付款审核和支付</w:t>
      </w:r>
    </w:p>
    <w:p w14:paraId="1E38966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rPr>
        <w:t>进度付款的审核方式和支付的约定：</w:t>
      </w:r>
    </w:p>
    <w:p w14:paraId="2562879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rPr>
        <w:t>14.3.2.1</w:t>
      </w:r>
      <w:r>
        <w:rPr>
          <w:rFonts w:hint="eastAsia" w:asciiTheme="minorEastAsia" w:hAnsiTheme="minorEastAsia" w:eastAsiaTheme="minorEastAsia" w:cstheme="minorEastAsia"/>
          <w:kern w:val="0"/>
          <w:sz w:val="24"/>
          <w:szCs w:val="24"/>
          <w:u w:val="single"/>
        </w:rPr>
        <w:t xml:space="preserve">进度款付款周期：按形象进度支付 </w:t>
      </w:r>
    </w:p>
    <w:p w14:paraId="44B3872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（1）施工图设计完成，经发包人确认后20日内支付至签约合同价款中设计费及勘察费的90%，设计费及勘察费余款竣工验收合格后支付； </w:t>
      </w:r>
    </w:p>
    <w:p w14:paraId="587C519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（2）施工工程量完成50%后，支付至已完工程量的50%； </w:t>
      </w:r>
    </w:p>
    <w:p w14:paraId="4A55C1E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（3）工程竣工验收合格后30日内，支付至已完工程量的90%（含预付款）； </w:t>
      </w:r>
    </w:p>
    <w:p w14:paraId="0372E98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u w:val="single"/>
        </w:rPr>
        <w:t>（4）工程完成结算审核：自工程结算审核完成后，承包人向发包人提供最终工程结算价3%的质保金后，支付至最终工程结算价的100%</w:t>
      </w:r>
      <w:r>
        <w:rPr>
          <w:rFonts w:hint="eastAsia" w:asciiTheme="minorEastAsia" w:hAnsiTheme="minorEastAsia" w:eastAsiaTheme="minorEastAsia" w:cstheme="minorEastAsia"/>
          <w:kern w:val="0"/>
          <w:sz w:val="24"/>
          <w:szCs w:val="24"/>
        </w:rPr>
        <w:t>。</w:t>
      </w:r>
    </w:p>
    <w:p w14:paraId="3B43421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14.3.2.2 承包人须于下列任何一种情况发生五日内采取有效整改和改善措施及工作，如情况未能于上述五日内改善至发包人要求，发包人有权暂停支付工程进度款及任何应支付承包人之款项。所有有关经济上及工期上之损失完全归由承包人负责，发包人保留追究承包人赔偿任何经济损失之权力。 </w:t>
      </w:r>
    </w:p>
    <w:p w14:paraId="40ACE8B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（1）工地上发生任何有关安全的严重事故，如危害周边建筑物或居民安全，严重塌方、设备事故造成严重后果等； </w:t>
      </w:r>
    </w:p>
    <w:p w14:paraId="2A1A979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（2）承包人严重违反当地之法律或法令，或严重污染工地附近之场地、道路、河流、湖泊或水道，并受到政府主管部门处罚； </w:t>
      </w:r>
    </w:p>
    <w:p w14:paraId="65BE10A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（3）承包人不依照发包人指示或政府规范施工，或不按经批准及认可的设计要求施工； </w:t>
      </w:r>
    </w:p>
    <w:p w14:paraId="6C94646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（4）承包人未得到发包人的事先认可而对本工程进行任何形式之分包、转包或转让； </w:t>
      </w:r>
    </w:p>
    <w:p w14:paraId="6C72CD1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（5）承包人使用不符合标准的材料及设备，或不提供材料合格证明及检验或测试报告而拒不改正的； </w:t>
      </w:r>
    </w:p>
    <w:p w14:paraId="5898A2A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（6）承包人采购设备、材料品牌与合同约定不符或性能不达标的； </w:t>
      </w:r>
    </w:p>
    <w:p w14:paraId="7CBE930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由于资金支付的有关审批程序规定所需的时限或发包人提出暂缓支付，导致发包人未能按本合同约定的时间支付各类工程款项，承包人应以自身资金和资源保证工程连续施工至少一个月的时间，并不能因此要求得到任何工期和价款的补偿。</w:t>
      </w:r>
    </w:p>
    <w:p w14:paraId="3F8DF5A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发包人应在进度款支付证书或临时进度款支付证书签发后的</w:t>
      </w:r>
      <w:r>
        <w:rPr>
          <w:rFonts w:hint="eastAsia" w:asciiTheme="minorEastAsia" w:hAnsiTheme="minorEastAsia" w:eastAsiaTheme="minorEastAsia" w:cstheme="minorEastAsia"/>
          <w:kern w:val="0"/>
          <w:sz w:val="24"/>
          <w:szCs w:val="24"/>
          <w:u w:val="single"/>
        </w:rPr>
        <w:t xml:space="preserve"> 30 </w:t>
      </w:r>
      <w:r>
        <w:rPr>
          <w:rFonts w:hint="eastAsia" w:asciiTheme="minorEastAsia" w:hAnsiTheme="minorEastAsia" w:eastAsiaTheme="minorEastAsia" w:cstheme="minorEastAsia"/>
          <w:kern w:val="0"/>
          <w:sz w:val="24"/>
          <w:szCs w:val="24"/>
        </w:rPr>
        <w:t>天内完成支付，发包人逾期支付进度款的，应按照</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支付违约金。</w:t>
      </w:r>
    </w:p>
    <w:p w14:paraId="6E731DB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14.4 付款计划表</w:t>
      </w:r>
    </w:p>
    <w:p w14:paraId="247FCBA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14.4.1 付款计划表的编制要求：</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4BA2449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14.4.2 付款计划表的编制与审批</w:t>
      </w:r>
    </w:p>
    <w:p w14:paraId="1B6E46C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付款计划表的编制：</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76AA3E9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14.5 竣工结算</w:t>
      </w:r>
    </w:p>
    <w:p w14:paraId="22F3FF6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14.5.1 竣工结算申请</w:t>
      </w:r>
    </w:p>
    <w:p w14:paraId="0E8B67C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承包人提交竣工结算申请的时间：</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093F81F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竣工结算申请的资料清单和份数：</w:t>
      </w:r>
      <w:r>
        <w:rPr>
          <w:rFonts w:hint="eastAsia" w:asciiTheme="minorEastAsia" w:hAnsiTheme="minorEastAsia" w:eastAsiaTheme="minorEastAsia" w:cstheme="minorEastAsia"/>
          <w:kern w:val="0"/>
          <w:sz w:val="24"/>
          <w:szCs w:val="24"/>
          <w:u w:val="single"/>
        </w:rPr>
        <w:t xml:space="preserve">   6份   </w:t>
      </w:r>
      <w:r>
        <w:rPr>
          <w:rFonts w:hint="eastAsia" w:asciiTheme="minorEastAsia" w:hAnsiTheme="minorEastAsia" w:eastAsiaTheme="minorEastAsia" w:cstheme="minorEastAsia"/>
          <w:kern w:val="0"/>
          <w:sz w:val="24"/>
          <w:szCs w:val="24"/>
        </w:rPr>
        <w:t>。</w:t>
      </w:r>
    </w:p>
    <w:p w14:paraId="66029F6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竣工结算申请单的内容应包括：</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039D99A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14.5.2 竣工结算审核</w:t>
      </w:r>
    </w:p>
    <w:p w14:paraId="62178B5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发包人审批竣工付款申请单的期限：</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3F65C35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发包人完成竣工付款的期限：</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5FBC014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关于竣工付款证书异议部分复核的方式和程序：</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0A240B9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14.6 质量保证金</w:t>
      </w:r>
    </w:p>
    <w:p w14:paraId="7DC5AD8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14.6.1 承包人提供质量保证金的方式</w:t>
      </w:r>
    </w:p>
    <w:p w14:paraId="6FD5A72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质量保证金采用以下第</w:t>
      </w:r>
      <w:r>
        <w:rPr>
          <w:rFonts w:hint="eastAsia" w:asciiTheme="minorEastAsia" w:hAnsiTheme="minorEastAsia" w:eastAsiaTheme="minorEastAsia" w:cstheme="minorEastAsia"/>
          <w:kern w:val="0"/>
          <w:sz w:val="24"/>
          <w:szCs w:val="24"/>
          <w:u w:val="single"/>
        </w:rPr>
        <w:t xml:space="preserve">    （1）    </w:t>
      </w:r>
      <w:r>
        <w:rPr>
          <w:rFonts w:hint="eastAsia" w:asciiTheme="minorEastAsia" w:hAnsiTheme="minorEastAsia" w:eastAsiaTheme="minorEastAsia" w:cstheme="minorEastAsia"/>
          <w:kern w:val="0"/>
          <w:sz w:val="24"/>
          <w:szCs w:val="24"/>
        </w:rPr>
        <w:t>种方式：</w:t>
      </w:r>
    </w:p>
    <w:p w14:paraId="4BDC8DF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工程质量保证担保，保证金额为：</w:t>
      </w:r>
      <w:r>
        <w:rPr>
          <w:rFonts w:hint="eastAsia" w:asciiTheme="minorEastAsia" w:hAnsiTheme="minorEastAsia" w:eastAsiaTheme="minorEastAsia" w:cstheme="minorEastAsia"/>
          <w:kern w:val="0"/>
          <w:sz w:val="24"/>
          <w:szCs w:val="24"/>
          <w:u w:val="single"/>
        </w:rPr>
        <w:t xml:space="preserve">竣工结算金额的3% </w:t>
      </w:r>
      <w:r>
        <w:rPr>
          <w:rFonts w:hint="eastAsia" w:asciiTheme="minorEastAsia" w:hAnsiTheme="minorEastAsia" w:eastAsiaTheme="minorEastAsia" w:cstheme="minorEastAsia"/>
          <w:kern w:val="0"/>
          <w:sz w:val="24"/>
          <w:szCs w:val="24"/>
        </w:rPr>
        <w:t>；</w:t>
      </w:r>
    </w:p>
    <w:p w14:paraId="674D5EF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(2) </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%的工程款；</w:t>
      </w:r>
    </w:p>
    <w:p w14:paraId="091382A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其他方式：</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56F679B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14.6.2 质量保证金的预留</w:t>
      </w:r>
    </w:p>
    <w:p w14:paraId="6BDA914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质量保证金的预留采取以下第</w:t>
      </w:r>
      <w:r>
        <w:rPr>
          <w:rFonts w:hint="eastAsia" w:asciiTheme="minorEastAsia" w:hAnsiTheme="minorEastAsia" w:eastAsiaTheme="minorEastAsia" w:cstheme="minorEastAsia"/>
          <w:kern w:val="0"/>
          <w:sz w:val="24"/>
          <w:szCs w:val="24"/>
          <w:u w:val="single"/>
        </w:rPr>
        <w:t xml:space="preserve">   （3）   </w:t>
      </w:r>
      <w:r>
        <w:rPr>
          <w:rFonts w:hint="eastAsia" w:asciiTheme="minorEastAsia" w:hAnsiTheme="minorEastAsia" w:eastAsiaTheme="minorEastAsia" w:cstheme="minorEastAsia"/>
          <w:kern w:val="0"/>
          <w:sz w:val="24"/>
          <w:szCs w:val="24"/>
        </w:rPr>
        <w:t>种方式：</w:t>
      </w:r>
    </w:p>
    <w:p w14:paraId="525B820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在支付工程进度款时逐次预留的质量保证金的比例：</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，在此情形下，质量保证金的计算基数不包括预付款的支付、扣回以及价格调整的金额；</w:t>
      </w:r>
    </w:p>
    <w:p w14:paraId="41B7E7B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工程竣工结算时一次性预留专用合同条件第14.6.1项第(2)目约定的工程款预留比例的质量保证金；</w:t>
      </w:r>
    </w:p>
    <w:p w14:paraId="6FE8F60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(3) 其他预留方式: </w:t>
      </w:r>
      <w:r>
        <w:rPr>
          <w:rFonts w:hint="eastAsia" w:asciiTheme="minorEastAsia" w:hAnsiTheme="minorEastAsia" w:eastAsiaTheme="minorEastAsia" w:cstheme="minorEastAsia"/>
          <w:kern w:val="0"/>
          <w:sz w:val="24"/>
          <w:szCs w:val="24"/>
          <w:u w:val="single"/>
        </w:rPr>
        <w:t xml:space="preserve"> 工程竣工结算完成后，承包人缴纳竣工结算金额3%的质保金，发包人收到质保金后支付至竣工结算价款的100%  </w:t>
      </w:r>
      <w:r>
        <w:rPr>
          <w:rFonts w:hint="eastAsia" w:asciiTheme="minorEastAsia" w:hAnsiTheme="minorEastAsia" w:eastAsiaTheme="minorEastAsia" w:cstheme="minorEastAsia"/>
          <w:kern w:val="0"/>
          <w:sz w:val="24"/>
          <w:szCs w:val="24"/>
        </w:rPr>
        <w:t>。</w:t>
      </w:r>
    </w:p>
    <w:p w14:paraId="74FB235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关于质量保证金的补充约定：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19C1701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14.7 最终结清</w:t>
      </w:r>
    </w:p>
    <w:p w14:paraId="71E12F8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14.7.1 最终结清申请单</w:t>
      </w:r>
    </w:p>
    <w:p w14:paraId="6DAE322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当事人双方关于最终结清申请的其他约定：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42253F5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14.7.2 最终结清证书和支付</w:t>
      </w:r>
    </w:p>
    <w:p w14:paraId="62BBAAC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当事人双方关于最终结清支付的其他约定：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33C9633">
      <w:pPr>
        <w:pStyle w:val="263"/>
        <w:widowControl/>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418" w:name="_Toc54862346"/>
      <w:r>
        <w:rPr>
          <w:rFonts w:hint="eastAsia" w:asciiTheme="minorEastAsia" w:hAnsiTheme="minorEastAsia" w:eastAsiaTheme="minorEastAsia" w:cstheme="minorEastAsia"/>
          <w:b w:val="0"/>
          <w:bCs/>
          <w:kern w:val="0"/>
          <w:sz w:val="24"/>
          <w:szCs w:val="18"/>
        </w:rPr>
        <w:t>第15条 违约</w:t>
      </w:r>
      <w:bookmarkEnd w:id="1418"/>
    </w:p>
    <w:p w14:paraId="134D4DC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15.1 发包人违约</w:t>
      </w:r>
    </w:p>
    <w:p w14:paraId="6FFD703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15.1.1 发包人违约的情形</w:t>
      </w:r>
    </w:p>
    <w:p w14:paraId="3E76968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发包人违约的其他情形</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62BE929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15.1.3 发包人违约的责任</w:t>
      </w:r>
    </w:p>
    <w:p w14:paraId="3C70DCF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发包人违约责任的承担方式和计算方法：</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50FF587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15.2 承包人违约</w:t>
      </w:r>
    </w:p>
    <w:p w14:paraId="39E271D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15.2.1 承包人违约的情形</w:t>
      </w:r>
    </w:p>
    <w:p w14:paraId="5A19DB1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承包人违约的其他情形：</w:t>
      </w:r>
      <w:r>
        <w:rPr>
          <w:rFonts w:hint="eastAsia" w:asciiTheme="minorEastAsia" w:hAnsiTheme="minorEastAsia" w:eastAsiaTheme="minorEastAsia" w:cstheme="minorEastAsia"/>
          <w:kern w:val="0"/>
          <w:sz w:val="24"/>
          <w:szCs w:val="24"/>
          <w:u w:val="single"/>
        </w:rPr>
        <w:t xml:space="preserve"> 承包人不得向第三人转让对发包人的任何债权，否则发包人有权解除合同，承包人应当向发包人支付转让债权款项10%的违约金</w:t>
      </w:r>
      <w:r>
        <w:rPr>
          <w:rFonts w:hint="eastAsia" w:asciiTheme="minorEastAsia" w:hAnsiTheme="minorEastAsia" w:eastAsiaTheme="minorEastAsia" w:cstheme="minorEastAsia"/>
          <w:kern w:val="0"/>
          <w:sz w:val="24"/>
          <w:szCs w:val="24"/>
        </w:rPr>
        <w:t>。</w:t>
      </w:r>
    </w:p>
    <w:p w14:paraId="51B84CC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15.2.2 通知改正</w:t>
      </w:r>
    </w:p>
    <w:p w14:paraId="7C5A426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工程师通知承包人改正的合理期限是：</w:t>
      </w:r>
      <w:r>
        <w:rPr>
          <w:rFonts w:hint="eastAsia" w:asciiTheme="minorEastAsia" w:hAnsiTheme="minorEastAsia" w:eastAsiaTheme="minorEastAsia" w:cstheme="minorEastAsia"/>
          <w:kern w:val="0"/>
          <w:sz w:val="24"/>
          <w:szCs w:val="24"/>
          <w:u w:val="single"/>
        </w:rPr>
        <w:t xml:space="preserve"> 发现承包人出现其他违约情况后24小时内 </w:t>
      </w:r>
      <w:r>
        <w:rPr>
          <w:rFonts w:hint="eastAsia" w:asciiTheme="minorEastAsia" w:hAnsiTheme="minorEastAsia" w:eastAsiaTheme="minorEastAsia" w:cstheme="minorEastAsia"/>
          <w:kern w:val="0"/>
          <w:sz w:val="24"/>
          <w:szCs w:val="24"/>
        </w:rPr>
        <w:t>。</w:t>
      </w:r>
    </w:p>
    <w:p w14:paraId="162641B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15.2.3 承包人违约的责任</w:t>
      </w:r>
    </w:p>
    <w:p w14:paraId="3690B25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承包人违约责任的承担方式和计算方法：</w:t>
      </w:r>
      <w:r>
        <w:rPr>
          <w:rFonts w:hint="eastAsia" w:asciiTheme="minorEastAsia" w:hAnsiTheme="minorEastAsia" w:eastAsiaTheme="minorEastAsia" w:cstheme="minorEastAsia"/>
          <w:kern w:val="0"/>
          <w:sz w:val="24"/>
          <w:szCs w:val="24"/>
          <w:u w:val="single"/>
        </w:rPr>
        <w:t xml:space="preserve"> 按合同中其他设计违约的承担方式何计算方法执行  </w:t>
      </w:r>
      <w:r>
        <w:rPr>
          <w:rFonts w:hint="eastAsia" w:asciiTheme="minorEastAsia" w:hAnsiTheme="minorEastAsia" w:eastAsiaTheme="minorEastAsia" w:cstheme="minorEastAsia"/>
          <w:kern w:val="0"/>
          <w:sz w:val="24"/>
          <w:szCs w:val="24"/>
        </w:rPr>
        <w:t>。</w:t>
      </w:r>
    </w:p>
    <w:p w14:paraId="347AEFBD">
      <w:pPr>
        <w:pStyle w:val="263"/>
        <w:widowControl/>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419" w:name="_Toc54862347"/>
      <w:r>
        <w:rPr>
          <w:rFonts w:hint="eastAsia" w:asciiTheme="minorEastAsia" w:hAnsiTheme="minorEastAsia" w:eastAsiaTheme="minorEastAsia" w:cstheme="minorEastAsia"/>
          <w:b w:val="0"/>
          <w:bCs/>
          <w:kern w:val="0"/>
          <w:sz w:val="24"/>
          <w:szCs w:val="18"/>
        </w:rPr>
        <w:t>第16条 合同解除</w:t>
      </w:r>
      <w:bookmarkEnd w:id="1419"/>
    </w:p>
    <w:p w14:paraId="609B1CE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16.1 由发包人解除合同</w:t>
      </w:r>
    </w:p>
    <w:p w14:paraId="0A24808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16.1.1 因承包人违约解除合同</w:t>
      </w:r>
    </w:p>
    <w:p w14:paraId="70D169D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双方约定可由发包人解除合同的其他事由：</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51C2FFF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16.2 由承包人解除合同</w:t>
      </w:r>
    </w:p>
    <w:p w14:paraId="746B909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16.2.1 因发包人违约解除合同</w:t>
      </w:r>
    </w:p>
    <w:p w14:paraId="7F18ABC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双方约定可由承包人解除合同的其他事由：</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4FB061FD">
      <w:pPr>
        <w:pStyle w:val="263"/>
        <w:widowControl/>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420" w:name="_Toc54862348"/>
      <w:r>
        <w:rPr>
          <w:rFonts w:hint="eastAsia" w:asciiTheme="minorEastAsia" w:hAnsiTheme="minorEastAsia" w:eastAsiaTheme="minorEastAsia" w:cstheme="minorEastAsia"/>
          <w:b w:val="0"/>
          <w:bCs/>
          <w:kern w:val="0"/>
          <w:sz w:val="24"/>
          <w:szCs w:val="18"/>
        </w:rPr>
        <w:t>第17条 不可抗力</w:t>
      </w:r>
      <w:bookmarkEnd w:id="1420"/>
    </w:p>
    <w:p w14:paraId="353C998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17.1 不可抗力的定义</w:t>
      </w:r>
    </w:p>
    <w:p w14:paraId="28AA155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除通用合同条件约定的不可抗力事件之外，视为不可抗力的其他情形：</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016FF7D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17.6 因不可抗力解除合同</w:t>
      </w:r>
    </w:p>
    <w:p w14:paraId="7B9B9C5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合同解除后，发包人应当在商定或确定发包人应支付款项后的</w:t>
      </w:r>
      <w:r>
        <w:rPr>
          <w:rFonts w:hint="eastAsia" w:asciiTheme="minorEastAsia" w:hAnsiTheme="minorEastAsia" w:eastAsiaTheme="minorEastAsia" w:cstheme="minorEastAsia"/>
          <w:kern w:val="0"/>
          <w:sz w:val="24"/>
          <w:szCs w:val="24"/>
          <w:u w:val="single"/>
        </w:rPr>
        <w:t xml:space="preserve"> 30 </w:t>
      </w:r>
      <w:r>
        <w:rPr>
          <w:rFonts w:hint="eastAsia" w:asciiTheme="minorEastAsia" w:hAnsiTheme="minorEastAsia" w:eastAsiaTheme="minorEastAsia" w:cstheme="minorEastAsia"/>
          <w:kern w:val="0"/>
          <w:sz w:val="24"/>
          <w:szCs w:val="24"/>
        </w:rPr>
        <w:t>天内完成款项的支付。</w:t>
      </w:r>
    </w:p>
    <w:p w14:paraId="523D4E94">
      <w:pPr>
        <w:pStyle w:val="263"/>
        <w:widowControl/>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421" w:name="_Toc4784276"/>
      <w:bookmarkEnd w:id="1421"/>
      <w:bookmarkStart w:id="1422" w:name="_Toc4784277"/>
      <w:bookmarkEnd w:id="1422"/>
      <w:bookmarkStart w:id="1423" w:name="_Toc54862349"/>
      <w:r>
        <w:rPr>
          <w:rFonts w:hint="eastAsia" w:asciiTheme="minorEastAsia" w:hAnsiTheme="minorEastAsia" w:eastAsiaTheme="minorEastAsia" w:cstheme="minorEastAsia"/>
          <w:b w:val="0"/>
          <w:bCs/>
          <w:kern w:val="0"/>
          <w:sz w:val="24"/>
          <w:szCs w:val="18"/>
        </w:rPr>
        <w:t>第18条 保险</w:t>
      </w:r>
      <w:bookmarkEnd w:id="1423"/>
    </w:p>
    <w:p w14:paraId="47E207F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18.1 设计和工程保险</w:t>
      </w:r>
    </w:p>
    <w:p w14:paraId="04DE628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18.1.1 双方当事人关于设计和工程保险的特别约定：</w:t>
      </w:r>
      <w:r>
        <w:rPr>
          <w:rFonts w:hint="eastAsia" w:asciiTheme="minorEastAsia" w:hAnsiTheme="minorEastAsia" w:eastAsiaTheme="minorEastAsia" w:cstheme="minorEastAsia"/>
          <w:kern w:val="0"/>
          <w:sz w:val="24"/>
          <w:szCs w:val="24"/>
          <w:u w:val="single"/>
        </w:rPr>
        <w:t xml:space="preserve">   投保建筑工程一切险，保险范围为承包范围内的所有内容，保险额度为本合同签约价，保费由承包人承担，该保险费用已包含在发包人应向承包人支付的工程款项之中   </w:t>
      </w:r>
      <w:r>
        <w:rPr>
          <w:rFonts w:hint="eastAsia" w:asciiTheme="minorEastAsia" w:hAnsiTheme="minorEastAsia" w:eastAsiaTheme="minorEastAsia" w:cstheme="minorEastAsia"/>
          <w:kern w:val="0"/>
          <w:sz w:val="24"/>
          <w:szCs w:val="24"/>
        </w:rPr>
        <w:t>。</w:t>
      </w:r>
    </w:p>
    <w:p w14:paraId="0CCEA38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18.1.2 双方当事人关于第三方责任险的特别约定：</w:t>
      </w:r>
      <w:r>
        <w:rPr>
          <w:rFonts w:hint="eastAsia" w:asciiTheme="minorEastAsia" w:hAnsiTheme="minorEastAsia" w:eastAsiaTheme="minorEastAsia" w:cstheme="minorEastAsia"/>
          <w:kern w:val="0"/>
          <w:sz w:val="24"/>
          <w:szCs w:val="24"/>
          <w:u w:val="single"/>
        </w:rPr>
        <w:t xml:space="preserve">  按相关规定缴纳，最低保险额为签约合同价款（扣除暂列金） </w:t>
      </w:r>
      <w:r>
        <w:rPr>
          <w:rFonts w:hint="eastAsia" w:asciiTheme="minorEastAsia" w:hAnsiTheme="minorEastAsia" w:eastAsiaTheme="minorEastAsia" w:cstheme="minorEastAsia"/>
          <w:kern w:val="0"/>
          <w:sz w:val="24"/>
          <w:szCs w:val="24"/>
        </w:rPr>
        <w:t>。</w:t>
      </w:r>
    </w:p>
    <w:p w14:paraId="391AF97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18.2 工伤和意外伤害保险</w:t>
      </w:r>
    </w:p>
    <w:p w14:paraId="6D12E66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18.2.3 关于工伤保险和意外伤害保险的特别约定：</w:t>
      </w:r>
      <w:r>
        <w:rPr>
          <w:rFonts w:hint="eastAsia" w:asciiTheme="minorEastAsia" w:hAnsiTheme="minorEastAsia" w:eastAsiaTheme="minorEastAsia" w:cstheme="minorEastAsia"/>
          <w:kern w:val="0"/>
          <w:sz w:val="24"/>
          <w:szCs w:val="24"/>
          <w:u w:val="single"/>
        </w:rPr>
        <w:t xml:space="preserve"> 承包人为其施工现场的全部人员办理意外伤害保险并支付保险费，包括其员工及为履行合同聘请的第三方的人员  </w:t>
      </w:r>
      <w:r>
        <w:rPr>
          <w:rFonts w:hint="eastAsia" w:asciiTheme="minorEastAsia" w:hAnsiTheme="minorEastAsia" w:eastAsiaTheme="minorEastAsia" w:cstheme="minorEastAsia"/>
          <w:kern w:val="0"/>
          <w:sz w:val="24"/>
          <w:szCs w:val="24"/>
        </w:rPr>
        <w:t>。</w:t>
      </w:r>
    </w:p>
    <w:p w14:paraId="44DCDAE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18.3 货物保险</w:t>
      </w:r>
    </w:p>
    <w:p w14:paraId="159BC83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关于承包人应为其施工设备、材料、工程设备和临时工程等办理财产保险的特别约定：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6E5A8C1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18.4 其他保险</w:t>
      </w:r>
    </w:p>
    <w:p w14:paraId="397098E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关于其他保险的约定：</w:t>
      </w:r>
      <w:r>
        <w:rPr>
          <w:rFonts w:hint="eastAsia" w:asciiTheme="minorEastAsia" w:hAnsiTheme="minorEastAsia" w:eastAsiaTheme="minorEastAsia" w:cstheme="minorEastAsia"/>
          <w:kern w:val="0"/>
          <w:sz w:val="24"/>
          <w:szCs w:val="24"/>
          <w:u w:val="single"/>
        </w:rPr>
        <w:t xml:space="preserve"> 承包人应为其施工设备、进场材料和工程设备等提供的投保内容、保险金额、费率及期限等由承包人自行考虑 </w:t>
      </w:r>
      <w:r>
        <w:rPr>
          <w:rFonts w:hint="eastAsia" w:asciiTheme="minorEastAsia" w:hAnsiTheme="minorEastAsia" w:eastAsiaTheme="minorEastAsia" w:cstheme="minorEastAsia"/>
          <w:kern w:val="0"/>
          <w:sz w:val="24"/>
          <w:szCs w:val="24"/>
        </w:rPr>
        <w:t>。</w:t>
      </w:r>
    </w:p>
    <w:p w14:paraId="7BEB5CA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18.5 对各项保险的一般要求</w:t>
      </w:r>
    </w:p>
    <w:p w14:paraId="132764E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18.5.2 保险凭证</w:t>
      </w:r>
    </w:p>
    <w:p w14:paraId="2274CD8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保险单的条件：</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16C691A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18.5.4 通知义务</w:t>
      </w:r>
    </w:p>
    <w:p w14:paraId="13DD7A9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关于变更保险合同时的通知义务的约定：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253086DF">
      <w:pPr>
        <w:pStyle w:val="263"/>
        <w:widowControl/>
        <w:autoSpaceDE/>
        <w:autoSpaceDN/>
        <w:spacing w:before="0" w:line="240" w:lineRule="auto"/>
        <w:outlineLvl w:val="2"/>
        <w:rPr>
          <w:rFonts w:hint="eastAsia" w:asciiTheme="minorEastAsia" w:hAnsiTheme="minorEastAsia" w:eastAsiaTheme="minorEastAsia" w:cstheme="minorEastAsia"/>
          <w:b w:val="0"/>
          <w:bCs/>
          <w:kern w:val="0"/>
          <w:sz w:val="24"/>
          <w:szCs w:val="18"/>
        </w:rPr>
      </w:pPr>
      <w:bookmarkStart w:id="1424" w:name="_Toc54862350"/>
      <w:r>
        <w:rPr>
          <w:rFonts w:hint="eastAsia" w:asciiTheme="minorEastAsia" w:hAnsiTheme="minorEastAsia" w:eastAsiaTheme="minorEastAsia" w:cstheme="minorEastAsia"/>
          <w:b w:val="0"/>
          <w:bCs/>
          <w:kern w:val="0"/>
          <w:sz w:val="24"/>
          <w:szCs w:val="18"/>
        </w:rPr>
        <w:t>第20条 争议解决</w:t>
      </w:r>
      <w:bookmarkEnd w:id="1424"/>
    </w:p>
    <w:p w14:paraId="2FDB757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20.3 争议评审</w:t>
      </w:r>
    </w:p>
    <w:p w14:paraId="68AB1F1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合同当事人是否同意将工程争议提交争议评审小组决定：</w:t>
      </w:r>
      <w:r>
        <w:rPr>
          <w:rFonts w:hint="eastAsia" w:asciiTheme="minorEastAsia" w:hAnsiTheme="minorEastAsia" w:eastAsiaTheme="minorEastAsia" w:cstheme="minorEastAsia"/>
          <w:kern w:val="0"/>
          <w:sz w:val="24"/>
          <w:szCs w:val="24"/>
          <w:u w:val="single"/>
        </w:rPr>
        <w:t xml:space="preserve">         否  </w:t>
      </w:r>
      <w:r>
        <w:rPr>
          <w:rFonts w:hint="eastAsia" w:asciiTheme="minorEastAsia" w:hAnsiTheme="minorEastAsia" w:eastAsiaTheme="minorEastAsia" w:cstheme="minorEastAsia"/>
          <w:kern w:val="0"/>
          <w:sz w:val="24"/>
          <w:szCs w:val="24"/>
        </w:rPr>
        <w:t>。</w:t>
      </w:r>
    </w:p>
    <w:p w14:paraId="7920AC6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20.3.1 争议评审小组的确定</w:t>
      </w:r>
    </w:p>
    <w:p w14:paraId="2F0031A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争议评审小组成员的人数：</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940957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争议评审小组成员的确定：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59B1D3A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选定争议避免/评审组的期限：</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0D57D20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评审机构：</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5567C9C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其他事项的约定：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8084C9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争议评审员报酬的承担人：</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66AE34F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20.3.2 争议的避免</w:t>
      </w:r>
    </w:p>
    <w:p w14:paraId="468D577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发包人和承包人是否均出席争议避免的非正式讨论：</w:t>
      </w:r>
      <w:r>
        <w:rPr>
          <w:rFonts w:hint="eastAsia" w:asciiTheme="minorEastAsia" w:hAnsiTheme="minorEastAsia" w:eastAsiaTheme="minorEastAsia" w:cstheme="minorEastAsia"/>
          <w:kern w:val="0"/>
          <w:sz w:val="24"/>
          <w:szCs w:val="24"/>
          <w:u w:val="single"/>
        </w:rPr>
        <w:t xml:space="preserve">                           是  </w:t>
      </w:r>
      <w:r>
        <w:rPr>
          <w:rFonts w:hint="eastAsia" w:asciiTheme="minorEastAsia" w:hAnsiTheme="minorEastAsia" w:eastAsiaTheme="minorEastAsia" w:cstheme="minorEastAsia"/>
          <w:kern w:val="0"/>
          <w:sz w:val="24"/>
          <w:szCs w:val="24"/>
        </w:rPr>
        <w:t>。</w:t>
      </w:r>
    </w:p>
    <w:p w14:paraId="40C0BF8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20.3.3 争议评审小组的决定</w:t>
      </w:r>
    </w:p>
    <w:p w14:paraId="10148C3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关于争议评审小组的决定的特别约定：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6282702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20.4 仲裁或诉讼</w:t>
      </w:r>
    </w:p>
    <w:p w14:paraId="2730078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因合同及合同有关事项发生的争议，按下列第</w:t>
      </w:r>
      <w:r>
        <w:rPr>
          <w:rFonts w:hint="eastAsia" w:asciiTheme="minorEastAsia" w:hAnsiTheme="minorEastAsia" w:eastAsiaTheme="minorEastAsia" w:cstheme="minorEastAsia"/>
          <w:kern w:val="0"/>
          <w:sz w:val="24"/>
          <w:szCs w:val="24"/>
          <w:u w:val="single"/>
        </w:rPr>
        <w:t xml:space="preserve">  （2）  </w:t>
      </w:r>
      <w:r>
        <w:rPr>
          <w:rFonts w:hint="eastAsia" w:asciiTheme="minorEastAsia" w:hAnsiTheme="minorEastAsia" w:eastAsiaTheme="minorEastAsia" w:cstheme="minorEastAsia"/>
          <w:kern w:val="0"/>
          <w:sz w:val="24"/>
          <w:szCs w:val="24"/>
        </w:rPr>
        <w:t>种方式解决：</w:t>
      </w:r>
    </w:p>
    <w:p w14:paraId="3EB590B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（1）向</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仲裁委员会申请仲裁；</w:t>
      </w:r>
    </w:p>
    <w:p w14:paraId="6CA9508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（2）向</w:t>
      </w:r>
      <w:r>
        <w:rPr>
          <w:rFonts w:hint="eastAsia" w:asciiTheme="minorEastAsia" w:hAnsiTheme="minorEastAsia" w:eastAsiaTheme="minorEastAsia" w:cstheme="minorEastAsia"/>
          <w:kern w:val="0"/>
          <w:sz w:val="24"/>
          <w:szCs w:val="24"/>
          <w:u w:val="single"/>
        </w:rPr>
        <w:t xml:space="preserve">  工程所在地有管辖权的 </w:t>
      </w:r>
      <w:r>
        <w:rPr>
          <w:rFonts w:hint="eastAsia" w:asciiTheme="minorEastAsia" w:hAnsiTheme="minorEastAsia" w:eastAsiaTheme="minorEastAsia" w:cstheme="minorEastAsia"/>
          <w:kern w:val="0"/>
          <w:sz w:val="24"/>
          <w:szCs w:val="24"/>
        </w:rPr>
        <w:t>人民法院起诉。</w:t>
      </w:r>
    </w:p>
    <w:p w14:paraId="35170B0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p>
    <w:p w14:paraId="44E016DC">
      <w:pPr>
        <w:pStyle w:val="263"/>
        <w:widowControl/>
        <w:numPr>
          <w:ilvl w:val="0"/>
          <w:numId w:val="21"/>
        </w:numPr>
        <w:autoSpaceDE/>
        <w:autoSpaceDN/>
        <w:spacing w:before="0" w:line="240" w:lineRule="auto"/>
        <w:outlineLvl w:val="2"/>
        <w:rPr>
          <w:rFonts w:hint="eastAsia" w:asciiTheme="minorEastAsia" w:hAnsiTheme="minorEastAsia" w:eastAsiaTheme="minorEastAsia" w:cstheme="minorEastAsia"/>
          <w:bCs/>
          <w:kern w:val="0"/>
          <w:sz w:val="24"/>
          <w:szCs w:val="18"/>
        </w:rPr>
      </w:pPr>
      <w:r>
        <w:rPr>
          <w:rFonts w:hint="eastAsia" w:asciiTheme="minorEastAsia" w:hAnsiTheme="minorEastAsia" w:eastAsiaTheme="minorEastAsia" w:cstheme="minorEastAsia"/>
          <w:bCs/>
          <w:kern w:val="0"/>
          <w:sz w:val="24"/>
          <w:szCs w:val="18"/>
        </w:rPr>
        <w:t>补充条款</w:t>
      </w:r>
    </w:p>
    <w:p w14:paraId="5371022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u w:val="single"/>
        </w:rPr>
        <w:t>21.1 本工程安全文明施工管理达到“五无”目标，即做到“无重伤、无死亡、无倒塌、无中毒、无火灾”；达到《北京市建设工程施工现场安全生产标准化管理图集&gt;的通知》（京建发〔2019〕13 号）达标工地</w:t>
      </w:r>
      <w:r>
        <w:rPr>
          <w:rFonts w:hint="eastAsia" w:asciiTheme="minorEastAsia" w:hAnsiTheme="minorEastAsia" w:eastAsiaTheme="minorEastAsia" w:cstheme="minorEastAsia"/>
          <w:kern w:val="0"/>
          <w:sz w:val="24"/>
          <w:szCs w:val="24"/>
        </w:rPr>
        <w:t xml:space="preserve">。 </w:t>
      </w:r>
    </w:p>
    <w:p w14:paraId="7E74C43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u w:val="single"/>
        </w:rPr>
        <w:t>21.2 施工材料进场前，承包人提供真实样品，由发包人工程师签字确认；进场后，材料保管由承包人负责。承包人在进场时按发包人要求提供本工程所需相关的报验材料。</w:t>
      </w:r>
      <w:r>
        <w:rPr>
          <w:rFonts w:hint="eastAsia" w:asciiTheme="minorEastAsia" w:hAnsiTheme="minorEastAsia" w:eastAsiaTheme="minorEastAsia" w:cstheme="minorEastAsia"/>
          <w:kern w:val="0"/>
          <w:sz w:val="24"/>
          <w:szCs w:val="24"/>
        </w:rPr>
        <w:t xml:space="preserve"> </w:t>
      </w:r>
    </w:p>
    <w:p w14:paraId="24F77FD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u w:val="single"/>
        </w:rPr>
        <w:t>21.3 投标报价中已经考虑了冬季施工、雨季施工、两会、物价波动、停电、停水、施工场地不足、成品保护等所需措施和维护产生一切费用，并已考虑了各种可能影响工程实施的因素及其所增加的费用。</w:t>
      </w:r>
      <w:r>
        <w:rPr>
          <w:rFonts w:hint="eastAsia" w:asciiTheme="minorEastAsia" w:hAnsiTheme="minorEastAsia" w:eastAsiaTheme="minorEastAsia" w:cstheme="minorEastAsia"/>
          <w:kern w:val="0"/>
          <w:sz w:val="24"/>
          <w:szCs w:val="24"/>
        </w:rPr>
        <w:t xml:space="preserve"> </w:t>
      </w:r>
    </w:p>
    <w:p w14:paraId="190307D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u w:val="single"/>
        </w:rPr>
        <w:t>21.4 本工程固定总价，承包人上报的报价缺项、漏项、价格计算错误等，视同已在其它报价中考虑，工程价格不作调整。</w:t>
      </w:r>
      <w:r>
        <w:rPr>
          <w:rFonts w:hint="eastAsia" w:asciiTheme="minorEastAsia" w:hAnsiTheme="minorEastAsia" w:eastAsiaTheme="minorEastAsia" w:cstheme="minorEastAsia"/>
          <w:b/>
          <w:bCs/>
          <w:kern w:val="0"/>
          <w:sz w:val="24"/>
          <w:szCs w:val="24"/>
          <w:u w:val="single"/>
        </w:rPr>
        <w:t>承包人进场后，按照合同约定时间提供施工图，经发包人确认后，承包人按照经发包人确认的施工图在总价不变的基础上重新调整施工图预算，施工图预算须由第三方审计单位审核确认，以此作为工程进度款和结算的依据。</w:t>
      </w:r>
      <w:r>
        <w:rPr>
          <w:rFonts w:hint="eastAsia" w:asciiTheme="minorEastAsia" w:hAnsiTheme="minorEastAsia" w:eastAsiaTheme="minorEastAsia" w:cstheme="minorEastAsia"/>
          <w:kern w:val="0"/>
          <w:sz w:val="24"/>
          <w:szCs w:val="24"/>
        </w:rPr>
        <w:t xml:space="preserve"> </w:t>
      </w:r>
    </w:p>
    <w:p w14:paraId="4A52424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u w:val="single"/>
        </w:rPr>
        <w:t>21.5 承包人应在订立合同前查勘施工现场，并根据工程规模及技术参数合理预见工程施工所需的进出施工现场的方式、手段、路径等。因承包人未合理预见所增加的费用和延误的工期由承包人承担。</w:t>
      </w:r>
      <w:r>
        <w:rPr>
          <w:rFonts w:hint="eastAsia" w:asciiTheme="minorEastAsia" w:hAnsiTheme="minorEastAsia" w:eastAsiaTheme="minorEastAsia" w:cstheme="minorEastAsia"/>
          <w:kern w:val="0"/>
          <w:sz w:val="24"/>
          <w:szCs w:val="24"/>
        </w:rPr>
        <w:t xml:space="preserve"> </w:t>
      </w:r>
    </w:p>
    <w:p w14:paraId="365EB95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u w:val="single"/>
        </w:rPr>
        <w:t>21.6 当出现变更、洽商的工作内容时，承包人要及时督促工程师和发包人代表签字确认，否则发包人结算时可以不予计价。所有涉及费用调整的工程变更，均应由相关责任单位共同签字确认，否则不作为最终结算调整价款的依据。</w:t>
      </w:r>
      <w:r>
        <w:rPr>
          <w:rFonts w:hint="eastAsia" w:asciiTheme="minorEastAsia" w:hAnsiTheme="minorEastAsia" w:eastAsiaTheme="minorEastAsia" w:cstheme="minorEastAsia"/>
          <w:kern w:val="0"/>
          <w:sz w:val="24"/>
          <w:szCs w:val="24"/>
        </w:rPr>
        <w:t xml:space="preserve"> </w:t>
      </w:r>
    </w:p>
    <w:p w14:paraId="77FC2E1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21.7 承包人及各专业工程承包人的管理人员、施工人员的资质要符合国家相关规定，特殊工种必须持证上岗。如发现有不具备资质和无上岗证的人员在现场施工，承包人应向发包人支付违约金200元/每人次。 </w:t>
      </w:r>
    </w:p>
    <w:p w14:paraId="285236E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21.8 发包人有权监督承包人劳务工资的发放，发现承包人拖欠劳务工资的，发包人有权直接扣除承包人工程进度款，承包人必须配合出具委托付款，发包人直接支付劳务公司或工人。 </w:t>
      </w:r>
    </w:p>
    <w:p w14:paraId="196295F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21.9 承包人应自费在必要的地点和时间内提供和维护包括但不限于所有照明、围挡和警戒等，以便能够正常施工和保护工程，如施工现场或施工周边因承包人原因导致相关人员包括但不限于施工人员等发生安全事故，则所有责任由承包人承担。 </w:t>
      </w:r>
    </w:p>
    <w:p w14:paraId="35E59C0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21.10 承包人应服从发包人对施工现场安全施工方面的监管，切实履行相应义务。如发包人或工程师发现承包人工作中的安全措施/设施不符合国家、地方、行业及本合同的有关规定，要求承包人限期整改，承包人拒不整改或者整改后仍无法满足要求的，每发生一次，承包人应向发包人支付违约金1万元/次，并仍应按发包人要求进行整改。当承包人不能满足要求时，发包人有权自行安排该项整改，所发生的费用由发包人直接从承包人的工程款中扣除。如承包人未履行自己的职责致使发包人遭受经济损失的，对于发包人因此受到的经济损失承担赔偿责任。  </w:t>
      </w:r>
    </w:p>
    <w:p w14:paraId="2EF1D6C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21.11 工程竣工验收合格且调试运行通过后，承包人应及时准备好工程结算材料，在发包人指定的时间内，提交完整有效的工程结算资料，发包人将结算资料移交第三方审计单位。 </w:t>
      </w:r>
    </w:p>
    <w:p w14:paraId="4D7F0DC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21.12 保修期间，对于经过三次维修仍存在质量问题的分项（子分部）工程，双方一致认可该分项（子分部）工程的竣工验收无效，发包人有权要求承包人将该部分工程（或设备）拆除后重新按照原合同约定施工，相应费用由施工单位承担，保修期自重新施工验收合格之日起计算。 </w:t>
      </w:r>
    </w:p>
    <w:p w14:paraId="0614D8CF">
      <w:pPr>
        <w:wordWrap/>
        <w:topLinePunct w:val="0"/>
        <w:spacing w:line="240" w:lineRule="auto"/>
        <w:rPr>
          <w:rFonts w:hint="eastAsia" w:asciiTheme="minorEastAsia" w:hAnsiTheme="minorEastAsia" w:eastAsiaTheme="minorEastAsia" w:cstheme="minorEastAsia"/>
          <w:szCs w:val="24"/>
        </w:rPr>
        <w:sectPr>
          <w:headerReference r:id="rId23" w:type="default"/>
          <w:pgSz w:w="11906" w:h="16838"/>
          <w:pgMar w:top="1440" w:right="1800" w:bottom="1440" w:left="1800" w:header="720" w:footer="998" w:gutter="0"/>
          <w:pgNumType w:fmt="decimal"/>
          <w:cols w:space="720" w:num="1"/>
          <w:docGrid w:linePitch="326" w:charSpace="0"/>
        </w:sectPr>
      </w:pPr>
      <w:r>
        <w:rPr>
          <w:rFonts w:hint="eastAsia" w:asciiTheme="minorEastAsia" w:hAnsiTheme="minorEastAsia" w:eastAsiaTheme="minorEastAsia" w:cstheme="minorEastAsia"/>
          <w:kern w:val="0"/>
          <w:sz w:val="24"/>
          <w:szCs w:val="24"/>
          <w:u w:val="single"/>
        </w:rPr>
        <w:t xml:space="preserve">21.13 资料和信息的使用：合同文件中载明的涉及本工程现场条件、周围环境、地质等情况的资料和信息数据，是发包人现有的和客观的，发包人保证有关资料和信息数据的真实、准确。但承包人据此作出的推论、判断和决策，由承包人自行负责。 </w:t>
      </w:r>
    </w:p>
    <w:p w14:paraId="057A0FCD">
      <w:pPr>
        <w:pStyle w:val="255"/>
        <w:keepNext w:val="0"/>
        <w:keepLines w:val="0"/>
        <w:widowControl/>
        <w:autoSpaceDE/>
        <w:autoSpaceDN/>
        <w:adjustRightInd w:val="0"/>
        <w:snapToGrid w:val="0"/>
        <w:spacing w:before="0" w:after="50" w:line="240" w:lineRule="auto"/>
        <w:outlineLvl w:val="1"/>
        <w:rPr>
          <w:rFonts w:hint="eastAsia" w:asciiTheme="minorEastAsia" w:hAnsiTheme="minorEastAsia" w:eastAsiaTheme="minorEastAsia" w:cstheme="minorEastAsia"/>
          <w:sz w:val="22"/>
          <w:szCs w:val="22"/>
        </w:rPr>
      </w:pPr>
      <w:bookmarkStart w:id="1425" w:name="_Toc54862351"/>
      <w:r>
        <w:rPr>
          <w:rFonts w:hint="eastAsia" w:asciiTheme="minorEastAsia" w:hAnsiTheme="minorEastAsia" w:eastAsiaTheme="minorEastAsia" w:cstheme="minorEastAsia"/>
          <w:sz w:val="24"/>
          <w:szCs w:val="24"/>
        </w:rPr>
        <w:t>专用合同条件附件</w:t>
      </w:r>
      <w:bookmarkEnd w:id="1425"/>
    </w:p>
    <w:p w14:paraId="61FB5AAE">
      <w:pPr>
        <w:widowControl/>
        <w:wordWrap/>
        <w:topLinePunct w:val="0"/>
        <w:adjustRightInd w:val="0"/>
        <w:snapToGrid w:val="0"/>
        <w:spacing w:after="120" w:afterLines="50" w:line="240" w:lineRule="auto"/>
        <w:ind w:firstLine="420" w:firstLineChars="200"/>
        <w:rPr>
          <w:rFonts w:hint="eastAsia" w:asciiTheme="minorEastAsia" w:hAnsiTheme="minorEastAsia" w:eastAsiaTheme="minorEastAsia" w:cstheme="minorEastAsia"/>
          <w:kern w:val="0"/>
          <w:sz w:val="21"/>
          <w:szCs w:val="16"/>
        </w:rPr>
      </w:pPr>
    </w:p>
    <w:p w14:paraId="616EC17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附件1：发包人要求</w:t>
      </w:r>
    </w:p>
    <w:p w14:paraId="52E1E95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附件2：发包人供应材料设备一览表</w:t>
      </w:r>
    </w:p>
    <w:p w14:paraId="2FAEAFF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附件3：工程质量保修书</w:t>
      </w:r>
    </w:p>
    <w:p w14:paraId="5DF2EB5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附件4：主要建设工程文件目录</w:t>
      </w:r>
    </w:p>
    <w:p w14:paraId="4F911E8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附件5：承包人主要管理人员表</w:t>
      </w:r>
    </w:p>
    <w:p w14:paraId="08029E4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附件6：价格指数权重表</w:t>
      </w:r>
    </w:p>
    <w:p w14:paraId="4709EA3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p>
    <w:p w14:paraId="7CE3594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p>
    <w:p w14:paraId="5DDD8E9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p>
    <w:p w14:paraId="315F2374">
      <w:pPr>
        <w:widowControl/>
        <w:wordWrap/>
        <w:topLinePunct w:val="0"/>
        <w:adjustRightInd/>
        <w:snapToGrid/>
        <w:spacing w:after="0" w:afterLines="0" w:line="240" w:lineRule="auto"/>
        <w:ind w:firstLine="0" w:firstLineChars="0"/>
        <w:jc w:val="left"/>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br w:type="page"/>
      </w:r>
    </w:p>
    <w:p w14:paraId="302520E7">
      <w:pPr>
        <w:keepNext/>
        <w:keepLines/>
        <w:numPr>
          <w:ilvl w:val="0"/>
          <w:numId w:val="0"/>
        </w:numPr>
        <w:wordWrap w:val="0"/>
        <w:topLinePunct/>
        <w:adjustRightInd w:val="0"/>
        <w:snapToGrid w:val="0"/>
        <w:spacing w:after="120" w:afterLines="50" w:line="240" w:lineRule="auto"/>
        <w:ind w:firstLine="0" w:firstLineChars="0"/>
        <w:jc w:val="center"/>
        <w:outlineLvl w:val="2"/>
        <w:rPr>
          <w:rFonts w:hint="eastAsia" w:asciiTheme="minorEastAsia" w:hAnsiTheme="minorEastAsia" w:eastAsiaTheme="minorEastAsia" w:cstheme="minorEastAsia"/>
          <w:b/>
          <w:sz w:val="24"/>
          <w:szCs w:val="24"/>
          <w:lang w:val="en-US" w:eastAsia="zh-CN" w:bidi="ar-SA"/>
        </w:rPr>
      </w:pPr>
      <w:bookmarkStart w:id="1426" w:name="_Toc54862352"/>
      <w:bookmarkStart w:id="1427" w:name="_Hlk38571789"/>
      <w:r>
        <w:rPr>
          <w:rFonts w:hint="eastAsia" w:asciiTheme="minorEastAsia" w:hAnsiTheme="minorEastAsia" w:eastAsiaTheme="minorEastAsia" w:cstheme="minorEastAsia"/>
          <w:b/>
          <w:sz w:val="24"/>
          <w:szCs w:val="24"/>
          <w:lang w:val="en-US" w:eastAsia="zh-CN" w:bidi="ar-SA"/>
        </w:rPr>
        <w:t>附件1 《发包人要求》</w:t>
      </w:r>
      <w:bookmarkEnd w:id="1426"/>
    </w:p>
    <w:bookmarkEnd w:id="1427"/>
    <w:p w14:paraId="436F911F">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p>
    <w:p w14:paraId="424F8BDB">
      <w:pPr>
        <w:keepNext/>
        <w:keepLines/>
        <w:numPr>
          <w:ilvl w:val="0"/>
          <w:numId w:val="0"/>
        </w:numPr>
        <w:wordWrap w:val="0"/>
        <w:topLinePunct/>
        <w:adjustRightInd w:val="0"/>
        <w:snapToGrid w:val="0"/>
        <w:spacing w:after="120" w:afterLines="50" w:line="240" w:lineRule="auto"/>
        <w:ind w:firstLine="0" w:firstLineChars="0"/>
        <w:jc w:val="left"/>
        <w:outlineLvl w:val="2"/>
        <w:rPr>
          <w:rFonts w:hint="eastAsia" w:asciiTheme="minorEastAsia" w:hAnsiTheme="minorEastAsia" w:eastAsiaTheme="minorEastAsia" w:cstheme="minorEastAsia"/>
          <w:b/>
          <w:sz w:val="30"/>
          <w:szCs w:val="30"/>
          <w:lang w:val="en-US" w:eastAsia="zh-CN" w:bidi="ar-SA"/>
        </w:rPr>
      </w:pPr>
      <w:bookmarkStart w:id="1428" w:name="_Toc54862353"/>
      <w:bookmarkStart w:id="1429" w:name="_Toc20171894"/>
      <w:r>
        <w:rPr>
          <w:rFonts w:hint="eastAsia" w:asciiTheme="minorEastAsia" w:hAnsiTheme="minorEastAsia" w:eastAsiaTheme="minorEastAsia" w:cstheme="minorEastAsia"/>
          <w:b/>
          <w:sz w:val="30"/>
          <w:szCs w:val="30"/>
          <w:lang w:val="en-US" w:eastAsia="zh-CN" w:bidi="ar-SA"/>
        </w:rPr>
        <w:t>详见磋商文件第四章采购需求。</w:t>
      </w:r>
      <w:r>
        <w:rPr>
          <w:rFonts w:hint="eastAsia" w:asciiTheme="minorEastAsia" w:hAnsiTheme="minorEastAsia" w:eastAsiaTheme="minorEastAsia" w:cstheme="minorEastAsia"/>
          <w:b/>
          <w:sz w:val="30"/>
          <w:szCs w:val="30"/>
          <w:lang w:val="en-US" w:eastAsia="zh-CN" w:bidi="ar-SA"/>
        </w:rPr>
        <w:br w:type="page"/>
      </w:r>
      <w:r>
        <w:rPr>
          <w:rFonts w:hint="eastAsia" w:asciiTheme="minorEastAsia" w:hAnsiTheme="minorEastAsia" w:eastAsiaTheme="minorEastAsia" w:cstheme="minorEastAsia"/>
          <w:b/>
          <w:sz w:val="30"/>
          <w:szCs w:val="30"/>
          <w:lang w:val="en-US" w:eastAsia="zh-CN" w:bidi="ar-SA"/>
        </w:rPr>
        <w:t>附件2 发包人供应材料设备一览表</w:t>
      </w:r>
      <w:bookmarkEnd w:id="1428"/>
      <w:bookmarkEnd w:id="1429"/>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52"/>
        <w:gridCol w:w="1165"/>
        <w:gridCol w:w="1126"/>
        <w:gridCol w:w="567"/>
        <w:gridCol w:w="686"/>
        <w:gridCol w:w="992"/>
        <w:gridCol w:w="1134"/>
        <w:gridCol w:w="1134"/>
        <w:gridCol w:w="1134"/>
        <w:gridCol w:w="709"/>
      </w:tblGrid>
      <w:tr w14:paraId="76DFD6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52" w:type="dxa"/>
            <w:tcBorders>
              <w:top w:val="single" w:color="auto" w:sz="12" w:space="0"/>
              <w:bottom w:val="double" w:color="auto" w:sz="6" w:space="0"/>
            </w:tcBorders>
            <w:noWrap w:val="0"/>
            <w:vAlign w:val="center"/>
          </w:tcPr>
          <w:p w14:paraId="5B7D6FC6">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序号</w:t>
            </w:r>
          </w:p>
        </w:tc>
        <w:tc>
          <w:tcPr>
            <w:tcW w:w="1165" w:type="dxa"/>
            <w:tcBorders>
              <w:top w:val="single" w:color="auto" w:sz="12" w:space="0"/>
              <w:bottom w:val="double" w:color="auto" w:sz="6" w:space="0"/>
            </w:tcBorders>
            <w:noWrap w:val="0"/>
            <w:vAlign w:val="center"/>
          </w:tcPr>
          <w:p w14:paraId="067F05E1">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材料、设备品种</w:t>
            </w:r>
          </w:p>
        </w:tc>
        <w:tc>
          <w:tcPr>
            <w:tcW w:w="1126" w:type="dxa"/>
            <w:tcBorders>
              <w:top w:val="single" w:color="auto" w:sz="12" w:space="0"/>
              <w:bottom w:val="double" w:color="auto" w:sz="6" w:space="0"/>
            </w:tcBorders>
            <w:noWrap w:val="0"/>
            <w:vAlign w:val="center"/>
          </w:tcPr>
          <w:p w14:paraId="3AEB7F6A">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规格型号</w:t>
            </w:r>
          </w:p>
        </w:tc>
        <w:tc>
          <w:tcPr>
            <w:tcW w:w="567" w:type="dxa"/>
            <w:tcBorders>
              <w:top w:val="single" w:color="auto" w:sz="12" w:space="0"/>
              <w:bottom w:val="double" w:color="auto" w:sz="6" w:space="0"/>
            </w:tcBorders>
            <w:noWrap w:val="0"/>
            <w:vAlign w:val="center"/>
          </w:tcPr>
          <w:p w14:paraId="3BFBCB24">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单位</w:t>
            </w:r>
          </w:p>
        </w:tc>
        <w:tc>
          <w:tcPr>
            <w:tcW w:w="686" w:type="dxa"/>
            <w:tcBorders>
              <w:top w:val="single" w:color="auto" w:sz="12" w:space="0"/>
              <w:bottom w:val="double" w:color="auto" w:sz="6" w:space="0"/>
            </w:tcBorders>
            <w:noWrap w:val="0"/>
            <w:vAlign w:val="center"/>
          </w:tcPr>
          <w:p w14:paraId="2632DE49">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数量</w:t>
            </w:r>
          </w:p>
        </w:tc>
        <w:tc>
          <w:tcPr>
            <w:tcW w:w="992" w:type="dxa"/>
            <w:tcBorders>
              <w:top w:val="single" w:color="auto" w:sz="12" w:space="0"/>
              <w:bottom w:val="double" w:color="auto" w:sz="6" w:space="0"/>
            </w:tcBorders>
            <w:noWrap w:val="0"/>
            <w:vAlign w:val="center"/>
          </w:tcPr>
          <w:p w14:paraId="2C5A95A8">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单价（元）</w:t>
            </w:r>
          </w:p>
        </w:tc>
        <w:tc>
          <w:tcPr>
            <w:tcW w:w="1134" w:type="dxa"/>
            <w:tcBorders>
              <w:top w:val="single" w:color="auto" w:sz="12" w:space="0"/>
              <w:bottom w:val="double" w:color="auto" w:sz="6" w:space="0"/>
            </w:tcBorders>
            <w:noWrap w:val="0"/>
            <w:vAlign w:val="center"/>
          </w:tcPr>
          <w:p w14:paraId="61E20600">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质量等级</w:t>
            </w:r>
          </w:p>
        </w:tc>
        <w:tc>
          <w:tcPr>
            <w:tcW w:w="1134" w:type="dxa"/>
            <w:tcBorders>
              <w:top w:val="single" w:color="auto" w:sz="12" w:space="0"/>
              <w:bottom w:val="double" w:color="auto" w:sz="6" w:space="0"/>
            </w:tcBorders>
            <w:noWrap w:val="0"/>
            <w:vAlign w:val="center"/>
          </w:tcPr>
          <w:p w14:paraId="2DBE7B2E">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供应时间</w:t>
            </w:r>
          </w:p>
        </w:tc>
        <w:tc>
          <w:tcPr>
            <w:tcW w:w="1134" w:type="dxa"/>
            <w:tcBorders>
              <w:top w:val="single" w:color="auto" w:sz="12" w:space="0"/>
              <w:bottom w:val="double" w:color="auto" w:sz="6" w:space="0"/>
            </w:tcBorders>
            <w:noWrap w:val="0"/>
            <w:vAlign w:val="center"/>
          </w:tcPr>
          <w:p w14:paraId="6FED5D3F">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送达地点</w:t>
            </w:r>
          </w:p>
        </w:tc>
        <w:tc>
          <w:tcPr>
            <w:tcW w:w="709" w:type="dxa"/>
            <w:tcBorders>
              <w:top w:val="single" w:color="auto" w:sz="12" w:space="0"/>
              <w:bottom w:val="double" w:color="auto" w:sz="6" w:space="0"/>
            </w:tcBorders>
            <w:noWrap w:val="0"/>
            <w:vAlign w:val="center"/>
          </w:tcPr>
          <w:p w14:paraId="6A51F420">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备注</w:t>
            </w:r>
          </w:p>
        </w:tc>
      </w:tr>
      <w:tr w14:paraId="5A058D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tcBorders>
              <w:top w:val="double" w:color="auto" w:sz="6" w:space="0"/>
              <w:bottom w:val="single" w:color="auto" w:sz="6" w:space="0"/>
            </w:tcBorders>
            <w:noWrap w:val="0"/>
            <w:vAlign w:val="center"/>
          </w:tcPr>
          <w:p w14:paraId="55AB6A2D">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65" w:type="dxa"/>
            <w:tcBorders>
              <w:top w:val="double" w:color="auto" w:sz="6" w:space="0"/>
              <w:bottom w:val="single" w:color="auto" w:sz="6" w:space="0"/>
            </w:tcBorders>
            <w:noWrap w:val="0"/>
            <w:vAlign w:val="center"/>
          </w:tcPr>
          <w:p w14:paraId="05AB1B5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26" w:type="dxa"/>
            <w:tcBorders>
              <w:top w:val="double" w:color="auto" w:sz="6" w:space="0"/>
              <w:bottom w:val="single" w:color="auto" w:sz="6" w:space="0"/>
            </w:tcBorders>
            <w:noWrap w:val="0"/>
            <w:vAlign w:val="center"/>
          </w:tcPr>
          <w:p w14:paraId="5E3DDB37">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567" w:type="dxa"/>
            <w:tcBorders>
              <w:top w:val="double" w:color="auto" w:sz="6" w:space="0"/>
              <w:bottom w:val="single" w:color="auto" w:sz="6" w:space="0"/>
            </w:tcBorders>
            <w:noWrap w:val="0"/>
            <w:vAlign w:val="center"/>
          </w:tcPr>
          <w:p w14:paraId="27C6768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686" w:type="dxa"/>
            <w:tcBorders>
              <w:top w:val="double" w:color="auto" w:sz="6" w:space="0"/>
              <w:bottom w:val="single" w:color="auto" w:sz="6" w:space="0"/>
            </w:tcBorders>
            <w:noWrap w:val="0"/>
            <w:vAlign w:val="center"/>
          </w:tcPr>
          <w:p w14:paraId="4CCBF6F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992" w:type="dxa"/>
            <w:tcBorders>
              <w:top w:val="double" w:color="auto" w:sz="6" w:space="0"/>
              <w:bottom w:val="single" w:color="auto" w:sz="6" w:space="0"/>
            </w:tcBorders>
            <w:noWrap w:val="0"/>
            <w:vAlign w:val="top"/>
          </w:tcPr>
          <w:p w14:paraId="062B67B3">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tcBorders>
              <w:top w:val="double" w:color="auto" w:sz="6" w:space="0"/>
              <w:bottom w:val="single" w:color="auto" w:sz="6" w:space="0"/>
            </w:tcBorders>
            <w:noWrap w:val="0"/>
            <w:vAlign w:val="center"/>
          </w:tcPr>
          <w:p w14:paraId="3CDF38A0">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tcBorders>
              <w:top w:val="double" w:color="auto" w:sz="6" w:space="0"/>
              <w:bottom w:val="single" w:color="auto" w:sz="6" w:space="0"/>
            </w:tcBorders>
            <w:noWrap w:val="0"/>
            <w:vAlign w:val="center"/>
          </w:tcPr>
          <w:p w14:paraId="00971B82">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tcBorders>
              <w:top w:val="double" w:color="auto" w:sz="6" w:space="0"/>
              <w:bottom w:val="single" w:color="auto" w:sz="6" w:space="0"/>
            </w:tcBorders>
            <w:noWrap w:val="0"/>
            <w:vAlign w:val="center"/>
          </w:tcPr>
          <w:p w14:paraId="67F0948F">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709" w:type="dxa"/>
            <w:tcBorders>
              <w:top w:val="double" w:color="auto" w:sz="6" w:space="0"/>
              <w:bottom w:val="single" w:color="auto" w:sz="6" w:space="0"/>
            </w:tcBorders>
            <w:noWrap w:val="0"/>
            <w:vAlign w:val="center"/>
          </w:tcPr>
          <w:p w14:paraId="5F75F319">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5A0B6B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tcBorders>
              <w:top w:val="nil"/>
            </w:tcBorders>
            <w:noWrap w:val="0"/>
            <w:vAlign w:val="center"/>
          </w:tcPr>
          <w:p w14:paraId="5D1A47E7">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65" w:type="dxa"/>
            <w:tcBorders>
              <w:top w:val="nil"/>
            </w:tcBorders>
            <w:noWrap w:val="0"/>
            <w:vAlign w:val="center"/>
          </w:tcPr>
          <w:p w14:paraId="7151FEB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26" w:type="dxa"/>
            <w:tcBorders>
              <w:top w:val="nil"/>
            </w:tcBorders>
            <w:noWrap w:val="0"/>
            <w:vAlign w:val="center"/>
          </w:tcPr>
          <w:p w14:paraId="3B97CBA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567" w:type="dxa"/>
            <w:tcBorders>
              <w:top w:val="nil"/>
            </w:tcBorders>
            <w:noWrap w:val="0"/>
            <w:vAlign w:val="center"/>
          </w:tcPr>
          <w:p w14:paraId="5715527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686" w:type="dxa"/>
            <w:tcBorders>
              <w:top w:val="nil"/>
            </w:tcBorders>
            <w:noWrap w:val="0"/>
            <w:vAlign w:val="center"/>
          </w:tcPr>
          <w:p w14:paraId="070C5060">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992" w:type="dxa"/>
            <w:tcBorders>
              <w:top w:val="nil"/>
            </w:tcBorders>
            <w:noWrap w:val="0"/>
            <w:vAlign w:val="top"/>
          </w:tcPr>
          <w:p w14:paraId="5D272959">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tcBorders>
              <w:top w:val="nil"/>
            </w:tcBorders>
            <w:noWrap w:val="0"/>
            <w:vAlign w:val="center"/>
          </w:tcPr>
          <w:p w14:paraId="7DC12747">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tcBorders>
              <w:top w:val="nil"/>
            </w:tcBorders>
            <w:noWrap w:val="0"/>
            <w:vAlign w:val="center"/>
          </w:tcPr>
          <w:p w14:paraId="3C2C5140">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tcBorders>
              <w:top w:val="nil"/>
            </w:tcBorders>
            <w:noWrap w:val="0"/>
            <w:vAlign w:val="center"/>
          </w:tcPr>
          <w:p w14:paraId="4CC74B6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709" w:type="dxa"/>
            <w:tcBorders>
              <w:top w:val="nil"/>
            </w:tcBorders>
            <w:noWrap w:val="0"/>
            <w:vAlign w:val="center"/>
          </w:tcPr>
          <w:p w14:paraId="0E656E89">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57E284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659A5953">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65" w:type="dxa"/>
            <w:noWrap w:val="0"/>
            <w:vAlign w:val="center"/>
          </w:tcPr>
          <w:p w14:paraId="0C932D0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26" w:type="dxa"/>
            <w:noWrap w:val="0"/>
            <w:vAlign w:val="center"/>
          </w:tcPr>
          <w:p w14:paraId="1D3C576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567" w:type="dxa"/>
            <w:noWrap w:val="0"/>
            <w:vAlign w:val="center"/>
          </w:tcPr>
          <w:p w14:paraId="6C3E7934">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686" w:type="dxa"/>
            <w:noWrap w:val="0"/>
            <w:vAlign w:val="center"/>
          </w:tcPr>
          <w:p w14:paraId="2BBB4A3F">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992" w:type="dxa"/>
            <w:noWrap w:val="0"/>
            <w:vAlign w:val="top"/>
          </w:tcPr>
          <w:p w14:paraId="4E6EB1A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2CFDD7F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7901849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4489D86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709" w:type="dxa"/>
            <w:noWrap w:val="0"/>
            <w:vAlign w:val="center"/>
          </w:tcPr>
          <w:p w14:paraId="522A15B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4F4192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10626D74">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65" w:type="dxa"/>
            <w:noWrap w:val="0"/>
            <w:vAlign w:val="center"/>
          </w:tcPr>
          <w:p w14:paraId="17F94D9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26" w:type="dxa"/>
            <w:noWrap w:val="0"/>
            <w:vAlign w:val="center"/>
          </w:tcPr>
          <w:p w14:paraId="52DE1D99">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567" w:type="dxa"/>
            <w:noWrap w:val="0"/>
            <w:vAlign w:val="center"/>
          </w:tcPr>
          <w:p w14:paraId="4300729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686" w:type="dxa"/>
            <w:noWrap w:val="0"/>
            <w:vAlign w:val="center"/>
          </w:tcPr>
          <w:p w14:paraId="21B60122">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992" w:type="dxa"/>
            <w:noWrap w:val="0"/>
            <w:vAlign w:val="top"/>
          </w:tcPr>
          <w:p w14:paraId="1BC3153E">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3D20BE74">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5D5CFCBE">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79DE2242">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709" w:type="dxa"/>
            <w:noWrap w:val="0"/>
            <w:vAlign w:val="center"/>
          </w:tcPr>
          <w:p w14:paraId="2B42A26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28F723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2DED66C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65" w:type="dxa"/>
            <w:noWrap w:val="0"/>
            <w:vAlign w:val="center"/>
          </w:tcPr>
          <w:p w14:paraId="33129377">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26" w:type="dxa"/>
            <w:noWrap w:val="0"/>
            <w:vAlign w:val="center"/>
          </w:tcPr>
          <w:p w14:paraId="5467FD49">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567" w:type="dxa"/>
            <w:noWrap w:val="0"/>
            <w:vAlign w:val="center"/>
          </w:tcPr>
          <w:p w14:paraId="203DBE3E">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686" w:type="dxa"/>
            <w:noWrap w:val="0"/>
            <w:vAlign w:val="center"/>
          </w:tcPr>
          <w:p w14:paraId="3E9E650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992" w:type="dxa"/>
            <w:noWrap w:val="0"/>
            <w:vAlign w:val="top"/>
          </w:tcPr>
          <w:p w14:paraId="6154DC99">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403A73C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2CF36F6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08C9407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709" w:type="dxa"/>
            <w:noWrap w:val="0"/>
            <w:vAlign w:val="center"/>
          </w:tcPr>
          <w:p w14:paraId="681EF372">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333E86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55C0C43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65" w:type="dxa"/>
            <w:noWrap w:val="0"/>
            <w:vAlign w:val="center"/>
          </w:tcPr>
          <w:p w14:paraId="122EF2F4">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26" w:type="dxa"/>
            <w:noWrap w:val="0"/>
            <w:vAlign w:val="center"/>
          </w:tcPr>
          <w:p w14:paraId="66B42A64">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567" w:type="dxa"/>
            <w:noWrap w:val="0"/>
            <w:vAlign w:val="center"/>
          </w:tcPr>
          <w:p w14:paraId="648147C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686" w:type="dxa"/>
            <w:noWrap w:val="0"/>
            <w:vAlign w:val="center"/>
          </w:tcPr>
          <w:p w14:paraId="054E5125">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992" w:type="dxa"/>
            <w:noWrap w:val="0"/>
            <w:vAlign w:val="top"/>
          </w:tcPr>
          <w:p w14:paraId="684A0ED0">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1298B015">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581B3E50">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4BD9EE5E">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709" w:type="dxa"/>
            <w:noWrap w:val="0"/>
            <w:vAlign w:val="center"/>
          </w:tcPr>
          <w:p w14:paraId="7ABD338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444087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5B679A5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65" w:type="dxa"/>
            <w:noWrap w:val="0"/>
            <w:vAlign w:val="center"/>
          </w:tcPr>
          <w:p w14:paraId="1EB0BE1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26" w:type="dxa"/>
            <w:noWrap w:val="0"/>
            <w:vAlign w:val="center"/>
          </w:tcPr>
          <w:p w14:paraId="1A0CEFCF">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567" w:type="dxa"/>
            <w:noWrap w:val="0"/>
            <w:vAlign w:val="center"/>
          </w:tcPr>
          <w:p w14:paraId="5D2B5EF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686" w:type="dxa"/>
            <w:noWrap w:val="0"/>
            <w:vAlign w:val="center"/>
          </w:tcPr>
          <w:p w14:paraId="769CC990">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992" w:type="dxa"/>
            <w:noWrap w:val="0"/>
            <w:vAlign w:val="top"/>
          </w:tcPr>
          <w:p w14:paraId="5BCE2B0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46F6916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480F2A77">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1D9360A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709" w:type="dxa"/>
            <w:noWrap w:val="0"/>
            <w:vAlign w:val="center"/>
          </w:tcPr>
          <w:p w14:paraId="188F5494">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66B8FF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02A936CE">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65" w:type="dxa"/>
            <w:noWrap w:val="0"/>
            <w:vAlign w:val="center"/>
          </w:tcPr>
          <w:p w14:paraId="5FCF3B1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26" w:type="dxa"/>
            <w:noWrap w:val="0"/>
            <w:vAlign w:val="center"/>
          </w:tcPr>
          <w:p w14:paraId="5392E2B5">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567" w:type="dxa"/>
            <w:noWrap w:val="0"/>
            <w:vAlign w:val="center"/>
          </w:tcPr>
          <w:p w14:paraId="6DA1362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686" w:type="dxa"/>
            <w:noWrap w:val="0"/>
            <w:vAlign w:val="center"/>
          </w:tcPr>
          <w:p w14:paraId="51280D25">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992" w:type="dxa"/>
            <w:noWrap w:val="0"/>
            <w:vAlign w:val="top"/>
          </w:tcPr>
          <w:p w14:paraId="36F61D4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4FD8405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1E15FA1F">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4C6C834F">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709" w:type="dxa"/>
            <w:noWrap w:val="0"/>
            <w:vAlign w:val="center"/>
          </w:tcPr>
          <w:p w14:paraId="1D24956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6DCFF3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77F8106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65" w:type="dxa"/>
            <w:noWrap w:val="0"/>
            <w:vAlign w:val="center"/>
          </w:tcPr>
          <w:p w14:paraId="0A1C13B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26" w:type="dxa"/>
            <w:noWrap w:val="0"/>
            <w:vAlign w:val="center"/>
          </w:tcPr>
          <w:p w14:paraId="41DB11C3">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567" w:type="dxa"/>
            <w:noWrap w:val="0"/>
            <w:vAlign w:val="center"/>
          </w:tcPr>
          <w:p w14:paraId="622E2155">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686" w:type="dxa"/>
            <w:noWrap w:val="0"/>
            <w:vAlign w:val="center"/>
          </w:tcPr>
          <w:p w14:paraId="707E730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992" w:type="dxa"/>
            <w:noWrap w:val="0"/>
            <w:vAlign w:val="top"/>
          </w:tcPr>
          <w:p w14:paraId="3480B4EC">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0D6838C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1620C85C">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3C5E63B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709" w:type="dxa"/>
            <w:noWrap w:val="0"/>
            <w:vAlign w:val="center"/>
          </w:tcPr>
          <w:p w14:paraId="557E155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743AC5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42BD1119">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65" w:type="dxa"/>
            <w:noWrap w:val="0"/>
            <w:vAlign w:val="center"/>
          </w:tcPr>
          <w:p w14:paraId="274C55B2">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26" w:type="dxa"/>
            <w:noWrap w:val="0"/>
            <w:vAlign w:val="center"/>
          </w:tcPr>
          <w:p w14:paraId="2A8F8324">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567" w:type="dxa"/>
            <w:noWrap w:val="0"/>
            <w:vAlign w:val="center"/>
          </w:tcPr>
          <w:p w14:paraId="5398D8F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686" w:type="dxa"/>
            <w:noWrap w:val="0"/>
            <w:vAlign w:val="center"/>
          </w:tcPr>
          <w:p w14:paraId="4A87C93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992" w:type="dxa"/>
            <w:noWrap w:val="0"/>
            <w:vAlign w:val="top"/>
          </w:tcPr>
          <w:p w14:paraId="2736DA05">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256047A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4142F7B3">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63C813F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709" w:type="dxa"/>
            <w:noWrap w:val="0"/>
            <w:vAlign w:val="center"/>
          </w:tcPr>
          <w:p w14:paraId="369DCF5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6A26F0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4DB97E7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65" w:type="dxa"/>
            <w:noWrap w:val="0"/>
            <w:vAlign w:val="center"/>
          </w:tcPr>
          <w:p w14:paraId="3496595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26" w:type="dxa"/>
            <w:noWrap w:val="0"/>
            <w:vAlign w:val="center"/>
          </w:tcPr>
          <w:p w14:paraId="1CCDB052">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567" w:type="dxa"/>
            <w:noWrap w:val="0"/>
            <w:vAlign w:val="center"/>
          </w:tcPr>
          <w:p w14:paraId="05F9E2B0">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686" w:type="dxa"/>
            <w:noWrap w:val="0"/>
            <w:vAlign w:val="center"/>
          </w:tcPr>
          <w:p w14:paraId="1111C435">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992" w:type="dxa"/>
            <w:noWrap w:val="0"/>
            <w:vAlign w:val="top"/>
          </w:tcPr>
          <w:p w14:paraId="0801ED82">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0E2043EC">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3AC02D3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3FD187D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709" w:type="dxa"/>
            <w:noWrap w:val="0"/>
            <w:vAlign w:val="center"/>
          </w:tcPr>
          <w:p w14:paraId="11A415C2">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506BDA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0AC66E02">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65" w:type="dxa"/>
            <w:noWrap w:val="0"/>
            <w:vAlign w:val="center"/>
          </w:tcPr>
          <w:p w14:paraId="4B580F2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26" w:type="dxa"/>
            <w:noWrap w:val="0"/>
            <w:vAlign w:val="center"/>
          </w:tcPr>
          <w:p w14:paraId="18FE9BE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567" w:type="dxa"/>
            <w:noWrap w:val="0"/>
            <w:vAlign w:val="center"/>
          </w:tcPr>
          <w:p w14:paraId="665AA902">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686" w:type="dxa"/>
            <w:noWrap w:val="0"/>
            <w:vAlign w:val="center"/>
          </w:tcPr>
          <w:p w14:paraId="38FD121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992" w:type="dxa"/>
            <w:noWrap w:val="0"/>
            <w:vAlign w:val="top"/>
          </w:tcPr>
          <w:p w14:paraId="1ED6451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1F5BE7E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70497BB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68035AB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709" w:type="dxa"/>
            <w:noWrap w:val="0"/>
            <w:vAlign w:val="center"/>
          </w:tcPr>
          <w:p w14:paraId="1AEA342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3D9C1C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42EAEC4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65" w:type="dxa"/>
            <w:noWrap w:val="0"/>
            <w:vAlign w:val="center"/>
          </w:tcPr>
          <w:p w14:paraId="76C7098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26" w:type="dxa"/>
            <w:noWrap w:val="0"/>
            <w:vAlign w:val="center"/>
          </w:tcPr>
          <w:p w14:paraId="45BF56A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567" w:type="dxa"/>
            <w:noWrap w:val="0"/>
            <w:vAlign w:val="center"/>
          </w:tcPr>
          <w:p w14:paraId="347C9101">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686" w:type="dxa"/>
            <w:noWrap w:val="0"/>
            <w:vAlign w:val="center"/>
          </w:tcPr>
          <w:p w14:paraId="0ACE5711">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992" w:type="dxa"/>
            <w:noWrap w:val="0"/>
            <w:vAlign w:val="top"/>
          </w:tcPr>
          <w:p w14:paraId="2C5D27E5">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2644C93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212CBEB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5B2A228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709" w:type="dxa"/>
            <w:noWrap w:val="0"/>
            <w:vAlign w:val="center"/>
          </w:tcPr>
          <w:p w14:paraId="0AD31E05">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228A2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1820F2A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65" w:type="dxa"/>
            <w:noWrap w:val="0"/>
            <w:vAlign w:val="center"/>
          </w:tcPr>
          <w:p w14:paraId="349D892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26" w:type="dxa"/>
            <w:noWrap w:val="0"/>
            <w:vAlign w:val="center"/>
          </w:tcPr>
          <w:p w14:paraId="39527D41">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567" w:type="dxa"/>
            <w:noWrap w:val="0"/>
            <w:vAlign w:val="center"/>
          </w:tcPr>
          <w:p w14:paraId="0C274D1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686" w:type="dxa"/>
            <w:noWrap w:val="0"/>
            <w:vAlign w:val="center"/>
          </w:tcPr>
          <w:p w14:paraId="4D558DEF">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992" w:type="dxa"/>
            <w:noWrap w:val="0"/>
            <w:vAlign w:val="top"/>
          </w:tcPr>
          <w:p w14:paraId="0C4726D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7F62014A">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6426E571">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09AF6FA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709" w:type="dxa"/>
            <w:noWrap w:val="0"/>
            <w:vAlign w:val="center"/>
          </w:tcPr>
          <w:p w14:paraId="7D2EE74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552EE9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33DA745F">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65" w:type="dxa"/>
            <w:noWrap w:val="0"/>
            <w:vAlign w:val="center"/>
          </w:tcPr>
          <w:p w14:paraId="507F82E3">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26" w:type="dxa"/>
            <w:noWrap w:val="0"/>
            <w:vAlign w:val="center"/>
          </w:tcPr>
          <w:p w14:paraId="0BB3E62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567" w:type="dxa"/>
            <w:noWrap w:val="0"/>
            <w:vAlign w:val="center"/>
          </w:tcPr>
          <w:p w14:paraId="5F84C93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686" w:type="dxa"/>
            <w:noWrap w:val="0"/>
            <w:vAlign w:val="center"/>
          </w:tcPr>
          <w:p w14:paraId="05F685EA">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992" w:type="dxa"/>
            <w:noWrap w:val="0"/>
            <w:vAlign w:val="top"/>
          </w:tcPr>
          <w:p w14:paraId="4250E5C2">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07224000">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2802B980">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5E6EAD50">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709" w:type="dxa"/>
            <w:noWrap w:val="0"/>
            <w:vAlign w:val="center"/>
          </w:tcPr>
          <w:p w14:paraId="5397D2B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44CDEF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4F757E2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65" w:type="dxa"/>
            <w:noWrap w:val="0"/>
            <w:vAlign w:val="center"/>
          </w:tcPr>
          <w:p w14:paraId="05D15A21">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26" w:type="dxa"/>
            <w:noWrap w:val="0"/>
            <w:vAlign w:val="center"/>
          </w:tcPr>
          <w:p w14:paraId="78E2796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567" w:type="dxa"/>
            <w:noWrap w:val="0"/>
            <w:vAlign w:val="center"/>
          </w:tcPr>
          <w:p w14:paraId="06098F2F">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686" w:type="dxa"/>
            <w:noWrap w:val="0"/>
            <w:vAlign w:val="center"/>
          </w:tcPr>
          <w:p w14:paraId="4A741655">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992" w:type="dxa"/>
            <w:noWrap w:val="0"/>
            <w:vAlign w:val="top"/>
          </w:tcPr>
          <w:p w14:paraId="11918295">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44C3030F">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0D2BE66C">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5240769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709" w:type="dxa"/>
            <w:noWrap w:val="0"/>
            <w:vAlign w:val="center"/>
          </w:tcPr>
          <w:p w14:paraId="64E62ABC">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46C12B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25A01C8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65" w:type="dxa"/>
            <w:noWrap w:val="0"/>
            <w:vAlign w:val="center"/>
          </w:tcPr>
          <w:p w14:paraId="79DA0D4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26" w:type="dxa"/>
            <w:noWrap w:val="0"/>
            <w:vAlign w:val="center"/>
          </w:tcPr>
          <w:p w14:paraId="054A3C8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567" w:type="dxa"/>
            <w:noWrap w:val="0"/>
            <w:vAlign w:val="center"/>
          </w:tcPr>
          <w:p w14:paraId="1DBF6C3A">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686" w:type="dxa"/>
            <w:noWrap w:val="0"/>
            <w:vAlign w:val="center"/>
          </w:tcPr>
          <w:p w14:paraId="1B5BE003">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992" w:type="dxa"/>
            <w:noWrap w:val="0"/>
            <w:vAlign w:val="top"/>
          </w:tcPr>
          <w:p w14:paraId="31135411">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5217088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2EE3E4D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4BCB8411">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709" w:type="dxa"/>
            <w:noWrap w:val="0"/>
            <w:vAlign w:val="center"/>
          </w:tcPr>
          <w:p w14:paraId="6E0FE3A2">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773144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6632C07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65" w:type="dxa"/>
            <w:noWrap w:val="0"/>
            <w:vAlign w:val="center"/>
          </w:tcPr>
          <w:p w14:paraId="5CA6DE11">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26" w:type="dxa"/>
            <w:noWrap w:val="0"/>
            <w:vAlign w:val="center"/>
          </w:tcPr>
          <w:p w14:paraId="5EA98A4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567" w:type="dxa"/>
            <w:noWrap w:val="0"/>
            <w:vAlign w:val="center"/>
          </w:tcPr>
          <w:p w14:paraId="44005BB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686" w:type="dxa"/>
            <w:noWrap w:val="0"/>
            <w:vAlign w:val="center"/>
          </w:tcPr>
          <w:p w14:paraId="132AC5A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992" w:type="dxa"/>
            <w:noWrap w:val="0"/>
            <w:vAlign w:val="top"/>
          </w:tcPr>
          <w:p w14:paraId="2916802A">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58247041">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28056A10">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6523774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709" w:type="dxa"/>
            <w:noWrap w:val="0"/>
            <w:vAlign w:val="center"/>
          </w:tcPr>
          <w:p w14:paraId="7E50BBE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bl>
    <w:p w14:paraId="10A6170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p>
    <w:p w14:paraId="4C2AE68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br w:type="page"/>
      </w:r>
    </w:p>
    <w:p w14:paraId="6759EA15">
      <w:pPr>
        <w:keepNext/>
        <w:keepLines/>
        <w:numPr>
          <w:ilvl w:val="0"/>
          <w:numId w:val="0"/>
        </w:numPr>
        <w:wordWrap w:val="0"/>
        <w:topLinePunct/>
        <w:adjustRightInd w:val="0"/>
        <w:snapToGrid w:val="0"/>
        <w:spacing w:after="120" w:afterLines="50" w:line="240" w:lineRule="auto"/>
        <w:ind w:firstLine="0" w:firstLineChars="0"/>
        <w:jc w:val="center"/>
        <w:outlineLvl w:val="2"/>
        <w:rPr>
          <w:rFonts w:hint="eastAsia" w:asciiTheme="minorEastAsia" w:hAnsiTheme="minorEastAsia" w:eastAsiaTheme="minorEastAsia" w:cstheme="minorEastAsia"/>
          <w:b/>
          <w:sz w:val="24"/>
          <w:szCs w:val="24"/>
          <w:lang w:val="en-US" w:eastAsia="zh-CN" w:bidi="ar-SA"/>
        </w:rPr>
      </w:pPr>
      <w:bookmarkStart w:id="1430" w:name="_Toc54862354"/>
      <w:bookmarkStart w:id="1431" w:name="_Toc20171895"/>
      <w:r>
        <w:rPr>
          <w:rFonts w:hint="eastAsia" w:asciiTheme="minorEastAsia" w:hAnsiTheme="minorEastAsia" w:eastAsiaTheme="minorEastAsia" w:cstheme="minorEastAsia"/>
          <w:b/>
          <w:sz w:val="24"/>
          <w:szCs w:val="24"/>
          <w:lang w:val="en-US" w:eastAsia="zh-CN" w:bidi="ar-SA"/>
        </w:rPr>
        <w:t>附件3 工程质量保修书</w:t>
      </w:r>
      <w:bookmarkEnd w:id="1430"/>
      <w:bookmarkEnd w:id="1431"/>
    </w:p>
    <w:p w14:paraId="27FC252C">
      <w:pPr>
        <w:widowControl/>
        <w:wordWrap/>
        <w:topLinePunct w:val="0"/>
        <w:adjustRightInd w:val="0"/>
        <w:snapToGrid w:val="0"/>
        <w:spacing w:after="120" w:afterLines="50" w:line="240" w:lineRule="auto"/>
        <w:ind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发包人（全称）：</w:t>
      </w:r>
      <w:r>
        <w:rPr>
          <w:rFonts w:hint="eastAsia" w:asciiTheme="minorEastAsia" w:hAnsiTheme="minorEastAsia" w:eastAsiaTheme="minorEastAsia" w:cstheme="minorEastAsia"/>
          <w:kern w:val="0"/>
          <w:sz w:val="24"/>
          <w:szCs w:val="24"/>
          <w:u w:val="single"/>
        </w:rPr>
        <w:t xml:space="preserve"> 北京市重点站区管理委员会 </w:t>
      </w:r>
    </w:p>
    <w:p w14:paraId="66246D0C">
      <w:pPr>
        <w:widowControl/>
        <w:wordWrap/>
        <w:topLinePunct w:val="0"/>
        <w:adjustRightInd w:val="0"/>
        <w:snapToGrid w:val="0"/>
        <w:spacing w:after="120" w:afterLines="50" w:line="240" w:lineRule="auto"/>
        <w:ind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承包人（全称）：</w:t>
      </w:r>
      <w:r>
        <w:rPr>
          <w:rFonts w:hint="eastAsia" w:asciiTheme="minorEastAsia" w:hAnsiTheme="minorEastAsia" w:eastAsiaTheme="minorEastAsia" w:cstheme="minorEastAsia"/>
          <w:kern w:val="0"/>
          <w:sz w:val="24"/>
          <w:szCs w:val="24"/>
          <w:u w:val="single"/>
        </w:rPr>
        <w:t xml:space="preserve">                                  </w:t>
      </w:r>
    </w:p>
    <w:p w14:paraId="12C12AD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发包人和承包人根据《中华人民共和国建筑法》和《建设工程质量管理条例》，经协商一致就</w:t>
      </w:r>
      <w:r>
        <w:rPr>
          <w:rFonts w:hint="eastAsia" w:asciiTheme="minorEastAsia" w:hAnsiTheme="minorEastAsia" w:eastAsiaTheme="minorEastAsia" w:cstheme="minorEastAsia"/>
          <w:kern w:val="0"/>
          <w:sz w:val="24"/>
          <w:szCs w:val="24"/>
          <w:u w:val="single"/>
        </w:rPr>
        <w:t xml:space="preserve">  公交375场站优化提升改造项目—北京北站落客区建设 </w:t>
      </w:r>
      <w:r>
        <w:rPr>
          <w:rFonts w:hint="eastAsia" w:asciiTheme="minorEastAsia" w:hAnsiTheme="minorEastAsia" w:eastAsiaTheme="minorEastAsia" w:cstheme="minorEastAsia"/>
          <w:kern w:val="0"/>
          <w:sz w:val="24"/>
          <w:szCs w:val="24"/>
        </w:rPr>
        <w:t>（工程全称）订立工程质量保修书。</w:t>
      </w:r>
    </w:p>
    <w:p w14:paraId="046F002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一、工程质量保修范围和内容</w:t>
      </w:r>
    </w:p>
    <w:p w14:paraId="51CA32F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承包人在质量保修期内，按照有关法律规定和合同约定，承担工程质量保修责任。</w:t>
      </w:r>
    </w:p>
    <w:p w14:paraId="0AC9720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Theme="minorEastAsia" w:hAnsiTheme="minorEastAsia" w:eastAsiaTheme="minorEastAsia" w:cstheme="minorEastAsia"/>
          <w:kern w:val="0"/>
          <w:sz w:val="24"/>
          <w:szCs w:val="24"/>
          <w:u w:val="single"/>
        </w:rPr>
        <w:t xml:space="preserve"> 本合同约定的全部承包范围</w:t>
      </w:r>
      <w:r>
        <w:rPr>
          <w:rFonts w:hint="eastAsia" w:asciiTheme="minorEastAsia" w:hAnsiTheme="minorEastAsia" w:eastAsiaTheme="minorEastAsia" w:cstheme="minorEastAsia"/>
          <w:kern w:val="0"/>
          <w:sz w:val="24"/>
          <w:szCs w:val="24"/>
        </w:rPr>
        <w:t>。</w:t>
      </w:r>
    </w:p>
    <w:p w14:paraId="5BE5750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二、质量保修期</w:t>
      </w:r>
    </w:p>
    <w:p w14:paraId="5E24F9A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根据《建设工程质量管理条例》及有关规定，工程的质量保修期如下：</w:t>
      </w:r>
    </w:p>
    <w:p w14:paraId="6E2AD49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1．地基基础工程和主体结构工程为设计文件规定的工程合理使用年限；</w:t>
      </w:r>
    </w:p>
    <w:p w14:paraId="40D4962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2．屋面防水工程、有防水要求的卫生间、房间和外墙面的防渗为</w:t>
      </w:r>
      <w:r>
        <w:rPr>
          <w:rFonts w:hint="eastAsia" w:asciiTheme="minorEastAsia" w:hAnsiTheme="minorEastAsia" w:eastAsiaTheme="minorEastAsia" w:cstheme="minorEastAsia"/>
          <w:kern w:val="0"/>
          <w:sz w:val="24"/>
          <w:szCs w:val="24"/>
          <w:u w:val="single"/>
        </w:rPr>
        <w:t xml:space="preserve">    5   </w:t>
      </w:r>
      <w:r>
        <w:rPr>
          <w:rFonts w:hint="eastAsia" w:asciiTheme="minorEastAsia" w:hAnsiTheme="minorEastAsia" w:eastAsiaTheme="minorEastAsia" w:cstheme="minorEastAsia"/>
          <w:kern w:val="0"/>
          <w:sz w:val="24"/>
          <w:szCs w:val="24"/>
        </w:rPr>
        <w:t>年；</w:t>
      </w:r>
    </w:p>
    <w:p w14:paraId="73C5C5A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3．装修工程为</w:t>
      </w:r>
      <w:r>
        <w:rPr>
          <w:rFonts w:hint="eastAsia" w:asciiTheme="minorEastAsia" w:hAnsiTheme="minorEastAsia" w:eastAsiaTheme="minorEastAsia" w:cstheme="minorEastAsia"/>
          <w:kern w:val="0"/>
          <w:sz w:val="24"/>
          <w:szCs w:val="24"/>
          <w:u w:val="single"/>
        </w:rPr>
        <w:t xml:space="preserve">    2     </w:t>
      </w:r>
      <w:r>
        <w:rPr>
          <w:rFonts w:hint="eastAsia" w:asciiTheme="minorEastAsia" w:hAnsiTheme="minorEastAsia" w:eastAsiaTheme="minorEastAsia" w:cstheme="minorEastAsia"/>
          <w:kern w:val="0"/>
          <w:sz w:val="24"/>
          <w:szCs w:val="24"/>
        </w:rPr>
        <w:t>年；</w:t>
      </w:r>
    </w:p>
    <w:p w14:paraId="2A96CD6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4．电气管线、给排水管道、设备安装工程为</w:t>
      </w:r>
      <w:r>
        <w:rPr>
          <w:rFonts w:hint="eastAsia" w:asciiTheme="minorEastAsia" w:hAnsiTheme="minorEastAsia" w:eastAsiaTheme="minorEastAsia" w:cstheme="minorEastAsia"/>
          <w:kern w:val="0"/>
          <w:sz w:val="24"/>
          <w:szCs w:val="24"/>
          <w:u w:val="single"/>
        </w:rPr>
        <w:t xml:space="preserve">     2      </w:t>
      </w:r>
      <w:r>
        <w:rPr>
          <w:rFonts w:hint="eastAsia" w:asciiTheme="minorEastAsia" w:hAnsiTheme="minorEastAsia" w:eastAsiaTheme="minorEastAsia" w:cstheme="minorEastAsia"/>
          <w:kern w:val="0"/>
          <w:sz w:val="24"/>
          <w:szCs w:val="24"/>
        </w:rPr>
        <w:t>年；</w:t>
      </w:r>
    </w:p>
    <w:p w14:paraId="56699B0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5．供热与供冷系统为</w:t>
      </w:r>
      <w:r>
        <w:rPr>
          <w:rFonts w:hint="eastAsia" w:asciiTheme="minorEastAsia" w:hAnsiTheme="minorEastAsia" w:eastAsiaTheme="minorEastAsia" w:cstheme="minorEastAsia"/>
          <w:kern w:val="0"/>
          <w:sz w:val="24"/>
          <w:szCs w:val="24"/>
          <w:u w:val="single"/>
        </w:rPr>
        <w:t xml:space="preserve">    2    </w:t>
      </w:r>
      <w:r>
        <w:rPr>
          <w:rFonts w:hint="eastAsia" w:asciiTheme="minorEastAsia" w:hAnsiTheme="minorEastAsia" w:eastAsiaTheme="minorEastAsia" w:cstheme="minorEastAsia"/>
          <w:kern w:val="0"/>
          <w:sz w:val="24"/>
          <w:szCs w:val="24"/>
        </w:rPr>
        <w:t>个采暖期、供冷期；</w:t>
      </w:r>
    </w:p>
    <w:p w14:paraId="5713234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6．住宅小区内的给排水设施、道路等配套工程为</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年；</w:t>
      </w:r>
    </w:p>
    <w:p w14:paraId="343E27B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7．其他项目保修期限约定如下：</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64E9654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质量保修期自工程竣工验收合格之日起计算。</w:t>
      </w:r>
    </w:p>
    <w:p w14:paraId="64C133B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三、缺陷责任期</w:t>
      </w:r>
    </w:p>
    <w:p w14:paraId="30FC74A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工程缺陷责任期为</w:t>
      </w:r>
      <w:r>
        <w:rPr>
          <w:rFonts w:hint="eastAsia" w:asciiTheme="minorEastAsia" w:hAnsiTheme="minorEastAsia" w:eastAsiaTheme="minorEastAsia" w:cstheme="minorEastAsia"/>
          <w:kern w:val="0"/>
          <w:sz w:val="24"/>
          <w:szCs w:val="24"/>
          <w:u w:val="single"/>
        </w:rPr>
        <w:t xml:space="preserve"> 24 </w:t>
      </w:r>
      <w:r>
        <w:rPr>
          <w:rFonts w:hint="eastAsia" w:asciiTheme="minorEastAsia" w:hAnsiTheme="minorEastAsia" w:eastAsiaTheme="minorEastAsia" w:cstheme="minorEastAsia"/>
          <w:kern w:val="0"/>
          <w:sz w:val="24"/>
          <w:szCs w:val="24"/>
        </w:rPr>
        <w:t>个月，缺陷责任期自工程通过竣工验收之日起计算。单位/区段工程先于全部工程进行验收，单位/区段工程缺陷责任期自单位/区段工程验收合格之日起算。</w:t>
      </w:r>
    </w:p>
    <w:p w14:paraId="0D8246E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缺陷责任期终止后，发包人应返还剩余的质量保证金。</w:t>
      </w:r>
    </w:p>
    <w:p w14:paraId="779AA2A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四、质量保修责任</w:t>
      </w:r>
    </w:p>
    <w:p w14:paraId="15E90F2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1．属于保修范围、内容的项目，承包人应当在接到保修通知之日起7天内派人保修。承包人不在约定期限内派人保修的，发包人可以委托他人修理。</w:t>
      </w:r>
    </w:p>
    <w:p w14:paraId="2BDE174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2．发生紧急事故需抢修的，承包人在接到事故通知后，应当立即到达事故现场抢修。</w:t>
      </w:r>
    </w:p>
    <w:p w14:paraId="5ED6B88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对于涉及结构安全的质量问题，应当按照《建设工程质量管理条例》的规定，立即向当地建设行政主管部门和有关部门报告，采取安全防范措施，并由承包人提出保修方案，承包人将设计业务分包的，应由原设计分包人或具有相应资质等级的设计人提出保修方案，承包人实施保修。</w:t>
      </w:r>
    </w:p>
    <w:p w14:paraId="12A4892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4．质量保修完成后，由发包人组织验收。</w:t>
      </w:r>
    </w:p>
    <w:p w14:paraId="4143BDB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五、保修费用</w:t>
      </w:r>
    </w:p>
    <w:p w14:paraId="55F8200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保修费用由造成质量缺陷的责任方承担。</w:t>
      </w:r>
    </w:p>
    <w:p w14:paraId="004C834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rPr>
        <w:t>六、双方约定的其他工程质量保修事项：</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D4F6FB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工程质量保修书由发包人、承包人在工程竣工验收前共同签署，作为工程总承包合同附件，其有效期限至保修期满。</w:t>
      </w:r>
    </w:p>
    <w:p w14:paraId="1815609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p>
    <w:p w14:paraId="5A5E26F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发包人(公章)：               承包人(公章)：          </w:t>
      </w:r>
    </w:p>
    <w:p w14:paraId="6273F47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地  址：                     地  址：       </w:t>
      </w:r>
    </w:p>
    <w:p w14:paraId="7255CD1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法定代表人(签字)：           法定代表人(签字)：       </w:t>
      </w:r>
    </w:p>
    <w:p w14:paraId="6BCB2E5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委托代理人(签字)：           委托代理人(签字)：       </w:t>
      </w:r>
    </w:p>
    <w:p w14:paraId="275893B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电  话：                     电  话：</w:t>
      </w:r>
    </w:p>
    <w:p w14:paraId="2E29501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传  真：                     传  真：  </w:t>
      </w:r>
    </w:p>
    <w:p w14:paraId="6089545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开户银行：                   开户银行：</w:t>
      </w:r>
    </w:p>
    <w:p w14:paraId="411A0BD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账  号：                     账  号： </w:t>
      </w:r>
    </w:p>
    <w:p w14:paraId="363D207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邮政编码：                   邮政编码：   </w:t>
      </w:r>
    </w:p>
    <w:p w14:paraId="0721DEEE">
      <w:pPr>
        <w:widowControl/>
        <w:wordWrap/>
        <w:topLinePunct w:val="0"/>
        <w:adjustRightInd/>
        <w:snapToGrid/>
        <w:spacing w:after="0" w:afterLines="0" w:line="240" w:lineRule="auto"/>
        <w:ind w:firstLine="0" w:firstLineChars="0"/>
        <w:jc w:val="left"/>
        <w:rPr>
          <w:rFonts w:hint="eastAsia" w:asciiTheme="minorEastAsia" w:hAnsiTheme="minorEastAsia" w:eastAsiaTheme="minorEastAsia" w:cstheme="minorEastAsia"/>
          <w:kern w:val="0"/>
          <w:sz w:val="30"/>
          <w:szCs w:val="30"/>
        </w:rPr>
      </w:pPr>
      <w:r>
        <w:rPr>
          <w:rFonts w:hint="eastAsia" w:asciiTheme="minorEastAsia" w:hAnsiTheme="minorEastAsia" w:eastAsiaTheme="minorEastAsia" w:cstheme="minorEastAsia"/>
          <w:kern w:val="0"/>
          <w:sz w:val="30"/>
          <w:szCs w:val="30"/>
        </w:rPr>
        <w:br w:type="page"/>
      </w:r>
    </w:p>
    <w:p w14:paraId="1A904415">
      <w:pPr>
        <w:keepNext/>
        <w:keepLines/>
        <w:numPr>
          <w:ilvl w:val="0"/>
          <w:numId w:val="0"/>
        </w:numPr>
        <w:wordWrap w:val="0"/>
        <w:topLinePunct/>
        <w:adjustRightInd w:val="0"/>
        <w:snapToGrid w:val="0"/>
        <w:spacing w:after="120" w:afterLines="50" w:line="240" w:lineRule="auto"/>
        <w:ind w:firstLine="0" w:firstLineChars="0"/>
        <w:jc w:val="center"/>
        <w:outlineLvl w:val="2"/>
        <w:rPr>
          <w:rFonts w:hint="eastAsia" w:asciiTheme="minorEastAsia" w:hAnsiTheme="minorEastAsia" w:eastAsiaTheme="minorEastAsia" w:cstheme="minorEastAsia"/>
          <w:b/>
          <w:sz w:val="30"/>
          <w:szCs w:val="30"/>
          <w:lang w:val="en-US" w:eastAsia="zh-CN" w:bidi="ar-SA"/>
        </w:rPr>
      </w:pPr>
      <w:bookmarkStart w:id="1432" w:name="_Toc54862355"/>
      <w:bookmarkStart w:id="1433" w:name="_Toc20171896"/>
      <w:r>
        <w:rPr>
          <w:rFonts w:hint="eastAsia" w:asciiTheme="minorEastAsia" w:hAnsiTheme="minorEastAsia" w:eastAsiaTheme="minorEastAsia" w:cstheme="minorEastAsia"/>
          <w:b/>
          <w:sz w:val="30"/>
          <w:szCs w:val="30"/>
          <w:lang w:val="en-US" w:eastAsia="zh-CN" w:bidi="ar-SA"/>
        </w:rPr>
        <w:t>附件4 主要建设工程文件目录</w:t>
      </w:r>
      <w:bookmarkEnd w:id="1432"/>
      <w:bookmarkEnd w:id="1433"/>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125"/>
        <w:gridCol w:w="1276"/>
        <w:gridCol w:w="1450"/>
        <w:gridCol w:w="1243"/>
        <w:gridCol w:w="1450"/>
        <w:gridCol w:w="1670"/>
      </w:tblGrid>
      <w:tr w14:paraId="7FA9F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2125" w:type="dxa"/>
            <w:tcBorders>
              <w:top w:val="single" w:color="auto" w:sz="12" w:space="0"/>
              <w:bottom w:val="double" w:color="auto" w:sz="6" w:space="0"/>
            </w:tcBorders>
            <w:noWrap w:val="0"/>
            <w:vAlign w:val="center"/>
          </w:tcPr>
          <w:p w14:paraId="24DD4B1F">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文件名称</w:t>
            </w:r>
          </w:p>
        </w:tc>
        <w:tc>
          <w:tcPr>
            <w:tcW w:w="1276" w:type="dxa"/>
            <w:tcBorders>
              <w:top w:val="single" w:color="auto" w:sz="12" w:space="0"/>
              <w:bottom w:val="double" w:color="auto" w:sz="6" w:space="0"/>
            </w:tcBorders>
            <w:noWrap w:val="0"/>
            <w:vAlign w:val="center"/>
          </w:tcPr>
          <w:p w14:paraId="3DC8873F">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套数</w:t>
            </w:r>
          </w:p>
        </w:tc>
        <w:tc>
          <w:tcPr>
            <w:tcW w:w="1450" w:type="dxa"/>
            <w:tcBorders>
              <w:top w:val="single" w:color="auto" w:sz="12" w:space="0"/>
              <w:bottom w:val="double" w:color="auto" w:sz="6" w:space="0"/>
            </w:tcBorders>
            <w:noWrap w:val="0"/>
            <w:vAlign w:val="center"/>
          </w:tcPr>
          <w:p w14:paraId="15D48CE7">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费用（元）</w:t>
            </w:r>
          </w:p>
        </w:tc>
        <w:tc>
          <w:tcPr>
            <w:tcW w:w="1243" w:type="dxa"/>
            <w:tcBorders>
              <w:top w:val="single" w:color="auto" w:sz="12" w:space="0"/>
              <w:bottom w:val="double" w:color="auto" w:sz="6" w:space="0"/>
            </w:tcBorders>
            <w:noWrap w:val="0"/>
            <w:vAlign w:val="center"/>
          </w:tcPr>
          <w:p w14:paraId="2CC19494">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质量</w:t>
            </w:r>
          </w:p>
        </w:tc>
        <w:tc>
          <w:tcPr>
            <w:tcW w:w="1450" w:type="dxa"/>
            <w:tcBorders>
              <w:top w:val="single" w:color="auto" w:sz="12" w:space="0"/>
              <w:bottom w:val="double" w:color="auto" w:sz="6" w:space="0"/>
            </w:tcBorders>
            <w:noWrap w:val="0"/>
            <w:vAlign w:val="top"/>
          </w:tcPr>
          <w:p w14:paraId="2D044701">
            <w:pPr>
              <w:keepNext w:val="0"/>
              <w:keepLines w:val="0"/>
              <w:widowControl/>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kern w:val="0"/>
                <w:sz w:val="21"/>
                <w:szCs w:val="20"/>
              </w:rPr>
            </w:pPr>
            <w:r>
              <w:rPr>
                <w:rFonts w:hint="eastAsia" w:asciiTheme="minorEastAsia" w:hAnsiTheme="minorEastAsia" w:eastAsiaTheme="minorEastAsia" w:cstheme="minorEastAsia"/>
                <w:kern w:val="0"/>
                <w:sz w:val="21"/>
                <w:szCs w:val="20"/>
              </w:rPr>
              <w:t>移交时间</w:t>
            </w:r>
          </w:p>
        </w:tc>
        <w:tc>
          <w:tcPr>
            <w:tcW w:w="1670" w:type="dxa"/>
            <w:tcBorders>
              <w:top w:val="single" w:color="auto" w:sz="12" w:space="0"/>
              <w:bottom w:val="double" w:color="auto" w:sz="6" w:space="0"/>
            </w:tcBorders>
            <w:noWrap w:val="0"/>
            <w:vAlign w:val="top"/>
          </w:tcPr>
          <w:p w14:paraId="28FDAA96">
            <w:pPr>
              <w:keepNext w:val="0"/>
              <w:keepLines w:val="0"/>
              <w:widowControl/>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kern w:val="0"/>
                <w:sz w:val="21"/>
                <w:szCs w:val="20"/>
              </w:rPr>
            </w:pPr>
            <w:r>
              <w:rPr>
                <w:rFonts w:hint="eastAsia" w:asciiTheme="minorEastAsia" w:hAnsiTheme="minorEastAsia" w:eastAsiaTheme="minorEastAsia" w:cstheme="minorEastAsia"/>
                <w:kern w:val="0"/>
                <w:sz w:val="21"/>
                <w:szCs w:val="20"/>
              </w:rPr>
              <w:t>责任人</w:t>
            </w:r>
          </w:p>
        </w:tc>
      </w:tr>
      <w:tr w14:paraId="0BA32B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Borders>
              <w:top w:val="double" w:color="auto" w:sz="6" w:space="0"/>
              <w:bottom w:val="single" w:color="auto" w:sz="6" w:space="0"/>
            </w:tcBorders>
            <w:noWrap w:val="0"/>
            <w:vAlign w:val="center"/>
          </w:tcPr>
          <w:p w14:paraId="393BD6F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76" w:type="dxa"/>
            <w:tcBorders>
              <w:top w:val="double" w:color="auto" w:sz="6" w:space="0"/>
              <w:bottom w:val="single" w:color="auto" w:sz="6" w:space="0"/>
            </w:tcBorders>
            <w:noWrap w:val="0"/>
            <w:vAlign w:val="center"/>
          </w:tcPr>
          <w:p w14:paraId="21BD532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tcBorders>
              <w:top w:val="double" w:color="auto" w:sz="6" w:space="0"/>
              <w:bottom w:val="single" w:color="auto" w:sz="6" w:space="0"/>
            </w:tcBorders>
            <w:noWrap w:val="0"/>
            <w:vAlign w:val="center"/>
          </w:tcPr>
          <w:p w14:paraId="46D6703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43" w:type="dxa"/>
            <w:tcBorders>
              <w:top w:val="double" w:color="auto" w:sz="6" w:space="0"/>
              <w:bottom w:val="single" w:color="auto" w:sz="6" w:space="0"/>
            </w:tcBorders>
            <w:noWrap w:val="0"/>
            <w:vAlign w:val="center"/>
          </w:tcPr>
          <w:p w14:paraId="5A0804F0">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tcBorders>
              <w:top w:val="double" w:color="auto" w:sz="6" w:space="0"/>
              <w:bottom w:val="single" w:color="auto" w:sz="6" w:space="0"/>
            </w:tcBorders>
            <w:noWrap w:val="0"/>
            <w:vAlign w:val="center"/>
          </w:tcPr>
          <w:p w14:paraId="21B70D59">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670" w:type="dxa"/>
            <w:tcBorders>
              <w:top w:val="double" w:color="auto" w:sz="6" w:space="0"/>
              <w:bottom w:val="single" w:color="auto" w:sz="6" w:space="0"/>
            </w:tcBorders>
            <w:noWrap w:val="0"/>
            <w:vAlign w:val="center"/>
          </w:tcPr>
          <w:p w14:paraId="22695EC4">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55E0E1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Borders>
              <w:top w:val="nil"/>
            </w:tcBorders>
            <w:noWrap w:val="0"/>
            <w:vAlign w:val="center"/>
          </w:tcPr>
          <w:p w14:paraId="6D6A2B4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76" w:type="dxa"/>
            <w:tcBorders>
              <w:top w:val="nil"/>
            </w:tcBorders>
            <w:noWrap w:val="0"/>
            <w:vAlign w:val="center"/>
          </w:tcPr>
          <w:p w14:paraId="1748433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tcBorders>
              <w:top w:val="nil"/>
            </w:tcBorders>
            <w:noWrap w:val="0"/>
            <w:vAlign w:val="center"/>
          </w:tcPr>
          <w:p w14:paraId="79E84FD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43" w:type="dxa"/>
            <w:tcBorders>
              <w:top w:val="nil"/>
            </w:tcBorders>
            <w:noWrap w:val="0"/>
            <w:vAlign w:val="center"/>
          </w:tcPr>
          <w:p w14:paraId="7C9ABEA4">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tcBorders>
              <w:top w:val="nil"/>
            </w:tcBorders>
            <w:noWrap w:val="0"/>
            <w:vAlign w:val="center"/>
          </w:tcPr>
          <w:p w14:paraId="0A17164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670" w:type="dxa"/>
            <w:tcBorders>
              <w:top w:val="nil"/>
            </w:tcBorders>
            <w:noWrap w:val="0"/>
            <w:vAlign w:val="center"/>
          </w:tcPr>
          <w:p w14:paraId="66560BA0">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31A5F3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14:paraId="5293611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76" w:type="dxa"/>
            <w:noWrap w:val="0"/>
            <w:vAlign w:val="center"/>
          </w:tcPr>
          <w:p w14:paraId="2B041254">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078811F0">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43" w:type="dxa"/>
            <w:noWrap w:val="0"/>
            <w:vAlign w:val="center"/>
          </w:tcPr>
          <w:p w14:paraId="0E580F09">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27804A6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670" w:type="dxa"/>
            <w:noWrap w:val="0"/>
            <w:vAlign w:val="center"/>
          </w:tcPr>
          <w:p w14:paraId="38E4255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576D37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14:paraId="2007DCF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76" w:type="dxa"/>
            <w:noWrap w:val="0"/>
            <w:vAlign w:val="center"/>
          </w:tcPr>
          <w:p w14:paraId="041BEF7D">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2E603CC3">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43" w:type="dxa"/>
            <w:noWrap w:val="0"/>
            <w:vAlign w:val="center"/>
          </w:tcPr>
          <w:p w14:paraId="0FD85C69">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0F230AC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670" w:type="dxa"/>
            <w:noWrap w:val="0"/>
            <w:vAlign w:val="center"/>
          </w:tcPr>
          <w:p w14:paraId="5E56F99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7768B3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14:paraId="458AB480">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76" w:type="dxa"/>
            <w:noWrap w:val="0"/>
            <w:vAlign w:val="center"/>
          </w:tcPr>
          <w:p w14:paraId="442B5EAD">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335953C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43" w:type="dxa"/>
            <w:noWrap w:val="0"/>
            <w:vAlign w:val="center"/>
          </w:tcPr>
          <w:p w14:paraId="650F422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7F5ABC25">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670" w:type="dxa"/>
            <w:noWrap w:val="0"/>
            <w:vAlign w:val="center"/>
          </w:tcPr>
          <w:p w14:paraId="35EFF107">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4E0981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14:paraId="66093F0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76" w:type="dxa"/>
            <w:noWrap w:val="0"/>
            <w:vAlign w:val="center"/>
          </w:tcPr>
          <w:p w14:paraId="62BD4F9E">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30C4C8E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43" w:type="dxa"/>
            <w:noWrap w:val="0"/>
            <w:vAlign w:val="center"/>
          </w:tcPr>
          <w:p w14:paraId="1817D72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08AEA44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670" w:type="dxa"/>
            <w:noWrap w:val="0"/>
            <w:vAlign w:val="center"/>
          </w:tcPr>
          <w:p w14:paraId="6CE92EA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564DE8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14:paraId="6A2B484D">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76" w:type="dxa"/>
            <w:noWrap w:val="0"/>
            <w:vAlign w:val="center"/>
          </w:tcPr>
          <w:p w14:paraId="7282001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42EC0F09">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43" w:type="dxa"/>
            <w:noWrap w:val="0"/>
            <w:vAlign w:val="center"/>
          </w:tcPr>
          <w:p w14:paraId="49DA759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6335579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670" w:type="dxa"/>
            <w:noWrap w:val="0"/>
            <w:vAlign w:val="center"/>
          </w:tcPr>
          <w:p w14:paraId="787C0B55">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382289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14:paraId="462A9AE5">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76" w:type="dxa"/>
            <w:noWrap w:val="0"/>
            <w:vAlign w:val="center"/>
          </w:tcPr>
          <w:p w14:paraId="7414B5B2">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0CFC7CE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43" w:type="dxa"/>
            <w:noWrap w:val="0"/>
            <w:vAlign w:val="center"/>
          </w:tcPr>
          <w:p w14:paraId="4EB2445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6FF4C017">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670" w:type="dxa"/>
            <w:noWrap w:val="0"/>
            <w:vAlign w:val="center"/>
          </w:tcPr>
          <w:p w14:paraId="0AC1604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0C7CF1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2A117802">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5FF898E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04C82DF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12B677C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02FD1B1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04E721D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37E7C2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14:paraId="46DC11E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76" w:type="dxa"/>
            <w:noWrap w:val="0"/>
            <w:vAlign w:val="center"/>
          </w:tcPr>
          <w:p w14:paraId="3B94E833">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21DC8402">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43" w:type="dxa"/>
            <w:noWrap w:val="0"/>
            <w:vAlign w:val="center"/>
          </w:tcPr>
          <w:p w14:paraId="2BF34C17">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61103E8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670" w:type="dxa"/>
            <w:noWrap w:val="0"/>
            <w:vAlign w:val="center"/>
          </w:tcPr>
          <w:p w14:paraId="6B31ECA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73862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5F12C72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6562326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7ED76312">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26B73B7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5264B01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02DAE1D5">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1BDCAA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6926AE63">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149F2BC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06ADD45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69AA055C">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3A8838BF">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08883E20">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3855CE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0D3C759F">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46BDB6D5">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0BC6E0BC">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2B9BFCB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0E08F252">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1C35666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51A582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66425B2A">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41B50460">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1F35109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72E60C0A">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62F8819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381AD320">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42F52B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6A207012">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640E223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7B415AC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3FCDE8E3">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5E31873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36FF3B7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50F03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59547EA3">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56093E1F">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09983221">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13C3FDC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040F8D5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697614FA">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68B9F5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57A207A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12F6008C">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500CDB9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3D26F833">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1AC5846F">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030C381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69850B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31913DD5">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2212D03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78E8253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46FCB4D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67B9141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47CD8C3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4FE34E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2E56360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59878EF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3C0B127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6BE12E5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30D0AFB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6783EEA0">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bl>
    <w:p w14:paraId="2E4BBEE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p>
    <w:p w14:paraId="1AC1893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p>
    <w:p w14:paraId="0EB34E8D">
      <w:pPr>
        <w:wordWrap/>
        <w:topLinePunct w:val="0"/>
        <w:spacing w:line="240" w:lineRule="auto"/>
        <w:rPr>
          <w:rFonts w:hint="eastAsia" w:asciiTheme="minorEastAsia" w:hAnsiTheme="minorEastAsia" w:eastAsiaTheme="minorEastAsia" w:cstheme="minorEastAsia"/>
        </w:rPr>
        <w:sectPr>
          <w:pgSz w:w="11906" w:h="16838"/>
          <w:pgMar w:top="1440" w:right="1800" w:bottom="1440" w:left="1800" w:header="720" w:footer="998" w:gutter="0"/>
          <w:pgNumType w:fmt="decimal"/>
          <w:cols w:space="720" w:num="1"/>
          <w:docGrid w:linePitch="326" w:charSpace="0"/>
        </w:sectPr>
      </w:pPr>
    </w:p>
    <w:p w14:paraId="7AA1CB85">
      <w:pPr>
        <w:keepNext/>
        <w:keepLines/>
        <w:numPr>
          <w:ilvl w:val="0"/>
          <w:numId w:val="0"/>
        </w:numPr>
        <w:wordWrap w:val="0"/>
        <w:topLinePunct/>
        <w:adjustRightInd w:val="0"/>
        <w:snapToGrid w:val="0"/>
        <w:spacing w:after="120" w:afterLines="50" w:line="240" w:lineRule="auto"/>
        <w:ind w:firstLine="0" w:firstLineChars="0"/>
        <w:jc w:val="center"/>
        <w:outlineLvl w:val="2"/>
        <w:rPr>
          <w:rFonts w:hint="eastAsia" w:asciiTheme="minorEastAsia" w:hAnsiTheme="minorEastAsia" w:eastAsiaTheme="minorEastAsia" w:cstheme="minorEastAsia"/>
          <w:b/>
          <w:sz w:val="30"/>
          <w:szCs w:val="30"/>
          <w:lang w:val="en-US" w:eastAsia="zh-CN" w:bidi="ar-SA"/>
        </w:rPr>
      </w:pPr>
      <w:bookmarkStart w:id="1434" w:name="_Toc20171897"/>
      <w:bookmarkStart w:id="1435" w:name="_Toc54862356"/>
      <w:r>
        <w:rPr>
          <w:rFonts w:hint="eastAsia" w:asciiTheme="minorEastAsia" w:hAnsiTheme="minorEastAsia" w:eastAsiaTheme="minorEastAsia" w:cstheme="minorEastAsia"/>
          <w:b/>
          <w:sz w:val="30"/>
          <w:szCs w:val="30"/>
          <w:lang w:val="en-US" w:eastAsia="zh-CN" w:bidi="ar-SA"/>
        </w:rPr>
        <w:t>附件5 承包人主要管理人员表</w:t>
      </w:r>
      <w:bookmarkEnd w:id="1434"/>
      <w:bookmarkEnd w:id="1435"/>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05"/>
        <w:gridCol w:w="1418"/>
        <w:gridCol w:w="1134"/>
        <w:gridCol w:w="1134"/>
        <w:gridCol w:w="3896"/>
      </w:tblGrid>
      <w:tr w14:paraId="4BF1E4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12" w:space="0"/>
              <w:bottom w:val="double" w:color="auto" w:sz="6" w:space="0"/>
            </w:tcBorders>
            <w:noWrap w:val="0"/>
            <w:vAlign w:val="center"/>
          </w:tcPr>
          <w:p w14:paraId="614D4854">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名    称</w:t>
            </w:r>
          </w:p>
        </w:tc>
        <w:tc>
          <w:tcPr>
            <w:tcW w:w="1418" w:type="dxa"/>
            <w:tcBorders>
              <w:top w:val="single" w:color="auto" w:sz="12" w:space="0"/>
              <w:bottom w:val="double" w:color="auto" w:sz="6" w:space="0"/>
            </w:tcBorders>
            <w:noWrap w:val="0"/>
            <w:vAlign w:val="center"/>
          </w:tcPr>
          <w:p w14:paraId="10FCE687">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姓名</w:t>
            </w:r>
          </w:p>
        </w:tc>
        <w:tc>
          <w:tcPr>
            <w:tcW w:w="1134" w:type="dxa"/>
            <w:tcBorders>
              <w:top w:val="single" w:color="auto" w:sz="12" w:space="0"/>
              <w:bottom w:val="double" w:color="auto" w:sz="6" w:space="0"/>
            </w:tcBorders>
            <w:noWrap w:val="0"/>
            <w:vAlign w:val="center"/>
          </w:tcPr>
          <w:p w14:paraId="36F2AAB2">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职务</w:t>
            </w:r>
          </w:p>
        </w:tc>
        <w:tc>
          <w:tcPr>
            <w:tcW w:w="1134" w:type="dxa"/>
            <w:tcBorders>
              <w:top w:val="single" w:color="auto" w:sz="12" w:space="0"/>
              <w:bottom w:val="double" w:color="auto" w:sz="6" w:space="0"/>
            </w:tcBorders>
            <w:noWrap w:val="0"/>
            <w:vAlign w:val="center"/>
          </w:tcPr>
          <w:p w14:paraId="07CD549D">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职称</w:t>
            </w:r>
          </w:p>
        </w:tc>
        <w:tc>
          <w:tcPr>
            <w:tcW w:w="3896" w:type="dxa"/>
            <w:tcBorders>
              <w:top w:val="single" w:color="auto" w:sz="12" w:space="0"/>
              <w:bottom w:val="double" w:color="auto" w:sz="6" w:space="0"/>
            </w:tcBorders>
            <w:noWrap w:val="0"/>
            <w:vAlign w:val="center"/>
          </w:tcPr>
          <w:p w14:paraId="0149EF1E">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主要资历、经验及承担过的项目</w:t>
            </w:r>
          </w:p>
        </w:tc>
      </w:tr>
      <w:tr w14:paraId="2B5249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double" w:color="auto" w:sz="6" w:space="0"/>
              <w:bottom w:val="single" w:color="auto" w:sz="6" w:space="0"/>
            </w:tcBorders>
            <w:noWrap w:val="0"/>
            <w:vAlign w:val="center"/>
          </w:tcPr>
          <w:p w14:paraId="23ABEA1C">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一、总部人员</w:t>
            </w:r>
          </w:p>
        </w:tc>
      </w:tr>
      <w:tr w14:paraId="222C01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14:paraId="36052BEE">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项目主管</w:t>
            </w:r>
          </w:p>
        </w:tc>
        <w:tc>
          <w:tcPr>
            <w:tcW w:w="1418" w:type="dxa"/>
            <w:tcBorders>
              <w:top w:val="nil"/>
            </w:tcBorders>
            <w:noWrap w:val="0"/>
            <w:vAlign w:val="center"/>
          </w:tcPr>
          <w:p w14:paraId="3BB6F8A4">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tcBorders>
              <w:top w:val="nil"/>
            </w:tcBorders>
            <w:noWrap w:val="0"/>
            <w:vAlign w:val="center"/>
          </w:tcPr>
          <w:p w14:paraId="7EFD82D8">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tcBorders>
              <w:top w:val="nil"/>
            </w:tcBorders>
            <w:noWrap w:val="0"/>
            <w:vAlign w:val="center"/>
          </w:tcPr>
          <w:p w14:paraId="29E37358">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tcBorders>
              <w:top w:val="nil"/>
            </w:tcBorders>
            <w:noWrap w:val="0"/>
            <w:vAlign w:val="center"/>
          </w:tcPr>
          <w:p w14:paraId="5CDD05E2">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491B40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nil"/>
            </w:tcBorders>
            <w:noWrap w:val="0"/>
            <w:vAlign w:val="center"/>
          </w:tcPr>
          <w:p w14:paraId="42F907CE">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418" w:type="dxa"/>
            <w:noWrap w:val="0"/>
            <w:vAlign w:val="center"/>
          </w:tcPr>
          <w:p w14:paraId="04268DBE">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22FE159F">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2C7E5465">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493F7EAD">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0B65BD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14:paraId="560BC8F6">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其他人员</w:t>
            </w:r>
          </w:p>
        </w:tc>
        <w:tc>
          <w:tcPr>
            <w:tcW w:w="1418" w:type="dxa"/>
            <w:noWrap w:val="0"/>
            <w:vAlign w:val="center"/>
          </w:tcPr>
          <w:p w14:paraId="7686811E">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6D65FF1E">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37B52190">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7AC2A6FD">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10D662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14:paraId="6B96BFD0">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418" w:type="dxa"/>
            <w:noWrap w:val="0"/>
            <w:vAlign w:val="center"/>
          </w:tcPr>
          <w:p w14:paraId="3C29BCD6">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538DF376">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506741E5">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5F50BF90">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7C10B6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single" w:color="auto" w:sz="6" w:space="0"/>
              <w:bottom w:val="single" w:color="auto" w:sz="6" w:space="0"/>
            </w:tcBorders>
            <w:noWrap w:val="0"/>
            <w:vAlign w:val="center"/>
          </w:tcPr>
          <w:p w14:paraId="7ED2F060">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二、现场人员</w:t>
            </w:r>
          </w:p>
        </w:tc>
      </w:tr>
      <w:tr w14:paraId="4804EC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620FBA90">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工程总承包</w:t>
            </w:r>
          </w:p>
          <w:p w14:paraId="41527139">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项目经理</w:t>
            </w:r>
          </w:p>
        </w:tc>
        <w:tc>
          <w:tcPr>
            <w:tcW w:w="1418" w:type="dxa"/>
            <w:noWrap w:val="0"/>
            <w:vAlign w:val="center"/>
          </w:tcPr>
          <w:p w14:paraId="1DC824FD">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71DBE3F8">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79F4BDE7">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7568BD42">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p w14:paraId="44B5972C">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5FAD1C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022167F4">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项目副经理</w:t>
            </w:r>
          </w:p>
        </w:tc>
        <w:tc>
          <w:tcPr>
            <w:tcW w:w="1418" w:type="dxa"/>
            <w:noWrap w:val="0"/>
            <w:vAlign w:val="center"/>
          </w:tcPr>
          <w:p w14:paraId="597B2A81">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34E372A8">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6C5DBF30">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7DACF230">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174518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7DE4B16F">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设计负责人</w:t>
            </w:r>
          </w:p>
        </w:tc>
        <w:tc>
          <w:tcPr>
            <w:tcW w:w="1418" w:type="dxa"/>
            <w:noWrap w:val="0"/>
            <w:vAlign w:val="center"/>
          </w:tcPr>
          <w:p w14:paraId="319881AC">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0A4FA9F3">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49F190E0">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11FACBA6">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795824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07B4EA3E">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采购负责人</w:t>
            </w:r>
          </w:p>
        </w:tc>
        <w:tc>
          <w:tcPr>
            <w:tcW w:w="1418" w:type="dxa"/>
            <w:noWrap w:val="0"/>
            <w:vAlign w:val="center"/>
          </w:tcPr>
          <w:p w14:paraId="77514E42">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27E827FB">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4B6C6392">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09A7DE9F">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00B3C4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373032DD">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施工负责人</w:t>
            </w:r>
          </w:p>
        </w:tc>
        <w:tc>
          <w:tcPr>
            <w:tcW w:w="1418" w:type="dxa"/>
            <w:noWrap w:val="0"/>
            <w:vAlign w:val="center"/>
          </w:tcPr>
          <w:p w14:paraId="0DDC798D">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3D84601D">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39FCC935">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007AE07A">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44BADA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58C13CCF">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技术负责人</w:t>
            </w:r>
          </w:p>
        </w:tc>
        <w:tc>
          <w:tcPr>
            <w:tcW w:w="1418" w:type="dxa"/>
            <w:noWrap w:val="0"/>
            <w:vAlign w:val="center"/>
          </w:tcPr>
          <w:p w14:paraId="2A5D6F5B">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5A8B7A8B">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71724DFE">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1E738ABD">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5E4113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5CAF0293">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造价管理</w:t>
            </w:r>
          </w:p>
        </w:tc>
        <w:tc>
          <w:tcPr>
            <w:tcW w:w="1418" w:type="dxa"/>
            <w:noWrap w:val="0"/>
            <w:vAlign w:val="center"/>
          </w:tcPr>
          <w:p w14:paraId="061D5922">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760A960D">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592AAC03">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1CFDE97D">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176372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749D8997">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质量管理</w:t>
            </w:r>
          </w:p>
        </w:tc>
        <w:tc>
          <w:tcPr>
            <w:tcW w:w="1418" w:type="dxa"/>
            <w:noWrap w:val="0"/>
            <w:vAlign w:val="center"/>
          </w:tcPr>
          <w:p w14:paraId="500400EB">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42392C42">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73CD56CC">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4F1EC0A0">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736D2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2478AC4B">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计划管理</w:t>
            </w:r>
          </w:p>
        </w:tc>
        <w:tc>
          <w:tcPr>
            <w:tcW w:w="1418" w:type="dxa"/>
            <w:noWrap w:val="0"/>
            <w:vAlign w:val="center"/>
          </w:tcPr>
          <w:p w14:paraId="0C015E0D">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10C00B78">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7CB6D02C">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42BFD5EA">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4931E1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27C1008A">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安全管理</w:t>
            </w:r>
          </w:p>
        </w:tc>
        <w:tc>
          <w:tcPr>
            <w:tcW w:w="1418" w:type="dxa"/>
            <w:noWrap w:val="0"/>
            <w:vAlign w:val="center"/>
          </w:tcPr>
          <w:p w14:paraId="69279E51">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62419BA8">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430E7302">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12FF5738">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761231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6A7123AB">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环境管理</w:t>
            </w:r>
          </w:p>
        </w:tc>
        <w:tc>
          <w:tcPr>
            <w:tcW w:w="1418" w:type="dxa"/>
            <w:noWrap w:val="0"/>
            <w:vAlign w:val="center"/>
          </w:tcPr>
          <w:p w14:paraId="538BA65C">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23747D97">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1D8ECE1D">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4348A24A">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25014E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restart"/>
            <w:tcBorders>
              <w:top w:val="single" w:color="auto" w:sz="6" w:space="0"/>
            </w:tcBorders>
            <w:noWrap w:val="0"/>
            <w:vAlign w:val="center"/>
          </w:tcPr>
          <w:p w14:paraId="3CAF6BDE">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其他人员</w:t>
            </w:r>
          </w:p>
        </w:tc>
        <w:tc>
          <w:tcPr>
            <w:tcW w:w="1418" w:type="dxa"/>
            <w:noWrap w:val="0"/>
            <w:vAlign w:val="center"/>
          </w:tcPr>
          <w:p w14:paraId="3E842677">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2CE9B899">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3EB30B24">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1197225C">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33C448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6FA62965">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418" w:type="dxa"/>
            <w:tcBorders>
              <w:bottom w:val="nil"/>
            </w:tcBorders>
            <w:noWrap w:val="0"/>
            <w:vAlign w:val="center"/>
          </w:tcPr>
          <w:p w14:paraId="28573010">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tcBorders>
              <w:bottom w:val="nil"/>
            </w:tcBorders>
            <w:noWrap w:val="0"/>
            <w:vAlign w:val="center"/>
          </w:tcPr>
          <w:p w14:paraId="0CE6DBDF">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tcBorders>
              <w:bottom w:val="nil"/>
            </w:tcBorders>
            <w:noWrap w:val="0"/>
            <w:vAlign w:val="center"/>
          </w:tcPr>
          <w:p w14:paraId="2E671162">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tcBorders>
              <w:bottom w:val="nil"/>
            </w:tcBorders>
            <w:noWrap w:val="0"/>
            <w:vAlign w:val="center"/>
          </w:tcPr>
          <w:p w14:paraId="572D98D9">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4B298B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43BB823B">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418" w:type="dxa"/>
            <w:noWrap w:val="0"/>
            <w:vAlign w:val="center"/>
          </w:tcPr>
          <w:p w14:paraId="774EE370">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0F277CD2">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505687C0">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093DF037">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23FCCF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044D0C11">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418" w:type="dxa"/>
            <w:noWrap w:val="0"/>
            <w:vAlign w:val="center"/>
          </w:tcPr>
          <w:p w14:paraId="71E62E9F">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6C224FD4">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77E66B0F">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4B423202">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0E4B32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1B4C0031">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418" w:type="dxa"/>
            <w:noWrap w:val="0"/>
            <w:vAlign w:val="center"/>
          </w:tcPr>
          <w:p w14:paraId="324D8515">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24040197">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0F278AF2">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76137E9D">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7A964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tcBorders>
              <w:bottom w:val="single" w:color="auto" w:sz="12" w:space="0"/>
            </w:tcBorders>
            <w:noWrap w:val="0"/>
            <w:vAlign w:val="center"/>
          </w:tcPr>
          <w:p w14:paraId="768136E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18" w:type="dxa"/>
            <w:tcBorders>
              <w:bottom w:val="single" w:color="auto" w:sz="12" w:space="0"/>
            </w:tcBorders>
            <w:noWrap w:val="0"/>
            <w:vAlign w:val="center"/>
          </w:tcPr>
          <w:p w14:paraId="0FAFA33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tcBorders>
              <w:bottom w:val="single" w:color="auto" w:sz="12" w:space="0"/>
            </w:tcBorders>
            <w:noWrap w:val="0"/>
            <w:vAlign w:val="center"/>
          </w:tcPr>
          <w:p w14:paraId="7EAD1A9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tcBorders>
              <w:bottom w:val="single" w:color="auto" w:sz="12" w:space="0"/>
            </w:tcBorders>
            <w:noWrap w:val="0"/>
            <w:vAlign w:val="center"/>
          </w:tcPr>
          <w:p w14:paraId="0089426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3896" w:type="dxa"/>
            <w:tcBorders>
              <w:bottom w:val="single" w:color="auto" w:sz="12" w:space="0"/>
            </w:tcBorders>
            <w:noWrap w:val="0"/>
            <w:vAlign w:val="center"/>
          </w:tcPr>
          <w:p w14:paraId="08370357">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bl>
    <w:p w14:paraId="7286619A">
      <w:pPr>
        <w:widowControl/>
        <w:wordWrap/>
        <w:topLinePunct w:val="0"/>
        <w:adjustRightInd/>
        <w:snapToGrid/>
        <w:spacing w:after="0" w:afterLines="0" w:line="240" w:lineRule="auto"/>
        <w:ind w:firstLine="0" w:firstLineChars="0"/>
        <w:jc w:val="left"/>
        <w:rPr>
          <w:rFonts w:ascii="宋体" w:hAnsi="宋体" w:eastAsia="宋体" w:cs="Times New Roman"/>
          <w:kern w:val="0"/>
          <w:sz w:val="24"/>
          <w:szCs w:val="20"/>
        </w:rPr>
      </w:pPr>
    </w:p>
    <w:p w14:paraId="4657A485">
      <w:pPr>
        <w:tabs>
          <w:tab w:val="left" w:pos="900"/>
          <w:tab w:val="left" w:pos="1080"/>
        </w:tabs>
        <w:snapToGrid w:val="0"/>
        <w:spacing w:line="360" w:lineRule="auto"/>
        <w:rPr>
          <w:rFonts w:ascii="Times New Roman" w:hAnsi="Times New Roman" w:eastAsia="宋体" w:cs="Times New Roman"/>
          <w:kern w:val="0"/>
          <w:sz w:val="18"/>
          <w:szCs w:val="18"/>
        </w:rPr>
      </w:pPr>
    </w:p>
    <w:p w14:paraId="16C3B6EB">
      <w:pPr>
        <w:widowControl/>
        <w:jc w:val="left"/>
        <w:rPr>
          <w:rFonts w:ascii="Times New Roman" w:hAnsi="Times New Roman" w:eastAsia="宋体" w:cs="Times New Roman"/>
          <w:b/>
          <w:sz w:val="36"/>
          <w:szCs w:val="36"/>
        </w:rPr>
      </w:pPr>
    </w:p>
    <w:p w14:paraId="47D16265">
      <w:pPr>
        <w:widowControl/>
        <w:jc w:val="left"/>
        <w:rPr>
          <w:rFonts w:ascii="Times New Roman" w:hAnsi="Times New Roman" w:eastAsia="宋体" w:cs="Times New Roman"/>
          <w:b/>
          <w:sz w:val="36"/>
          <w:szCs w:val="36"/>
        </w:rPr>
      </w:pPr>
    </w:p>
    <w:p w14:paraId="396221A6">
      <w:pPr>
        <w:rPr>
          <w:rFonts w:eastAsia="宋体"/>
          <w:b/>
          <w:sz w:val="36"/>
          <w:szCs w:val="36"/>
          <w:highlight w:val="none"/>
        </w:rPr>
      </w:pPr>
      <w:r>
        <w:rPr>
          <w:rFonts w:eastAsia="宋体"/>
          <w:b/>
          <w:sz w:val="36"/>
          <w:szCs w:val="36"/>
          <w:highlight w:val="none"/>
        </w:rPr>
        <w:br w:type="page"/>
      </w:r>
    </w:p>
    <w:p w14:paraId="11C805CC">
      <w:pPr>
        <w:spacing w:line="360" w:lineRule="auto"/>
        <w:jc w:val="center"/>
        <w:outlineLvl w:val="0"/>
        <w:rPr>
          <w:rFonts w:eastAsia="宋体"/>
          <w:b/>
          <w:sz w:val="36"/>
          <w:szCs w:val="36"/>
          <w:highlight w:val="none"/>
        </w:rPr>
      </w:pPr>
      <w:bookmarkStart w:id="1436" w:name="_Toc31425"/>
      <w:r>
        <w:rPr>
          <w:rFonts w:eastAsia="宋体"/>
          <w:b/>
          <w:sz w:val="36"/>
          <w:szCs w:val="36"/>
          <w:highlight w:val="none"/>
        </w:rPr>
        <w:t>第六章   响应文件格式</w:t>
      </w:r>
      <w:bookmarkEnd w:id="1436"/>
    </w:p>
    <w:p w14:paraId="49B6C680">
      <w:pPr>
        <w:widowControl/>
        <w:spacing w:line="360" w:lineRule="auto"/>
        <w:jc w:val="left"/>
        <w:rPr>
          <w:rFonts w:eastAsia="宋体"/>
          <w:b/>
          <w:sz w:val="24"/>
          <w:highlight w:val="none"/>
        </w:rPr>
      </w:pPr>
    </w:p>
    <w:p w14:paraId="364AC85A">
      <w:pPr>
        <w:widowControl/>
        <w:spacing w:line="360" w:lineRule="auto"/>
        <w:jc w:val="left"/>
        <w:rPr>
          <w:rFonts w:eastAsia="宋体"/>
          <w:b/>
          <w:sz w:val="24"/>
          <w:highlight w:val="none"/>
        </w:rPr>
      </w:pPr>
    </w:p>
    <w:p w14:paraId="5B7451F5">
      <w:pPr>
        <w:tabs>
          <w:tab w:val="left" w:pos="900"/>
          <w:tab w:val="left" w:pos="1980"/>
        </w:tabs>
        <w:snapToGrid w:val="0"/>
        <w:spacing w:line="360" w:lineRule="auto"/>
        <w:ind w:left="142"/>
        <w:rPr>
          <w:rFonts w:eastAsia="宋体"/>
          <w:b/>
          <w:kern w:val="0"/>
          <w:sz w:val="24"/>
          <w:highlight w:val="none"/>
        </w:rPr>
      </w:pPr>
      <w:r>
        <w:rPr>
          <w:rFonts w:hint="eastAsia" w:eastAsia="宋体"/>
          <w:b/>
          <w:kern w:val="0"/>
          <w:sz w:val="24"/>
          <w:highlight w:val="none"/>
        </w:rPr>
        <w:t>供应商编制文件须知</w:t>
      </w:r>
    </w:p>
    <w:p w14:paraId="69A299E6">
      <w:pPr>
        <w:tabs>
          <w:tab w:val="left" w:pos="900"/>
          <w:tab w:val="left" w:pos="1980"/>
        </w:tabs>
        <w:snapToGrid w:val="0"/>
        <w:spacing w:line="360" w:lineRule="auto"/>
        <w:ind w:left="142"/>
        <w:rPr>
          <w:rFonts w:eastAsia="宋体"/>
          <w:sz w:val="24"/>
          <w:highlight w:val="none"/>
        </w:rPr>
      </w:pPr>
      <w:r>
        <w:rPr>
          <w:rFonts w:eastAsia="宋体"/>
          <w:sz w:val="24"/>
          <w:highlight w:val="none"/>
        </w:rPr>
        <w:t>1、供应商按照本部分的顺序编制响应文件，编制中涉及格式资料的，应按照本部分提供的内容和格式（所有表格的格式可扩展）填写提交。</w:t>
      </w:r>
    </w:p>
    <w:p w14:paraId="0C34BF4B">
      <w:pPr>
        <w:tabs>
          <w:tab w:val="left" w:pos="900"/>
          <w:tab w:val="left" w:pos="1980"/>
        </w:tabs>
        <w:snapToGrid w:val="0"/>
        <w:spacing w:line="360" w:lineRule="auto"/>
        <w:ind w:left="142"/>
        <w:rPr>
          <w:rFonts w:eastAsia="宋体"/>
          <w:kern w:val="0"/>
          <w:sz w:val="24"/>
          <w:highlight w:val="none"/>
        </w:rPr>
      </w:pPr>
      <w:r>
        <w:rPr>
          <w:rFonts w:eastAsia="宋体"/>
          <w:sz w:val="24"/>
          <w:highlight w:val="none"/>
        </w:rPr>
        <w:t>2、</w:t>
      </w:r>
      <w:r>
        <w:rPr>
          <w:rFonts w:eastAsia="宋体"/>
          <w:kern w:val="0"/>
          <w:sz w:val="24"/>
          <w:highlight w:val="none"/>
        </w:rPr>
        <w:t>对于竞争性磋商文件中标记了“实质性格式”文件的，供应商</w:t>
      </w:r>
      <w:r>
        <w:rPr>
          <w:rFonts w:eastAsia="宋体"/>
          <w:sz w:val="24"/>
          <w:highlight w:val="none"/>
        </w:rPr>
        <w:t>不得改变格式中给定的文字所表达的含义，不得删减格式中的实质性内容，不得自行添加与格式中给定的文字内容相矛盾的内容，不得对应当填写的空格不填写或不实质性响应，</w:t>
      </w:r>
      <w:r>
        <w:rPr>
          <w:rFonts w:eastAsia="宋体"/>
          <w:b/>
          <w:kern w:val="0"/>
          <w:sz w:val="24"/>
          <w:highlight w:val="none"/>
        </w:rPr>
        <w:t>否则响应无效</w:t>
      </w:r>
      <w:r>
        <w:rPr>
          <w:rFonts w:eastAsia="宋体"/>
          <w:kern w:val="0"/>
          <w:sz w:val="24"/>
          <w:highlight w:val="none"/>
        </w:rPr>
        <w:t>。未标记“实质性格式”的文件和竞争性磋商文件未提供格式的内容，可由供应商自行编写。</w:t>
      </w:r>
    </w:p>
    <w:p w14:paraId="70BA4949">
      <w:pPr>
        <w:tabs>
          <w:tab w:val="left" w:pos="900"/>
          <w:tab w:val="left" w:pos="1980"/>
        </w:tabs>
        <w:snapToGrid w:val="0"/>
        <w:spacing w:line="360" w:lineRule="auto"/>
        <w:ind w:left="142"/>
        <w:rPr>
          <w:rFonts w:eastAsia="宋体"/>
          <w:sz w:val="24"/>
          <w:highlight w:val="none"/>
        </w:rPr>
      </w:pPr>
      <w:r>
        <w:rPr>
          <w:rFonts w:eastAsia="宋体"/>
          <w:sz w:val="24"/>
          <w:highlight w:val="none"/>
        </w:rPr>
        <w:t>3、全部声明和问题的回答及所附材料必须是真实的、准确的和完整的。</w:t>
      </w:r>
    </w:p>
    <w:p w14:paraId="20860560">
      <w:pPr>
        <w:tabs>
          <w:tab w:val="left" w:pos="900"/>
          <w:tab w:val="left" w:pos="1980"/>
        </w:tabs>
        <w:snapToGrid w:val="0"/>
        <w:spacing w:line="360" w:lineRule="auto"/>
        <w:ind w:left="142"/>
        <w:rPr>
          <w:rFonts w:eastAsia="宋体"/>
          <w:sz w:val="24"/>
          <w:highlight w:val="none"/>
        </w:rPr>
      </w:pPr>
    </w:p>
    <w:p w14:paraId="44CF2675">
      <w:pPr>
        <w:widowControl/>
        <w:jc w:val="left"/>
        <w:rPr>
          <w:rFonts w:eastAsia="宋体"/>
          <w:sz w:val="24"/>
          <w:highlight w:val="none"/>
        </w:rPr>
      </w:pPr>
      <w:r>
        <w:rPr>
          <w:rFonts w:eastAsia="宋体"/>
          <w:sz w:val="24"/>
          <w:highlight w:val="none"/>
        </w:rPr>
        <w:br w:type="page"/>
      </w:r>
    </w:p>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14:paraId="2DBF7BAE">
      <w:pPr>
        <w:rPr>
          <w:rFonts w:eastAsia="宋体"/>
          <w:b/>
          <w:spacing w:val="20"/>
          <w:szCs w:val="21"/>
          <w:highlight w:val="none"/>
        </w:rPr>
      </w:pPr>
    </w:p>
    <w:p w14:paraId="2A22F530">
      <w:pPr>
        <w:rPr>
          <w:rFonts w:eastAsia="宋体"/>
          <w:b/>
          <w:sz w:val="24"/>
          <w:highlight w:val="none"/>
        </w:rPr>
      </w:pPr>
      <w:r>
        <w:rPr>
          <w:rFonts w:eastAsia="宋体"/>
          <w:b/>
          <w:spacing w:val="20"/>
          <w:sz w:val="24"/>
          <w:highlight w:val="none"/>
        </w:rPr>
        <w:t>响应文件</w:t>
      </w:r>
      <w:r>
        <w:rPr>
          <w:rFonts w:eastAsia="宋体"/>
          <w:b/>
          <w:sz w:val="24"/>
          <w:highlight w:val="none"/>
        </w:rPr>
        <w:t>封面（非实质性格式）</w:t>
      </w:r>
    </w:p>
    <w:p w14:paraId="65EEE281">
      <w:pPr>
        <w:jc w:val="center"/>
        <w:rPr>
          <w:rFonts w:eastAsia="宋体"/>
          <w:szCs w:val="21"/>
          <w:highlight w:val="none"/>
        </w:rPr>
      </w:pPr>
    </w:p>
    <w:p w14:paraId="20EFB254">
      <w:pPr>
        <w:jc w:val="center"/>
        <w:rPr>
          <w:rFonts w:eastAsia="宋体"/>
          <w:b/>
          <w:spacing w:val="60"/>
          <w:sz w:val="84"/>
          <w:szCs w:val="84"/>
          <w:highlight w:val="none"/>
        </w:rPr>
      </w:pPr>
      <w:r>
        <w:rPr>
          <w:rFonts w:eastAsia="宋体"/>
          <w:b/>
          <w:spacing w:val="60"/>
          <w:sz w:val="84"/>
          <w:szCs w:val="84"/>
          <w:highlight w:val="none"/>
        </w:rPr>
        <w:t>响 应 文 件</w:t>
      </w:r>
    </w:p>
    <w:p w14:paraId="00B3A204">
      <w:pPr>
        <w:jc w:val="center"/>
        <w:rPr>
          <w:rFonts w:eastAsia="宋体"/>
          <w:b/>
          <w:spacing w:val="60"/>
          <w:sz w:val="52"/>
          <w:szCs w:val="52"/>
          <w:highlight w:val="none"/>
        </w:rPr>
      </w:pPr>
    </w:p>
    <w:p w14:paraId="4E392CA9">
      <w:pPr>
        <w:ind w:firstLine="542" w:firstLineChars="150"/>
        <w:rPr>
          <w:rFonts w:eastAsia="宋体"/>
          <w:b/>
          <w:spacing w:val="20"/>
          <w:sz w:val="32"/>
          <w:szCs w:val="32"/>
          <w:highlight w:val="none"/>
        </w:rPr>
      </w:pPr>
    </w:p>
    <w:p w14:paraId="79E51DC6">
      <w:pPr>
        <w:ind w:firstLine="542" w:firstLineChars="150"/>
        <w:rPr>
          <w:rFonts w:eastAsia="宋体"/>
          <w:b/>
          <w:spacing w:val="20"/>
          <w:sz w:val="32"/>
          <w:szCs w:val="32"/>
          <w:highlight w:val="none"/>
        </w:rPr>
      </w:pPr>
    </w:p>
    <w:p w14:paraId="3701E78F">
      <w:pPr>
        <w:ind w:firstLine="542" w:firstLineChars="150"/>
        <w:rPr>
          <w:rFonts w:eastAsia="宋体"/>
          <w:b/>
          <w:spacing w:val="20"/>
          <w:sz w:val="32"/>
          <w:szCs w:val="32"/>
          <w:highlight w:val="none"/>
        </w:rPr>
      </w:pPr>
      <w:r>
        <w:rPr>
          <w:rFonts w:eastAsia="宋体"/>
          <w:b/>
          <w:spacing w:val="20"/>
          <w:sz w:val="32"/>
          <w:szCs w:val="32"/>
          <w:highlight w:val="none"/>
        </w:rPr>
        <w:t>项目名称:</w:t>
      </w:r>
    </w:p>
    <w:p w14:paraId="6E472E87">
      <w:pPr>
        <w:ind w:firstLine="542" w:firstLineChars="150"/>
        <w:rPr>
          <w:rFonts w:eastAsia="宋体"/>
          <w:b/>
          <w:spacing w:val="20"/>
          <w:sz w:val="32"/>
          <w:szCs w:val="32"/>
          <w:highlight w:val="none"/>
        </w:rPr>
      </w:pPr>
      <w:r>
        <w:rPr>
          <w:rFonts w:eastAsia="宋体"/>
          <w:b/>
          <w:spacing w:val="20"/>
          <w:sz w:val="32"/>
          <w:szCs w:val="32"/>
          <w:highlight w:val="none"/>
        </w:rPr>
        <w:t>项目编号/包号：</w:t>
      </w:r>
    </w:p>
    <w:p w14:paraId="7F709289">
      <w:pPr>
        <w:ind w:firstLine="542" w:firstLineChars="150"/>
        <w:rPr>
          <w:rFonts w:eastAsia="宋体"/>
          <w:b/>
          <w:spacing w:val="20"/>
          <w:sz w:val="32"/>
          <w:szCs w:val="32"/>
          <w:highlight w:val="none"/>
        </w:rPr>
      </w:pPr>
    </w:p>
    <w:p w14:paraId="32CA5398">
      <w:pPr>
        <w:ind w:firstLine="542" w:firstLineChars="150"/>
        <w:rPr>
          <w:rFonts w:eastAsia="宋体"/>
          <w:b/>
          <w:spacing w:val="20"/>
          <w:sz w:val="32"/>
          <w:szCs w:val="32"/>
          <w:highlight w:val="none"/>
        </w:rPr>
      </w:pPr>
    </w:p>
    <w:p w14:paraId="1C23A65A">
      <w:pPr>
        <w:jc w:val="center"/>
        <w:rPr>
          <w:rFonts w:eastAsia="宋体"/>
          <w:b/>
          <w:sz w:val="32"/>
          <w:szCs w:val="32"/>
          <w:highlight w:val="none"/>
        </w:rPr>
      </w:pPr>
    </w:p>
    <w:p w14:paraId="649ACB81">
      <w:pPr>
        <w:jc w:val="center"/>
        <w:rPr>
          <w:rFonts w:eastAsia="宋体"/>
          <w:b/>
          <w:sz w:val="32"/>
          <w:szCs w:val="32"/>
          <w:highlight w:val="none"/>
        </w:rPr>
      </w:pPr>
    </w:p>
    <w:p w14:paraId="6C06DDC0">
      <w:pPr>
        <w:jc w:val="center"/>
        <w:rPr>
          <w:rFonts w:eastAsia="宋体"/>
          <w:b/>
          <w:sz w:val="32"/>
          <w:szCs w:val="32"/>
          <w:highlight w:val="none"/>
        </w:rPr>
      </w:pPr>
    </w:p>
    <w:p w14:paraId="7AB80911">
      <w:pPr>
        <w:jc w:val="center"/>
        <w:rPr>
          <w:rFonts w:eastAsia="宋体"/>
          <w:b/>
          <w:spacing w:val="20"/>
          <w:sz w:val="32"/>
          <w:szCs w:val="32"/>
          <w:highlight w:val="none"/>
        </w:rPr>
      </w:pPr>
    </w:p>
    <w:p w14:paraId="23DC53BC">
      <w:pPr>
        <w:jc w:val="center"/>
        <w:rPr>
          <w:rFonts w:eastAsia="宋体"/>
          <w:b/>
          <w:spacing w:val="20"/>
          <w:sz w:val="32"/>
          <w:szCs w:val="32"/>
          <w:highlight w:val="none"/>
        </w:rPr>
      </w:pPr>
    </w:p>
    <w:p w14:paraId="0E0BB8BD">
      <w:pPr>
        <w:jc w:val="center"/>
        <w:rPr>
          <w:rFonts w:eastAsia="宋体"/>
          <w:b/>
          <w:spacing w:val="20"/>
          <w:sz w:val="32"/>
          <w:szCs w:val="32"/>
          <w:highlight w:val="none"/>
        </w:rPr>
      </w:pPr>
    </w:p>
    <w:p w14:paraId="78C88A51">
      <w:pPr>
        <w:spacing w:line="360" w:lineRule="auto"/>
        <w:ind w:firstLine="1445" w:firstLineChars="400"/>
        <w:jc w:val="left"/>
        <w:rPr>
          <w:rFonts w:eastAsia="宋体"/>
          <w:b/>
          <w:spacing w:val="20"/>
          <w:sz w:val="32"/>
          <w:szCs w:val="32"/>
          <w:highlight w:val="none"/>
        </w:rPr>
      </w:pPr>
      <w:r>
        <w:rPr>
          <w:rFonts w:eastAsia="宋体"/>
          <w:b/>
          <w:spacing w:val="20"/>
          <w:sz w:val="32"/>
          <w:szCs w:val="32"/>
          <w:highlight w:val="none"/>
        </w:rPr>
        <w:t>供应商名称：</w:t>
      </w:r>
    </w:p>
    <w:p w14:paraId="464FDAD2">
      <w:pPr>
        <w:jc w:val="center"/>
        <w:rPr>
          <w:rFonts w:eastAsia="宋体"/>
          <w:b/>
          <w:sz w:val="32"/>
          <w:szCs w:val="32"/>
          <w:highlight w:val="none"/>
        </w:rPr>
      </w:pPr>
    </w:p>
    <w:p w14:paraId="034FE6A8">
      <w:pPr>
        <w:rPr>
          <w:rFonts w:eastAsia="宋体"/>
          <w:b/>
          <w:highlight w:val="none"/>
        </w:rPr>
      </w:pPr>
      <w:r>
        <w:rPr>
          <w:rFonts w:eastAsia="宋体"/>
          <w:b/>
          <w:spacing w:val="20"/>
          <w:sz w:val="32"/>
          <w:szCs w:val="32"/>
          <w:highlight w:val="none"/>
        </w:rPr>
        <w:br w:type="page"/>
      </w:r>
    </w:p>
    <w:p w14:paraId="1BD2760E">
      <w:pPr>
        <w:tabs>
          <w:tab w:val="left" w:pos="360"/>
        </w:tabs>
        <w:snapToGrid w:val="0"/>
        <w:spacing w:line="360" w:lineRule="auto"/>
        <w:outlineLvl w:val="1"/>
        <w:rPr>
          <w:rFonts w:eastAsia="宋体"/>
          <w:sz w:val="24"/>
          <w:highlight w:val="none"/>
        </w:rPr>
      </w:pPr>
      <w:r>
        <w:rPr>
          <w:rFonts w:eastAsia="宋体"/>
          <w:sz w:val="24"/>
          <w:highlight w:val="none"/>
        </w:rPr>
        <w:t>1 满足《中华人民共和国政府采购法》第二十二条规定</w:t>
      </w:r>
    </w:p>
    <w:p w14:paraId="6D0A3DDF">
      <w:pPr>
        <w:spacing w:line="360" w:lineRule="auto"/>
        <w:outlineLvl w:val="2"/>
        <w:rPr>
          <w:rFonts w:eastAsia="宋体"/>
          <w:color w:val="000000"/>
          <w:sz w:val="24"/>
          <w:highlight w:val="none"/>
        </w:rPr>
      </w:pPr>
      <w:r>
        <w:rPr>
          <w:rFonts w:eastAsia="宋体"/>
          <w:color w:val="000000"/>
          <w:sz w:val="24"/>
          <w:highlight w:val="none"/>
        </w:rPr>
        <w:t>1-1营业执照等证明文件</w:t>
      </w:r>
    </w:p>
    <w:p w14:paraId="616CB48E">
      <w:pPr>
        <w:tabs>
          <w:tab w:val="left" w:pos="1080"/>
        </w:tabs>
        <w:snapToGrid w:val="0"/>
        <w:rPr>
          <w:rFonts w:eastAsia="宋体"/>
          <w:sz w:val="24"/>
          <w:highlight w:val="none"/>
        </w:rPr>
      </w:pPr>
    </w:p>
    <w:p w14:paraId="181998FB">
      <w:pPr>
        <w:widowControl/>
        <w:jc w:val="left"/>
        <w:rPr>
          <w:rFonts w:ascii="Times New Roman" w:eastAsia="宋体"/>
          <w:b w:val="0"/>
          <w:bCs/>
          <w:color w:val="000000"/>
          <w:szCs w:val="24"/>
          <w:highlight w:val="none"/>
          <w:u w:val="none"/>
        </w:rPr>
      </w:pPr>
      <w:r>
        <w:rPr>
          <w:rFonts w:eastAsia="宋体"/>
          <w:color w:val="000000"/>
          <w:sz w:val="24"/>
          <w:highlight w:val="none"/>
        </w:rPr>
        <w:br w:type="page"/>
      </w:r>
      <w:r>
        <w:rPr>
          <w:rFonts w:hint="eastAsia" w:ascii="宋体" w:hAnsi="宋体" w:eastAsia="宋体" w:cs="宋体"/>
          <w:b w:val="0"/>
          <w:color w:val="000000"/>
          <w:sz w:val="24"/>
          <w:szCs w:val="24"/>
          <w:highlight w:val="none"/>
          <w:u w:val="none"/>
        </w:rPr>
        <w:t>1-2 供应商资格声明书</w:t>
      </w:r>
    </w:p>
    <w:p w14:paraId="623B05A8">
      <w:pPr>
        <w:jc w:val="center"/>
        <w:rPr>
          <w:b/>
          <w:color w:val="000000"/>
          <w:sz w:val="36"/>
          <w:szCs w:val="36"/>
          <w:highlight w:val="none"/>
        </w:rPr>
      </w:pPr>
      <w:r>
        <w:rPr>
          <w:rFonts w:hint="eastAsia"/>
          <w:b/>
          <w:color w:val="000000"/>
          <w:sz w:val="36"/>
          <w:szCs w:val="36"/>
          <w:highlight w:val="none"/>
        </w:rPr>
        <w:t>供应商资格声明书</w:t>
      </w:r>
    </w:p>
    <w:p w14:paraId="39CFB65C">
      <w:pPr>
        <w:tabs>
          <w:tab w:val="left" w:pos="5580"/>
        </w:tabs>
        <w:spacing w:line="360" w:lineRule="auto"/>
        <w:rPr>
          <w:rFonts w:eastAsia="宋体"/>
          <w:sz w:val="24"/>
          <w:highlight w:val="none"/>
        </w:rPr>
      </w:pPr>
    </w:p>
    <w:p w14:paraId="5D2A4F46">
      <w:pPr>
        <w:tabs>
          <w:tab w:val="left" w:pos="5580"/>
        </w:tabs>
        <w:spacing w:line="360" w:lineRule="auto"/>
        <w:rPr>
          <w:rFonts w:eastAsia="宋体"/>
          <w:sz w:val="24"/>
          <w:highlight w:val="none"/>
        </w:rPr>
      </w:pPr>
      <w:r>
        <w:rPr>
          <w:rFonts w:eastAsia="宋体"/>
          <w:sz w:val="24"/>
          <w:highlight w:val="none"/>
        </w:rPr>
        <w:t>致：</w:t>
      </w:r>
      <w:r>
        <w:rPr>
          <w:rFonts w:eastAsia="宋体"/>
          <w:sz w:val="24"/>
          <w:highlight w:val="none"/>
          <w:u w:val="single"/>
        </w:rPr>
        <w:t>采购人或采购代理机构</w:t>
      </w:r>
    </w:p>
    <w:p w14:paraId="22A2715F">
      <w:pPr>
        <w:spacing w:line="360" w:lineRule="auto"/>
        <w:ind w:firstLine="480" w:firstLineChars="200"/>
        <w:rPr>
          <w:rFonts w:eastAsia="宋体"/>
          <w:sz w:val="24"/>
          <w:highlight w:val="none"/>
        </w:rPr>
      </w:pPr>
      <w:r>
        <w:rPr>
          <w:rFonts w:eastAsia="宋体"/>
          <w:sz w:val="24"/>
          <w:highlight w:val="none"/>
        </w:rPr>
        <w:t>在参与本次项目磋商中，我单位承诺：</w:t>
      </w:r>
    </w:p>
    <w:p w14:paraId="0B862BB1">
      <w:pPr>
        <w:numPr>
          <w:ilvl w:val="0"/>
          <w:numId w:val="22"/>
        </w:numPr>
        <w:spacing w:line="360" w:lineRule="auto"/>
        <w:ind w:left="1134"/>
        <w:rPr>
          <w:rFonts w:eastAsia="宋体"/>
          <w:sz w:val="24"/>
          <w:szCs w:val="22"/>
          <w:highlight w:val="none"/>
        </w:rPr>
      </w:pPr>
      <w:r>
        <w:rPr>
          <w:rFonts w:eastAsia="宋体"/>
          <w:sz w:val="24"/>
          <w:szCs w:val="22"/>
          <w:highlight w:val="none"/>
        </w:rPr>
        <w:t>具有良好的商业信誉和健全的财务会计制度；</w:t>
      </w:r>
    </w:p>
    <w:p w14:paraId="6E1A6497">
      <w:pPr>
        <w:numPr>
          <w:ilvl w:val="0"/>
          <w:numId w:val="22"/>
        </w:numPr>
        <w:spacing w:line="360" w:lineRule="auto"/>
        <w:ind w:left="1134"/>
        <w:rPr>
          <w:rFonts w:eastAsia="宋体"/>
          <w:sz w:val="24"/>
          <w:szCs w:val="22"/>
          <w:highlight w:val="none"/>
        </w:rPr>
      </w:pPr>
      <w:r>
        <w:rPr>
          <w:rFonts w:eastAsia="宋体"/>
          <w:sz w:val="24"/>
          <w:szCs w:val="22"/>
          <w:highlight w:val="none"/>
        </w:rPr>
        <w:t>具有履行合同所必需的设备和专业技术能力；</w:t>
      </w:r>
    </w:p>
    <w:p w14:paraId="64A57A41">
      <w:pPr>
        <w:numPr>
          <w:ilvl w:val="0"/>
          <w:numId w:val="22"/>
        </w:numPr>
        <w:spacing w:line="360" w:lineRule="auto"/>
        <w:ind w:left="1134"/>
        <w:rPr>
          <w:rFonts w:eastAsia="宋体"/>
          <w:sz w:val="24"/>
          <w:szCs w:val="22"/>
          <w:highlight w:val="none"/>
        </w:rPr>
      </w:pPr>
      <w:r>
        <w:rPr>
          <w:rFonts w:eastAsia="宋体"/>
          <w:sz w:val="24"/>
          <w:szCs w:val="22"/>
          <w:highlight w:val="none"/>
        </w:rPr>
        <w:t>有依法缴纳税收和社会保障资金的良好记录；</w:t>
      </w:r>
    </w:p>
    <w:p w14:paraId="66782481">
      <w:pPr>
        <w:numPr>
          <w:ilvl w:val="0"/>
          <w:numId w:val="22"/>
        </w:numPr>
        <w:spacing w:line="360" w:lineRule="auto"/>
        <w:ind w:left="1134"/>
        <w:rPr>
          <w:rFonts w:eastAsia="宋体"/>
          <w:sz w:val="24"/>
          <w:szCs w:val="22"/>
          <w:highlight w:val="none"/>
        </w:rPr>
      </w:pPr>
      <w:r>
        <w:rPr>
          <w:rFonts w:eastAsia="宋体"/>
          <w:sz w:val="24"/>
          <w:szCs w:val="22"/>
          <w:highlight w:val="none"/>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2942D4FD">
      <w:pPr>
        <w:numPr>
          <w:ilvl w:val="0"/>
          <w:numId w:val="22"/>
        </w:numPr>
        <w:spacing w:line="360" w:lineRule="auto"/>
        <w:ind w:left="1134"/>
        <w:rPr>
          <w:rFonts w:eastAsia="宋体"/>
          <w:sz w:val="24"/>
          <w:szCs w:val="22"/>
          <w:highlight w:val="none"/>
        </w:rPr>
      </w:pPr>
      <w:r>
        <w:rPr>
          <w:rFonts w:eastAsia="宋体"/>
          <w:sz w:val="24"/>
          <w:szCs w:val="22"/>
          <w:highlight w:val="none"/>
        </w:rPr>
        <w:t>我单位不属于政府采购法律、行政法规规定的公益一类事业单位、或使用事业编制且由财政拨款保障的群团组织（仅适用于政府购买服务项目）；</w:t>
      </w:r>
    </w:p>
    <w:p w14:paraId="0D5999DF">
      <w:pPr>
        <w:numPr>
          <w:ilvl w:val="0"/>
          <w:numId w:val="22"/>
        </w:numPr>
        <w:spacing w:line="360" w:lineRule="auto"/>
        <w:ind w:left="1134"/>
        <w:rPr>
          <w:rFonts w:eastAsia="宋体"/>
          <w:sz w:val="24"/>
          <w:szCs w:val="22"/>
          <w:highlight w:val="none"/>
        </w:rPr>
      </w:pPr>
      <w:r>
        <w:rPr>
          <w:rFonts w:eastAsia="宋体"/>
          <w:sz w:val="24"/>
          <w:szCs w:val="22"/>
          <w:highlight w:val="none"/>
        </w:rPr>
        <w:t>我单位不存在为采购项目提供整体设计、规范编制或者项目管理、监理、检测等服务后，再参加该采购项目的其他采购活动的情形（单一来源采购项目除外）；</w:t>
      </w:r>
    </w:p>
    <w:p w14:paraId="1CFCAD22">
      <w:pPr>
        <w:numPr>
          <w:ilvl w:val="0"/>
          <w:numId w:val="22"/>
        </w:numPr>
        <w:spacing w:line="360" w:lineRule="auto"/>
        <w:ind w:left="1134"/>
        <w:rPr>
          <w:rFonts w:eastAsia="宋体"/>
          <w:sz w:val="24"/>
          <w:szCs w:val="22"/>
          <w:highlight w:val="none"/>
        </w:rPr>
      </w:pPr>
      <w:r>
        <w:rPr>
          <w:rFonts w:eastAsia="宋体"/>
          <w:sz w:val="24"/>
          <w:szCs w:val="22"/>
          <w:highlight w:val="none"/>
        </w:rPr>
        <w:t>与我单位存在“单位负责人为同一人或者存在直接控股、管理关系”的其他法人单位信息如下（如有，不论其是否参加同一合同项下的政府采购活动均须填写）：</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1BB38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5D62B92C">
            <w:pPr>
              <w:keepNext w:val="0"/>
              <w:keepLines w:val="0"/>
              <w:suppressLineNumbers w:val="0"/>
              <w:spacing w:before="0" w:beforeAutospacing="0" w:after="0" w:afterAutospacing="0"/>
              <w:ind w:left="0" w:right="0"/>
              <w:jc w:val="center"/>
              <w:rPr>
                <w:rFonts w:hint="default" w:eastAsia="宋体"/>
                <w:sz w:val="24"/>
                <w:highlight w:val="none"/>
              </w:rPr>
            </w:pPr>
            <w:r>
              <w:rPr>
                <w:rFonts w:hint="default" w:eastAsia="宋体"/>
                <w:sz w:val="24"/>
                <w:highlight w:val="none"/>
              </w:rPr>
              <w:t>序号</w:t>
            </w:r>
          </w:p>
        </w:tc>
        <w:tc>
          <w:tcPr>
            <w:tcW w:w="4574" w:type="dxa"/>
            <w:noWrap w:val="0"/>
            <w:vAlign w:val="center"/>
          </w:tcPr>
          <w:p w14:paraId="44209435">
            <w:pPr>
              <w:keepNext w:val="0"/>
              <w:keepLines w:val="0"/>
              <w:suppressLineNumbers w:val="0"/>
              <w:spacing w:before="0" w:beforeAutospacing="0" w:after="0" w:afterAutospacing="0"/>
              <w:ind w:left="0" w:right="0"/>
              <w:jc w:val="center"/>
              <w:rPr>
                <w:rFonts w:hint="default" w:eastAsia="宋体"/>
                <w:sz w:val="24"/>
                <w:highlight w:val="none"/>
              </w:rPr>
            </w:pPr>
            <w:r>
              <w:rPr>
                <w:rFonts w:hint="default" w:eastAsia="宋体"/>
                <w:sz w:val="24"/>
                <w:highlight w:val="none"/>
              </w:rPr>
              <w:t>单位名称</w:t>
            </w:r>
          </w:p>
        </w:tc>
        <w:tc>
          <w:tcPr>
            <w:tcW w:w="2976" w:type="dxa"/>
            <w:noWrap w:val="0"/>
            <w:vAlign w:val="center"/>
          </w:tcPr>
          <w:p w14:paraId="73ABA456">
            <w:pPr>
              <w:keepNext w:val="0"/>
              <w:keepLines w:val="0"/>
              <w:suppressLineNumbers w:val="0"/>
              <w:spacing w:before="0" w:beforeAutospacing="0" w:after="0" w:afterAutospacing="0"/>
              <w:ind w:left="0" w:right="0"/>
              <w:jc w:val="center"/>
              <w:rPr>
                <w:rFonts w:hint="default" w:eastAsia="宋体"/>
                <w:sz w:val="24"/>
                <w:highlight w:val="none"/>
              </w:rPr>
            </w:pPr>
            <w:r>
              <w:rPr>
                <w:rFonts w:hint="default" w:eastAsia="宋体"/>
                <w:sz w:val="24"/>
                <w:highlight w:val="none"/>
              </w:rPr>
              <w:t>相互关系</w:t>
            </w:r>
          </w:p>
        </w:tc>
      </w:tr>
      <w:tr w14:paraId="0EB10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6FF7F03F">
            <w:pPr>
              <w:keepNext w:val="0"/>
              <w:keepLines w:val="0"/>
              <w:suppressLineNumbers w:val="0"/>
              <w:spacing w:before="0" w:beforeAutospacing="0" w:after="0" w:afterAutospacing="0"/>
              <w:ind w:left="0" w:right="0"/>
              <w:jc w:val="center"/>
              <w:rPr>
                <w:rFonts w:hint="default" w:eastAsia="宋体"/>
                <w:sz w:val="24"/>
                <w:highlight w:val="none"/>
              </w:rPr>
            </w:pPr>
            <w:r>
              <w:rPr>
                <w:rFonts w:hint="default" w:eastAsia="宋体"/>
                <w:sz w:val="24"/>
                <w:highlight w:val="none"/>
              </w:rPr>
              <w:t>1</w:t>
            </w:r>
          </w:p>
        </w:tc>
        <w:tc>
          <w:tcPr>
            <w:tcW w:w="4574" w:type="dxa"/>
            <w:noWrap w:val="0"/>
            <w:vAlign w:val="center"/>
          </w:tcPr>
          <w:p w14:paraId="34EFA30A">
            <w:pPr>
              <w:keepNext w:val="0"/>
              <w:keepLines w:val="0"/>
              <w:suppressLineNumbers w:val="0"/>
              <w:spacing w:before="0" w:beforeAutospacing="0" w:after="0" w:afterAutospacing="0"/>
              <w:ind w:left="0" w:right="0"/>
              <w:jc w:val="center"/>
              <w:rPr>
                <w:rFonts w:hint="default" w:eastAsia="宋体"/>
                <w:sz w:val="24"/>
                <w:highlight w:val="none"/>
              </w:rPr>
            </w:pPr>
          </w:p>
        </w:tc>
        <w:tc>
          <w:tcPr>
            <w:tcW w:w="2976" w:type="dxa"/>
            <w:noWrap w:val="0"/>
            <w:vAlign w:val="center"/>
          </w:tcPr>
          <w:p w14:paraId="700B90B4">
            <w:pPr>
              <w:keepNext w:val="0"/>
              <w:keepLines w:val="0"/>
              <w:suppressLineNumbers w:val="0"/>
              <w:spacing w:before="0" w:beforeAutospacing="0" w:after="0" w:afterAutospacing="0"/>
              <w:ind w:left="0" w:right="0"/>
              <w:jc w:val="center"/>
              <w:rPr>
                <w:rFonts w:hint="default" w:eastAsia="宋体"/>
                <w:sz w:val="24"/>
                <w:highlight w:val="none"/>
              </w:rPr>
            </w:pPr>
          </w:p>
        </w:tc>
      </w:tr>
      <w:tr w14:paraId="35B2F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68BA2A37">
            <w:pPr>
              <w:keepNext w:val="0"/>
              <w:keepLines w:val="0"/>
              <w:suppressLineNumbers w:val="0"/>
              <w:spacing w:before="0" w:beforeAutospacing="0" w:after="0" w:afterAutospacing="0"/>
              <w:ind w:left="0" w:right="0"/>
              <w:jc w:val="center"/>
              <w:rPr>
                <w:rFonts w:hint="default" w:eastAsia="宋体"/>
                <w:sz w:val="24"/>
                <w:highlight w:val="none"/>
              </w:rPr>
            </w:pPr>
            <w:r>
              <w:rPr>
                <w:rFonts w:hint="default" w:eastAsia="宋体"/>
                <w:sz w:val="24"/>
                <w:highlight w:val="none"/>
              </w:rPr>
              <w:t>2</w:t>
            </w:r>
          </w:p>
        </w:tc>
        <w:tc>
          <w:tcPr>
            <w:tcW w:w="4574" w:type="dxa"/>
            <w:noWrap w:val="0"/>
            <w:vAlign w:val="center"/>
          </w:tcPr>
          <w:p w14:paraId="05E7D024">
            <w:pPr>
              <w:keepNext w:val="0"/>
              <w:keepLines w:val="0"/>
              <w:suppressLineNumbers w:val="0"/>
              <w:spacing w:before="0" w:beforeAutospacing="0" w:after="0" w:afterAutospacing="0"/>
              <w:ind w:left="0" w:right="0"/>
              <w:jc w:val="center"/>
              <w:rPr>
                <w:rFonts w:hint="default" w:eastAsia="宋体"/>
                <w:sz w:val="24"/>
                <w:highlight w:val="none"/>
              </w:rPr>
            </w:pPr>
          </w:p>
        </w:tc>
        <w:tc>
          <w:tcPr>
            <w:tcW w:w="2976" w:type="dxa"/>
            <w:noWrap w:val="0"/>
            <w:vAlign w:val="center"/>
          </w:tcPr>
          <w:p w14:paraId="26E3372C">
            <w:pPr>
              <w:keepNext w:val="0"/>
              <w:keepLines w:val="0"/>
              <w:suppressLineNumbers w:val="0"/>
              <w:spacing w:before="0" w:beforeAutospacing="0" w:after="0" w:afterAutospacing="0"/>
              <w:ind w:left="0" w:right="0"/>
              <w:jc w:val="center"/>
              <w:rPr>
                <w:rFonts w:hint="default" w:eastAsia="宋体"/>
                <w:sz w:val="24"/>
                <w:highlight w:val="none"/>
              </w:rPr>
            </w:pPr>
          </w:p>
        </w:tc>
      </w:tr>
      <w:tr w14:paraId="17CDA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3207E7D2">
            <w:pPr>
              <w:keepNext w:val="0"/>
              <w:keepLines w:val="0"/>
              <w:suppressLineNumbers w:val="0"/>
              <w:spacing w:before="0" w:beforeAutospacing="0" w:after="0" w:afterAutospacing="0"/>
              <w:ind w:left="0" w:right="0"/>
              <w:jc w:val="center"/>
              <w:rPr>
                <w:rFonts w:hint="default" w:eastAsia="宋体"/>
                <w:sz w:val="24"/>
                <w:highlight w:val="none"/>
              </w:rPr>
            </w:pPr>
            <w:r>
              <w:rPr>
                <w:rFonts w:hint="default" w:eastAsia="宋体"/>
                <w:sz w:val="24"/>
                <w:highlight w:val="none"/>
              </w:rPr>
              <w:t>…</w:t>
            </w:r>
          </w:p>
        </w:tc>
        <w:tc>
          <w:tcPr>
            <w:tcW w:w="4574" w:type="dxa"/>
            <w:noWrap w:val="0"/>
            <w:vAlign w:val="center"/>
          </w:tcPr>
          <w:p w14:paraId="374C28E8">
            <w:pPr>
              <w:keepNext w:val="0"/>
              <w:keepLines w:val="0"/>
              <w:suppressLineNumbers w:val="0"/>
              <w:spacing w:before="0" w:beforeAutospacing="0" w:after="0" w:afterAutospacing="0"/>
              <w:ind w:left="0" w:right="0"/>
              <w:jc w:val="center"/>
              <w:rPr>
                <w:rFonts w:hint="default" w:eastAsia="宋体"/>
                <w:sz w:val="24"/>
                <w:highlight w:val="none"/>
              </w:rPr>
            </w:pPr>
          </w:p>
        </w:tc>
        <w:tc>
          <w:tcPr>
            <w:tcW w:w="2976" w:type="dxa"/>
            <w:noWrap w:val="0"/>
            <w:vAlign w:val="center"/>
          </w:tcPr>
          <w:p w14:paraId="5D15C713">
            <w:pPr>
              <w:keepNext w:val="0"/>
              <w:keepLines w:val="0"/>
              <w:suppressLineNumbers w:val="0"/>
              <w:spacing w:before="0" w:beforeAutospacing="0" w:after="0" w:afterAutospacing="0"/>
              <w:ind w:left="0" w:right="0"/>
              <w:jc w:val="center"/>
              <w:rPr>
                <w:rFonts w:hint="default" w:eastAsia="宋体"/>
                <w:sz w:val="24"/>
                <w:highlight w:val="none"/>
              </w:rPr>
            </w:pPr>
          </w:p>
        </w:tc>
      </w:tr>
    </w:tbl>
    <w:p w14:paraId="54B3C645">
      <w:pPr>
        <w:rPr>
          <w:rFonts w:eastAsia="宋体"/>
          <w:highlight w:val="none"/>
        </w:rPr>
      </w:pPr>
    </w:p>
    <w:p w14:paraId="2078A9E9">
      <w:pPr>
        <w:ind w:firstLine="480" w:firstLineChars="200"/>
        <w:rPr>
          <w:rFonts w:eastAsia="宋体"/>
          <w:sz w:val="24"/>
          <w:szCs w:val="22"/>
          <w:highlight w:val="none"/>
        </w:rPr>
      </w:pPr>
      <w:r>
        <w:rPr>
          <w:rFonts w:eastAsia="宋体"/>
          <w:sz w:val="24"/>
          <w:highlight w:val="none"/>
        </w:rPr>
        <w:t>上述声明真实有效，否则我方负全部责任。</w:t>
      </w:r>
    </w:p>
    <w:p w14:paraId="0A26FDB4">
      <w:pPr>
        <w:spacing w:line="360" w:lineRule="auto"/>
        <w:rPr>
          <w:rFonts w:eastAsia="宋体"/>
          <w:sz w:val="24"/>
          <w:highlight w:val="none"/>
        </w:rPr>
      </w:pPr>
    </w:p>
    <w:p w14:paraId="47726420">
      <w:pPr>
        <w:autoSpaceDE w:val="0"/>
        <w:autoSpaceDN w:val="0"/>
        <w:adjustRightInd w:val="0"/>
        <w:snapToGrid w:val="0"/>
        <w:spacing w:before="25" w:after="25" w:line="360" w:lineRule="auto"/>
        <w:ind w:right="360"/>
        <w:jc w:val="right"/>
        <w:rPr>
          <w:rFonts w:eastAsia="宋体"/>
          <w:color w:val="000000"/>
          <w:sz w:val="24"/>
          <w:highlight w:val="none"/>
          <w:lang w:val="zh-CN"/>
        </w:rPr>
      </w:pPr>
      <w:r>
        <w:rPr>
          <w:rFonts w:eastAsia="宋体"/>
          <w:color w:val="000000"/>
          <w:sz w:val="24"/>
          <w:highlight w:val="none"/>
        </w:rPr>
        <w:t>供应商名称（加盖公章）</w:t>
      </w:r>
      <w:r>
        <w:rPr>
          <w:rFonts w:eastAsia="宋体"/>
          <w:color w:val="000000"/>
          <w:sz w:val="24"/>
          <w:highlight w:val="none"/>
          <w:lang w:val="zh-CN"/>
        </w:rPr>
        <w:t>：</w:t>
      </w:r>
      <w:r>
        <w:rPr>
          <w:rFonts w:eastAsia="宋体"/>
          <w:sz w:val="24"/>
          <w:highlight w:val="none"/>
        </w:rPr>
        <w:t>______</w:t>
      </w:r>
    </w:p>
    <w:p w14:paraId="08696FD7">
      <w:pPr>
        <w:spacing w:line="360" w:lineRule="auto"/>
        <w:ind w:right="360" w:firstLine="480"/>
        <w:jc w:val="right"/>
        <w:rPr>
          <w:rFonts w:eastAsia="宋体"/>
          <w:sz w:val="24"/>
          <w:highlight w:val="none"/>
        </w:rPr>
      </w:pPr>
      <w:r>
        <w:rPr>
          <w:rFonts w:eastAsia="宋体"/>
          <w:color w:val="000000"/>
          <w:sz w:val="24"/>
          <w:szCs w:val="20"/>
          <w:highlight w:val="none"/>
        </w:rPr>
        <w:t xml:space="preserve">日期：____年____月____日   </w:t>
      </w:r>
    </w:p>
    <w:p w14:paraId="4DD03297">
      <w:pPr>
        <w:spacing w:line="360" w:lineRule="auto"/>
        <w:rPr>
          <w:rFonts w:eastAsia="宋体"/>
          <w:sz w:val="24"/>
          <w:highlight w:val="none"/>
        </w:rPr>
      </w:pPr>
      <w:r>
        <w:rPr>
          <w:rFonts w:hint="eastAsia"/>
          <w:sz w:val="24"/>
          <w:highlight w:val="none"/>
        </w:rPr>
        <w:t>说明：供应商承诺不实的，依据《政府采购法》第七十七条“提供虚假材料谋取中标、成交的”有关规定予以处理。</w:t>
      </w:r>
    </w:p>
    <w:p w14:paraId="48445939">
      <w:pPr>
        <w:tabs>
          <w:tab w:val="left" w:pos="5580"/>
        </w:tabs>
        <w:spacing w:line="360" w:lineRule="auto"/>
        <w:rPr>
          <w:rFonts w:eastAsia="宋体"/>
          <w:sz w:val="24"/>
          <w:highlight w:val="none"/>
        </w:rPr>
        <w:sectPr>
          <w:headerReference r:id="rId26" w:type="first"/>
          <w:footerReference r:id="rId29" w:type="first"/>
          <w:headerReference r:id="rId24" w:type="default"/>
          <w:footerReference r:id="rId27" w:type="default"/>
          <w:headerReference r:id="rId25" w:type="even"/>
          <w:footerReference r:id="rId28" w:type="even"/>
          <w:pgSz w:w="11907" w:h="16840"/>
          <w:pgMar w:top="1418" w:right="1134" w:bottom="1418" w:left="1701" w:header="851" w:footer="851" w:gutter="0"/>
          <w:pgNumType w:fmt="decimal"/>
          <w:cols w:space="720" w:num="1"/>
          <w:docGrid w:linePitch="462" w:charSpace="0"/>
        </w:sectPr>
      </w:pPr>
    </w:p>
    <w:p w14:paraId="5DF3E679">
      <w:pPr>
        <w:tabs>
          <w:tab w:val="left" w:pos="360"/>
        </w:tabs>
        <w:snapToGrid w:val="0"/>
        <w:spacing w:line="360" w:lineRule="auto"/>
        <w:outlineLvl w:val="1"/>
        <w:rPr>
          <w:rFonts w:eastAsia="宋体"/>
          <w:sz w:val="24"/>
          <w:highlight w:val="none"/>
        </w:rPr>
      </w:pPr>
      <w:r>
        <w:rPr>
          <w:rFonts w:eastAsia="宋体"/>
          <w:sz w:val="24"/>
          <w:highlight w:val="none"/>
        </w:rPr>
        <w:t>2 落实政府采购政策需满足的资格要求（如有）</w:t>
      </w:r>
    </w:p>
    <w:p w14:paraId="37B1738E">
      <w:pPr>
        <w:spacing w:line="360" w:lineRule="auto"/>
        <w:outlineLvl w:val="2"/>
        <w:rPr>
          <w:rFonts w:hint="eastAsia" w:eastAsia="宋体"/>
          <w:color w:val="000000"/>
          <w:sz w:val="24"/>
          <w:szCs w:val="20"/>
          <w:highlight w:val="none"/>
          <w:lang w:eastAsia="zh-CN"/>
        </w:rPr>
      </w:pPr>
      <w:r>
        <w:rPr>
          <w:rFonts w:eastAsia="宋体"/>
          <w:color w:val="000000"/>
          <w:sz w:val="24"/>
          <w:szCs w:val="20"/>
          <w:highlight w:val="none"/>
        </w:rPr>
        <w:t>2-1中小企业</w:t>
      </w:r>
      <w:r>
        <w:rPr>
          <w:rFonts w:hint="eastAsia"/>
          <w:color w:val="000000"/>
          <w:sz w:val="24"/>
          <w:szCs w:val="20"/>
          <w:highlight w:val="none"/>
          <w:lang w:val="en-US" w:eastAsia="zh-CN"/>
        </w:rPr>
        <w:t>证明文件</w:t>
      </w:r>
    </w:p>
    <w:p w14:paraId="479C145D">
      <w:pPr>
        <w:tabs>
          <w:tab w:val="left" w:pos="5580"/>
        </w:tabs>
        <w:spacing w:line="360" w:lineRule="auto"/>
        <w:rPr>
          <w:rFonts w:eastAsia="宋体"/>
          <w:sz w:val="24"/>
          <w:highlight w:val="none"/>
        </w:rPr>
      </w:pPr>
    </w:p>
    <w:p w14:paraId="2E8C54F0">
      <w:pPr>
        <w:tabs>
          <w:tab w:val="left" w:pos="5580"/>
        </w:tabs>
        <w:spacing w:line="360" w:lineRule="auto"/>
        <w:rPr>
          <w:rFonts w:eastAsia="宋体"/>
          <w:sz w:val="24"/>
          <w:highlight w:val="none"/>
        </w:rPr>
      </w:pPr>
      <w:r>
        <w:rPr>
          <w:rFonts w:eastAsia="宋体"/>
          <w:sz w:val="24"/>
          <w:highlight w:val="none"/>
        </w:rPr>
        <w:t>说明：</w:t>
      </w:r>
    </w:p>
    <w:p w14:paraId="3C22F127">
      <w:pPr>
        <w:tabs>
          <w:tab w:val="left" w:pos="5580"/>
        </w:tabs>
        <w:spacing w:line="360" w:lineRule="auto"/>
        <w:rPr>
          <w:sz w:val="24"/>
          <w:highlight w:val="none"/>
        </w:rPr>
      </w:pPr>
      <w:r>
        <w:rPr>
          <w:sz w:val="24"/>
          <w:highlight w:val="none"/>
        </w:rPr>
        <w:t>（1）如本项目（包）不专门面向中小企业预留采购份额，</w:t>
      </w:r>
      <w:r>
        <w:rPr>
          <w:rFonts w:hint="eastAsia"/>
          <w:sz w:val="24"/>
          <w:highlight w:val="none"/>
        </w:rPr>
        <w:t>供应商</w:t>
      </w:r>
      <w:r>
        <w:rPr>
          <w:rFonts w:hint="eastAsia"/>
          <w:sz w:val="24"/>
          <w:highlight w:val="none"/>
          <w:lang w:val="en-US" w:eastAsia="zh-CN"/>
        </w:rPr>
        <w:t>无须</w:t>
      </w:r>
      <w:r>
        <w:rPr>
          <w:sz w:val="24"/>
          <w:highlight w:val="none"/>
        </w:rPr>
        <w:t>提供</w:t>
      </w:r>
      <w:r>
        <w:rPr>
          <w:rFonts w:hint="eastAsia"/>
          <w:sz w:val="24"/>
          <w:highlight w:val="none"/>
        </w:rPr>
        <w:t>《中小企业声明函》或《残疾人福利性单位声明函》或由省级以上监狱管理局、戒毒管理局（含新疆生产建设兵团）出具的属于监狱企业的证明文件；当供应商拟享受中小企业扶持政策时，仍应提供</w:t>
      </w:r>
      <w:r>
        <w:rPr>
          <w:rFonts w:hint="eastAsia"/>
          <w:sz w:val="24"/>
          <w:highlight w:val="none"/>
          <w:lang w:val="en-US" w:eastAsia="zh-CN"/>
        </w:rPr>
        <w:t>上述证明文件</w:t>
      </w:r>
      <w:r>
        <w:rPr>
          <w:rFonts w:hint="eastAsia"/>
          <w:sz w:val="24"/>
          <w:highlight w:val="none"/>
        </w:rPr>
        <w:t>，</w:t>
      </w:r>
      <w:r>
        <w:rPr>
          <w:rFonts w:eastAsia="宋体"/>
          <w:color w:val="000000"/>
          <w:sz w:val="24"/>
          <w:highlight w:val="none"/>
        </w:rPr>
        <w:t>否则不享受相关中小企业扶持政策</w:t>
      </w:r>
      <w:r>
        <w:rPr>
          <w:sz w:val="24"/>
          <w:highlight w:val="none"/>
        </w:rPr>
        <w:t>。</w:t>
      </w:r>
    </w:p>
    <w:p w14:paraId="0D86E188">
      <w:pPr>
        <w:tabs>
          <w:tab w:val="left" w:pos="5580"/>
        </w:tabs>
        <w:spacing w:line="360" w:lineRule="auto"/>
        <w:rPr>
          <w:rFonts w:eastAsia="宋体"/>
          <w:sz w:val="24"/>
          <w:highlight w:val="none"/>
        </w:rPr>
      </w:pPr>
      <w:r>
        <w:rPr>
          <w:rFonts w:eastAsia="宋体"/>
          <w:sz w:val="24"/>
          <w:highlight w:val="none"/>
        </w:rPr>
        <w:t>（2）如本项目（包）专门面向中小企业采购，</w:t>
      </w:r>
      <w:r>
        <w:rPr>
          <w:rFonts w:hint="eastAsia"/>
          <w:sz w:val="24"/>
          <w:highlight w:val="none"/>
          <w:lang w:val="en-US" w:eastAsia="zh-CN"/>
        </w:rPr>
        <w:t>响应文件中</w:t>
      </w:r>
      <w:r>
        <w:rPr>
          <w:rFonts w:eastAsia="宋体"/>
          <w:sz w:val="24"/>
          <w:highlight w:val="none"/>
        </w:rPr>
        <w:t>须提供《中小企业声明函》</w:t>
      </w:r>
      <w:r>
        <w:rPr>
          <w:rFonts w:hint="eastAsia" w:eastAsia="宋体"/>
          <w:sz w:val="24"/>
          <w:highlight w:val="none"/>
        </w:rPr>
        <w:t>或《残疾人福利性单位声明函》，或</w:t>
      </w:r>
      <w:r>
        <w:rPr>
          <w:rFonts w:hint="eastAsia"/>
          <w:sz w:val="24"/>
          <w:highlight w:val="none"/>
          <w:lang w:val="en-US" w:eastAsia="zh-CN"/>
        </w:rPr>
        <w:t>提</w:t>
      </w:r>
      <w:r>
        <w:rPr>
          <w:rFonts w:hint="eastAsia" w:eastAsia="宋体"/>
          <w:sz w:val="24"/>
          <w:highlight w:val="none"/>
        </w:rPr>
        <w:t>供由省级以上监狱管理局、戒毒管理局（含新疆生产建设兵团）出具的属于监狱企业的证明文件。</w:t>
      </w:r>
    </w:p>
    <w:p w14:paraId="4A35FB5F">
      <w:pPr>
        <w:tabs>
          <w:tab w:val="left" w:pos="5580"/>
        </w:tabs>
        <w:spacing w:line="360" w:lineRule="auto"/>
        <w:rPr>
          <w:rFonts w:hint="eastAsia" w:eastAsia="宋体"/>
          <w:sz w:val="24"/>
          <w:highlight w:val="none"/>
        </w:rPr>
      </w:pPr>
      <w:r>
        <w:rPr>
          <w:rFonts w:eastAsia="宋体"/>
          <w:sz w:val="24"/>
          <w:highlight w:val="none"/>
        </w:rPr>
        <w:t>（3）如本项目（包）预留部分采购项目预算专门面向中小企业采购，</w:t>
      </w:r>
      <w:r>
        <w:rPr>
          <w:rFonts w:hint="eastAsia" w:eastAsia="宋体"/>
          <w:sz w:val="24"/>
          <w:highlight w:val="none"/>
        </w:rPr>
        <w:t>且要求获得采购合同的供应商将采购项目中的一定比例分包给一家或者多家中小企业或要求供应商以联合体形式参加采购活动，响应文件中须</w:t>
      </w:r>
      <w:r>
        <w:rPr>
          <w:rFonts w:hint="eastAsia"/>
          <w:sz w:val="24"/>
          <w:highlight w:val="none"/>
          <w:lang w:val="en-US" w:eastAsia="zh-CN"/>
        </w:rPr>
        <w:t>提</w:t>
      </w:r>
      <w:r>
        <w:rPr>
          <w:rFonts w:hint="eastAsia" w:eastAsia="宋体"/>
          <w:sz w:val="24"/>
          <w:highlight w:val="none"/>
        </w:rPr>
        <w:t>供《中小企业声明函》或《残疾人福利性单位声明函》或由省级以上监狱管理局、戒毒管理局（含新疆生产建设兵团）出具的属于监狱企业的证明文件。</w:t>
      </w:r>
    </w:p>
    <w:p w14:paraId="5D311C92">
      <w:pPr>
        <w:tabs>
          <w:tab w:val="left" w:pos="5580"/>
        </w:tabs>
        <w:spacing w:line="360" w:lineRule="auto"/>
        <w:rPr>
          <w:rFonts w:hint="eastAsia" w:eastAsia="宋体"/>
          <w:sz w:val="24"/>
          <w:highlight w:val="none"/>
        </w:rPr>
      </w:pPr>
      <w:r>
        <w:rPr>
          <w:rFonts w:eastAsia="宋体"/>
          <w:sz w:val="24"/>
          <w:highlight w:val="none"/>
        </w:rPr>
        <w:t>（4）</w:t>
      </w:r>
      <w:r>
        <w:rPr>
          <w:rFonts w:hint="eastAsia" w:eastAsia="宋体"/>
          <w:sz w:val="24"/>
          <w:highlight w:val="none"/>
        </w:rPr>
        <w:t>中小企业声明函填写注意事项 1）《中小企业声明函》由参加政府采购活动的供应商出具。联合体参与的，《中小企业声明函》可由牵头人出具。</w:t>
      </w:r>
    </w:p>
    <w:p w14:paraId="65EC2B33">
      <w:pPr>
        <w:tabs>
          <w:tab w:val="left" w:pos="5580"/>
        </w:tabs>
        <w:spacing w:line="360" w:lineRule="auto"/>
        <w:rPr>
          <w:rFonts w:hint="eastAsia" w:eastAsia="宋体"/>
          <w:sz w:val="24"/>
          <w:highlight w:val="none"/>
        </w:rPr>
      </w:pPr>
      <w:r>
        <w:rPr>
          <w:rFonts w:hint="eastAsia" w:eastAsia="宋体"/>
          <w:sz w:val="24"/>
          <w:highlight w:val="none"/>
        </w:rPr>
        <w:t>2）对于联合体中由中小企业承担的部分，或者分包给中小企业的部分，必须全部由中小企业制造、承建或者承接。供应商应当在声明函</w:t>
      </w:r>
      <w:r>
        <w:rPr>
          <w:rFonts w:hint="eastAsia"/>
          <w:sz w:val="24"/>
          <w:highlight w:val="none"/>
          <w:lang w:eastAsia="zh-CN"/>
        </w:rPr>
        <w:t>“</w:t>
      </w:r>
      <w:r>
        <w:rPr>
          <w:rFonts w:hint="eastAsia" w:eastAsia="宋体"/>
          <w:sz w:val="24"/>
          <w:highlight w:val="none"/>
        </w:rPr>
        <w:t>标的名称</w:t>
      </w:r>
      <w:r>
        <w:rPr>
          <w:rFonts w:hint="eastAsia"/>
          <w:sz w:val="24"/>
          <w:highlight w:val="none"/>
          <w:lang w:eastAsia="zh-CN"/>
        </w:rPr>
        <w:t>”</w:t>
      </w:r>
      <w:r>
        <w:rPr>
          <w:rFonts w:hint="eastAsia" w:eastAsia="宋体"/>
          <w:sz w:val="24"/>
          <w:highlight w:val="none"/>
        </w:rPr>
        <w:t>部分标明联合体中中小企业承担的具体内容或者中小企业的具体分包内容。</w:t>
      </w:r>
    </w:p>
    <w:p w14:paraId="1A423206">
      <w:pPr>
        <w:tabs>
          <w:tab w:val="left" w:pos="5580"/>
        </w:tabs>
        <w:spacing w:line="360" w:lineRule="auto"/>
        <w:rPr>
          <w:rFonts w:hint="eastAsia" w:eastAsia="宋体"/>
          <w:sz w:val="24"/>
          <w:highlight w:val="none"/>
        </w:rPr>
      </w:pPr>
      <w:r>
        <w:rPr>
          <w:rFonts w:hint="eastAsia" w:eastAsia="宋体"/>
          <w:sz w:val="24"/>
          <w:highlight w:val="none"/>
        </w:rPr>
        <w:t>3）对于多标的采购项目，供应商应充分、准确地了解所</w:t>
      </w:r>
      <w:r>
        <w:rPr>
          <w:rFonts w:hint="eastAsia"/>
          <w:sz w:val="24"/>
          <w:highlight w:val="none"/>
          <w:lang w:val="en-US" w:eastAsia="zh-CN"/>
        </w:rPr>
        <w:t>提</w:t>
      </w:r>
      <w:r>
        <w:rPr>
          <w:rFonts w:hint="eastAsia" w:eastAsia="宋体"/>
          <w:sz w:val="24"/>
          <w:highlight w:val="none"/>
        </w:rPr>
        <w:t>供货物的制造企业、</w:t>
      </w:r>
      <w:r>
        <w:rPr>
          <w:rFonts w:hint="eastAsia"/>
          <w:sz w:val="24"/>
          <w:highlight w:val="none"/>
          <w:lang w:val="en-US" w:eastAsia="zh-CN"/>
        </w:rPr>
        <w:t>提</w:t>
      </w:r>
      <w:r>
        <w:rPr>
          <w:rFonts w:hint="eastAsia" w:eastAsia="宋体"/>
          <w:sz w:val="24"/>
          <w:highlight w:val="none"/>
        </w:rPr>
        <w:t>供服</w:t>
      </w:r>
    </w:p>
    <w:p w14:paraId="3D3C8133">
      <w:pPr>
        <w:tabs>
          <w:tab w:val="left" w:pos="5580"/>
        </w:tabs>
        <w:spacing w:line="360" w:lineRule="auto"/>
        <w:rPr>
          <w:rFonts w:hint="eastAsia" w:eastAsia="宋体"/>
          <w:sz w:val="24"/>
          <w:highlight w:val="none"/>
        </w:rPr>
      </w:pPr>
      <w:r>
        <w:rPr>
          <w:rFonts w:hint="eastAsia" w:eastAsia="宋体"/>
          <w:sz w:val="24"/>
          <w:highlight w:val="none"/>
        </w:rPr>
        <w:t>务的承接企业信息。对相关情况了解不清楚的，不建议填报本声明函。</w:t>
      </w:r>
    </w:p>
    <w:p w14:paraId="5E659215">
      <w:pPr>
        <w:tabs>
          <w:tab w:val="left" w:pos="5580"/>
        </w:tabs>
        <w:spacing w:line="360" w:lineRule="auto"/>
        <w:rPr>
          <w:rFonts w:eastAsia="宋体"/>
          <w:sz w:val="24"/>
          <w:highlight w:val="none"/>
        </w:rPr>
      </w:pPr>
      <w:r>
        <w:rPr>
          <w:rFonts w:hint="eastAsia" w:eastAsia="宋体"/>
          <w:sz w:val="24"/>
          <w:highlight w:val="none"/>
        </w:rPr>
        <w:t>（5）温馨</w:t>
      </w:r>
      <w:r>
        <w:rPr>
          <w:rFonts w:hint="eastAsia"/>
          <w:sz w:val="24"/>
          <w:highlight w:val="none"/>
          <w:lang w:val="en-US" w:eastAsia="zh-CN"/>
        </w:rPr>
        <w:t>提</w:t>
      </w:r>
      <w:r>
        <w:rPr>
          <w:rFonts w:hint="eastAsia" w:eastAsia="宋体"/>
          <w:sz w:val="24"/>
          <w:highlight w:val="none"/>
        </w:rPr>
        <w:t>示：为方便广大中小企业识别企业规模类型，工业和信息化部组织开发了中小企业规模类型自测小程序，在国务院客户端和工业和信息化部网站上均有链接</w:t>
      </w:r>
      <w:r>
        <w:rPr>
          <w:rFonts w:hint="eastAsia"/>
          <w:sz w:val="24"/>
          <w:highlight w:val="none"/>
          <w:lang w:eastAsia="zh-CN"/>
        </w:rPr>
        <w:t>，</w:t>
      </w:r>
      <w:r>
        <w:rPr>
          <w:rFonts w:hint="eastAsia" w:eastAsia="宋体"/>
          <w:sz w:val="24"/>
          <w:highlight w:val="none"/>
        </w:rPr>
        <w:t>供应商填写所属的行业和指标数据可自动生成企业规模类型测试结果。本项目中小企业划分标准所属行业详见第二章《供应商须知资料表》，如在该程序中未找到本项目文件规定的中小企业划分标准所属行业，则按照《关于印发中小企业划型标准规定的通知（工信部联企业﹝2011﹞300 号）》及本项目文件规定的中小企业划分标准所属行业执行。</w:t>
      </w:r>
    </w:p>
    <w:p w14:paraId="728B1C1A">
      <w:pPr>
        <w:widowControl/>
        <w:jc w:val="left"/>
        <w:rPr>
          <w:rFonts w:eastAsia="宋体"/>
          <w:sz w:val="24"/>
          <w:highlight w:val="none"/>
        </w:rPr>
      </w:pPr>
      <w:r>
        <w:rPr>
          <w:rFonts w:eastAsia="宋体"/>
          <w:sz w:val="24"/>
          <w:highlight w:val="none"/>
        </w:rPr>
        <w:br w:type="page"/>
      </w:r>
      <w:r>
        <w:rPr>
          <w:rFonts w:hint="eastAsia" w:eastAsia="宋体"/>
          <w:b w:val="0"/>
          <w:bCs w:val="0"/>
          <w:sz w:val="24"/>
          <w:highlight w:val="none"/>
        </w:rPr>
        <w:t>2-1-1  中小企业声明函及残疾人福利性单位声明函格式</w:t>
      </w:r>
    </w:p>
    <w:p w14:paraId="594D04D8">
      <w:pPr>
        <w:spacing w:before="240" w:beforeLines="100" w:after="240" w:afterLines="100" w:line="360" w:lineRule="auto"/>
        <w:jc w:val="center"/>
        <w:rPr>
          <w:rFonts w:eastAsia="宋体"/>
          <w:b/>
          <w:color w:val="000000"/>
          <w:sz w:val="36"/>
          <w:szCs w:val="36"/>
          <w:highlight w:val="none"/>
        </w:rPr>
      </w:pPr>
      <w:r>
        <w:rPr>
          <w:rFonts w:eastAsia="宋体"/>
          <w:b/>
          <w:bCs/>
          <w:color w:val="000000"/>
          <w:sz w:val="36"/>
          <w:szCs w:val="36"/>
          <w:highlight w:val="none"/>
        </w:rPr>
        <w:t>中小企业声明函（货物）格式</w:t>
      </w:r>
    </w:p>
    <w:p w14:paraId="28024E0E">
      <w:pPr>
        <w:spacing w:line="360" w:lineRule="auto"/>
        <w:ind w:firstLine="504"/>
        <w:rPr>
          <w:rFonts w:eastAsia="宋体"/>
          <w:spacing w:val="6"/>
          <w:sz w:val="24"/>
          <w:highlight w:val="none"/>
        </w:rPr>
      </w:pPr>
      <w:r>
        <w:rPr>
          <w:rFonts w:eastAsia="宋体"/>
          <w:spacing w:val="6"/>
          <w:sz w:val="24"/>
          <w:highlight w:val="none"/>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5D232B2E">
      <w:pPr>
        <w:spacing w:line="360" w:lineRule="auto"/>
        <w:ind w:firstLine="504"/>
        <w:rPr>
          <w:rFonts w:eastAsia="宋体"/>
          <w:spacing w:val="6"/>
          <w:sz w:val="24"/>
          <w:highlight w:val="none"/>
        </w:rPr>
      </w:pPr>
      <w:r>
        <w:rPr>
          <w:rFonts w:eastAsia="宋体"/>
          <w:spacing w:val="6"/>
          <w:sz w:val="24"/>
          <w:highlight w:val="none"/>
        </w:rPr>
        <w:t>1.</w:t>
      </w:r>
      <w:r>
        <w:rPr>
          <w:rFonts w:eastAsia="宋体"/>
          <w:spacing w:val="6"/>
          <w:sz w:val="24"/>
          <w:highlight w:val="none"/>
          <w:u w:val="single"/>
        </w:rPr>
        <w:t xml:space="preserve"> （标的名称） </w:t>
      </w:r>
      <w:r>
        <w:rPr>
          <w:rFonts w:eastAsia="宋体"/>
          <w:spacing w:val="6"/>
          <w:sz w:val="24"/>
          <w:highlight w:val="none"/>
        </w:rPr>
        <w:t>，属于</w:t>
      </w:r>
      <w:r>
        <w:rPr>
          <w:rFonts w:eastAsia="宋体"/>
          <w:spacing w:val="6"/>
          <w:sz w:val="24"/>
          <w:highlight w:val="none"/>
          <w:u w:val="single"/>
        </w:rPr>
        <w:t>（</w:t>
      </w:r>
      <w:r>
        <w:rPr>
          <w:rFonts w:hint="eastAsia"/>
          <w:spacing w:val="6"/>
          <w:sz w:val="24"/>
          <w:highlight w:val="none"/>
          <w:u w:val="single"/>
          <w:lang w:val="en-US" w:eastAsia="zh-CN"/>
        </w:rPr>
        <w:t>采购</w:t>
      </w:r>
      <w:r>
        <w:rPr>
          <w:rFonts w:eastAsia="宋体"/>
          <w:spacing w:val="6"/>
          <w:sz w:val="24"/>
          <w:highlight w:val="none"/>
          <w:u w:val="single"/>
        </w:rPr>
        <w:t>文件中明确的所属行业）</w:t>
      </w:r>
      <w:r>
        <w:rPr>
          <w:rFonts w:eastAsia="宋体"/>
          <w:spacing w:val="6"/>
          <w:sz w:val="24"/>
          <w:highlight w:val="none"/>
        </w:rPr>
        <w:t>行业；制造商为</w:t>
      </w:r>
      <w:r>
        <w:rPr>
          <w:rFonts w:eastAsia="宋体"/>
          <w:spacing w:val="6"/>
          <w:sz w:val="24"/>
          <w:highlight w:val="none"/>
          <w:u w:val="single"/>
        </w:rPr>
        <w:t>（企业名称）</w:t>
      </w:r>
      <w:r>
        <w:rPr>
          <w:rFonts w:eastAsia="宋体"/>
          <w:spacing w:val="6"/>
          <w:sz w:val="24"/>
          <w:highlight w:val="none"/>
        </w:rPr>
        <w:t>，从业人员______人，营业收入为______万元，资产总额为______万元</w:t>
      </w:r>
      <w:r>
        <w:rPr>
          <w:rFonts w:eastAsia="宋体"/>
          <w:spacing w:val="6"/>
          <w:sz w:val="24"/>
          <w:highlight w:val="none"/>
          <w:vertAlign w:val="superscript"/>
        </w:rPr>
        <w:t>1</w:t>
      </w:r>
      <w:r>
        <w:rPr>
          <w:rFonts w:eastAsia="宋体"/>
          <w:spacing w:val="6"/>
          <w:sz w:val="24"/>
          <w:highlight w:val="none"/>
        </w:rPr>
        <w:t>，属于（中型企业、小型企业、微型企业）；</w:t>
      </w:r>
    </w:p>
    <w:p w14:paraId="365DC1B8">
      <w:pPr>
        <w:spacing w:line="360" w:lineRule="auto"/>
        <w:ind w:firstLine="504"/>
        <w:rPr>
          <w:rFonts w:eastAsia="宋体"/>
          <w:spacing w:val="6"/>
          <w:sz w:val="24"/>
          <w:highlight w:val="none"/>
        </w:rPr>
      </w:pPr>
      <w:r>
        <w:rPr>
          <w:rFonts w:eastAsia="宋体"/>
          <w:spacing w:val="6"/>
          <w:sz w:val="24"/>
          <w:highlight w:val="none"/>
        </w:rPr>
        <w:t xml:space="preserve">2. </w:t>
      </w:r>
      <w:r>
        <w:rPr>
          <w:rFonts w:eastAsia="宋体"/>
          <w:spacing w:val="6"/>
          <w:sz w:val="24"/>
          <w:highlight w:val="none"/>
          <w:u w:val="single"/>
        </w:rPr>
        <w:t xml:space="preserve">（标的名称） </w:t>
      </w:r>
      <w:r>
        <w:rPr>
          <w:rFonts w:eastAsia="宋体"/>
          <w:spacing w:val="6"/>
          <w:sz w:val="24"/>
          <w:highlight w:val="none"/>
        </w:rPr>
        <w:t>，属于</w:t>
      </w:r>
      <w:r>
        <w:rPr>
          <w:rFonts w:eastAsia="宋体"/>
          <w:spacing w:val="6"/>
          <w:sz w:val="24"/>
          <w:highlight w:val="none"/>
          <w:u w:val="single"/>
        </w:rPr>
        <w:t>（</w:t>
      </w:r>
      <w:r>
        <w:rPr>
          <w:rFonts w:hint="eastAsia"/>
          <w:spacing w:val="6"/>
          <w:sz w:val="24"/>
          <w:highlight w:val="none"/>
          <w:u w:val="single"/>
          <w:lang w:val="en-US" w:eastAsia="zh-CN"/>
        </w:rPr>
        <w:t>采购</w:t>
      </w:r>
      <w:r>
        <w:rPr>
          <w:rFonts w:eastAsia="宋体"/>
          <w:spacing w:val="6"/>
          <w:sz w:val="24"/>
          <w:highlight w:val="none"/>
          <w:u w:val="single"/>
        </w:rPr>
        <w:t>文件中明确的所属行业）</w:t>
      </w:r>
      <w:r>
        <w:rPr>
          <w:rFonts w:eastAsia="宋体"/>
          <w:spacing w:val="6"/>
          <w:sz w:val="24"/>
          <w:highlight w:val="none"/>
        </w:rPr>
        <w:t>行业；制造商为</w:t>
      </w:r>
      <w:r>
        <w:rPr>
          <w:rFonts w:eastAsia="宋体"/>
          <w:spacing w:val="6"/>
          <w:sz w:val="24"/>
          <w:highlight w:val="none"/>
          <w:u w:val="single"/>
        </w:rPr>
        <w:t>（企业名称）</w:t>
      </w:r>
      <w:r>
        <w:rPr>
          <w:rFonts w:eastAsia="宋体"/>
          <w:spacing w:val="6"/>
          <w:sz w:val="24"/>
          <w:highlight w:val="none"/>
        </w:rPr>
        <w:t>，从业人员______人，营业收入为______万元，资产总额为______万元，属于</w:t>
      </w:r>
      <w:r>
        <w:rPr>
          <w:rFonts w:eastAsia="宋体"/>
          <w:spacing w:val="6"/>
          <w:sz w:val="24"/>
          <w:highlight w:val="none"/>
          <w:u w:val="single"/>
        </w:rPr>
        <w:t>（中型企业、小型企业、微型企业）</w:t>
      </w:r>
      <w:r>
        <w:rPr>
          <w:rFonts w:eastAsia="宋体"/>
          <w:spacing w:val="6"/>
          <w:sz w:val="24"/>
          <w:highlight w:val="none"/>
        </w:rPr>
        <w:t>；</w:t>
      </w:r>
    </w:p>
    <w:p w14:paraId="22354284">
      <w:pPr>
        <w:spacing w:line="360" w:lineRule="auto"/>
        <w:ind w:firstLine="504"/>
        <w:rPr>
          <w:rFonts w:eastAsia="宋体"/>
          <w:spacing w:val="6"/>
          <w:sz w:val="24"/>
          <w:highlight w:val="none"/>
        </w:rPr>
      </w:pPr>
      <w:r>
        <w:rPr>
          <w:rFonts w:eastAsia="宋体"/>
          <w:spacing w:val="6"/>
          <w:sz w:val="24"/>
          <w:highlight w:val="none"/>
        </w:rPr>
        <w:t>……</w:t>
      </w:r>
    </w:p>
    <w:p w14:paraId="016FA0F9">
      <w:pPr>
        <w:spacing w:line="360" w:lineRule="auto"/>
        <w:ind w:firstLine="504"/>
        <w:rPr>
          <w:rFonts w:eastAsia="宋体"/>
          <w:spacing w:val="6"/>
          <w:sz w:val="24"/>
          <w:highlight w:val="none"/>
        </w:rPr>
      </w:pPr>
      <w:r>
        <w:rPr>
          <w:rFonts w:eastAsia="宋体"/>
          <w:spacing w:val="6"/>
          <w:sz w:val="24"/>
          <w:highlight w:val="none"/>
        </w:rPr>
        <w:t>以上企业，不属于大企业的分支机构，不存在控股股东为大企业的情形，也不存在与大企业的负责人为同一人的情形。</w:t>
      </w:r>
    </w:p>
    <w:p w14:paraId="3CBFEC8C">
      <w:pPr>
        <w:spacing w:line="360" w:lineRule="auto"/>
        <w:ind w:firstLine="504"/>
        <w:rPr>
          <w:rFonts w:eastAsia="宋体"/>
          <w:spacing w:val="6"/>
          <w:sz w:val="24"/>
          <w:highlight w:val="none"/>
        </w:rPr>
      </w:pPr>
      <w:r>
        <w:rPr>
          <w:rFonts w:eastAsia="宋体"/>
          <w:spacing w:val="6"/>
          <w:sz w:val="24"/>
          <w:highlight w:val="none"/>
        </w:rPr>
        <w:t>本企业对上述声明内容的真实性负责。如有虚假，将依法承担相应责任。</w:t>
      </w:r>
    </w:p>
    <w:p w14:paraId="35DEE29E">
      <w:pPr>
        <w:spacing w:line="360" w:lineRule="auto"/>
        <w:ind w:firstLine="504"/>
        <w:rPr>
          <w:rFonts w:eastAsia="宋体"/>
          <w:spacing w:val="6"/>
          <w:sz w:val="24"/>
          <w:highlight w:val="none"/>
        </w:rPr>
      </w:pPr>
    </w:p>
    <w:p w14:paraId="1A5C1703">
      <w:pPr>
        <w:spacing w:line="360" w:lineRule="auto"/>
        <w:ind w:right="360" w:firstLine="480"/>
        <w:jc w:val="right"/>
        <w:rPr>
          <w:rFonts w:eastAsia="宋体"/>
          <w:color w:val="000000"/>
          <w:sz w:val="24"/>
          <w:highlight w:val="none"/>
        </w:rPr>
      </w:pPr>
      <w:r>
        <w:rPr>
          <w:rFonts w:eastAsia="宋体"/>
          <w:color w:val="000000"/>
          <w:sz w:val="24"/>
          <w:highlight w:val="none"/>
        </w:rPr>
        <w:t>企业名称（盖章）：</w:t>
      </w:r>
      <w:r>
        <w:rPr>
          <w:rFonts w:eastAsia="宋体"/>
          <w:sz w:val="24"/>
          <w:highlight w:val="none"/>
        </w:rPr>
        <w:t>______</w:t>
      </w:r>
    </w:p>
    <w:p w14:paraId="3D3973D1">
      <w:pPr>
        <w:spacing w:line="360" w:lineRule="auto"/>
        <w:ind w:right="360" w:firstLine="480"/>
        <w:jc w:val="right"/>
        <w:rPr>
          <w:rFonts w:eastAsia="宋体"/>
          <w:color w:val="000000"/>
          <w:sz w:val="24"/>
          <w:highlight w:val="none"/>
        </w:rPr>
      </w:pPr>
      <w:r>
        <w:rPr>
          <w:rFonts w:eastAsia="宋体"/>
          <w:color w:val="000000"/>
          <w:sz w:val="24"/>
          <w:highlight w:val="none"/>
        </w:rPr>
        <w:t>日 期：</w:t>
      </w:r>
      <w:r>
        <w:rPr>
          <w:rFonts w:eastAsia="宋体"/>
          <w:sz w:val="24"/>
          <w:highlight w:val="none"/>
        </w:rPr>
        <w:t>______</w:t>
      </w:r>
    </w:p>
    <w:p w14:paraId="6AE4F218">
      <w:pPr>
        <w:spacing w:line="360" w:lineRule="auto"/>
        <w:ind w:right="360" w:firstLine="480"/>
        <w:jc w:val="right"/>
        <w:rPr>
          <w:rFonts w:eastAsia="宋体"/>
          <w:color w:val="000000"/>
          <w:sz w:val="24"/>
          <w:highlight w:val="none"/>
        </w:rPr>
      </w:pPr>
    </w:p>
    <w:p w14:paraId="03473C2B">
      <w:pPr>
        <w:spacing w:line="360" w:lineRule="auto"/>
        <w:ind w:right="360" w:firstLine="480"/>
        <w:jc w:val="right"/>
        <w:rPr>
          <w:rFonts w:eastAsia="宋体"/>
          <w:color w:val="000000"/>
          <w:sz w:val="24"/>
          <w:highlight w:val="none"/>
        </w:rPr>
      </w:pPr>
    </w:p>
    <w:tbl>
      <w:tblPr>
        <w:tblStyle w:val="44"/>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53CA6AF7">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noWrap w:val="0"/>
            <w:vAlign w:val="top"/>
          </w:tcPr>
          <w:p w14:paraId="5D88709D">
            <w:pPr>
              <w:keepNext w:val="0"/>
              <w:keepLines w:val="0"/>
              <w:suppressLineNumbers w:val="0"/>
              <w:adjustRightInd w:val="0"/>
              <w:snapToGrid w:val="0"/>
              <w:spacing w:before="0" w:beforeAutospacing="0" w:after="0" w:afterAutospacing="0"/>
              <w:ind w:left="0" w:right="0"/>
              <w:jc w:val="left"/>
              <w:rPr>
                <w:rFonts w:hint="default" w:eastAsia="宋体"/>
                <w:color w:val="000000"/>
                <w:szCs w:val="21"/>
                <w:highlight w:val="none"/>
              </w:rPr>
            </w:pPr>
            <w:r>
              <w:rPr>
                <w:rFonts w:hint="default" w:eastAsia="宋体"/>
                <w:color w:val="000000"/>
                <w:szCs w:val="21"/>
                <w:highlight w:val="none"/>
                <w:vertAlign w:val="superscript"/>
              </w:rPr>
              <w:t>1</w:t>
            </w:r>
            <w:r>
              <w:rPr>
                <w:rFonts w:hint="default" w:eastAsia="宋体"/>
                <w:color w:val="000000"/>
                <w:szCs w:val="21"/>
                <w:highlight w:val="none"/>
              </w:rPr>
              <w:t>从业人员、营业收入、资产总额填报上一年度数据，无上一年度数据的新成立企业可不填报。</w:t>
            </w:r>
          </w:p>
        </w:tc>
      </w:tr>
    </w:tbl>
    <w:p w14:paraId="2C6312FF">
      <w:pPr>
        <w:autoSpaceDE w:val="0"/>
        <w:autoSpaceDN w:val="0"/>
        <w:adjustRightInd w:val="0"/>
        <w:ind w:firstLine="420"/>
        <w:jc w:val="left"/>
        <w:rPr>
          <w:rFonts w:eastAsia="宋体"/>
          <w:sz w:val="24"/>
          <w:highlight w:val="none"/>
        </w:rPr>
      </w:pPr>
    </w:p>
    <w:p w14:paraId="3A17FE0F">
      <w:pPr>
        <w:spacing w:line="360" w:lineRule="auto"/>
        <w:rPr>
          <w:rFonts w:eastAsia="宋体"/>
          <w:color w:val="000000"/>
          <w:sz w:val="24"/>
          <w:highlight w:val="none"/>
        </w:rPr>
      </w:pPr>
    </w:p>
    <w:p w14:paraId="7A840DAE">
      <w:pPr>
        <w:spacing w:before="240" w:beforeLines="100" w:after="240" w:afterLines="100" w:line="360" w:lineRule="auto"/>
        <w:jc w:val="center"/>
        <w:rPr>
          <w:rFonts w:eastAsia="宋体"/>
          <w:b/>
          <w:bCs/>
          <w:color w:val="000000"/>
          <w:sz w:val="36"/>
          <w:szCs w:val="36"/>
          <w:highlight w:val="none"/>
        </w:rPr>
      </w:pPr>
      <w:r>
        <w:rPr>
          <w:rFonts w:eastAsia="宋体"/>
          <w:color w:val="000000"/>
          <w:sz w:val="24"/>
          <w:highlight w:val="none"/>
        </w:rPr>
        <w:br w:type="page"/>
      </w:r>
      <w:r>
        <w:rPr>
          <w:rFonts w:eastAsia="宋体"/>
          <w:b/>
          <w:bCs/>
          <w:color w:val="000000"/>
          <w:sz w:val="36"/>
          <w:szCs w:val="36"/>
          <w:highlight w:val="none"/>
        </w:rPr>
        <w:t>中小企业声明函（工程、服务）格式</w:t>
      </w:r>
    </w:p>
    <w:p w14:paraId="74B99CE5">
      <w:pPr>
        <w:spacing w:line="360" w:lineRule="auto"/>
        <w:ind w:firstLine="504"/>
        <w:rPr>
          <w:rFonts w:eastAsia="宋体"/>
          <w:spacing w:val="6"/>
          <w:sz w:val="24"/>
          <w:highlight w:val="none"/>
        </w:rPr>
      </w:pPr>
      <w:r>
        <w:rPr>
          <w:rFonts w:eastAsia="宋体"/>
          <w:spacing w:val="6"/>
          <w:sz w:val="24"/>
          <w:highlight w:val="none"/>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059CA2F7">
      <w:pPr>
        <w:spacing w:line="360" w:lineRule="auto"/>
        <w:ind w:firstLine="504"/>
        <w:rPr>
          <w:rFonts w:eastAsia="宋体"/>
          <w:spacing w:val="6"/>
          <w:sz w:val="24"/>
          <w:highlight w:val="none"/>
        </w:rPr>
      </w:pPr>
      <w:r>
        <w:rPr>
          <w:rFonts w:eastAsia="宋体"/>
          <w:spacing w:val="6"/>
          <w:sz w:val="24"/>
          <w:highlight w:val="none"/>
        </w:rPr>
        <w:t>1.</w:t>
      </w:r>
      <w:r>
        <w:rPr>
          <w:rFonts w:eastAsia="宋体"/>
          <w:spacing w:val="6"/>
          <w:sz w:val="24"/>
          <w:highlight w:val="none"/>
          <w:u w:val="single"/>
        </w:rPr>
        <w:t xml:space="preserve"> （标的名称） </w:t>
      </w:r>
      <w:r>
        <w:rPr>
          <w:rFonts w:eastAsia="宋体"/>
          <w:spacing w:val="6"/>
          <w:sz w:val="24"/>
          <w:highlight w:val="none"/>
        </w:rPr>
        <w:t>，属于</w:t>
      </w:r>
      <w:r>
        <w:rPr>
          <w:rFonts w:eastAsia="宋体"/>
          <w:spacing w:val="6"/>
          <w:sz w:val="24"/>
          <w:highlight w:val="none"/>
          <w:u w:val="single"/>
        </w:rPr>
        <w:t>（</w:t>
      </w:r>
      <w:r>
        <w:rPr>
          <w:rFonts w:hint="eastAsia"/>
          <w:spacing w:val="6"/>
          <w:sz w:val="24"/>
          <w:highlight w:val="none"/>
          <w:u w:val="single"/>
          <w:lang w:val="en-US" w:eastAsia="zh-CN"/>
        </w:rPr>
        <w:t>采购</w:t>
      </w:r>
      <w:r>
        <w:rPr>
          <w:rFonts w:eastAsia="宋体"/>
          <w:spacing w:val="6"/>
          <w:sz w:val="24"/>
          <w:highlight w:val="none"/>
          <w:u w:val="single"/>
        </w:rPr>
        <w:t>文件中明确的所属行业）</w:t>
      </w:r>
      <w:r>
        <w:rPr>
          <w:rFonts w:eastAsia="宋体"/>
          <w:spacing w:val="6"/>
          <w:sz w:val="24"/>
          <w:highlight w:val="none"/>
        </w:rPr>
        <w:t>行业；承建（承接）企业为</w:t>
      </w:r>
      <w:r>
        <w:rPr>
          <w:rFonts w:eastAsia="宋体"/>
          <w:spacing w:val="6"/>
          <w:sz w:val="24"/>
          <w:highlight w:val="none"/>
          <w:u w:val="single"/>
        </w:rPr>
        <w:t>（企业名称）</w:t>
      </w:r>
      <w:r>
        <w:rPr>
          <w:rFonts w:eastAsia="宋体"/>
          <w:spacing w:val="6"/>
          <w:sz w:val="24"/>
          <w:highlight w:val="none"/>
        </w:rPr>
        <w:t>，从业人员</w:t>
      </w:r>
      <w:r>
        <w:rPr>
          <w:rFonts w:eastAsia="宋体"/>
          <w:sz w:val="24"/>
          <w:highlight w:val="none"/>
        </w:rPr>
        <w:t>______</w:t>
      </w:r>
      <w:r>
        <w:rPr>
          <w:rFonts w:eastAsia="宋体"/>
          <w:spacing w:val="6"/>
          <w:sz w:val="24"/>
          <w:highlight w:val="none"/>
        </w:rPr>
        <w:t>人，营业收入为</w:t>
      </w:r>
      <w:r>
        <w:rPr>
          <w:rFonts w:eastAsia="宋体"/>
          <w:sz w:val="24"/>
          <w:highlight w:val="none"/>
        </w:rPr>
        <w:t>______</w:t>
      </w:r>
      <w:r>
        <w:rPr>
          <w:rFonts w:eastAsia="宋体"/>
          <w:spacing w:val="6"/>
          <w:sz w:val="24"/>
          <w:highlight w:val="none"/>
        </w:rPr>
        <w:t>万元，资产总额为</w:t>
      </w:r>
      <w:r>
        <w:rPr>
          <w:rFonts w:eastAsia="宋体"/>
          <w:sz w:val="24"/>
          <w:highlight w:val="none"/>
        </w:rPr>
        <w:t>______</w:t>
      </w:r>
      <w:r>
        <w:rPr>
          <w:rFonts w:eastAsia="宋体"/>
          <w:spacing w:val="6"/>
          <w:sz w:val="24"/>
          <w:highlight w:val="none"/>
        </w:rPr>
        <w:t>万元</w:t>
      </w:r>
      <w:r>
        <w:rPr>
          <w:rFonts w:eastAsia="宋体"/>
          <w:spacing w:val="6"/>
          <w:sz w:val="24"/>
          <w:highlight w:val="none"/>
          <w:vertAlign w:val="superscript"/>
        </w:rPr>
        <w:t>1</w:t>
      </w:r>
      <w:r>
        <w:rPr>
          <w:rFonts w:eastAsia="宋体"/>
          <w:spacing w:val="6"/>
          <w:sz w:val="24"/>
          <w:highlight w:val="none"/>
        </w:rPr>
        <w:t>，属于（中型企业、小型企业、微型企业）；</w:t>
      </w:r>
    </w:p>
    <w:p w14:paraId="76D802AD">
      <w:pPr>
        <w:spacing w:line="360" w:lineRule="auto"/>
        <w:ind w:firstLine="504"/>
        <w:rPr>
          <w:rFonts w:eastAsia="宋体"/>
          <w:spacing w:val="6"/>
          <w:sz w:val="24"/>
          <w:highlight w:val="none"/>
        </w:rPr>
      </w:pPr>
      <w:r>
        <w:rPr>
          <w:rFonts w:eastAsia="宋体"/>
          <w:spacing w:val="6"/>
          <w:sz w:val="24"/>
          <w:highlight w:val="none"/>
        </w:rPr>
        <w:t xml:space="preserve">2. </w:t>
      </w:r>
      <w:r>
        <w:rPr>
          <w:rFonts w:eastAsia="宋体"/>
          <w:spacing w:val="6"/>
          <w:sz w:val="24"/>
          <w:highlight w:val="none"/>
          <w:u w:val="single"/>
        </w:rPr>
        <w:t xml:space="preserve">（标的名称） </w:t>
      </w:r>
      <w:r>
        <w:rPr>
          <w:rFonts w:eastAsia="宋体"/>
          <w:spacing w:val="6"/>
          <w:sz w:val="24"/>
          <w:highlight w:val="none"/>
        </w:rPr>
        <w:t>，属于</w:t>
      </w:r>
      <w:r>
        <w:rPr>
          <w:rFonts w:eastAsia="宋体"/>
          <w:spacing w:val="6"/>
          <w:sz w:val="24"/>
          <w:highlight w:val="none"/>
          <w:u w:val="single"/>
        </w:rPr>
        <w:t>（</w:t>
      </w:r>
      <w:r>
        <w:rPr>
          <w:rFonts w:hint="eastAsia"/>
          <w:spacing w:val="6"/>
          <w:sz w:val="24"/>
          <w:highlight w:val="none"/>
          <w:u w:val="single"/>
          <w:lang w:val="en-US" w:eastAsia="zh-CN"/>
        </w:rPr>
        <w:t>采购</w:t>
      </w:r>
      <w:r>
        <w:rPr>
          <w:rFonts w:eastAsia="宋体"/>
          <w:spacing w:val="6"/>
          <w:sz w:val="24"/>
          <w:highlight w:val="none"/>
          <w:u w:val="single"/>
        </w:rPr>
        <w:t>文件中明确的所属行业）</w:t>
      </w:r>
      <w:r>
        <w:rPr>
          <w:rFonts w:eastAsia="宋体"/>
          <w:spacing w:val="6"/>
          <w:sz w:val="24"/>
          <w:highlight w:val="none"/>
        </w:rPr>
        <w:t>行业；承建（承接）企业为</w:t>
      </w:r>
      <w:r>
        <w:rPr>
          <w:rFonts w:eastAsia="宋体"/>
          <w:spacing w:val="6"/>
          <w:sz w:val="24"/>
          <w:highlight w:val="none"/>
          <w:u w:val="single"/>
        </w:rPr>
        <w:t>（企业名称）</w:t>
      </w:r>
      <w:r>
        <w:rPr>
          <w:rFonts w:eastAsia="宋体"/>
          <w:spacing w:val="6"/>
          <w:sz w:val="24"/>
          <w:highlight w:val="none"/>
        </w:rPr>
        <w:t>，从业人员</w:t>
      </w:r>
      <w:r>
        <w:rPr>
          <w:rFonts w:eastAsia="宋体"/>
          <w:sz w:val="24"/>
          <w:highlight w:val="none"/>
        </w:rPr>
        <w:t>______</w:t>
      </w:r>
      <w:r>
        <w:rPr>
          <w:rFonts w:eastAsia="宋体"/>
          <w:spacing w:val="6"/>
          <w:sz w:val="24"/>
          <w:highlight w:val="none"/>
        </w:rPr>
        <w:t>人，营业收入为</w:t>
      </w:r>
      <w:r>
        <w:rPr>
          <w:rFonts w:eastAsia="宋体"/>
          <w:sz w:val="24"/>
          <w:highlight w:val="none"/>
        </w:rPr>
        <w:t>______</w:t>
      </w:r>
      <w:r>
        <w:rPr>
          <w:rFonts w:eastAsia="宋体"/>
          <w:spacing w:val="6"/>
          <w:sz w:val="24"/>
          <w:highlight w:val="none"/>
        </w:rPr>
        <w:t>万元，资产总额为</w:t>
      </w:r>
      <w:r>
        <w:rPr>
          <w:rFonts w:eastAsia="宋体"/>
          <w:sz w:val="24"/>
          <w:highlight w:val="none"/>
        </w:rPr>
        <w:t>______</w:t>
      </w:r>
      <w:r>
        <w:rPr>
          <w:rFonts w:eastAsia="宋体"/>
          <w:spacing w:val="6"/>
          <w:sz w:val="24"/>
          <w:highlight w:val="none"/>
        </w:rPr>
        <w:t>万元，属于</w:t>
      </w:r>
      <w:r>
        <w:rPr>
          <w:rFonts w:eastAsia="宋体"/>
          <w:spacing w:val="6"/>
          <w:sz w:val="24"/>
          <w:highlight w:val="none"/>
          <w:u w:val="single"/>
        </w:rPr>
        <w:t>（中型企业、小型企业、微型企业）</w:t>
      </w:r>
      <w:r>
        <w:rPr>
          <w:rFonts w:eastAsia="宋体"/>
          <w:spacing w:val="6"/>
          <w:sz w:val="24"/>
          <w:highlight w:val="none"/>
        </w:rPr>
        <w:t>；</w:t>
      </w:r>
    </w:p>
    <w:p w14:paraId="60900656">
      <w:pPr>
        <w:spacing w:line="360" w:lineRule="auto"/>
        <w:ind w:firstLine="504"/>
        <w:rPr>
          <w:rFonts w:eastAsia="宋体"/>
          <w:spacing w:val="6"/>
          <w:sz w:val="24"/>
          <w:highlight w:val="none"/>
        </w:rPr>
      </w:pPr>
    </w:p>
    <w:p w14:paraId="238D5720">
      <w:pPr>
        <w:spacing w:line="360" w:lineRule="auto"/>
        <w:ind w:firstLine="504"/>
        <w:rPr>
          <w:rFonts w:eastAsia="宋体"/>
          <w:spacing w:val="6"/>
          <w:sz w:val="24"/>
          <w:highlight w:val="none"/>
        </w:rPr>
      </w:pPr>
      <w:r>
        <w:rPr>
          <w:rFonts w:eastAsia="宋体"/>
          <w:spacing w:val="6"/>
          <w:sz w:val="24"/>
          <w:highlight w:val="none"/>
        </w:rPr>
        <w:t>……</w:t>
      </w:r>
    </w:p>
    <w:p w14:paraId="44AA0F30">
      <w:pPr>
        <w:spacing w:line="360" w:lineRule="auto"/>
        <w:ind w:firstLine="504"/>
        <w:rPr>
          <w:rFonts w:eastAsia="宋体"/>
          <w:spacing w:val="6"/>
          <w:sz w:val="24"/>
          <w:highlight w:val="none"/>
        </w:rPr>
      </w:pPr>
      <w:r>
        <w:rPr>
          <w:rFonts w:eastAsia="宋体"/>
          <w:spacing w:val="6"/>
          <w:sz w:val="24"/>
          <w:highlight w:val="none"/>
        </w:rPr>
        <w:t>以上企业，不属于大企业的分支机构，不存在控股股东为大企业的情形，也不存在与大企业的负责人为同一人的情形。</w:t>
      </w:r>
    </w:p>
    <w:p w14:paraId="7B678692">
      <w:pPr>
        <w:spacing w:line="360" w:lineRule="auto"/>
        <w:ind w:firstLine="504"/>
        <w:rPr>
          <w:rFonts w:eastAsia="宋体"/>
          <w:spacing w:val="6"/>
          <w:sz w:val="24"/>
          <w:highlight w:val="none"/>
        </w:rPr>
      </w:pPr>
      <w:r>
        <w:rPr>
          <w:rFonts w:eastAsia="宋体"/>
          <w:spacing w:val="6"/>
          <w:sz w:val="24"/>
          <w:highlight w:val="none"/>
        </w:rPr>
        <w:t>本企业对上述声明内容的真实性负责。如有虚假，将依法承担相应责任。</w:t>
      </w:r>
    </w:p>
    <w:p w14:paraId="14730F6D">
      <w:pPr>
        <w:spacing w:line="360" w:lineRule="auto"/>
        <w:ind w:right="360" w:firstLine="480"/>
        <w:jc w:val="right"/>
        <w:rPr>
          <w:rFonts w:eastAsia="宋体"/>
          <w:color w:val="000000"/>
          <w:sz w:val="24"/>
          <w:highlight w:val="none"/>
        </w:rPr>
      </w:pPr>
    </w:p>
    <w:p w14:paraId="1366A04F">
      <w:pPr>
        <w:spacing w:line="360" w:lineRule="auto"/>
        <w:ind w:right="360" w:firstLine="480"/>
        <w:jc w:val="right"/>
        <w:rPr>
          <w:rFonts w:eastAsia="宋体"/>
          <w:color w:val="000000"/>
          <w:sz w:val="24"/>
          <w:highlight w:val="none"/>
        </w:rPr>
      </w:pPr>
      <w:r>
        <w:rPr>
          <w:rFonts w:eastAsia="宋体"/>
          <w:color w:val="000000"/>
          <w:sz w:val="24"/>
          <w:highlight w:val="none"/>
        </w:rPr>
        <w:t>企业名称（盖章）：</w:t>
      </w:r>
      <w:r>
        <w:rPr>
          <w:rFonts w:eastAsia="宋体"/>
          <w:sz w:val="24"/>
          <w:highlight w:val="none"/>
        </w:rPr>
        <w:t>______</w:t>
      </w:r>
    </w:p>
    <w:p w14:paraId="133B15F1">
      <w:pPr>
        <w:spacing w:line="360" w:lineRule="auto"/>
        <w:ind w:right="360" w:firstLine="480"/>
        <w:jc w:val="right"/>
        <w:rPr>
          <w:rFonts w:eastAsia="宋体"/>
          <w:color w:val="000000"/>
          <w:sz w:val="24"/>
          <w:highlight w:val="none"/>
        </w:rPr>
      </w:pPr>
      <w:r>
        <w:rPr>
          <w:rFonts w:eastAsia="宋体"/>
          <w:color w:val="000000"/>
          <w:sz w:val="24"/>
          <w:highlight w:val="none"/>
        </w:rPr>
        <w:t>日 期：</w:t>
      </w:r>
      <w:r>
        <w:rPr>
          <w:rFonts w:eastAsia="宋体"/>
          <w:sz w:val="24"/>
          <w:highlight w:val="none"/>
        </w:rPr>
        <w:t>______</w:t>
      </w:r>
    </w:p>
    <w:p w14:paraId="62B30E5D">
      <w:pPr>
        <w:adjustRightInd w:val="0"/>
        <w:snapToGrid w:val="0"/>
        <w:jc w:val="left"/>
        <w:rPr>
          <w:rFonts w:eastAsia="宋体"/>
          <w:color w:val="000000"/>
          <w:sz w:val="24"/>
          <w:szCs w:val="21"/>
          <w:highlight w:val="none"/>
        </w:rPr>
      </w:pPr>
    </w:p>
    <w:p w14:paraId="06F0C2F8">
      <w:pPr>
        <w:adjustRightInd w:val="0"/>
        <w:snapToGrid w:val="0"/>
        <w:jc w:val="left"/>
        <w:rPr>
          <w:rFonts w:eastAsia="宋体"/>
          <w:color w:val="000000"/>
          <w:sz w:val="24"/>
          <w:szCs w:val="21"/>
          <w:highlight w:val="none"/>
        </w:rPr>
      </w:pPr>
    </w:p>
    <w:tbl>
      <w:tblPr>
        <w:tblStyle w:val="44"/>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0C17F627">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noWrap w:val="0"/>
            <w:vAlign w:val="top"/>
          </w:tcPr>
          <w:p w14:paraId="2566788D">
            <w:pPr>
              <w:keepNext w:val="0"/>
              <w:keepLines w:val="0"/>
              <w:suppressLineNumbers w:val="0"/>
              <w:adjustRightInd w:val="0"/>
              <w:snapToGrid w:val="0"/>
              <w:spacing w:before="0" w:beforeAutospacing="0" w:after="0" w:afterAutospacing="0"/>
              <w:ind w:left="0" w:right="0"/>
              <w:jc w:val="left"/>
              <w:rPr>
                <w:rFonts w:hint="default" w:eastAsia="宋体"/>
                <w:color w:val="000000"/>
                <w:szCs w:val="21"/>
                <w:highlight w:val="none"/>
              </w:rPr>
            </w:pPr>
            <w:r>
              <w:rPr>
                <w:rFonts w:hint="default" w:eastAsia="宋体"/>
                <w:color w:val="000000"/>
                <w:szCs w:val="21"/>
                <w:highlight w:val="none"/>
                <w:vertAlign w:val="superscript"/>
              </w:rPr>
              <w:t>1</w:t>
            </w:r>
            <w:r>
              <w:rPr>
                <w:rFonts w:hint="default" w:eastAsia="宋体"/>
                <w:color w:val="000000"/>
                <w:szCs w:val="21"/>
                <w:highlight w:val="none"/>
              </w:rPr>
              <w:t>从业人员、营业收入、资产总额填报上一年度数据，无上一年度数据的新成立企业可不填报。</w:t>
            </w:r>
          </w:p>
        </w:tc>
      </w:tr>
    </w:tbl>
    <w:p w14:paraId="529C43A4">
      <w:pPr>
        <w:adjustRightInd w:val="0"/>
        <w:snapToGrid w:val="0"/>
        <w:jc w:val="left"/>
        <w:rPr>
          <w:rFonts w:eastAsia="宋体"/>
          <w:color w:val="000000"/>
          <w:szCs w:val="21"/>
          <w:highlight w:val="none"/>
          <w:vertAlign w:val="superscript"/>
        </w:rPr>
      </w:pPr>
    </w:p>
    <w:p w14:paraId="14CBCA3C">
      <w:pPr>
        <w:spacing w:line="360" w:lineRule="auto"/>
        <w:ind w:right="360" w:firstLine="480"/>
        <w:jc w:val="right"/>
        <w:rPr>
          <w:rFonts w:eastAsia="宋体"/>
          <w:color w:val="000000"/>
          <w:sz w:val="24"/>
          <w:highlight w:val="none"/>
        </w:rPr>
      </w:pPr>
    </w:p>
    <w:p w14:paraId="48C1C13E">
      <w:pPr>
        <w:spacing w:line="360" w:lineRule="auto"/>
        <w:ind w:right="360" w:firstLine="480"/>
        <w:jc w:val="right"/>
        <w:rPr>
          <w:rFonts w:eastAsia="宋体"/>
          <w:color w:val="000000"/>
          <w:sz w:val="24"/>
          <w:highlight w:val="none"/>
        </w:rPr>
      </w:pPr>
    </w:p>
    <w:p w14:paraId="608AE6BB">
      <w:pPr>
        <w:spacing w:line="360" w:lineRule="auto"/>
        <w:outlineLvl w:val="2"/>
        <w:rPr>
          <w:rFonts w:eastAsia="宋体"/>
          <w:color w:val="000000"/>
          <w:sz w:val="24"/>
          <w:szCs w:val="20"/>
          <w:highlight w:val="none"/>
        </w:rPr>
      </w:pPr>
      <w:r>
        <w:rPr>
          <w:rFonts w:eastAsia="宋体"/>
          <w:color w:val="000000"/>
          <w:sz w:val="24"/>
          <w:szCs w:val="20"/>
          <w:highlight w:val="none"/>
        </w:rPr>
        <w:br w:type="page"/>
      </w:r>
    </w:p>
    <w:p w14:paraId="100F4F8F">
      <w:pPr>
        <w:spacing w:before="240" w:beforeLines="100" w:after="240" w:afterLines="100" w:line="360" w:lineRule="auto"/>
        <w:jc w:val="center"/>
        <w:rPr>
          <w:rFonts w:eastAsia="宋体"/>
          <w:b/>
          <w:color w:val="000000"/>
          <w:sz w:val="36"/>
          <w:szCs w:val="36"/>
          <w:highlight w:val="none"/>
        </w:rPr>
      </w:pPr>
      <w:r>
        <w:rPr>
          <w:rFonts w:eastAsia="宋体"/>
          <w:b/>
          <w:bCs/>
          <w:color w:val="000000"/>
          <w:sz w:val="36"/>
          <w:szCs w:val="36"/>
          <w:highlight w:val="none"/>
        </w:rPr>
        <w:t>残疾人福利性单位声明函格式</w:t>
      </w:r>
      <w:r>
        <w:rPr>
          <w:rFonts w:eastAsia="宋体"/>
          <w:b/>
          <w:color w:val="000000"/>
          <w:sz w:val="36"/>
          <w:szCs w:val="36"/>
          <w:highlight w:val="none"/>
        </w:rPr>
        <w:t xml:space="preserve">       </w:t>
      </w:r>
    </w:p>
    <w:p w14:paraId="42B691B2">
      <w:pPr>
        <w:spacing w:line="588" w:lineRule="exact"/>
        <w:ind w:firstLine="504"/>
        <w:rPr>
          <w:rFonts w:eastAsia="宋体"/>
          <w:spacing w:val="6"/>
          <w:sz w:val="24"/>
          <w:highlight w:val="none"/>
        </w:rPr>
      </w:pPr>
      <w:r>
        <w:rPr>
          <w:rFonts w:eastAsia="宋体"/>
          <w:spacing w:val="6"/>
          <w:sz w:val="24"/>
          <w:highlight w:val="none"/>
        </w:rPr>
        <w:t>本单位郑重声明，根据《财政部 民政部 中国残疾人联合会关于促进残疾人就业政府采购政策的通知》（财库</w:t>
      </w:r>
      <w:r>
        <w:rPr>
          <w:rFonts w:eastAsia="宋体"/>
          <w:sz w:val="24"/>
          <w:highlight w:val="none"/>
        </w:rPr>
        <w:t>〔2017〕 141</w:t>
      </w:r>
      <w:r>
        <w:rPr>
          <w:rFonts w:eastAsia="宋体"/>
          <w:spacing w:val="6"/>
          <w:sz w:val="24"/>
          <w:highlight w:val="none"/>
        </w:rPr>
        <w:t>号）的规定，本单位</w:t>
      </w:r>
      <w:r>
        <w:rPr>
          <w:rFonts w:eastAsia="宋体"/>
          <w:b/>
          <w:sz w:val="24"/>
          <w:highlight w:val="none"/>
        </w:rPr>
        <w:t>（请进行</w:t>
      </w:r>
      <w:r>
        <w:rPr>
          <w:rFonts w:hint="eastAsia"/>
          <w:b/>
          <w:sz w:val="24"/>
          <w:highlight w:val="none"/>
          <w:lang w:val="en-US" w:eastAsia="zh-CN"/>
        </w:rPr>
        <w:t>选择</w:t>
      </w:r>
      <w:r>
        <w:rPr>
          <w:rFonts w:eastAsia="宋体"/>
          <w:b/>
          <w:sz w:val="24"/>
          <w:highlight w:val="none"/>
        </w:rPr>
        <w:t>）</w:t>
      </w:r>
      <w:r>
        <w:rPr>
          <w:rFonts w:eastAsia="宋体"/>
          <w:spacing w:val="6"/>
          <w:sz w:val="24"/>
          <w:highlight w:val="none"/>
        </w:rPr>
        <w:t>：</w:t>
      </w:r>
    </w:p>
    <w:p w14:paraId="1BAEDE05">
      <w:pPr>
        <w:spacing w:line="588" w:lineRule="exact"/>
        <w:ind w:firstLine="482"/>
        <w:rPr>
          <w:rFonts w:eastAsia="宋体"/>
          <w:b/>
          <w:spacing w:val="6"/>
          <w:sz w:val="24"/>
          <w:highlight w:val="none"/>
        </w:rPr>
      </w:pPr>
      <w:r>
        <w:rPr>
          <w:rFonts w:eastAsia="宋体"/>
          <w:b/>
          <w:sz w:val="24"/>
          <w:highlight w:val="none"/>
        </w:rPr>
        <w:t>□</w:t>
      </w:r>
      <w:r>
        <w:rPr>
          <w:rFonts w:eastAsia="宋体"/>
          <w:b/>
          <w:spacing w:val="6"/>
          <w:sz w:val="24"/>
          <w:highlight w:val="none"/>
        </w:rPr>
        <w:t>不属于符合条件的残疾人福利性单位。</w:t>
      </w:r>
    </w:p>
    <w:p w14:paraId="1145EB68">
      <w:pPr>
        <w:spacing w:line="588" w:lineRule="exact"/>
        <w:ind w:firstLine="482"/>
        <w:rPr>
          <w:rFonts w:eastAsia="宋体"/>
          <w:spacing w:val="6"/>
          <w:sz w:val="24"/>
          <w:highlight w:val="none"/>
        </w:rPr>
      </w:pPr>
      <w:r>
        <w:rPr>
          <w:rFonts w:eastAsia="宋体"/>
          <w:b/>
          <w:sz w:val="24"/>
          <w:highlight w:val="none"/>
        </w:rPr>
        <w:t>□</w:t>
      </w:r>
      <w:r>
        <w:rPr>
          <w:rFonts w:eastAsia="宋体"/>
          <w:b/>
          <w:spacing w:val="6"/>
          <w:sz w:val="24"/>
          <w:highlight w:val="none"/>
        </w:rPr>
        <w:t>属于符合条件的残疾人福利性单位，</w:t>
      </w:r>
      <w:r>
        <w:rPr>
          <w:rFonts w:eastAsia="宋体"/>
          <w:spacing w:val="6"/>
          <w:sz w:val="24"/>
          <w:highlight w:val="none"/>
        </w:rPr>
        <w:t>且本单位参加</w:t>
      </w:r>
      <w:r>
        <w:rPr>
          <w:rFonts w:eastAsia="宋体"/>
          <w:sz w:val="24"/>
          <w:highlight w:val="none"/>
        </w:rPr>
        <w:t>______</w:t>
      </w:r>
      <w:r>
        <w:rPr>
          <w:rFonts w:eastAsia="宋体"/>
          <w:spacing w:val="6"/>
          <w:sz w:val="24"/>
          <w:highlight w:val="none"/>
        </w:rPr>
        <w:t>单位的</w:t>
      </w:r>
      <w:r>
        <w:rPr>
          <w:rFonts w:eastAsia="宋体"/>
          <w:sz w:val="24"/>
          <w:highlight w:val="none"/>
        </w:rPr>
        <w:t>______</w:t>
      </w:r>
      <w:r>
        <w:rPr>
          <w:rFonts w:eastAsia="宋体"/>
          <w:spacing w:val="6"/>
          <w:sz w:val="24"/>
          <w:highlight w:val="none"/>
        </w:rPr>
        <w:t>项目采购活动提供本单位制造的货物（由本单位承担工程/提供服务），或者提供其他残疾人福利性单位制造的货物（不包括使用非残疾人福利性单位注册商标的货物）。</w:t>
      </w:r>
    </w:p>
    <w:p w14:paraId="41C84D32">
      <w:pPr>
        <w:spacing w:line="588" w:lineRule="exact"/>
        <w:ind w:firstLine="506" w:firstLineChars="200"/>
        <w:rPr>
          <w:rFonts w:eastAsia="宋体"/>
          <w:spacing w:val="6"/>
          <w:sz w:val="24"/>
          <w:highlight w:val="none"/>
        </w:rPr>
      </w:pPr>
      <w:r>
        <w:rPr>
          <w:rFonts w:eastAsia="宋体"/>
          <w:b/>
          <w:spacing w:val="6"/>
          <w:sz w:val="24"/>
          <w:highlight w:val="none"/>
        </w:rPr>
        <w:t>本单位对上述声明的真实性负责。如有虚假，将依法承担相应责任。</w:t>
      </w:r>
    </w:p>
    <w:p w14:paraId="592B0279">
      <w:pPr>
        <w:spacing w:line="588" w:lineRule="exact"/>
        <w:ind w:firstLine="504" w:firstLineChars="200"/>
        <w:rPr>
          <w:rFonts w:eastAsia="宋体"/>
          <w:spacing w:val="6"/>
          <w:sz w:val="24"/>
          <w:highlight w:val="none"/>
        </w:rPr>
      </w:pPr>
    </w:p>
    <w:p w14:paraId="1232AB45">
      <w:pPr>
        <w:spacing w:line="588" w:lineRule="exact"/>
        <w:ind w:firstLine="504" w:firstLineChars="200"/>
        <w:rPr>
          <w:rFonts w:eastAsia="宋体"/>
          <w:spacing w:val="6"/>
          <w:sz w:val="24"/>
          <w:highlight w:val="none"/>
        </w:rPr>
      </w:pPr>
    </w:p>
    <w:p w14:paraId="24F47695">
      <w:pPr>
        <w:tabs>
          <w:tab w:val="left" w:pos="4860"/>
        </w:tabs>
        <w:spacing w:line="588" w:lineRule="exact"/>
        <w:ind w:right="1560" w:firstLine="504" w:firstLineChars="200"/>
        <w:jc w:val="right"/>
        <w:rPr>
          <w:rFonts w:eastAsia="宋体"/>
          <w:spacing w:val="6"/>
          <w:sz w:val="24"/>
          <w:highlight w:val="none"/>
        </w:rPr>
      </w:pPr>
      <w:r>
        <w:rPr>
          <w:rFonts w:eastAsia="宋体"/>
          <w:spacing w:val="6"/>
          <w:sz w:val="24"/>
          <w:highlight w:val="none"/>
        </w:rPr>
        <w:t xml:space="preserve">          单位名称（盖章）：</w:t>
      </w:r>
      <w:r>
        <w:rPr>
          <w:rFonts w:eastAsia="宋体"/>
          <w:sz w:val="24"/>
          <w:highlight w:val="none"/>
        </w:rPr>
        <w:t>______</w:t>
      </w:r>
    </w:p>
    <w:p w14:paraId="64E057D4">
      <w:pPr>
        <w:tabs>
          <w:tab w:val="left" w:pos="4860"/>
        </w:tabs>
        <w:spacing w:line="588" w:lineRule="exact"/>
        <w:ind w:right="1560" w:firstLine="504" w:firstLineChars="200"/>
        <w:jc w:val="right"/>
        <w:rPr>
          <w:rFonts w:eastAsia="宋体"/>
          <w:spacing w:val="6"/>
          <w:sz w:val="24"/>
          <w:highlight w:val="none"/>
        </w:rPr>
      </w:pPr>
      <w:r>
        <w:rPr>
          <w:rFonts w:eastAsia="宋体"/>
          <w:spacing w:val="6"/>
          <w:sz w:val="24"/>
          <w:highlight w:val="none"/>
        </w:rPr>
        <w:t xml:space="preserve">       日  期：</w:t>
      </w:r>
      <w:r>
        <w:rPr>
          <w:rFonts w:eastAsia="宋体"/>
          <w:sz w:val="24"/>
          <w:highlight w:val="none"/>
        </w:rPr>
        <w:t>______</w:t>
      </w:r>
    </w:p>
    <w:p w14:paraId="1C9DE40F">
      <w:pPr>
        <w:widowControl/>
        <w:jc w:val="left"/>
        <w:rPr>
          <w:rFonts w:hint="eastAsia" w:eastAsia="宋体"/>
          <w:color w:val="000000"/>
          <w:sz w:val="24"/>
          <w:szCs w:val="20"/>
          <w:highlight w:val="none"/>
          <w:lang w:eastAsia="zh-CN"/>
        </w:rPr>
      </w:pPr>
      <w:r>
        <w:rPr>
          <w:rFonts w:eastAsia="宋体"/>
          <w:color w:val="000000"/>
          <w:sz w:val="24"/>
          <w:szCs w:val="20"/>
          <w:highlight w:val="none"/>
        </w:rPr>
        <w:br w:type="page"/>
      </w:r>
      <w:r>
        <w:rPr>
          <w:rFonts w:eastAsia="宋体"/>
          <w:color w:val="000000"/>
          <w:sz w:val="24"/>
          <w:szCs w:val="20"/>
          <w:highlight w:val="none"/>
        </w:rPr>
        <w:t>2-1-</w:t>
      </w:r>
      <w:r>
        <w:rPr>
          <w:rFonts w:hint="eastAsia"/>
          <w:color w:val="000000"/>
          <w:sz w:val="24"/>
          <w:szCs w:val="20"/>
          <w:highlight w:val="none"/>
          <w:lang w:val="en-US" w:eastAsia="zh-CN"/>
        </w:rPr>
        <w:t>2</w:t>
      </w:r>
      <w:r>
        <w:rPr>
          <w:rFonts w:eastAsia="宋体"/>
          <w:color w:val="000000"/>
          <w:sz w:val="24"/>
          <w:szCs w:val="20"/>
          <w:highlight w:val="none"/>
        </w:rPr>
        <w:t>拟分包情况说明及分包意向协议</w:t>
      </w:r>
      <w:r>
        <w:rPr>
          <w:rFonts w:hint="eastAsia"/>
          <w:b/>
          <w:bCs/>
          <w:color w:val="000000"/>
          <w:sz w:val="24"/>
          <w:szCs w:val="20"/>
          <w:highlight w:val="none"/>
          <w:lang w:eastAsia="zh-CN"/>
        </w:rPr>
        <w:t>（</w:t>
      </w:r>
      <w:r>
        <w:rPr>
          <w:rFonts w:hint="eastAsia"/>
          <w:b/>
          <w:bCs/>
          <w:color w:val="000000"/>
          <w:sz w:val="24"/>
          <w:szCs w:val="20"/>
          <w:highlight w:val="none"/>
          <w:lang w:val="en-US" w:eastAsia="zh-CN"/>
        </w:rPr>
        <w:t>本项目不涉及</w:t>
      </w:r>
      <w:r>
        <w:rPr>
          <w:rFonts w:hint="eastAsia"/>
          <w:b/>
          <w:bCs/>
          <w:color w:val="000000"/>
          <w:sz w:val="24"/>
          <w:szCs w:val="20"/>
          <w:highlight w:val="none"/>
          <w:lang w:eastAsia="zh-CN"/>
        </w:rPr>
        <w:t>）</w:t>
      </w:r>
    </w:p>
    <w:p w14:paraId="591AB6DB">
      <w:pPr>
        <w:autoSpaceDE w:val="0"/>
        <w:autoSpaceDN w:val="0"/>
        <w:adjustRightInd w:val="0"/>
        <w:jc w:val="center"/>
        <w:rPr>
          <w:rFonts w:eastAsia="宋体"/>
          <w:color w:val="000000"/>
          <w:sz w:val="30"/>
          <w:szCs w:val="30"/>
          <w:highlight w:val="none"/>
        </w:rPr>
      </w:pPr>
    </w:p>
    <w:p w14:paraId="6DA8B573">
      <w:pPr>
        <w:autoSpaceDE w:val="0"/>
        <w:autoSpaceDN w:val="0"/>
        <w:adjustRightInd w:val="0"/>
        <w:spacing w:line="360" w:lineRule="auto"/>
        <w:jc w:val="center"/>
        <w:rPr>
          <w:rFonts w:eastAsia="宋体"/>
          <w:b/>
          <w:color w:val="000000"/>
          <w:sz w:val="36"/>
          <w:szCs w:val="36"/>
          <w:highlight w:val="none"/>
        </w:rPr>
      </w:pPr>
      <w:r>
        <w:rPr>
          <w:rFonts w:hint="eastAsia" w:eastAsia="宋体"/>
          <w:b/>
          <w:color w:val="000000"/>
          <w:sz w:val="36"/>
          <w:szCs w:val="36"/>
          <w:highlight w:val="none"/>
        </w:rPr>
        <w:t>拟分包情况说明</w:t>
      </w:r>
    </w:p>
    <w:p w14:paraId="126ABC38">
      <w:pPr>
        <w:tabs>
          <w:tab w:val="left" w:pos="5580"/>
        </w:tabs>
        <w:spacing w:line="360" w:lineRule="auto"/>
        <w:rPr>
          <w:rFonts w:eastAsia="宋体"/>
          <w:color w:val="000000"/>
          <w:sz w:val="24"/>
          <w:highlight w:val="none"/>
        </w:rPr>
      </w:pPr>
      <w:r>
        <w:rPr>
          <w:rFonts w:eastAsia="宋体"/>
          <w:color w:val="000000"/>
          <w:sz w:val="24"/>
          <w:highlight w:val="none"/>
        </w:rPr>
        <w:t>致：</w:t>
      </w:r>
      <w:r>
        <w:rPr>
          <w:rFonts w:eastAsia="宋体"/>
          <w:color w:val="000000"/>
          <w:sz w:val="24"/>
          <w:highlight w:val="none"/>
          <w:u w:val="single"/>
        </w:rPr>
        <w:t>（采购人或采购代理机构）</w:t>
      </w:r>
    </w:p>
    <w:p w14:paraId="6D32373C">
      <w:pPr>
        <w:adjustRightInd w:val="0"/>
        <w:snapToGrid w:val="0"/>
        <w:spacing w:line="360" w:lineRule="auto"/>
        <w:ind w:firstLine="480" w:firstLineChars="200"/>
        <w:jc w:val="left"/>
        <w:rPr>
          <w:rFonts w:eastAsia="宋体"/>
          <w:sz w:val="24"/>
          <w:highlight w:val="none"/>
        </w:rPr>
      </w:pPr>
      <w:r>
        <w:rPr>
          <w:rFonts w:eastAsia="宋体"/>
          <w:sz w:val="24"/>
          <w:highlight w:val="none"/>
        </w:rPr>
        <w:t>我单位参加贵单位组织采购的项目编号为______的______项目（填写采购项目名称）中______包（填写包号）的磋商。拟签订分包合同的单位情况如下表所示，我单位承诺一旦在该项目中获得采购合同将按下表所列情况进行分包，同时承诺分包承担主体不再次分包。</w:t>
      </w:r>
    </w:p>
    <w:tbl>
      <w:tblPr>
        <w:tblStyle w:val="250"/>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7"/>
        <w:gridCol w:w="1286"/>
        <w:gridCol w:w="1512"/>
        <w:gridCol w:w="1125"/>
        <w:gridCol w:w="1560"/>
        <w:gridCol w:w="1497"/>
        <w:gridCol w:w="1563"/>
      </w:tblGrid>
      <w:tr w14:paraId="3A255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tcBorders>
              <w:top w:val="single" w:color="000000" w:sz="4" w:space="0"/>
              <w:left w:val="single" w:color="000000" w:sz="4" w:space="0"/>
              <w:bottom w:val="single" w:color="000000" w:sz="4" w:space="0"/>
              <w:right w:val="single" w:color="000000" w:sz="4" w:space="0"/>
            </w:tcBorders>
            <w:noWrap w:val="0"/>
            <w:vAlign w:val="center"/>
          </w:tcPr>
          <w:p w14:paraId="044B6DBD">
            <w:pPr>
              <w:pStyle w:val="249"/>
              <w:jc w:val="center"/>
              <w:rPr>
                <w:rFonts w:eastAsia="宋体"/>
                <w:sz w:val="24"/>
                <w:highlight w:val="none"/>
              </w:rPr>
            </w:pPr>
            <w:r>
              <w:rPr>
                <w:rFonts w:hint="eastAsia" w:eastAsia="宋体"/>
                <w:sz w:val="24"/>
                <w:highlight w:val="none"/>
              </w:rPr>
              <w:t>序号</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14:paraId="35A67E5A">
            <w:pPr>
              <w:pStyle w:val="249"/>
              <w:jc w:val="center"/>
              <w:rPr>
                <w:rFonts w:eastAsia="宋体"/>
                <w:sz w:val="24"/>
                <w:highlight w:val="none"/>
              </w:rPr>
            </w:pPr>
            <w:r>
              <w:rPr>
                <w:rFonts w:hint="eastAsia" w:eastAsia="宋体"/>
                <w:sz w:val="24"/>
                <w:highlight w:val="none"/>
              </w:rPr>
              <w:t>分包承担</w:t>
            </w:r>
          </w:p>
          <w:p w14:paraId="0A0E3CFC">
            <w:pPr>
              <w:pStyle w:val="249"/>
              <w:jc w:val="center"/>
              <w:rPr>
                <w:rFonts w:eastAsia="宋体"/>
                <w:sz w:val="24"/>
                <w:highlight w:val="none"/>
              </w:rPr>
            </w:pPr>
            <w:r>
              <w:rPr>
                <w:rFonts w:hint="eastAsia" w:eastAsia="宋体"/>
                <w:sz w:val="24"/>
                <w:highlight w:val="none"/>
              </w:rPr>
              <w:t>主体名称</w:t>
            </w:r>
          </w:p>
        </w:tc>
        <w:tc>
          <w:tcPr>
            <w:tcW w:w="1513" w:type="dxa"/>
            <w:tcBorders>
              <w:top w:val="single" w:color="000000" w:sz="4" w:space="0"/>
              <w:left w:val="single" w:color="000000" w:sz="4" w:space="0"/>
              <w:bottom w:val="single" w:color="000000" w:sz="4" w:space="0"/>
              <w:right w:val="single" w:color="000000" w:sz="4" w:space="0"/>
            </w:tcBorders>
            <w:noWrap w:val="0"/>
            <w:vAlign w:val="center"/>
          </w:tcPr>
          <w:p w14:paraId="0DE259BE">
            <w:pPr>
              <w:pStyle w:val="249"/>
              <w:jc w:val="center"/>
              <w:rPr>
                <w:rFonts w:eastAsia="宋体"/>
                <w:sz w:val="24"/>
                <w:highlight w:val="none"/>
                <w:lang w:eastAsia="zh-CN"/>
              </w:rPr>
            </w:pPr>
            <w:r>
              <w:rPr>
                <w:rFonts w:hint="eastAsia" w:eastAsia="宋体"/>
                <w:sz w:val="24"/>
                <w:highlight w:val="none"/>
                <w:lang w:eastAsia="zh-CN"/>
              </w:rPr>
              <w:t>分包承担</w:t>
            </w:r>
          </w:p>
          <w:p w14:paraId="43C2B3BA">
            <w:pPr>
              <w:pStyle w:val="249"/>
              <w:jc w:val="center"/>
              <w:rPr>
                <w:rFonts w:eastAsia="宋体"/>
                <w:sz w:val="24"/>
                <w:highlight w:val="none"/>
                <w:lang w:eastAsia="zh-CN"/>
              </w:rPr>
            </w:pPr>
            <w:r>
              <w:rPr>
                <w:rFonts w:hint="eastAsia" w:eastAsia="宋体"/>
                <w:sz w:val="24"/>
                <w:highlight w:val="none"/>
                <w:lang w:eastAsia="zh-CN"/>
              </w:rPr>
              <w:t>主体类型</w:t>
            </w:r>
          </w:p>
          <w:p w14:paraId="56B0AD48">
            <w:pPr>
              <w:pStyle w:val="249"/>
              <w:jc w:val="center"/>
              <w:rPr>
                <w:rFonts w:eastAsia="宋体"/>
                <w:sz w:val="24"/>
                <w:highlight w:val="none"/>
                <w:lang w:eastAsia="zh-CN"/>
              </w:rPr>
            </w:pPr>
            <w:r>
              <w:rPr>
                <w:rFonts w:hint="eastAsia" w:eastAsia="宋体"/>
                <w:sz w:val="24"/>
                <w:highlight w:val="none"/>
                <w:lang w:eastAsia="zh-CN"/>
              </w:rPr>
              <w:t>（</w:t>
            </w:r>
            <w:r>
              <w:rPr>
                <w:rFonts w:hint="eastAsia"/>
                <w:sz w:val="24"/>
                <w:highlight w:val="none"/>
                <w:lang w:val="en-US" w:eastAsia="zh-CN"/>
              </w:rPr>
              <w:t>选择</w:t>
            </w:r>
            <w:r>
              <w:rPr>
                <w:rFonts w:hint="eastAsia" w:eastAsia="宋体"/>
                <w:sz w:val="24"/>
                <w:highlight w:val="none"/>
                <w:lang w:eastAsia="zh-CN"/>
              </w:rPr>
              <w:t>）</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CBDB4A0">
            <w:pPr>
              <w:pStyle w:val="249"/>
              <w:jc w:val="center"/>
              <w:rPr>
                <w:rFonts w:eastAsia="宋体"/>
                <w:sz w:val="24"/>
                <w:highlight w:val="none"/>
              </w:rPr>
            </w:pPr>
            <w:r>
              <w:rPr>
                <w:rFonts w:hint="eastAsia" w:eastAsia="宋体"/>
                <w:sz w:val="24"/>
                <w:highlight w:val="none"/>
              </w:rPr>
              <w:t>资质等级</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16FBFB4A">
            <w:pPr>
              <w:pStyle w:val="249"/>
              <w:jc w:val="center"/>
              <w:rPr>
                <w:rFonts w:eastAsia="宋体"/>
                <w:sz w:val="24"/>
                <w:highlight w:val="none"/>
              </w:rPr>
            </w:pPr>
            <w:r>
              <w:rPr>
                <w:rFonts w:hint="eastAsia" w:eastAsia="宋体"/>
                <w:sz w:val="24"/>
                <w:highlight w:val="none"/>
              </w:rPr>
              <w:t>拟分包</w:t>
            </w:r>
          </w:p>
          <w:p w14:paraId="5FDDA7D1">
            <w:pPr>
              <w:pStyle w:val="249"/>
              <w:jc w:val="center"/>
              <w:rPr>
                <w:rFonts w:eastAsia="宋体"/>
                <w:sz w:val="24"/>
                <w:highlight w:val="none"/>
              </w:rPr>
            </w:pPr>
            <w:r>
              <w:rPr>
                <w:rFonts w:hint="eastAsia" w:eastAsia="宋体"/>
                <w:sz w:val="24"/>
                <w:highlight w:val="none"/>
              </w:rPr>
              <w:t>合同内容</w:t>
            </w:r>
          </w:p>
        </w:tc>
        <w:tc>
          <w:tcPr>
            <w:tcW w:w="1498" w:type="dxa"/>
            <w:tcBorders>
              <w:top w:val="single" w:color="000000" w:sz="4" w:space="0"/>
              <w:left w:val="single" w:color="000000" w:sz="4" w:space="0"/>
              <w:bottom w:val="single" w:color="000000" w:sz="4" w:space="0"/>
              <w:right w:val="single" w:color="000000" w:sz="4" w:space="0"/>
            </w:tcBorders>
            <w:noWrap w:val="0"/>
            <w:vAlign w:val="center"/>
          </w:tcPr>
          <w:p w14:paraId="078D2DEF">
            <w:pPr>
              <w:pStyle w:val="249"/>
              <w:jc w:val="center"/>
              <w:rPr>
                <w:rFonts w:eastAsia="宋体"/>
                <w:sz w:val="24"/>
                <w:highlight w:val="none"/>
                <w:lang w:eastAsia="zh-CN"/>
              </w:rPr>
            </w:pPr>
            <w:r>
              <w:rPr>
                <w:rFonts w:hint="eastAsia" w:eastAsia="宋体"/>
                <w:sz w:val="24"/>
                <w:highlight w:val="none"/>
                <w:lang w:eastAsia="zh-CN"/>
              </w:rPr>
              <w:t>拟分包</w:t>
            </w:r>
          </w:p>
          <w:p w14:paraId="6664B908">
            <w:pPr>
              <w:pStyle w:val="249"/>
              <w:jc w:val="center"/>
              <w:rPr>
                <w:rFonts w:eastAsia="宋体"/>
                <w:sz w:val="24"/>
                <w:highlight w:val="none"/>
                <w:lang w:eastAsia="zh-CN"/>
              </w:rPr>
            </w:pPr>
            <w:r>
              <w:rPr>
                <w:rFonts w:hint="eastAsia" w:eastAsia="宋体"/>
                <w:sz w:val="24"/>
                <w:highlight w:val="none"/>
                <w:lang w:eastAsia="zh-CN"/>
              </w:rPr>
              <w:t>合同金额</w:t>
            </w:r>
          </w:p>
          <w:p w14:paraId="164BBDCC">
            <w:pPr>
              <w:pStyle w:val="249"/>
              <w:jc w:val="center"/>
              <w:rPr>
                <w:rFonts w:eastAsia="宋体"/>
                <w:sz w:val="24"/>
                <w:highlight w:val="none"/>
                <w:lang w:eastAsia="zh-CN"/>
              </w:rPr>
            </w:pPr>
            <w:r>
              <w:rPr>
                <w:rFonts w:hint="eastAsia" w:eastAsia="宋体"/>
                <w:sz w:val="24"/>
                <w:highlight w:val="none"/>
                <w:lang w:eastAsia="zh-CN"/>
              </w:rPr>
              <w:t>（人民币元）</w:t>
            </w:r>
          </w:p>
        </w:tc>
        <w:tc>
          <w:tcPr>
            <w:tcW w:w="1564" w:type="dxa"/>
            <w:tcBorders>
              <w:top w:val="single" w:color="000000" w:sz="4" w:space="0"/>
              <w:left w:val="single" w:color="000000" w:sz="4" w:space="0"/>
              <w:bottom w:val="single" w:color="000000" w:sz="4" w:space="0"/>
              <w:right w:val="single" w:color="000000" w:sz="4" w:space="0"/>
            </w:tcBorders>
            <w:noWrap w:val="0"/>
            <w:vAlign w:val="center"/>
          </w:tcPr>
          <w:p w14:paraId="27E5E487">
            <w:pPr>
              <w:pStyle w:val="249"/>
              <w:jc w:val="center"/>
              <w:rPr>
                <w:rFonts w:hint="default" w:eastAsia="宋体"/>
                <w:sz w:val="24"/>
                <w:highlight w:val="none"/>
                <w:lang w:val="en-US" w:eastAsia="zh-CN"/>
              </w:rPr>
            </w:pPr>
            <w:r>
              <w:rPr>
                <w:rFonts w:hint="eastAsia" w:eastAsia="宋体"/>
                <w:sz w:val="24"/>
                <w:highlight w:val="none"/>
                <w:lang w:eastAsia="zh-CN"/>
              </w:rPr>
              <w:t>占</w:t>
            </w:r>
            <w:r>
              <w:rPr>
                <w:rFonts w:hint="eastAsia"/>
                <w:sz w:val="24"/>
                <w:highlight w:val="none"/>
                <w:lang w:val="en-US" w:eastAsia="zh-CN"/>
              </w:rPr>
              <w:t>该采购包</w:t>
            </w:r>
          </w:p>
          <w:p w14:paraId="35308395">
            <w:pPr>
              <w:pStyle w:val="249"/>
              <w:jc w:val="center"/>
              <w:rPr>
                <w:rFonts w:eastAsia="宋体"/>
                <w:b/>
                <w:sz w:val="24"/>
                <w:highlight w:val="none"/>
                <w:lang w:eastAsia="zh-CN"/>
              </w:rPr>
            </w:pPr>
            <w:r>
              <w:rPr>
                <w:rFonts w:hint="eastAsia"/>
                <w:b/>
                <w:sz w:val="24"/>
                <w:highlight w:val="none"/>
                <w:lang w:val="en-US" w:eastAsia="zh-CN"/>
              </w:rPr>
              <w:t>合同</w:t>
            </w:r>
            <w:r>
              <w:rPr>
                <w:rFonts w:hint="eastAsia" w:eastAsia="宋体"/>
                <w:b/>
                <w:sz w:val="24"/>
                <w:highlight w:val="none"/>
                <w:lang w:eastAsia="zh-CN"/>
              </w:rPr>
              <w:t>金额的</w:t>
            </w:r>
          </w:p>
          <w:p w14:paraId="0FA1D42F">
            <w:pPr>
              <w:pStyle w:val="249"/>
              <w:jc w:val="center"/>
              <w:rPr>
                <w:rFonts w:eastAsia="宋体"/>
                <w:sz w:val="24"/>
                <w:highlight w:val="none"/>
                <w:lang w:eastAsia="zh-CN"/>
              </w:rPr>
            </w:pPr>
            <w:r>
              <w:rPr>
                <w:rFonts w:hint="eastAsia" w:eastAsia="宋体"/>
                <w:sz w:val="24"/>
                <w:highlight w:val="none"/>
                <w:lang w:eastAsia="zh-CN"/>
              </w:rPr>
              <w:t>比例（</w:t>
            </w:r>
            <w:r>
              <w:rPr>
                <w:rFonts w:ascii="Times New Roman" w:eastAsia="Times New Roman"/>
                <w:sz w:val="24"/>
                <w:highlight w:val="none"/>
                <w:lang w:eastAsia="zh-CN"/>
              </w:rPr>
              <w:t>%</w:t>
            </w:r>
            <w:r>
              <w:rPr>
                <w:rFonts w:hint="eastAsia" w:eastAsia="宋体"/>
                <w:sz w:val="24"/>
                <w:highlight w:val="none"/>
                <w:lang w:eastAsia="zh-CN"/>
              </w:rPr>
              <w:t>）</w:t>
            </w:r>
          </w:p>
        </w:tc>
      </w:tr>
      <w:tr w14:paraId="26FB4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tcBorders>
              <w:top w:val="single" w:color="000000" w:sz="4" w:space="0"/>
              <w:left w:val="single" w:color="000000" w:sz="4" w:space="0"/>
              <w:bottom w:val="single" w:color="000000" w:sz="4" w:space="0"/>
              <w:right w:val="single" w:color="000000" w:sz="4" w:space="0"/>
            </w:tcBorders>
            <w:noWrap w:val="0"/>
            <w:vAlign w:val="center"/>
          </w:tcPr>
          <w:p w14:paraId="6BB4ED97">
            <w:pPr>
              <w:pStyle w:val="249"/>
              <w:jc w:val="center"/>
              <w:rPr>
                <w:rFonts w:ascii="Times New Roman" w:eastAsia="宋体"/>
                <w:sz w:val="24"/>
                <w:highlight w:val="none"/>
              </w:rPr>
            </w:pPr>
            <w:r>
              <w:rPr>
                <w:rFonts w:ascii="Times New Roman" w:eastAsia="宋体"/>
                <w:sz w:val="24"/>
                <w:highlight w:val="none"/>
              </w:rPr>
              <w:t>1</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14:paraId="4B307308">
            <w:pPr>
              <w:pStyle w:val="249"/>
              <w:jc w:val="center"/>
              <w:rPr>
                <w:rFonts w:ascii="Times New Roman" w:hAnsi="Times New Roman" w:eastAsia="宋体" w:cs="Times New Roman"/>
                <w:sz w:val="30"/>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vAlign w:val="center"/>
          </w:tcPr>
          <w:p w14:paraId="5028B76F">
            <w:pPr>
              <w:pStyle w:val="249"/>
              <w:tabs>
                <w:tab w:val="left" w:pos="235"/>
              </w:tabs>
              <w:ind w:left="1" w:leftChars="-43" w:hanging="91" w:hangingChars="38"/>
              <w:jc w:val="center"/>
              <w:rPr>
                <w:rFonts w:ascii="Times New Roman" w:hAnsi="Times New Roman" w:eastAsia="宋体" w:cs="Times New Roman"/>
                <w:sz w:val="24"/>
                <w:highlight w:val="none"/>
                <w:lang w:eastAsia="zh-CN"/>
              </w:rPr>
            </w:pPr>
            <w:r>
              <w:rPr>
                <w:rFonts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lang w:eastAsia="zh-CN"/>
              </w:rPr>
              <w:t>中型企业</w:t>
            </w:r>
          </w:p>
          <w:p w14:paraId="4DA43ED5">
            <w:pPr>
              <w:pStyle w:val="249"/>
              <w:tabs>
                <w:tab w:val="left" w:pos="235"/>
              </w:tabs>
              <w:ind w:left="1" w:leftChars="-43" w:hanging="91" w:hangingChars="38"/>
              <w:jc w:val="center"/>
              <w:rPr>
                <w:rFonts w:hint="eastAsia" w:ascii="Times New Roman" w:hAnsi="Times New Roman" w:eastAsia="宋体" w:cs="Times New Roman"/>
                <w:sz w:val="24"/>
                <w:highlight w:val="none"/>
                <w:lang w:eastAsia="zh-CN"/>
              </w:rPr>
            </w:pPr>
            <w:r>
              <w:rPr>
                <w:rFonts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lang w:eastAsia="zh-CN"/>
              </w:rPr>
              <w:t>小微企业</w:t>
            </w:r>
          </w:p>
          <w:p w14:paraId="587C9D97">
            <w:pPr>
              <w:pStyle w:val="249"/>
              <w:tabs>
                <w:tab w:val="left" w:pos="235"/>
              </w:tabs>
              <w:ind w:left="1" w:leftChars="-43" w:hanging="91" w:hangingChars="38"/>
              <w:jc w:val="center"/>
              <w:rPr>
                <w:rFonts w:hint="eastAsia" w:ascii="Times New Roman" w:hAnsi="Times New Roman" w:eastAsia="宋体" w:cs="Times New Roman"/>
                <w:sz w:val="24"/>
                <w:highlight w:val="none"/>
                <w:lang w:eastAsia="zh-CN"/>
              </w:rPr>
            </w:pPr>
            <w:r>
              <w:rPr>
                <w:rFonts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lang w:eastAsia="zh-CN"/>
              </w:rPr>
              <w:t>其他</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9F64FA9">
            <w:pPr>
              <w:pStyle w:val="249"/>
              <w:jc w:val="center"/>
              <w:rPr>
                <w:rFonts w:ascii="Times New Roman" w:eastAsia="宋体"/>
                <w:sz w:val="30"/>
                <w:highlight w:val="none"/>
                <w:lang w:eastAsia="zh-CN"/>
              </w:rPr>
            </w:pP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287AE777">
            <w:pPr>
              <w:pStyle w:val="249"/>
              <w:jc w:val="center"/>
              <w:rPr>
                <w:rFonts w:ascii="Times New Roman" w:eastAsia="宋体"/>
                <w:sz w:val="30"/>
                <w:highlight w:val="none"/>
                <w:lang w:eastAsia="zh-CN"/>
              </w:rPr>
            </w:pPr>
          </w:p>
        </w:tc>
        <w:tc>
          <w:tcPr>
            <w:tcW w:w="1498" w:type="dxa"/>
            <w:tcBorders>
              <w:top w:val="single" w:color="000000" w:sz="4" w:space="0"/>
              <w:left w:val="single" w:color="000000" w:sz="4" w:space="0"/>
              <w:bottom w:val="single" w:color="000000" w:sz="4" w:space="0"/>
              <w:right w:val="single" w:color="000000" w:sz="4" w:space="0"/>
            </w:tcBorders>
            <w:noWrap w:val="0"/>
            <w:vAlign w:val="center"/>
          </w:tcPr>
          <w:p w14:paraId="4D910411">
            <w:pPr>
              <w:pStyle w:val="249"/>
              <w:jc w:val="center"/>
              <w:rPr>
                <w:rFonts w:ascii="Times New Roman" w:eastAsia="宋体"/>
                <w:sz w:val="30"/>
                <w:highlight w:val="none"/>
                <w:lang w:eastAsia="zh-CN"/>
              </w:rPr>
            </w:pPr>
          </w:p>
        </w:tc>
        <w:tc>
          <w:tcPr>
            <w:tcW w:w="1564" w:type="dxa"/>
            <w:tcBorders>
              <w:top w:val="single" w:color="000000" w:sz="4" w:space="0"/>
              <w:left w:val="single" w:color="000000" w:sz="4" w:space="0"/>
              <w:bottom w:val="single" w:color="000000" w:sz="4" w:space="0"/>
              <w:right w:val="single" w:color="000000" w:sz="4" w:space="0"/>
            </w:tcBorders>
            <w:noWrap w:val="0"/>
            <w:vAlign w:val="center"/>
          </w:tcPr>
          <w:p w14:paraId="60E60CCB">
            <w:pPr>
              <w:pStyle w:val="249"/>
              <w:jc w:val="center"/>
              <w:rPr>
                <w:rFonts w:ascii="Times New Roman" w:eastAsia="宋体"/>
                <w:sz w:val="30"/>
                <w:highlight w:val="none"/>
                <w:lang w:eastAsia="zh-CN"/>
              </w:rPr>
            </w:pPr>
          </w:p>
        </w:tc>
      </w:tr>
      <w:tr w14:paraId="049E8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tcBorders>
              <w:top w:val="single" w:color="000000" w:sz="4" w:space="0"/>
              <w:left w:val="single" w:color="000000" w:sz="4" w:space="0"/>
              <w:bottom w:val="single" w:color="000000" w:sz="4" w:space="0"/>
              <w:right w:val="single" w:color="000000" w:sz="4" w:space="0"/>
            </w:tcBorders>
            <w:noWrap w:val="0"/>
            <w:vAlign w:val="center"/>
          </w:tcPr>
          <w:p w14:paraId="6F428A8B">
            <w:pPr>
              <w:pStyle w:val="249"/>
              <w:jc w:val="center"/>
              <w:rPr>
                <w:rFonts w:ascii="Times New Roman" w:eastAsia="宋体"/>
                <w:sz w:val="24"/>
                <w:highlight w:val="none"/>
                <w:lang w:eastAsia="zh-CN"/>
              </w:rPr>
            </w:pPr>
            <w:r>
              <w:rPr>
                <w:rFonts w:ascii="Times New Roman" w:eastAsia="宋体"/>
                <w:sz w:val="24"/>
                <w:highlight w:val="none"/>
                <w:lang w:eastAsia="zh-CN"/>
              </w:rPr>
              <w:t>2</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14:paraId="51308E75">
            <w:pPr>
              <w:pStyle w:val="249"/>
              <w:jc w:val="center"/>
              <w:rPr>
                <w:rFonts w:ascii="Times New Roman" w:eastAsia="宋体"/>
                <w:sz w:val="30"/>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vAlign w:val="center"/>
          </w:tcPr>
          <w:p w14:paraId="33D50757">
            <w:pPr>
              <w:pStyle w:val="249"/>
              <w:tabs>
                <w:tab w:val="left" w:pos="235"/>
              </w:tabs>
              <w:ind w:left="1" w:leftChars="-43" w:hanging="91" w:hangingChars="38"/>
              <w:jc w:val="center"/>
              <w:rPr>
                <w:rFonts w:ascii="Times New Roman" w:hAnsi="Times New Roman" w:eastAsia="宋体" w:cs="Times New Roman"/>
                <w:sz w:val="24"/>
                <w:highlight w:val="none"/>
                <w:lang w:eastAsia="zh-CN"/>
              </w:rPr>
            </w:pPr>
            <w:r>
              <w:rPr>
                <w:rFonts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lang w:eastAsia="zh-CN"/>
              </w:rPr>
              <w:t>中型企业</w:t>
            </w:r>
          </w:p>
          <w:p w14:paraId="7AA705E2">
            <w:pPr>
              <w:pStyle w:val="249"/>
              <w:tabs>
                <w:tab w:val="left" w:pos="235"/>
              </w:tabs>
              <w:ind w:left="1" w:leftChars="-43" w:hanging="91" w:hangingChars="38"/>
              <w:jc w:val="center"/>
              <w:rPr>
                <w:rFonts w:hint="eastAsia" w:ascii="Times New Roman" w:hAnsi="Times New Roman" w:eastAsia="宋体" w:cs="Times New Roman"/>
                <w:sz w:val="24"/>
                <w:highlight w:val="none"/>
                <w:lang w:eastAsia="zh-CN"/>
              </w:rPr>
            </w:pPr>
            <w:r>
              <w:rPr>
                <w:rFonts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lang w:eastAsia="zh-CN"/>
              </w:rPr>
              <w:t>小微企业</w:t>
            </w:r>
          </w:p>
          <w:p w14:paraId="56DF5A4D">
            <w:pPr>
              <w:pStyle w:val="249"/>
              <w:tabs>
                <w:tab w:val="left" w:pos="235"/>
              </w:tabs>
              <w:ind w:left="1" w:leftChars="-43" w:hanging="91" w:hangingChars="38"/>
              <w:jc w:val="center"/>
              <w:rPr>
                <w:rFonts w:hint="eastAsia" w:ascii="Times New Roman" w:hAnsi="Times New Roman" w:eastAsia="宋体" w:cs="Times New Roman"/>
                <w:sz w:val="24"/>
                <w:highlight w:val="none"/>
                <w:lang w:eastAsia="zh-CN"/>
              </w:rPr>
            </w:pPr>
            <w:r>
              <w:rPr>
                <w:rFonts w:ascii="Times New Roman" w:hAnsi="Times New Roman" w:eastAsia="宋体" w:cs="Times New Roman"/>
                <w:sz w:val="24"/>
                <w:highlight w:val="none"/>
                <w:lang w:eastAsia="zh-CN"/>
              </w:rPr>
              <w:t>□</w:t>
            </w:r>
            <w:r>
              <w:rPr>
                <w:rFonts w:hint="eastAsia" w:ascii="宋体" w:hAnsi="宋体" w:eastAsia="宋体" w:cs="宋体"/>
                <w:spacing w:val="19"/>
                <w:sz w:val="24"/>
                <w:szCs w:val="24"/>
                <w:highlight w:val="none"/>
              </w:rPr>
              <w:t>其他</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AF41F2C">
            <w:pPr>
              <w:pStyle w:val="249"/>
              <w:jc w:val="center"/>
              <w:rPr>
                <w:rFonts w:ascii="Times New Roman" w:eastAsia="宋体"/>
                <w:sz w:val="30"/>
                <w:highlight w:val="none"/>
                <w:lang w:eastAsia="zh-CN"/>
              </w:rPr>
            </w:pP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3D7079C9">
            <w:pPr>
              <w:pStyle w:val="249"/>
              <w:jc w:val="center"/>
              <w:rPr>
                <w:rFonts w:ascii="Times New Roman" w:eastAsia="宋体"/>
                <w:sz w:val="30"/>
                <w:highlight w:val="none"/>
                <w:lang w:eastAsia="zh-CN"/>
              </w:rPr>
            </w:pPr>
          </w:p>
        </w:tc>
        <w:tc>
          <w:tcPr>
            <w:tcW w:w="1498" w:type="dxa"/>
            <w:tcBorders>
              <w:top w:val="single" w:color="000000" w:sz="4" w:space="0"/>
              <w:left w:val="single" w:color="000000" w:sz="4" w:space="0"/>
              <w:bottom w:val="single" w:color="000000" w:sz="4" w:space="0"/>
              <w:right w:val="single" w:color="000000" w:sz="4" w:space="0"/>
            </w:tcBorders>
            <w:noWrap w:val="0"/>
            <w:vAlign w:val="center"/>
          </w:tcPr>
          <w:p w14:paraId="0AE12055">
            <w:pPr>
              <w:pStyle w:val="249"/>
              <w:jc w:val="center"/>
              <w:rPr>
                <w:rFonts w:ascii="Times New Roman" w:eastAsia="宋体"/>
                <w:sz w:val="30"/>
                <w:highlight w:val="none"/>
                <w:lang w:eastAsia="zh-CN"/>
              </w:rPr>
            </w:pPr>
          </w:p>
        </w:tc>
        <w:tc>
          <w:tcPr>
            <w:tcW w:w="1564" w:type="dxa"/>
            <w:tcBorders>
              <w:top w:val="single" w:color="000000" w:sz="4" w:space="0"/>
              <w:left w:val="single" w:color="000000" w:sz="4" w:space="0"/>
              <w:bottom w:val="single" w:color="000000" w:sz="4" w:space="0"/>
              <w:right w:val="single" w:color="000000" w:sz="4" w:space="0"/>
            </w:tcBorders>
            <w:noWrap w:val="0"/>
            <w:vAlign w:val="center"/>
          </w:tcPr>
          <w:p w14:paraId="3DC2E2D3">
            <w:pPr>
              <w:pStyle w:val="249"/>
              <w:jc w:val="center"/>
              <w:rPr>
                <w:rFonts w:ascii="Times New Roman" w:eastAsia="宋体"/>
                <w:sz w:val="30"/>
                <w:highlight w:val="none"/>
                <w:lang w:eastAsia="zh-CN"/>
              </w:rPr>
            </w:pPr>
          </w:p>
        </w:tc>
      </w:tr>
      <w:tr w14:paraId="258E5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tcBorders>
              <w:top w:val="single" w:color="000000" w:sz="4" w:space="0"/>
              <w:left w:val="single" w:color="000000" w:sz="4" w:space="0"/>
              <w:bottom w:val="single" w:color="000000" w:sz="4" w:space="0"/>
              <w:right w:val="single" w:color="000000" w:sz="4" w:space="0"/>
            </w:tcBorders>
            <w:noWrap w:val="0"/>
            <w:vAlign w:val="center"/>
          </w:tcPr>
          <w:p w14:paraId="7F506D75">
            <w:pPr>
              <w:pStyle w:val="249"/>
              <w:jc w:val="center"/>
              <w:rPr>
                <w:rFonts w:ascii="Times New Roman" w:eastAsia="宋体"/>
                <w:sz w:val="24"/>
                <w:highlight w:val="none"/>
                <w:lang w:eastAsia="zh-CN"/>
              </w:rPr>
            </w:pPr>
            <w:r>
              <w:rPr>
                <w:rFonts w:hint="eastAsia" w:ascii="Times New Roman" w:eastAsia="宋体"/>
                <w:sz w:val="24"/>
                <w:highlight w:val="none"/>
                <w:lang w:eastAsia="zh-CN"/>
              </w:rPr>
              <w:t>…</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14:paraId="4F9C7528">
            <w:pPr>
              <w:pStyle w:val="249"/>
              <w:jc w:val="center"/>
              <w:rPr>
                <w:rFonts w:ascii="Times New Roman" w:eastAsia="宋体"/>
                <w:sz w:val="30"/>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vAlign w:val="center"/>
          </w:tcPr>
          <w:p w14:paraId="3C18DA90">
            <w:pPr>
              <w:pStyle w:val="249"/>
              <w:tabs>
                <w:tab w:val="left" w:pos="235"/>
              </w:tabs>
              <w:jc w:val="center"/>
              <w:rPr>
                <w:rFonts w:eastAsia="宋体"/>
                <w:sz w:val="24"/>
                <w:highlight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93C9B77">
            <w:pPr>
              <w:pStyle w:val="249"/>
              <w:jc w:val="center"/>
              <w:rPr>
                <w:rFonts w:ascii="Times New Roman" w:eastAsia="宋体"/>
                <w:sz w:val="30"/>
                <w:highlight w:val="none"/>
              </w:rPr>
            </w:pP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300D78D0">
            <w:pPr>
              <w:pStyle w:val="249"/>
              <w:jc w:val="center"/>
              <w:rPr>
                <w:rFonts w:ascii="Times New Roman" w:eastAsia="宋体"/>
                <w:sz w:val="30"/>
                <w:highlight w:val="none"/>
              </w:rPr>
            </w:pPr>
          </w:p>
        </w:tc>
        <w:tc>
          <w:tcPr>
            <w:tcW w:w="1498" w:type="dxa"/>
            <w:tcBorders>
              <w:top w:val="single" w:color="000000" w:sz="4" w:space="0"/>
              <w:left w:val="single" w:color="000000" w:sz="4" w:space="0"/>
              <w:bottom w:val="single" w:color="000000" w:sz="4" w:space="0"/>
              <w:right w:val="single" w:color="000000" w:sz="4" w:space="0"/>
            </w:tcBorders>
            <w:noWrap w:val="0"/>
            <w:vAlign w:val="center"/>
          </w:tcPr>
          <w:p w14:paraId="0341A871">
            <w:pPr>
              <w:pStyle w:val="249"/>
              <w:jc w:val="center"/>
              <w:rPr>
                <w:rFonts w:ascii="Times New Roman" w:eastAsia="宋体"/>
                <w:sz w:val="30"/>
                <w:highlight w:val="none"/>
              </w:rPr>
            </w:pPr>
          </w:p>
        </w:tc>
        <w:tc>
          <w:tcPr>
            <w:tcW w:w="1564" w:type="dxa"/>
            <w:tcBorders>
              <w:top w:val="single" w:color="000000" w:sz="4" w:space="0"/>
              <w:left w:val="single" w:color="000000" w:sz="4" w:space="0"/>
              <w:bottom w:val="single" w:color="000000" w:sz="4" w:space="0"/>
              <w:right w:val="single" w:color="000000" w:sz="4" w:space="0"/>
            </w:tcBorders>
            <w:noWrap w:val="0"/>
            <w:vAlign w:val="center"/>
          </w:tcPr>
          <w:p w14:paraId="6434FBBE">
            <w:pPr>
              <w:pStyle w:val="249"/>
              <w:jc w:val="center"/>
              <w:rPr>
                <w:rFonts w:ascii="Times New Roman" w:eastAsia="宋体"/>
                <w:sz w:val="30"/>
                <w:highlight w:val="none"/>
              </w:rPr>
            </w:pPr>
          </w:p>
        </w:tc>
      </w:tr>
      <w:tr w14:paraId="0714E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tcBorders>
              <w:top w:val="single" w:color="000000" w:sz="4" w:space="0"/>
              <w:left w:val="single" w:color="000000" w:sz="4" w:space="0"/>
              <w:bottom w:val="single" w:color="000000" w:sz="4" w:space="0"/>
              <w:right w:val="single" w:color="000000" w:sz="4" w:space="0"/>
            </w:tcBorders>
            <w:noWrap w:val="0"/>
            <w:vAlign w:val="center"/>
          </w:tcPr>
          <w:p w14:paraId="74AAF015">
            <w:pPr>
              <w:pStyle w:val="249"/>
              <w:ind w:right="57" w:rightChars="27"/>
              <w:jc w:val="right"/>
              <w:rPr>
                <w:rFonts w:eastAsia="宋体"/>
                <w:sz w:val="24"/>
                <w:highlight w:val="none"/>
                <w:lang w:eastAsia="zh-CN"/>
              </w:rPr>
            </w:pPr>
            <w:r>
              <w:rPr>
                <w:rFonts w:hint="eastAsia" w:eastAsia="宋体"/>
                <w:sz w:val="24"/>
                <w:highlight w:val="none"/>
                <w:lang w:eastAsia="zh-CN"/>
              </w:rPr>
              <w:t>合计：</w:t>
            </w:r>
          </w:p>
        </w:tc>
        <w:tc>
          <w:tcPr>
            <w:tcW w:w="1498" w:type="dxa"/>
            <w:tcBorders>
              <w:top w:val="single" w:color="000000" w:sz="4" w:space="0"/>
              <w:left w:val="single" w:color="000000" w:sz="4" w:space="0"/>
              <w:bottom w:val="single" w:color="000000" w:sz="4" w:space="0"/>
              <w:right w:val="single" w:color="000000" w:sz="4" w:space="0"/>
            </w:tcBorders>
            <w:noWrap w:val="0"/>
            <w:vAlign w:val="center"/>
          </w:tcPr>
          <w:p w14:paraId="6DE587DA">
            <w:pPr>
              <w:pStyle w:val="249"/>
              <w:jc w:val="center"/>
              <w:rPr>
                <w:rFonts w:ascii="Times New Roman" w:eastAsia="宋体"/>
                <w:sz w:val="30"/>
                <w:highlight w:val="none"/>
              </w:rPr>
            </w:pPr>
          </w:p>
        </w:tc>
        <w:tc>
          <w:tcPr>
            <w:tcW w:w="1564" w:type="dxa"/>
            <w:tcBorders>
              <w:top w:val="single" w:color="000000" w:sz="4" w:space="0"/>
              <w:left w:val="single" w:color="000000" w:sz="4" w:space="0"/>
              <w:bottom w:val="single" w:color="000000" w:sz="4" w:space="0"/>
              <w:right w:val="single" w:color="000000" w:sz="4" w:space="0"/>
            </w:tcBorders>
            <w:noWrap w:val="0"/>
            <w:vAlign w:val="center"/>
          </w:tcPr>
          <w:p w14:paraId="67505F11">
            <w:pPr>
              <w:pStyle w:val="249"/>
              <w:jc w:val="center"/>
              <w:rPr>
                <w:rFonts w:ascii="Times New Roman" w:eastAsia="宋体"/>
                <w:sz w:val="30"/>
                <w:highlight w:val="none"/>
              </w:rPr>
            </w:pPr>
          </w:p>
        </w:tc>
      </w:tr>
    </w:tbl>
    <w:p w14:paraId="75CC441A">
      <w:pPr>
        <w:adjustRightInd w:val="0"/>
        <w:snapToGrid w:val="0"/>
        <w:spacing w:line="360" w:lineRule="auto"/>
        <w:jc w:val="left"/>
        <w:rPr>
          <w:rFonts w:eastAsia="宋体"/>
          <w:sz w:val="24"/>
          <w:highlight w:val="none"/>
        </w:rPr>
      </w:pPr>
    </w:p>
    <w:p w14:paraId="7B60AB2C">
      <w:pPr>
        <w:autoSpaceDE w:val="0"/>
        <w:autoSpaceDN w:val="0"/>
        <w:adjustRightInd w:val="0"/>
        <w:snapToGrid w:val="0"/>
        <w:spacing w:before="25" w:after="25" w:line="360" w:lineRule="auto"/>
        <w:jc w:val="right"/>
        <w:rPr>
          <w:rFonts w:eastAsia="宋体"/>
          <w:color w:val="000000"/>
          <w:sz w:val="24"/>
          <w:highlight w:val="none"/>
          <w:lang w:val="zh-CN"/>
        </w:rPr>
      </w:pPr>
      <w:r>
        <w:rPr>
          <w:rFonts w:eastAsia="宋体"/>
          <w:color w:val="000000"/>
          <w:sz w:val="24"/>
          <w:highlight w:val="none"/>
        </w:rPr>
        <w:t>供应商名称（加盖公章）</w:t>
      </w:r>
      <w:r>
        <w:rPr>
          <w:rFonts w:eastAsia="宋体"/>
          <w:color w:val="000000"/>
          <w:sz w:val="24"/>
          <w:highlight w:val="none"/>
          <w:lang w:val="zh-CN"/>
        </w:rPr>
        <w:t>：</w:t>
      </w:r>
      <w:r>
        <w:rPr>
          <w:rFonts w:eastAsia="宋体"/>
          <w:sz w:val="24"/>
          <w:highlight w:val="none"/>
        </w:rPr>
        <w:t>______</w:t>
      </w:r>
    </w:p>
    <w:p w14:paraId="07A95756">
      <w:pPr>
        <w:spacing w:line="360" w:lineRule="auto"/>
        <w:ind w:right="-57" w:firstLine="480"/>
        <w:jc w:val="right"/>
        <w:rPr>
          <w:rFonts w:eastAsia="宋体"/>
          <w:color w:val="000000"/>
          <w:sz w:val="24"/>
          <w:highlight w:val="none"/>
        </w:rPr>
      </w:pPr>
      <w:r>
        <w:rPr>
          <w:rFonts w:eastAsia="宋体"/>
          <w:color w:val="000000"/>
          <w:sz w:val="24"/>
          <w:szCs w:val="20"/>
          <w:highlight w:val="none"/>
        </w:rPr>
        <w:t>日期：</w:t>
      </w:r>
      <w:r>
        <w:rPr>
          <w:rFonts w:eastAsia="宋体"/>
          <w:sz w:val="24"/>
          <w:highlight w:val="none"/>
        </w:rPr>
        <w:t>___</w:t>
      </w:r>
      <w:r>
        <w:rPr>
          <w:rFonts w:eastAsia="宋体"/>
          <w:color w:val="000000"/>
          <w:sz w:val="24"/>
          <w:szCs w:val="20"/>
          <w:highlight w:val="none"/>
        </w:rPr>
        <w:t>年</w:t>
      </w:r>
      <w:r>
        <w:rPr>
          <w:rFonts w:eastAsia="宋体"/>
          <w:sz w:val="24"/>
          <w:highlight w:val="none"/>
        </w:rPr>
        <w:t>___</w:t>
      </w:r>
      <w:r>
        <w:rPr>
          <w:rFonts w:eastAsia="宋体"/>
          <w:color w:val="000000"/>
          <w:sz w:val="24"/>
          <w:szCs w:val="20"/>
          <w:highlight w:val="none"/>
        </w:rPr>
        <w:t>月</w:t>
      </w:r>
      <w:r>
        <w:rPr>
          <w:rFonts w:eastAsia="宋体"/>
          <w:sz w:val="24"/>
          <w:highlight w:val="none"/>
        </w:rPr>
        <w:t>___</w:t>
      </w:r>
      <w:r>
        <w:rPr>
          <w:rFonts w:eastAsia="宋体"/>
          <w:color w:val="000000"/>
          <w:sz w:val="24"/>
          <w:szCs w:val="20"/>
          <w:highlight w:val="none"/>
        </w:rPr>
        <w:t>日</w:t>
      </w:r>
    </w:p>
    <w:p w14:paraId="3C5F05BF">
      <w:pPr>
        <w:adjustRightInd w:val="0"/>
        <w:snapToGrid w:val="0"/>
        <w:spacing w:line="360" w:lineRule="auto"/>
        <w:jc w:val="left"/>
        <w:rPr>
          <w:rFonts w:eastAsia="宋体"/>
          <w:sz w:val="24"/>
          <w:highlight w:val="none"/>
        </w:rPr>
      </w:pPr>
      <w:r>
        <w:rPr>
          <w:rFonts w:eastAsia="宋体"/>
          <w:sz w:val="24"/>
          <w:highlight w:val="none"/>
        </w:rPr>
        <w:t>说明：</w:t>
      </w:r>
    </w:p>
    <w:p w14:paraId="465037BF">
      <w:pPr>
        <w:pStyle w:val="17"/>
        <w:keepNext w:val="0"/>
        <w:keepLines w:val="0"/>
        <w:pageBreakBefore w:val="0"/>
        <w:widowControl w:val="0"/>
        <w:numPr>
          <w:ilvl w:val="0"/>
          <w:numId w:val="23"/>
        </w:numPr>
        <w:kinsoku w:val="0"/>
        <w:wordWrap/>
        <w:overflowPunct w:val="0"/>
        <w:topLinePunct w:val="0"/>
        <w:bidi w:val="0"/>
        <w:adjustRightInd w:val="0"/>
        <w:snapToGrid/>
        <w:spacing w:before="154" w:beforeLines="0" w:afterLines="0" w:line="360" w:lineRule="auto"/>
        <w:ind w:right="17"/>
        <w:textAlignment w:val="auto"/>
        <w:rPr>
          <w:rFonts w:hint="eastAsia"/>
          <w:sz w:val="24"/>
          <w:szCs w:val="24"/>
          <w:highlight w:val="none"/>
        </w:rPr>
      </w:pPr>
      <w:r>
        <w:rPr>
          <w:rFonts w:hint="eastAsia"/>
          <w:sz w:val="24"/>
          <w:szCs w:val="24"/>
          <w:highlight w:val="none"/>
        </w:rPr>
        <w:t>如本项目（包）允许分包，且</w:t>
      </w:r>
      <w:r>
        <w:rPr>
          <w:rFonts w:hint="eastAsia"/>
          <w:sz w:val="24"/>
          <w:szCs w:val="24"/>
          <w:highlight w:val="none"/>
          <w:lang w:val="en-US" w:eastAsia="zh-CN"/>
        </w:rPr>
        <w:t>供应商</w:t>
      </w:r>
      <w:r>
        <w:rPr>
          <w:rFonts w:hint="eastAsia"/>
          <w:sz w:val="24"/>
          <w:szCs w:val="24"/>
          <w:highlight w:val="none"/>
        </w:rPr>
        <w:t>拟进行分包时，必须提供；如未提供，或提供了但未填写分包承担主体名称、拟分包合同内容、拟分包合同金额</w:t>
      </w:r>
      <w:r>
        <w:rPr>
          <w:rFonts w:hint="eastAsia"/>
          <w:spacing w:val="-1"/>
          <w:sz w:val="24"/>
          <w:szCs w:val="24"/>
          <w:highlight w:val="none"/>
        </w:rPr>
        <w:t>，</w:t>
      </w:r>
      <w:r>
        <w:rPr>
          <w:rFonts w:hint="eastAsia"/>
          <w:sz w:val="24"/>
          <w:szCs w:val="24"/>
          <w:highlight w:val="none"/>
          <w:lang w:val="en-US" w:eastAsia="zh-CN"/>
        </w:rPr>
        <w:t>响应</w:t>
      </w:r>
      <w:r>
        <w:rPr>
          <w:rFonts w:hint="eastAsia"/>
          <w:sz w:val="24"/>
          <w:szCs w:val="24"/>
          <w:highlight w:val="none"/>
        </w:rPr>
        <w:t>无</w:t>
      </w:r>
      <w:r>
        <w:rPr>
          <w:rFonts w:hint="eastAsia"/>
          <w:spacing w:val="-1"/>
          <w:sz w:val="24"/>
          <w:szCs w:val="24"/>
          <w:highlight w:val="none"/>
        </w:rPr>
        <w:t>效</w:t>
      </w:r>
      <w:r>
        <w:rPr>
          <w:rFonts w:hint="eastAsia"/>
          <w:sz w:val="24"/>
          <w:szCs w:val="24"/>
          <w:highlight w:val="none"/>
        </w:rPr>
        <w:t xml:space="preserve">。 </w:t>
      </w:r>
    </w:p>
    <w:p w14:paraId="7EB8B994">
      <w:pPr>
        <w:pStyle w:val="17"/>
        <w:keepNext w:val="0"/>
        <w:keepLines w:val="0"/>
        <w:pageBreakBefore w:val="0"/>
        <w:widowControl w:val="0"/>
        <w:numPr>
          <w:ilvl w:val="0"/>
          <w:numId w:val="0"/>
        </w:numPr>
        <w:kinsoku w:val="0"/>
        <w:wordWrap/>
        <w:overflowPunct w:val="0"/>
        <w:topLinePunct w:val="0"/>
        <w:bidi w:val="0"/>
        <w:adjustRightInd w:val="0"/>
        <w:snapToGrid/>
        <w:spacing w:before="154" w:beforeLines="0" w:afterLines="0" w:line="360" w:lineRule="auto"/>
        <w:ind w:right="17" w:rightChars="0"/>
        <w:textAlignment w:val="auto"/>
        <w:rPr>
          <w:rFonts w:hint="eastAsia"/>
          <w:sz w:val="24"/>
          <w:szCs w:val="24"/>
          <w:highlight w:val="none"/>
        </w:rPr>
      </w:pPr>
      <w:r>
        <w:rPr>
          <w:rFonts w:hint="default" w:ascii="Bookman Old Style" w:hAnsi="Bookman Old Style" w:eastAsia="Bookman Old Style"/>
          <w:spacing w:val="-2"/>
          <w:w w:val="102"/>
          <w:sz w:val="24"/>
          <w:szCs w:val="24"/>
          <w:highlight w:val="none"/>
        </w:rPr>
        <w:t>2</w:t>
      </w:r>
      <w:r>
        <w:rPr>
          <w:rFonts w:hint="default" w:ascii="Bookman Old Style" w:hAnsi="Bookman Old Style" w:eastAsia="Bookman Old Style"/>
          <w:w w:val="99"/>
          <w:sz w:val="24"/>
          <w:szCs w:val="24"/>
          <w:highlight w:val="none"/>
        </w:rPr>
        <w:t>.</w:t>
      </w:r>
      <w:r>
        <w:rPr>
          <w:rFonts w:hint="eastAsia"/>
          <w:sz w:val="24"/>
          <w:szCs w:val="24"/>
          <w:highlight w:val="none"/>
        </w:rPr>
        <w:t>如本</w:t>
      </w:r>
      <w:r>
        <w:rPr>
          <w:rFonts w:hint="eastAsia"/>
          <w:sz w:val="24"/>
          <w:szCs w:val="24"/>
          <w:highlight w:val="none"/>
          <w:lang w:val="en-US" w:eastAsia="zh-CN"/>
        </w:rPr>
        <w:t>磋商</w:t>
      </w:r>
      <w:r>
        <w:rPr>
          <w:rFonts w:hint="eastAsia"/>
          <w:sz w:val="24"/>
          <w:szCs w:val="24"/>
          <w:highlight w:val="none"/>
        </w:rPr>
        <w:t>文</w:t>
      </w:r>
      <w:r>
        <w:rPr>
          <w:rFonts w:hint="eastAsia"/>
          <w:spacing w:val="-79"/>
          <w:sz w:val="24"/>
          <w:szCs w:val="24"/>
          <w:highlight w:val="none"/>
        </w:rPr>
        <w:t>件</w:t>
      </w:r>
      <w:r>
        <w:rPr>
          <w:rFonts w:hint="eastAsia"/>
          <w:spacing w:val="-1"/>
          <w:sz w:val="24"/>
          <w:szCs w:val="24"/>
          <w:highlight w:val="none"/>
        </w:rPr>
        <w:t>《</w:t>
      </w:r>
      <w:r>
        <w:rPr>
          <w:rFonts w:hint="eastAsia"/>
          <w:sz w:val="24"/>
          <w:szCs w:val="24"/>
          <w:highlight w:val="none"/>
          <w:lang w:val="en-US" w:eastAsia="zh-CN"/>
        </w:rPr>
        <w:t>供应商</w:t>
      </w:r>
      <w:r>
        <w:rPr>
          <w:rFonts w:hint="eastAsia"/>
          <w:sz w:val="24"/>
          <w:szCs w:val="24"/>
          <w:highlight w:val="none"/>
        </w:rPr>
        <w:t>须知资料表</w:t>
      </w:r>
      <w:r>
        <w:rPr>
          <w:rFonts w:hint="eastAsia"/>
          <w:spacing w:val="-77"/>
          <w:sz w:val="24"/>
          <w:szCs w:val="24"/>
          <w:highlight w:val="none"/>
        </w:rPr>
        <w:t>》</w:t>
      </w:r>
      <w:r>
        <w:rPr>
          <w:rFonts w:hint="eastAsia"/>
          <w:sz w:val="24"/>
          <w:szCs w:val="24"/>
          <w:highlight w:val="none"/>
        </w:rPr>
        <w:t>载明本项目分包承担主体应具备的相应资质条件， 则</w:t>
      </w:r>
      <w:r>
        <w:rPr>
          <w:rFonts w:hint="eastAsia"/>
          <w:sz w:val="24"/>
          <w:szCs w:val="24"/>
          <w:highlight w:val="none"/>
          <w:lang w:val="en-US" w:eastAsia="zh-CN"/>
        </w:rPr>
        <w:t>供应商</w:t>
      </w:r>
      <w:r>
        <w:rPr>
          <w:rFonts w:hint="eastAsia"/>
          <w:sz w:val="24"/>
          <w:szCs w:val="24"/>
          <w:highlight w:val="none"/>
        </w:rPr>
        <w:t>须在本表中列明分包承担主体的资质等级</w:t>
      </w:r>
      <w:r>
        <w:rPr>
          <w:rFonts w:hint="eastAsia"/>
          <w:spacing w:val="-27"/>
          <w:sz w:val="24"/>
          <w:szCs w:val="24"/>
          <w:highlight w:val="none"/>
        </w:rPr>
        <w:t>，</w:t>
      </w:r>
      <w:r>
        <w:rPr>
          <w:rFonts w:hint="eastAsia"/>
          <w:sz w:val="24"/>
          <w:szCs w:val="24"/>
          <w:highlight w:val="none"/>
        </w:rPr>
        <w:t>并后附资质证书电子件</w:t>
      </w:r>
      <w:r>
        <w:rPr>
          <w:rFonts w:hint="eastAsia"/>
          <w:spacing w:val="-24"/>
          <w:sz w:val="24"/>
          <w:szCs w:val="24"/>
          <w:highlight w:val="none"/>
        </w:rPr>
        <w:t>，</w:t>
      </w:r>
      <w:r>
        <w:rPr>
          <w:rFonts w:hint="eastAsia"/>
          <w:sz w:val="24"/>
          <w:szCs w:val="24"/>
          <w:highlight w:val="none"/>
        </w:rPr>
        <w:t>否</w:t>
      </w:r>
      <w:r>
        <w:rPr>
          <w:rFonts w:hint="eastAsia"/>
          <w:spacing w:val="-1"/>
          <w:sz w:val="24"/>
          <w:szCs w:val="24"/>
          <w:highlight w:val="none"/>
        </w:rPr>
        <w:t>则</w:t>
      </w:r>
      <w:r>
        <w:rPr>
          <w:rFonts w:hint="eastAsia"/>
          <w:sz w:val="24"/>
          <w:szCs w:val="24"/>
          <w:highlight w:val="none"/>
          <w:lang w:val="en-US" w:eastAsia="zh-CN"/>
        </w:rPr>
        <w:t>响应</w:t>
      </w:r>
      <w:r>
        <w:rPr>
          <w:rFonts w:hint="eastAsia"/>
          <w:sz w:val="24"/>
          <w:szCs w:val="24"/>
          <w:highlight w:val="none"/>
        </w:rPr>
        <w:t xml:space="preserve"> 无</w:t>
      </w:r>
      <w:r>
        <w:rPr>
          <w:rFonts w:hint="eastAsia"/>
          <w:spacing w:val="-1"/>
          <w:sz w:val="24"/>
          <w:szCs w:val="24"/>
          <w:highlight w:val="none"/>
        </w:rPr>
        <w:t>效</w:t>
      </w:r>
      <w:r>
        <w:rPr>
          <w:rFonts w:hint="eastAsia"/>
          <w:sz w:val="24"/>
          <w:szCs w:val="24"/>
          <w:highlight w:val="none"/>
        </w:rPr>
        <w:t>。</w:t>
      </w:r>
    </w:p>
    <w:p w14:paraId="717DFA85">
      <w:pPr>
        <w:pStyle w:val="17"/>
        <w:keepNext w:val="0"/>
        <w:keepLines w:val="0"/>
        <w:pageBreakBefore w:val="0"/>
        <w:widowControl w:val="0"/>
        <w:kinsoku w:val="0"/>
        <w:wordWrap/>
        <w:overflowPunct w:val="0"/>
        <w:topLinePunct w:val="0"/>
        <w:bidi w:val="0"/>
        <w:adjustRightInd w:val="0"/>
        <w:snapToGrid/>
        <w:spacing w:before="48" w:beforeLines="0" w:afterLines="0" w:line="360" w:lineRule="auto"/>
        <w:textAlignment w:val="auto"/>
        <w:rPr>
          <w:rFonts w:hint="eastAsia"/>
          <w:sz w:val="24"/>
          <w:szCs w:val="24"/>
          <w:highlight w:val="none"/>
        </w:rPr>
      </w:pPr>
      <w:r>
        <w:rPr>
          <w:rFonts w:hint="default" w:ascii="Bookman Old Style" w:hAnsi="Bookman Old Style" w:eastAsia="Bookman Old Style"/>
          <w:spacing w:val="-2"/>
          <w:w w:val="102"/>
          <w:sz w:val="24"/>
          <w:szCs w:val="24"/>
          <w:highlight w:val="none"/>
        </w:rPr>
        <w:t>3</w:t>
      </w:r>
      <w:r>
        <w:rPr>
          <w:rFonts w:hint="default" w:ascii="Bookman Old Style" w:hAnsi="Bookman Old Style" w:eastAsia="Bookman Old Style"/>
          <w:w w:val="99"/>
          <w:sz w:val="24"/>
          <w:szCs w:val="24"/>
          <w:highlight w:val="none"/>
        </w:rPr>
        <w:t>.</w:t>
      </w:r>
      <w:r>
        <w:rPr>
          <w:rFonts w:hint="eastAsia"/>
          <w:sz w:val="24"/>
          <w:szCs w:val="24"/>
          <w:highlight w:val="none"/>
          <w:lang w:val="en-US" w:eastAsia="zh-CN"/>
        </w:rPr>
        <w:t>供应商</w:t>
      </w:r>
      <w:r>
        <w:rPr>
          <w:rFonts w:hint="default" w:ascii="Bookman Old Style" w:hAnsi="Bookman Old Style" w:eastAsia="Bookman Old Style"/>
          <w:w w:val="129"/>
          <w:sz w:val="24"/>
          <w:szCs w:val="24"/>
          <w:highlight w:val="none"/>
        </w:rPr>
        <w:t>“</w:t>
      </w:r>
      <w:r>
        <w:rPr>
          <w:rFonts w:hint="eastAsia"/>
          <w:sz w:val="24"/>
          <w:szCs w:val="24"/>
          <w:highlight w:val="none"/>
        </w:rPr>
        <w:t>为落实政府采购政</w:t>
      </w:r>
      <w:r>
        <w:rPr>
          <w:rFonts w:hint="eastAsia"/>
          <w:spacing w:val="-1"/>
          <w:sz w:val="24"/>
          <w:szCs w:val="24"/>
          <w:highlight w:val="none"/>
        </w:rPr>
        <w:t>策</w:t>
      </w:r>
      <w:r>
        <w:rPr>
          <w:rFonts w:hint="default" w:ascii="Bookman Old Style" w:hAnsi="Bookman Old Style" w:eastAsia="Bookman Old Style"/>
          <w:spacing w:val="-2"/>
          <w:w w:val="129"/>
          <w:sz w:val="24"/>
          <w:szCs w:val="24"/>
          <w:highlight w:val="none"/>
        </w:rPr>
        <w:t>”</w:t>
      </w:r>
      <w:r>
        <w:rPr>
          <w:rFonts w:hint="eastAsia"/>
          <w:sz w:val="24"/>
          <w:szCs w:val="24"/>
          <w:highlight w:val="none"/>
        </w:rPr>
        <w:t>而向中小企业分包时请仔细阅读资格证明文件格式</w:t>
      </w:r>
      <w:r>
        <w:rPr>
          <w:rFonts w:hint="default" w:ascii="Bookman Old Style" w:hAnsi="Bookman Old Style" w:eastAsia="Bookman Old Style"/>
          <w:spacing w:val="-2"/>
          <w:w w:val="102"/>
          <w:sz w:val="24"/>
          <w:szCs w:val="24"/>
          <w:highlight w:val="none"/>
        </w:rPr>
        <w:t>2</w:t>
      </w:r>
      <w:r>
        <w:rPr>
          <w:rFonts w:hint="default" w:ascii="Bookman Old Style" w:hAnsi="Bookman Old Style" w:eastAsia="Bookman Old Style"/>
          <w:w w:val="97"/>
          <w:sz w:val="24"/>
          <w:szCs w:val="24"/>
          <w:highlight w:val="none"/>
        </w:rPr>
        <w:t>-1</w:t>
      </w:r>
      <w:r>
        <w:rPr>
          <w:rFonts w:hint="default" w:ascii="Bookman Old Style" w:hAnsi="Bookman Old Style" w:eastAsia="Bookman Old Style"/>
          <w:spacing w:val="-16"/>
          <w:sz w:val="24"/>
          <w:szCs w:val="24"/>
          <w:highlight w:val="none"/>
        </w:rPr>
        <w:t xml:space="preserve"> </w:t>
      </w:r>
      <w:r>
        <w:rPr>
          <w:rFonts w:hint="eastAsia"/>
          <w:sz w:val="24"/>
          <w:szCs w:val="24"/>
          <w:highlight w:val="none"/>
        </w:rPr>
        <w:t>中说明，并建议按要求在资格证明文件中提供相关全部文件；</w:t>
      </w:r>
      <w:r>
        <w:rPr>
          <w:rFonts w:hint="eastAsia"/>
          <w:sz w:val="24"/>
          <w:szCs w:val="24"/>
          <w:highlight w:val="none"/>
          <w:lang w:val="en-US" w:eastAsia="zh-CN"/>
        </w:rPr>
        <w:t>供应商</w:t>
      </w:r>
      <w:r>
        <w:rPr>
          <w:rFonts w:hint="eastAsia"/>
          <w:spacing w:val="-1"/>
          <w:sz w:val="24"/>
          <w:szCs w:val="24"/>
          <w:highlight w:val="none"/>
        </w:rPr>
        <w:t>非</w:t>
      </w:r>
      <w:r>
        <w:rPr>
          <w:rFonts w:hint="default" w:ascii="Bookman Old Style" w:hAnsi="Bookman Old Style" w:eastAsia="Bookman Old Style"/>
          <w:w w:val="129"/>
          <w:sz w:val="24"/>
          <w:szCs w:val="24"/>
          <w:highlight w:val="none"/>
        </w:rPr>
        <w:t>“</w:t>
      </w:r>
      <w:r>
        <w:rPr>
          <w:rFonts w:hint="eastAsia"/>
          <w:sz w:val="24"/>
          <w:szCs w:val="24"/>
          <w:highlight w:val="none"/>
        </w:rPr>
        <w:t>为落实政府采购政</w:t>
      </w:r>
      <w:r>
        <w:rPr>
          <w:rFonts w:hint="eastAsia"/>
          <w:spacing w:val="-1"/>
          <w:sz w:val="24"/>
          <w:szCs w:val="24"/>
          <w:highlight w:val="none"/>
        </w:rPr>
        <w:t>策</w:t>
      </w:r>
      <w:r>
        <w:rPr>
          <w:rFonts w:hint="default" w:ascii="Bookman Old Style" w:hAnsi="Bookman Old Style" w:eastAsia="Bookman Old Style"/>
          <w:spacing w:val="-2"/>
          <w:w w:val="129"/>
          <w:sz w:val="24"/>
          <w:szCs w:val="24"/>
          <w:highlight w:val="none"/>
        </w:rPr>
        <w:t>”</w:t>
      </w:r>
      <w:r>
        <w:rPr>
          <w:rFonts w:hint="eastAsia"/>
          <w:sz w:val="24"/>
          <w:szCs w:val="24"/>
          <w:highlight w:val="none"/>
        </w:rPr>
        <w:t>而向中小企业分包时，建议在本册提供。</w:t>
      </w:r>
    </w:p>
    <w:p w14:paraId="7A5DE2B7">
      <w:pPr>
        <w:autoSpaceDE w:val="0"/>
        <w:autoSpaceDN w:val="0"/>
        <w:adjustRightInd w:val="0"/>
        <w:spacing w:line="360" w:lineRule="auto"/>
        <w:jc w:val="center"/>
        <w:rPr>
          <w:rFonts w:eastAsia="宋体"/>
          <w:b/>
          <w:color w:val="000000"/>
          <w:sz w:val="36"/>
          <w:szCs w:val="36"/>
          <w:highlight w:val="none"/>
        </w:rPr>
      </w:pPr>
      <w:r>
        <w:rPr>
          <w:rFonts w:eastAsia="宋体"/>
          <w:color w:val="000000"/>
          <w:sz w:val="30"/>
          <w:szCs w:val="30"/>
          <w:highlight w:val="none"/>
        </w:rPr>
        <w:br w:type="page"/>
      </w:r>
      <w:r>
        <w:rPr>
          <w:rFonts w:hint="eastAsia" w:eastAsia="宋体"/>
          <w:b/>
          <w:color w:val="000000"/>
          <w:sz w:val="36"/>
          <w:szCs w:val="36"/>
          <w:highlight w:val="none"/>
        </w:rPr>
        <w:t>分包意向协议（实质性格式）</w:t>
      </w:r>
    </w:p>
    <w:p w14:paraId="7E4D8789">
      <w:pPr>
        <w:adjustRightInd w:val="0"/>
        <w:snapToGrid w:val="0"/>
        <w:spacing w:line="360" w:lineRule="auto"/>
        <w:ind w:firstLine="480" w:firstLineChars="200"/>
        <w:jc w:val="left"/>
        <w:rPr>
          <w:rFonts w:eastAsia="宋体"/>
          <w:sz w:val="24"/>
          <w:highlight w:val="none"/>
        </w:rPr>
      </w:pPr>
      <w:r>
        <w:rPr>
          <w:rFonts w:eastAsia="宋体"/>
          <w:sz w:val="24"/>
          <w:highlight w:val="none"/>
        </w:rPr>
        <w:t>甲方（供应商）：______</w:t>
      </w:r>
    </w:p>
    <w:p w14:paraId="0F24C018">
      <w:pPr>
        <w:adjustRightInd w:val="0"/>
        <w:snapToGrid w:val="0"/>
        <w:spacing w:line="360" w:lineRule="auto"/>
        <w:ind w:firstLine="480" w:firstLineChars="200"/>
        <w:jc w:val="left"/>
        <w:rPr>
          <w:rFonts w:eastAsia="宋体"/>
          <w:sz w:val="24"/>
          <w:highlight w:val="none"/>
        </w:rPr>
      </w:pPr>
      <w:r>
        <w:rPr>
          <w:rFonts w:eastAsia="宋体"/>
          <w:sz w:val="24"/>
          <w:highlight w:val="none"/>
        </w:rPr>
        <w:t>乙方（拟分包单位）：______</w:t>
      </w:r>
    </w:p>
    <w:p w14:paraId="68C255A9">
      <w:pPr>
        <w:adjustRightInd w:val="0"/>
        <w:snapToGrid w:val="0"/>
        <w:spacing w:line="360" w:lineRule="auto"/>
        <w:ind w:firstLine="480" w:firstLineChars="200"/>
        <w:jc w:val="left"/>
        <w:rPr>
          <w:rFonts w:eastAsia="宋体"/>
          <w:sz w:val="24"/>
          <w:highlight w:val="none"/>
        </w:rPr>
      </w:pPr>
      <w:r>
        <w:rPr>
          <w:rFonts w:eastAsia="宋体"/>
          <w:sz w:val="24"/>
          <w:highlight w:val="none"/>
        </w:rPr>
        <w:t>甲方承诺，一旦在______（采购项目名称）（项目编号/包号为：______）采购项目中获得采购合同，将按照下述约定将合同项下部分内容分包给乙方：</w:t>
      </w:r>
    </w:p>
    <w:p w14:paraId="5E78A753">
      <w:pPr>
        <w:adjustRightInd w:val="0"/>
        <w:snapToGrid w:val="0"/>
        <w:spacing w:line="360" w:lineRule="auto"/>
        <w:ind w:firstLine="480" w:firstLineChars="200"/>
        <w:jc w:val="left"/>
        <w:rPr>
          <w:rFonts w:eastAsia="宋体"/>
          <w:sz w:val="24"/>
          <w:highlight w:val="none"/>
        </w:rPr>
      </w:pPr>
      <w:r>
        <w:rPr>
          <w:rFonts w:eastAsia="宋体"/>
          <w:sz w:val="24"/>
          <w:highlight w:val="none"/>
        </w:rPr>
        <w:t>1.分包内容：______。</w:t>
      </w:r>
    </w:p>
    <w:p w14:paraId="11BC4240">
      <w:pPr>
        <w:adjustRightInd w:val="0"/>
        <w:snapToGrid w:val="0"/>
        <w:spacing w:line="360" w:lineRule="auto"/>
        <w:ind w:firstLine="480" w:firstLineChars="200"/>
        <w:jc w:val="left"/>
        <w:rPr>
          <w:rFonts w:eastAsia="宋体"/>
          <w:sz w:val="24"/>
          <w:highlight w:val="none"/>
        </w:rPr>
      </w:pPr>
      <w:r>
        <w:rPr>
          <w:rFonts w:eastAsia="宋体"/>
          <w:sz w:val="24"/>
          <w:highlight w:val="none"/>
        </w:rPr>
        <w:t>2.分包金额：______，该金额占该采购包</w:t>
      </w:r>
      <w:r>
        <w:rPr>
          <w:rFonts w:hint="eastAsia"/>
          <w:sz w:val="24"/>
          <w:highlight w:val="none"/>
          <w:lang w:val="en-US" w:eastAsia="zh-CN"/>
        </w:rPr>
        <w:t>合同</w:t>
      </w:r>
      <w:r>
        <w:rPr>
          <w:rFonts w:eastAsia="宋体"/>
          <w:sz w:val="24"/>
          <w:highlight w:val="none"/>
        </w:rPr>
        <w:t>金额的比例为______%。</w:t>
      </w:r>
    </w:p>
    <w:p w14:paraId="6AED2A44">
      <w:pPr>
        <w:adjustRightInd w:val="0"/>
        <w:snapToGrid w:val="0"/>
        <w:spacing w:line="360" w:lineRule="auto"/>
        <w:ind w:firstLine="480" w:firstLineChars="200"/>
        <w:jc w:val="left"/>
        <w:rPr>
          <w:rFonts w:eastAsia="宋体"/>
          <w:bCs/>
          <w:color w:val="000000"/>
          <w:sz w:val="24"/>
          <w:highlight w:val="none"/>
        </w:rPr>
      </w:pPr>
      <w:r>
        <w:rPr>
          <w:rFonts w:eastAsia="宋体"/>
          <w:sz w:val="24"/>
          <w:highlight w:val="none"/>
        </w:rPr>
        <w:t>乙方承诺将在上述情况下与甲方签订分包合同。</w:t>
      </w:r>
    </w:p>
    <w:p w14:paraId="2973B727">
      <w:pPr>
        <w:adjustRightInd w:val="0"/>
        <w:snapToGrid w:val="0"/>
        <w:spacing w:line="360" w:lineRule="auto"/>
        <w:ind w:firstLine="480" w:firstLineChars="200"/>
        <w:jc w:val="left"/>
        <w:rPr>
          <w:rFonts w:eastAsia="宋体"/>
          <w:sz w:val="24"/>
          <w:highlight w:val="none"/>
        </w:rPr>
      </w:pPr>
      <w:r>
        <w:rPr>
          <w:rFonts w:eastAsia="宋体"/>
          <w:sz w:val="24"/>
          <w:highlight w:val="none"/>
        </w:rPr>
        <w:t>本协议自各方盖章之日起生效，如甲方未在该项目（采购包）成交，本协议自动终止。</w:t>
      </w:r>
    </w:p>
    <w:p w14:paraId="4A22B998">
      <w:pPr>
        <w:spacing w:line="360" w:lineRule="auto"/>
        <w:ind w:firstLine="471"/>
        <w:rPr>
          <w:rFonts w:eastAsia="宋体"/>
          <w:b/>
          <w:color w:val="000000"/>
          <w:sz w:val="24"/>
          <w:highlight w:val="none"/>
        </w:rPr>
      </w:pPr>
    </w:p>
    <w:p w14:paraId="24F8CDC0">
      <w:pPr>
        <w:spacing w:line="360" w:lineRule="auto"/>
        <w:ind w:firstLine="471"/>
        <w:rPr>
          <w:rFonts w:eastAsia="宋体"/>
          <w:b/>
          <w:color w:val="000000"/>
          <w:sz w:val="24"/>
          <w:highlight w:val="none"/>
        </w:rPr>
      </w:pPr>
      <w:r>
        <w:rPr>
          <w:rFonts w:eastAsia="宋体"/>
          <w:color w:val="000000"/>
          <w:sz w:val="24"/>
          <w:highlight w:val="none"/>
        </w:rPr>
        <w:t>甲方（盖章）：</w:t>
      </w:r>
      <w:r>
        <w:rPr>
          <w:rFonts w:eastAsia="宋体"/>
          <w:sz w:val="24"/>
          <w:highlight w:val="none"/>
        </w:rPr>
        <w:t>______</w:t>
      </w:r>
      <w:r>
        <w:rPr>
          <w:rFonts w:eastAsia="宋体"/>
          <w:color w:val="000000"/>
          <w:sz w:val="24"/>
          <w:highlight w:val="none"/>
        </w:rPr>
        <w:t xml:space="preserve">                     乙方（盖章）：</w:t>
      </w:r>
      <w:r>
        <w:rPr>
          <w:rFonts w:eastAsia="宋体"/>
          <w:sz w:val="24"/>
          <w:highlight w:val="none"/>
        </w:rPr>
        <w:t>______</w:t>
      </w:r>
    </w:p>
    <w:p w14:paraId="180AAB85">
      <w:pPr>
        <w:spacing w:line="360" w:lineRule="auto"/>
        <w:ind w:left="480"/>
        <w:jc w:val="right"/>
        <w:rPr>
          <w:rFonts w:eastAsia="宋体"/>
          <w:color w:val="000000"/>
          <w:sz w:val="24"/>
          <w:highlight w:val="none"/>
        </w:rPr>
      </w:pPr>
    </w:p>
    <w:p w14:paraId="2C808057">
      <w:pPr>
        <w:wordWrap w:val="0"/>
        <w:spacing w:line="360" w:lineRule="auto"/>
        <w:ind w:left="480"/>
        <w:jc w:val="right"/>
        <w:rPr>
          <w:rFonts w:eastAsia="宋体"/>
          <w:b/>
          <w:color w:val="000000"/>
          <w:sz w:val="24"/>
          <w:highlight w:val="none"/>
        </w:rPr>
      </w:pPr>
      <w:r>
        <w:rPr>
          <w:rFonts w:eastAsia="宋体"/>
          <w:color w:val="000000"/>
          <w:sz w:val="24"/>
          <w:szCs w:val="20"/>
          <w:highlight w:val="none"/>
        </w:rPr>
        <w:t>日期：</w:t>
      </w:r>
      <w:r>
        <w:rPr>
          <w:rFonts w:eastAsia="宋体"/>
          <w:sz w:val="24"/>
          <w:highlight w:val="none"/>
        </w:rPr>
        <w:t>______</w:t>
      </w:r>
      <w:r>
        <w:rPr>
          <w:rFonts w:eastAsia="宋体"/>
          <w:color w:val="000000"/>
          <w:sz w:val="24"/>
          <w:szCs w:val="20"/>
          <w:highlight w:val="none"/>
        </w:rPr>
        <w:t>年</w:t>
      </w:r>
      <w:r>
        <w:rPr>
          <w:rFonts w:eastAsia="宋体"/>
          <w:sz w:val="24"/>
          <w:highlight w:val="none"/>
        </w:rPr>
        <w:t>______</w:t>
      </w:r>
      <w:r>
        <w:rPr>
          <w:rFonts w:eastAsia="宋体"/>
          <w:color w:val="000000"/>
          <w:sz w:val="24"/>
          <w:szCs w:val="20"/>
          <w:highlight w:val="none"/>
        </w:rPr>
        <w:t>月</w:t>
      </w:r>
      <w:r>
        <w:rPr>
          <w:rFonts w:eastAsia="宋体"/>
          <w:sz w:val="24"/>
          <w:highlight w:val="none"/>
        </w:rPr>
        <w:t>______</w:t>
      </w:r>
      <w:r>
        <w:rPr>
          <w:rFonts w:eastAsia="宋体"/>
          <w:color w:val="000000"/>
          <w:sz w:val="24"/>
          <w:szCs w:val="20"/>
          <w:highlight w:val="none"/>
        </w:rPr>
        <w:t xml:space="preserve">日   </w:t>
      </w:r>
    </w:p>
    <w:p w14:paraId="6B4D90BC">
      <w:pPr>
        <w:tabs>
          <w:tab w:val="left" w:pos="8280"/>
        </w:tabs>
        <w:spacing w:line="360" w:lineRule="auto"/>
        <w:ind w:firstLine="480"/>
        <w:rPr>
          <w:rFonts w:eastAsia="宋体"/>
          <w:color w:val="000000"/>
          <w:sz w:val="24"/>
          <w:highlight w:val="none"/>
        </w:rPr>
      </w:pPr>
    </w:p>
    <w:p w14:paraId="7B20088B">
      <w:pPr>
        <w:tabs>
          <w:tab w:val="left" w:pos="8280"/>
        </w:tabs>
        <w:spacing w:line="360" w:lineRule="auto"/>
        <w:rPr>
          <w:rFonts w:eastAsia="宋体"/>
          <w:color w:val="000000"/>
          <w:sz w:val="24"/>
          <w:highlight w:val="none"/>
        </w:rPr>
        <w:sectPr>
          <w:headerReference r:id="rId31" w:type="first"/>
          <w:footerReference r:id="rId33" w:type="first"/>
          <w:headerReference r:id="rId30" w:type="even"/>
          <w:footerReference r:id="rId32" w:type="even"/>
          <w:pgSz w:w="11907" w:h="16840"/>
          <w:pgMar w:top="1418" w:right="1134" w:bottom="1418" w:left="1701" w:header="851" w:footer="851" w:gutter="0"/>
          <w:pgNumType w:fmt="decimal"/>
          <w:cols w:space="720" w:num="1"/>
          <w:docGrid w:linePitch="462" w:charSpace="0"/>
        </w:sectPr>
      </w:pPr>
      <w:r>
        <w:rPr>
          <w:rFonts w:eastAsia="宋体"/>
          <w:color w:val="000000"/>
          <w:sz w:val="24"/>
          <w:highlight w:val="none"/>
        </w:rPr>
        <w:t>说明：</w:t>
      </w:r>
      <w:r>
        <w:rPr>
          <w:rFonts w:hint="eastAsia" w:eastAsia="宋体"/>
          <w:color w:val="000000"/>
          <w:sz w:val="24"/>
          <w:highlight w:val="none"/>
        </w:rPr>
        <w:t>本协议仅在</w:t>
      </w:r>
      <w:r>
        <w:rPr>
          <w:rFonts w:hint="eastAsia"/>
          <w:color w:val="000000"/>
          <w:sz w:val="24"/>
          <w:highlight w:val="none"/>
          <w:lang w:val="en-US" w:eastAsia="zh-CN"/>
        </w:rPr>
        <w:t>供应商</w:t>
      </w:r>
      <w:r>
        <w:rPr>
          <w:rFonts w:hint="eastAsia" w:eastAsia="宋体"/>
          <w:color w:val="000000"/>
          <w:sz w:val="24"/>
          <w:highlight w:val="none"/>
        </w:rPr>
        <w:t>“为落实政府采购政策”而向中小企业分包时必须提供，否则</w:t>
      </w:r>
      <w:r>
        <w:rPr>
          <w:rFonts w:hint="eastAsia"/>
          <w:color w:val="000000"/>
          <w:sz w:val="24"/>
          <w:highlight w:val="none"/>
          <w:lang w:val="en-US" w:eastAsia="zh-CN"/>
        </w:rPr>
        <w:t>响应</w:t>
      </w:r>
      <w:r>
        <w:rPr>
          <w:rFonts w:hint="eastAsia" w:eastAsia="宋体"/>
          <w:color w:val="000000"/>
          <w:sz w:val="24"/>
          <w:highlight w:val="none"/>
        </w:rPr>
        <w:t>无效</w:t>
      </w:r>
      <w:r>
        <w:rPr>
          <w:rFonts w:hint="eastAsia"/>
          <w:color w:val="000000"/>
          <w:sz w:val="24"/>
          <w:highlight w:val="none"/>
          <w:lang w:eastAsia="zh-CN"/>
        </w:rPr>
        <w:t>。</w:t>
      </w:r>
      <w:r>
        <w:rPr>
          <w:rFonts w:hint="eastAsia" w:eastAsia="宋体"/>
          <w:color w:val="000000"/>
          <w:sz w:val="24"/>
          <w:highlight w:val="none"/>
        </w:rPr>
        <w:t>且</w:t>
      </w:r>
      <w:r>
        <w:rPr>
          <w:rFonts w:hint="eastAsia"/>
          <w:color w:val="000000"/>
          <w:sz w:val="24"/>
          <w:highlight w:val="none"/>
          <w:lang w:val="en-US" w:eastAsia="zh-CN"/>
        </w:rPr>
        <w:t>供应商</w:t>
      </w:r>
      <w:r>
        <w:rPr>
          <w:rFonts w:hint="eastAsia" w:eastAsia="宋体"/>
          <w:color w:val="000000"/>
          <w:sz w:val="24"/>
          <w:highlight w:val="none"/>
        </w:rPr>
        <w:t>须与所有拟分包单位分别签订《分包意向协议》，每单位签订一份，并在</w:t>
      </w:r>
      <w:r>
        <w:rPr>
          <w:rFonts w:hint="eastAsia"/>
          <w:color w:val="000000"/>
          <w:sz w:val="24"/>
          <w:highlight w:val="none"/>
          <w:lang w:val="en-US" w:eastAsia="zh-CN"/>
        </w:rPr>
        <w:t>响应</w:t>
      </w:r>
      <w:r>
        <w:rPr>
          <w:rFonts w:hint="eastAsia" w:eastAsia="宋体"/>
          <w:color w:val="000000"/>
          <w:sz w:val="24"/>
          <w:highlight w:val="none"/>
        </w:rPr>
        <w:t>文件中提交全部协议原件的</w:t>
      </w:r>
      <w:r>
        <w:rPr>
          <w:rFonts w:hint="eastAsia"/>
          <w:color w:val="000000"/>
          <w:sz w:val="24"/>
          <w:highlight w:val="none"/>
          <w:lang w:eastAsia="zh-CN"/>
        </w:rPr>
        <w:t>复印件</w:t>
      </w:r>
      <w:r>
        <w:rPr>
          <w:rFonts w:hint="eastAsia" w:eastAsia="宋体"/>
          <w:color w:val="000000"/>
          <w:sz w:val="24"/>
          <w:highlight w:val="none"/>
        </w:rPr>
        <w:t>，否则</w:t>
      </w:r>
      <w:r>
        <w:rPr>
          <w:rFonts w:hint="eastAsia"/>
          <w:b/>
          <w:bCs/>
          <w:color w:val="000000"/>
          <w:sz w:val="24"/>
          <w:highlight w:val="none"/>
          <w:lang w:val="en-US" w:eastAsia="zh-CN"/>
        </w:rPr>
        <w:t>响应</w:t>
      </w:r>
      <w:r>
        <w:rPr>
          <w:rFonts w:hint="eastAsia" w:eastAsia="宋体"/>
          <w:b/>
          <w:bCs/>
          <w:color w:val="000000"/>
          <w:sz w:val="24"/>
          <w:highlight w:val="none"/>
        </w:rPr>
        <w:t>无效</w:t>
      </w:r>
      <w:r>
        <w:rPr>
          <w:rFonts w:hint="eastAsia" w:eastAsia="宋体"/>
          <w:color w:val="000000"/>
          <w:sz w:val="24"/>
          <w:highlight w:val="none"/>
        </w:rPr>
        <w:t>。</w:t>
      </w:r>
    </w:p>
    <w:p w14:paraId="2FCC519F">
      <w:pPr>
        <w:spacing w:line="360" w:lineRule="auto"/>
        <w:outlineLvl w:val="2"/>
        <w:rPr>
          <w:rFonts w:eastAsia="宋体"/>
          <w:color w:val="000000"/>
          <w:sz w:val="24"/>
          <w:szCs w:val="20"/>
          <w:highlight w:val="none"/>
        </w:rPr>
      </w:pPr>
      <w:r>
        <w:rPr>
          <w:rFonts w:eastAsia="宋体"/>
          <w:color w:val="000000"/>
          <w:sz w:val="24"/>
          <w:szCs w:val="20"/>
          <w:highlight w:val="none"/>
        </w:rPr>
        <w:t xml:space="preserve">2-2 </w:t>
      </w:r>
      <w:r>
        <w:rPr>
          <w:rFonts w:eastAsia="宋体"/>
          <w:sz w:val="24"/>
          <w:highlight w:val="none"/>
        </w:rPr>
        <w:t>其它落实政府采购政策的资格要求</w:t>
      </w:r>
      <w:r>
        <w:rPr>
          <w:rFonts w:hint="eastAsia"/>
          <w:b/>
          <w:bCs/>
          <w:color w:val="000000"/>
          <w:sz w:val="24"/>
          <w:szCs w:val="20"/>
          <w:highlight w:val="none"/>
          <w:lang w:eastAsia="zh-CN"/>
        </w:rPr>
        <w:t>（</w:t>
      </w:r>
      <w:r>
        <w:rPr>
          <w:rFonts w:hint="eastAsia"/>
          <w:b/>
          <w:bCs/>
          <w:color w:val="000000"/>
          <w:sz w:val="24"/>
          <w:szCs w:val="20"/>
          <w:highlight w:val="none"/>
          <w:lang w:val="en-US" w:eastAsia="zh-CN"/>
        </w:rPr>
        <w:t>本项目不涉及</w:t>
      </w:r>
      <w:r>
        <w:rPr>
          <w:rFonts w:hint="eastAsia"/>
          <w:b/>
          <w:bCs/>
          <w:color w:val="000000"/>
          <w:sz w:val="24"/>
          <w:szCs w:val="20"/>
          <w:highlight w:val="none"/>
          <w:lang w:eastAsia="zh-CN"/>
        </w:rPr>
        <w:t>）</w:t>
      </w:r>
    </w:p>
    <w:p w14:paraId="09041CAC">
      <w:pPr>
        <w:widowControl/>
        <w:jc w:val="left"/>
        <w:rPr>
          <w:rFonts w:eastAsia="宋体"/>
          <w:sz w:val="24"/>
          <w:highlight w:val="none"/>
        </w:rPr>
      </w:pPr>
    </w:p>
    <w:p w14:paraId="14465735">
      <w:pPr>
        <w:widowControl/>
        <w:jc w:val="left"/>
        <w:rPr>
          <w:rFonts w:eastAsia="宋体"/>
          <w:sz w:val="24"/>
          <w:highlight w:val="none"/>
        </w:rPr>
      </w:pPr>
      <w:r>
        <w:rPr>
          <w:rFonts w:eastAsia="宋体"/>
          <w:sz w:val="24"/>
          <w:highlight w:val="none"/>
        </w:rPr>
        <w:br w:type="page"/>
      </w:r>
    </w:p>
    <w:p w14:paraId="61853356">
      <w:pPr>
        <w:tabs>
          <w:tab w:val="left" w:pos="360"/>
        </w:tabs>
        <w:snapToGrid w:val="0"/>
        <w:spacing w:line="360" w:lineRule="auto"/>
        <w:outlineLvl w:val="1"/>
        <w:rPr>
          <w:rFonts w:eastAsia="宋体"/>
          <w:sz w:val="24"/>
          <w:highlight w:val="none"/>
        </w:rPr>
      </w:pPr>
      <w:r>
        <w:rPr>
          <w:rFonts w:eastAsia="宋体"/>
          <w:sz w:val="24"/>
          <w:highlight w:val="none"/>
        </w:rPr>
        <w:t>3 本项目的特定资格要求（如有）</w:t>
      </w:r>
    </w:p>
    <w:p w14:paraId="3BD7DDB6">
      <w:pPr>
        <w:spacing w:line="360" w:lineRule="auto"/>
        <w:outlineLvl w:val="2"/>
        <w:rPr>
          <w:rFonts w:eastAsia="宋体"/>
          <w:color w:val="000000"/>
          <w:sz w:val="24"/>
          <w:szCs w:val="20"/>
          <w:highlight w:val="none"/>
        </w:rPr>
      </w:pPr>
      <w:r>
        <w:rPr>
          <w:rFonts w:eastAsia="宋体"/>
          <w:color w:val="000000"/>
          <w:sz w:val="24"/>
          <w:szCs w:val="20"/>
          <w:highlight w:val="none"/>
        </w:rPr>
        <w:t>3-1联合协议（如有）</w:t>
      </w:r>
    </w:p>
    <w:p w14:paraId="01A60499">
      <w:pPr>
        <w:autoSpaceDE w:val="0"/>
        <w:autoSpaceDN w:val="0"/>
        <w:adjustRightInd w:val="0"/>
        <w:spacing w:line="360" w:lineRule="auto"/>
        <w:jc w:val="center"/>
        <w:rPr>
          <w:rFonts w:eastAsia="宋体"/>
          <w:b/>
          <w:color w:val="000000"/>
          <w:sz w:val="36"/>
          <w:szCs w:val="36"/>
          <w:highlight w:val="none"/>
        </w:rPr>
      </w:pPr>
      <w:r>
        <w:rPr>
          <w:rFonts w:hint="eastAsia" w:eastAsia="宋体"/>
          <w:b/>
          <w:color w:val="000000"/>
          <w:sz w:val="36"/>
          <w:szCs w:val="36"/>
          <w:highlight w:val="none"/>
        </w:rPr>
        <w:t>联合协议</w:t>
      </w:r>
    </w:p>
    <w:p w14:paraId="3AC61051">
      <w:pPr>
        <w:spacing w:line="360" w:lineRule="auto"/>
        <w:ind w:firstLine="828" w:firstLineChars="345"/>
        <w:rPr>
          <w:rFonts w:eastAsia="宋体"/>
          <w:bCs/>
          <w:color w:val="000000"/>
          <w:highlight w:val="none"/>
        </w:rPr>
      </w:pPr>
      <w:r>
        <w:rPr>
          <w:rFonts w:eastAsia="宋体"/>
          <w:sz w:val="24"/>
          <w:highlight w:val="none"/>
        </w:rPr>
        <w:t>______</w:t>
      </w:r>
      <w:r>
        <w:rPr>
          <w:rFonts w:eastAsia="宋体"/>
          <w:bCs/>
          <w:color w:val="000000"/>
          <w:sz w:val="24"/>
          <w:highlight w:val="none"/>
        </w:rPr>
        <w:t xml:space="preserve"> 、</w:t>
      </w:r>
      <w:r>
        <w:rPr>
          <w:rFonts w:eastAsia="宋体"/>
          <w:sz w:val="24"/>
          <w:highlight w:val="none"/>
        </w:rPr>
        <w:t>______</w:t>
      </w:r>
      <w:r>
        <w:rPr>
          <w:rFonts w:eastAsia="宋体"/>
          <w:bCs/>
          <w:color w:val="000000"/>
          <w:sz w:val="24"/>
          <w:highlight w:val="none"/>
        </w:rPr>
        <w:t>及</w:t>
      </w:r>
      <w:r>
        <w:rPr>
          <w:rFonts w:eastAsia="宋体"/>
          <w:sz w:val="24"/>
          <w:highlight w:val="none"/>
        </w:rPr>
        <w:t>______</w:t>
      </w:r>
      <w:r>
        <w:rPr>
          <w:rFonts w:eastAsia="宋体"/>
          <w:bCs/>
          <w:color w:val="000000"/>
          <w:sz w:val="24"/>
          <w:highlight w:val="none"/>
        </w:rPr>
        <w:t>就“</w:t>
      </w:r>
      <w:r>
        <w:rPr>
          <w:rFonts w:eastAsia="宋体"/>
          <w:sz w:val="24"/>
          <w:highlight w:val="none"/>
        </w:rPr>
        <w:t>______</w:t>
      </w:r>
      <w:r>
        <w:rPr>
          <w:rFonts w:eastAsia="宋体"/>
          <w:bCs/>
          <w:color w:val="000000"/>
          <w:sz w:val="24"/>
          <w:highlight w:val="none"/>
        </w:rPr>
        <w:t>（项目名称）</w:t>
      </w:r>
      <w:r>
        <w:rPr>
          <w:rFonts w:eastAsia="宋体"/>
          <w:color w:val="000000"/>
          <w:sz w:val="24"/>
          <w:highlight w:val="none"/>
        </w:rPr>
        <w:t>”</w:t>
      </w:r>
      <w:r>
        <w:rPr>
          <w:rFonts w:eastAsia="宋体"/>
          <w:sz w:val="24"/>
          <w:highlight w:val="none"/>
        </w:rPr>
        <w:t xml:space="preserve"> ______</w:t>
      </w:r>
      <w:r>
        <w:rPr>
          <w:rFonts w:eastAsia="宋体"/>
          <w:color w:val="000000"/>
          <w:sz w:val="24"/>
          <w:highlight w:val="none"/>
        </w:rPr>
        <w:t>包</w:t>
      </w:r>
      <w:r>
        <w:rPr>
          <w:rFonts w:eastAsia="宋体"/>
          <w:bCs/>
          <w:color w:val="000000"/>
          <w:sz w:val="24"/>
          <w:highlight w:val="none"/>
        </w:rPr>
        <w:t>采购项目的磋商事宜，经各方充分协商一致，达成如下协议：</w:t>
      </w:r>
    </w:p>
    <w:p w14:paraId="76FAA0E2">
      <w:pPr>
        <w:numPr>
          <w:ilvl w:val="0"/>
          <w:numId w:val="24"/>
        </w:numPr>
        <w:spacing w:line="360" w:lineRule="auto"/>
        <w:rPr>
          <w:rFonts w:eastAsia="宋体"/>
          <w:bCs/>
          <w:color w:val="000000"/>
          <w:sz w:val="24"/>
          <w:highlight w:val="none"/>
        </w:rPr>
      </w:pPr>
      <w:r>
        <w:rPr>
          <w:rFonts w:eastAsia="宋体"/>
          <w:bCs/>
          <w:color w:val="000000"/>
          <w:sz w:val="24"/>
          <w:highlight w:val="none"/>
        </w:rPr>
        <w:t>由</w:t>
      </w:r>
      <w:r>
        <w:rPr>
          <w:rFonts w:eastAsia="宋体"/>
          <w:sz w:val="24"/>
          <w:highlight w:val="none"/>
        </w:rPr>
        <w:t>____</w:t>
      </w:r>
      <w:r>
        <w:rPr>
          <w:bCs/>
          <w:color w:val="000000"/>
          <w:sz w:val="24"/>
          <w:highlight w:val="none"/>
        </w:rPr>
        <w:t>__</w:t>
      </w:r>
      <w:r>
        <w:rPr>
          <w:rFonts w:eastAsia="宋体"/>
          <w:sz w:val="24"/>
          <w:highlight w:val="none"/>
        </w:rPr>
        <w:t>__</w:t>
      </w:r>
      <w:r>
        <w:rPr>
          <w:rFonts w:eastAsia="宋体"/>
          <w:bCs/>
          <w:color w:val="000000"/>
          <w:sz w:val="24"/>
          <w:highlight w:val="none"/>
        </w:rPr>
        <w:t>牵头，</w:t>
      </w:r>
      <w:r>
        <w:rPr>
          <w:rFonts w:eastAsia="宋体"/>
          <w:sz w:val="24"/>
          <w:highlight w:val="none"/>
        </w:rPr>
        <w:t>___</w:t>
      </w:r>
      <w:r>
        <w:rPr>
          <w:bCs/>
          <w:color w:val="000000"/>
          <w:sz w:val="24"/>
          <w:highlight w:val="none"/>
        </w:rPr>
        <w:t>__</w:t>
      </w:r>
      <w:r>
        <w:rPr>
          <w:rFonts w:eastAsia="宋体"/>
          <w:sz w:val="24"/>
          <w:highlight w:val="none"/>
        </w:rPr>
        <w:t>___</w:t>
      </w:r>
      <w:r>
        <w:rPr>
          <w:rFonts w:eastAsia="宋体"/>
          <w:bCs/>
          <w:color w:val="000000"/>
          <w:sz w:val="24"/>
          <w:highlight w:val="none"/>
        </w:rPr>
        <w:t>、</w:t>
      </w:r>
      <w:r>
        <w:rPr>
          <w:rFonts w:eastAsia="宋体"/>
          <w:sz w:val="24"/>
          <w:highlight w:val="none"/>
        </w:rPr>
        <w:t>___</w:t>
      </w:r>
      <w:r>
        <w:rPr>
          <w:bCs/>
          <w:color w:val="000000"/>
          <w:sz w:val="24"/>
          <w:highlight w:val="none"/>
        </w:rPr>
        <w:t>__</w:t>
      </w:r>
      <w:r>
        <w:rPr>
          <w:rFonts w:eastAsia="宋体"/>
          <w:sz w:val="24"/>
          <w:highlight w:val="none"/>
        </w:rPr>
        <w:t>___</w:t>
      </w:r>
      <w:r>
        <w:rPr>
          <w:rFonts w:eastAsia="宋体"/>
          <w:bCs/>
          <w:color w:val="000000"/>
          <w:sz w:val="24"/>
          <w:highlight w:val="none"/>
        </w:rPr>
        <w:t>参加，组成联合体共同进行采购项目的磋商工作。</w:t>
      </w:r>
    </w:p>
    <w:p w14:paraId="4B15336B">
      <w:pPr>
        <w:numPr>
          <w:ilvl w:val="0"/>
          <w:numId w:val="24"/>
        </w:numPr>
        <w:spacing w:line="360" w:lineRule="auto"/>
        <w:rPr>
          <w:rFonts w:eastAsia="宋体"/>
          <w:bCs/>
          <w:color w:val="000000"/>
          <w:sz w:val="24"/>
          <w:highlight w:val="none"/>
        </w:rPr>
      </w:pPr>
      <w:r>
        <w:rPr>
          <w:rFonts w:eastAsia="宋体"/>
          <w:bCs/>
          <w:color w:val="000000"/>
          <w:sz w:val="24"/>
          <w:highlight w:val="none"/>
        </w:rPr>
        <w:t>联合体成交后，联合体各方共同与采购人签订合同，就</w:t>
      </w:r>
      <w:r>
        <w:rPr>
          <w:rFonts w:eastAsia="宋体"/>
          <w:color w:val="000000"/>
          <w:sz w:val="24"/>
          <w:szCs w:val="20"/>
          <w:highlight w:val="none"/>
        </w:rPr>
        <w:t>采购合同约定的事项</w:t>
      </w:r>
      <w:r>
        <w:rPr>
          <w:rFonts w:eastAsia="宋体"/>
          <w:bCs/>
          <w:color w:val="000000"/>
          <w:sz w:val="24"/>
          <w:highlight w:val="none"/>
        </w:rPr>
        <w:t>对采购人承担连带责任。</w:t>
      </w:r>
    </w:p>
    <w:p w14:paraId="2B6424A5">
      <w:pPr>
        <w:numPr>
          <w:ilvl w:val="0"/>
          <w:numId w:val="24"/>
        </w:numPr>
        <w:spacing w:line="360" w:lineRule="auto"/>
        <w:rPr>
          <w:rFonts w:eastAsia="宋体"/>
          <w:bCs/>
          <w:color w:val="000000"/>
          <w:sz w:val="24"/>
          <w:highlight w:val="none"/>
        </w:rPr>
      </w:pPr>
      <w:r>
        <w:rPr>
          <w:rFonts w:eastAsia="宋体"/>
          <w:bCs/>
          <w:color w:val="000000"/>
          <w:sz w:val="24"/>
          <w:highlight w:val="none"/>
        </w:rPr>
        <w:t>联合体各方均同意由牵头人代表其他联合体成员单位按竞争性磋商文件要求出具《授权委托书》。</w:t>
      </w:r>
    </w:p>
    <w:p w14:paraId="155F8819">
      <w:pPr>
        <w:numPr>
          <w:ilvl w:val="0"/>
          <w:numId w:val="24"/>
        </w:numPr>
        <w:spacing w:line="360" w:lineRule="auto"/>
        <w:rPr>
          <w:rFonts w:eastAsia="宋体"/>
          <w:bCs/>
          <w:color w:val="000000"/>
          <w:sz w:val="24"/>
          <w:highlight w:val="none"/>
        </w:rPr>
      </w:pPr>
      <w:r>
        <w:rPr>
          <w:rFonts w:eastAsia="宋体"/>
          <w:bCs/>
          <w:color w:val="000000"/>
          <w:sz w:val="24"/>
          <w:highlight w:val="none"/>
        </w:rPr>
        <w:t>牵头人为项目的总负责单位；组织各参加方进行项目实施工作。</w:t>
      </w:r>
    </w:p>
    <w:p w14:paraId="07D877DB">
      <w:pPr>
        <w:numPr>
          <w:ilvl w:val="0"/>
          <w:numId w:val="24"/>
        </w:numPr>
        <w:spacing w:line="360" w:lineRule="auto"/>
        <w:rPr>
          <w:rFonts w:eastAsia="宋体"/>
          <w:bCs/>
          <w:color w:val="000000"/>
          <w:sz w:val="24"/>
          <w:highlight w:val="none"/>
        </w:rPr>
      </w:pPr>
      <w:r>
        <w:rPr>
          <w:rFonts w:eastAsia="宋体"/>
          <w:sz w:val="24"/>
          <w:highlight w:val="none"/>
        </w:rPr>
        <w:t>______</w:t>
      </w:r>
      <w:r>
        <w:rPr>
          <w:rFonts w:eastAsia="宋体"/>
          <w:bCs/>
          <w:color w:val="000000"/>
          <w:sz w:val="24"/>
          <w:highlight w:val="none"/>
        </w:rPr>
        <w:t>负责</w:t>
      </w:r>
      <w:r>
        <w:rPr>
          <w:rFonts w:eastAsia="宋体"/>
          <w:sz w:val="24"/>
          <w:highlight w:val="none"/>
        </w:rPr>
        <w:t>______</w:t>
      </w:r>
      <w:r>
        <w:rPr>
          <w:rFonts w:eastAsia="宋体"/>
          <w:bCs/>
          <w:color w:val="000000"/>
          <w:sz w:val="24"/>
          <w:highlight w:val="none"/>
        </w:rPr>
        <w:t>，具体工作范围、内容以响应文件及合同为准。</w:t>
      </w:r>
    </w:p>
    <w:p w14:paraId="08B8F315">
      <w:pPr>
        <w:numPr>
          <w:ilvl w:val="0"/>
          <w:numId w:val="24"/>
        </w:numPr>
        <w:spacing w:line="360" w:lineRule="auto"/>
        <w:rPr>
          <w:rFonts w:eastAsia="宋体"/>
          <w:bCs/>
          <w:color w:val="000000"/>
          <w:sz w:val="24"/>
          <w:highlight w:val="none"/>
        </w:rPr>
      </w:pPr>
      <w:r>
        <w:rPr>
          <w:rFonts w:eastAsia="宋体"/>
          <w:sz w:val="24"/>
          <w:highlight w:val="none"/>
        </w:rPr>
        <w:t>______</w:t>
      </w:r>
      <w:r>
        <w:rPr>
          <w:rFonts w:eastAsia="宋体"/>
          <w:bCs/>
          <w:color w:val="000000"/>
          <w:sz w:val="24"/>
          <w:highlight w:val="none"/>
        </w:rPr>
        <w:t>负责</w:t>
      </w:r>
      <w:r>
        <w:rPr>
          <w:rFonts w:eastAsia="宋体"/>
          <w:sz w:val="24"/>
          <w:highlight w:val="none"/>
        </w:rPr>
        <w:t>______</w:t>
      </w:r>
      <w:r>
        <w:rPr>
          <w:rFonts w:eastAsia="宋体"/>
          <w:bCs/>
          <w:color w:val="000000"/>
          <w:sz w:val="24"/>
          <w:highlight w:val="none"/>
        </w:rPr>
        <w:t>，具体工作范围、内容以响应文件及合同为准。</w:t>
      </w:r>
    </w:p>
    <w:p w14:paraId="6D7BFD83">
      <w:pPr>
        <w:numPr>
          <w:ilvl w:val="0"/>
          <w:numId w:val="24"/>
        </w:numPr>
        <w:spacing w:line="360" w:lineRule="auto"/>
        <w:rPr>
          <w:rFonts w:eastAsia="宋体"/>
          <w:bCs/>
          <w:color w:val="000000"/>
          <w:sz w:val="24"/>
          <w:highlight w:val="none"/>
        </w:rPr>
      </w:pPr>
      <w:r>
        <w:rPr>
          <w:rFonts w:eastAsia="宋体"/>
          <w:sz w:val="24"/>
          <w:highlight w:val="none"/>
        </w:rPr>
        <w:t>______</w:t>
      </w:r>
      <w:r>
        <w:rPr>
          <w:rFonts w:eastAsia="宋体"/>
          <w:bCs/>
          <w:color w:val="000000"/>
          <w:sz w:val="24"/>
          <w:highlight w:val="none"/>
        </w:rPr>
        <w:t>负责</w:t>
      </w:r>
      <w:r>
        <w:rPr>
          <w:rFonts w:eastAsia="宋体"/>
          <w:sz w:val="24"/>
          <w:highlight w:val="none"/>
        </w:rPr>
        <w:t>______</w:t>
      </w:r>
      <w:r>
        <w:rPr>
          <w:rFonts w:eastAsia="宋体"/>
          <w:bCs/>
          <w:color w:val="000000"/>
          <w:sz w:val="24"/>
          <w:highlight w:val="none"/>
        </w:rPr>
        <w:t>（如有），具体工作范围、内容以响应文件及合同为准。</w:t>
      </w:r>
    </w:p>
    <w:p w14:paraId="79C169B6">
      <w:pPr>
        <w:numPr>
          <w:ilvl w:val="0"/>
          <w:numId w:val="24"/>
        </w:numPr>
        <w:spacing w:line="360" w:lineRule="auto"/>
        <w:rPr>
          <w:rFonts w:eastAsia="宋体"/>
          <w:sz w:val="24"/>
          <w:highlight w:val="none"/>
        </w:rPr>
      </w:pPr>
      <w:r>
        <w:rPr>
          <w:rFonts w:eastAsia="宋体"/>
          <w:sz w:val="24"/>
          <w:highlight w:val="none"/>
        </w:rPr>
        <w:t>本项目联合协议合同总额为______元，联合体各成员按照如下比例分摊（按联合体成员分别列明）：</w:t>
      </w:r>
    </w:p>
    <w:p w14:paraId="4EAB182D">
      <w:pPr>
        <w:tabs>
          <w:tab w:val="left" w:pos="720"/>
          <w:tab w:val="left" w:pos="900"/>
        </w:tabs>
        <w:spacing w:line="360" w:lineRule="auto"/>
        <w:ind w:left="851"/>
        <w:rPr>
          <w:rFonts w:eastAsia="宋体"/>
          <w:color w:val="000000"/>
          <w:sz w:val="24"/>
          <w:szCs w:val="20"/>
          <w:highlight w:val="none"/>
        </w:rPr>
      </w:pPr>
      <w:r>
        <w:rPr>
          <w:rFonts w:eastAsia="宋体"/>
          <w:color w:val="000000"/>
          <w:sz w:val="24"/>
          <w:szCs w:val="20"/>
          <w:highlight w:val="none"/>
        </w:rPr>
        <w:t>（1）</w:t>
      </w:r>
      <w:r>
        <w:rPr>
          <w:rFonts w:eastAsia="宋体"/>
          <w:sz w:val="24"/>
          <w:highlight w:val="none"/>
        </w:rPr>
        <w:t>______</w:t>
      </w:r>
      <w:r>
        <w:rPr>
          <w:rFonts w:eastAsia="宋体"/>
          <w:color w:val="000000"/>
          <w:sz w:val="24"/>
          <w:szCs w:val="20"/>
          <w:highlight w:val="none"/>
        </w:rPr>
        <w:t>为□大型企业□中型企业、□小微企业（包含监狱企业、残疾人福利性单位）、□其他，合同金额为</w:t>
      </w:r>
      <w:r>
        <w:rPr>
          <w:rFonts w:eastAsia="宋体"/>
          <w:sz w:val="24"/>
          <w:highlight w:val="none"/>
        </w:rPr>
        <w:t>______</w:t>
      </w:r>
      <w:r>
        <w:rPr>
          <w:rFonts w:eastAsia="宋体"/>
          <w:color w:val="000000"/>
          <w:sz w:val="24"/>
          <w:szCs w:val="20"/>
          <w:highlight w:val="none"/>
        </w:rPr>
        <w:t>元；</w:t>
      </w:r>
    </w:p>
    <w:p w14:paraId="525926C5">
      <w:pPr>
        <w:tabs>
          <w:tab w:val="left" w:pos="720"/>
          <w:tab w:val="left" w:pos="900"/>
        </w:tabs>
        <w:spacing w:line="360" w:lineRule="auto"/>
        <w:ind w:left="851"/>
        <w:rPr>
          <w:rFonts w:eastAsia="宋体"/>
          <w:color w:val="000000"/>
          <w:sz w:val="24"/>
          <w:szCs w:val="20"/>
          <w:highlight w:val="none"/>
        </w:rPr>
      </w:pPr>
      <w:r>
        <w:rPr>
          <w:rFonts w:eastAsia="宋体"/>
          <w:color w:val="000000"/>
          <w:sz w:val="24"/>
          <w:szCs w:val="20"/>
          <w:highlight w:val="none"/>
        </w:rPr>
        <w:t>（2）</w:t>
      </w:r>
      <w:r>
        <w:rPr>
          <w:rFonts w:eastAsia="宋体"/>
          <w:sz w:val="24"/>
          <w:highlight w:val="none"/>
        </w:rPr>
        <w:t>______</w:t>
      </w:r>
      <w:r>
        <w:rPr>
          <w:rFonts w:eastAsia="宋体"/>
          <w:color w:val="000000"/>
          <w:sz w:val="24"/>
          <w:szCs w:val="20"/>
          <w:highlight w:val="none"/>
        </w:rPr>
        <w:t>为□大型企业□中型企业、□小微企业（包含监狱企业、残疾人福利性单位）、□其他，合同金额为</w:t>
      </w:r>
      <w:r>
        <w:rPr>
          <w:rFonts w:eastAsia="宋体"/>
          <w:sz w:val="24"/>
          <w:highlight w:val="none"/>
        </w:rPr>
        <w:t>______</w:t>
      </w:r>
      <w:r>
        <w:rPr>
          <w:rFonts w:eastAsia="宋体"/>
          <w:color w:val="000000"/>
          <w:sz w:val="24"/>
          <w:szCs w:val="20"/>
          <w:highlight w:val="none"/>
        </w:rPr>
        <w:t>元；</w:t>
      </w:r>
    </w:p>
    <w:p w14:paraId="12E551B5">
      <w:pPr>
        <w:tabs>
          <w:tab w:val="left" w:pos="720"/>
          <w:tab w:val="left" w:pos="900"/>
        </w:tabs>
        <w:spacing w:line="360" w:lineRule="auto"/>
        <w:ind w:left="851"/>
        <w:rPr>
          <w:rFonts w:eastAsia="宋体"/>
          <w:color w:val="000000"/>
          <w:sz w:val="24"/>
          <w:szCs w:val="20"/>
          <w:highlight w:val="none"/>
        </w:rPr>
      </w:pPr>
      <w:r>
        <w:rPr>
          <w:rFonts w:eastAsia="宋体"/>
          <w:color w:val="000000"/>
          <w:sz w:val="24"/>
          <w:szCs w:val="20"/>
          <w:highlight w:val="none"/>
        </w:rPr>
        <w:t>（…）</w:t>
      </w:r>
      <w:r>
        <w:rPr>
          <w:rFonts w:eastAsia="宋体"/>
          <w:sz w:val="24"/>
          <w:highlight w:val="none"/>
        </w:rPr>
        <w:t>______</w:t>
      </w:r>
      <w:r>
        <w:rPr>
          <w:rFonts w:eastAsia="宋体"/>
          <w:color w:val="000000"/>
          <w:sz w:val="24"/>
          <w:szCs w:val="20"/>
          <w:highlight w:val="none"/>
        </w:rPr>
        <w:t>为□大型企业□中型企业、□小微企业（包含监狱企业、残疾人福利性单位）、□其他，合同金额为</w:t>
      </w:r>
      <w:r>
        <w:rPr>
          <w:rFonts w:eastAsia="宋体"/>
          <w:sz w:val="24"/>
          <w:highlight w:val="none"/>
        </w:rPr>
        <w:t>______</w:t>
      </w:r>
      <w:r>
        <w:rPr>
          <w:rFonts w:eastAsia="宋体"/>
          <w:color w:val="000000"/>
          <w:sz w:val="24"/>
          <w:szCs w:val="20"/>
          <w:highlight w:val="none"/>
        </w:rPr>
        <w:t>元。</w:t>
      </w:r>
    </w:p>
    <w:p w14:paraId="1CBC37C7">
      <w:pPr>
        <w:numPr>
          <w:ilvl w:val="0"/>
          <w:numId w:val="24"/>
        </w:numPr>
        <w:tabs>
          <w:tab w:val="left" w:pos="993"/>
        </w:tabs>
        <w:spacing w:line="360" w:lineRule="auto"/>
        <w:rPr>
          <w:rFonts w:eastAsia="宋体"/>
          <w:bCs/>
          <w:color w:val="000000"/>
          <w:sz w:val="24"/>
          <w:highlight w:val="none"/>
        </w:rPr>
      </w:pPr>
      <w:r>
        <w:rPr>
          <w:rFonts w:eastAsia="宋体"/>
          <w:color w:val="000000"/>
          <w:sz w:val="24"/>
          <w:szCs w:val="20"/>
          <w:highlight w:val="none"/>
        </w:rPr>
        <w:t>以联合体形式参加政府采购活动的，联合体各方不得再单独参加或者与其他供应商另外组成联合体参加同一合同项下的政府采购活动。</w:t>
      </w:r>
    </w:p>
    <w:p w14:paraId="122F8CF6">
      <w:pPr>
        <w:numPr>
          <w:ilvl w:val="0"/>
          <w:numId w:val="24"/>
        </w:numPr>
        <w:spacing w:line="360" w:lineRule="auto"/>
        <w:rPr>
          <w:rFonts w:eastAsia="宋体"/>
          <w:bCs/>
          <w:color w:val="000000"/>
          <w:sz w:val="24"/>
          <w:highlight w:val="none"/>
        </w:rPr>
      </w:pPr>
      <w:r>
        <w:rPr>
          <w:rFonts w:eastAsia="宋体"/>
          <w:bCs/>
          <w:color w:val="000000"/>
          <w:sz w:val="24"/>
          <w:highlight w:val="none"/>
        </w:rPr>
        <w:t>其他约定（如有）：</w:t>
      </w:r>
      <w:r>
        <w:rPr>
          <w:rFonts w:eastAsia="宋体"/>
          <w:sz w:val="24"/>
          <w:highlight w:val="none"/>
        </w:rPr>
        <w:t>______</w:t>
      </w:r>
      <w:r>
        <w:rPr>
          <w:rFonts w:hint="eastAsia" w:eastAsia="宋体"/>
          <w:sz w:val="24"/>
          <w:highlight w:val="none"/>
        </w:rPr>
        <w:t>。</w:t>
      </w:r>
    </w:p>
    <w:p w14:paraId="0172D7E2">
      <w:pPr>
        <w:tabs>
          <w:tab w:val="left" w:pos="780"/>
        </w:tabs>
        <w:spacing w:line="360" w:lineRule="auto"/>
        <w:ind w:left="180" w:firstLine="480" w:firstLineChars="200"/>
        <w:rPr>
          <w:rFonts w:eastAsia="宋体"/>
          <w:b/>
          <w:color w:val="000000"/>
          <w:sz w:val="24"/>
          <w:highlight w:val="none"/>
        </w:rPr>
      </w:pPr>
      <w:r>
        <w:rPr>
          <w:rFonts w:eastAsia="宋体"/>
          <w:bCs/>
          <w:color w:val="000000"/>
          <w:sz w:val="24"/>
          <w:highlight w:val="none"/>
        </w:rPr>
        <w:t>本协议自各方盖章后生效，采购合同履行完毕后自动失效。如未成交，本协议自动终止。</w:t>
      </w:r>
    </w:p>
    <w:p w14:paraId="7ACC3FC3">
      <w:pPr>
        <w:spacing w:line="360" w:lineRule="auto"/>
        <w:ind w:firstLine="471"/>
        <w:rPr>
          <w:color w:val="000000"/>
          <w:sz w:val="24"/>
          <w:highlight w:val="none"/>
        </w:rPr>
      </w:pPr>
      <w:r>
        <w:rPr>
          <w:rFonts w:eastAsia="宋体"/>
          <w:color w:val="000000"/>
          <w:sz w:val="24"/>
          <w:highlight w:val="none"/>
        </w:rPr>
        <w:br w:type="page"/>
      </w:r>
    </w:p>
    <w:p w14:paraId="20C2E6AB">
      <w:pPr>
        <w:spacing w:line="360" w:lineRule="auto"/>
        <w:ind w:firstLine="471"/>
        <w:rPr>
          <w:color w:val="000000"/>
          <w:sz w:val="24"/>
          <w:highlight w:val="none"/>
        </w:rPr>
      </w:pPr>
      <w:r>
        <w:rPr>
          <w:rFonts w:hint="eastAsia"/>
          <w:color w:val="000000"/>
          <w:sz w:val="24"/>
          <w:highlight w:val="none"/>
        </w:rPr>
        <w:t>联合体</w:t>
      </w:r>
      <w:r>
        <w:rPr>
          <w:color w:val="000000"/>
          <w:sz w:val="24"/>
          <w:highlight w:val="none"/>
        </w:rPr>
        <w:t>牵头人</w:t>
      </w:r>
      <w:r>
        <w:rPr>
          <w:rFonts w:hint="eastAsia"/>
          <w:color w:val="000000"/>
          <w:sz w:val="24"/>
          <w:highlight w:val="none"/>
        </w:rPr>
        <w:t>名称：</w:t>
      </w:r>
      <w:r>
        <w:rPr>
          <w:color w:val="000000"/>
          <w:sz w:val="24"/>
          <w:szCs w:val="20"/>
          <w:highlight w:val="none"/>
        </w:rPr>
        <w:t>______</w:t>
      </w:r>
      <w:r>
        <w:rPr>
          <w:color w:val="000000"/>
          <w:sz w:val="24"/>
          <w:highlight w:val="none"/>
        </w:rPr>
        <w:tab/>
      </w:r>
      <w:r>
        <w:rPr>
          <w:color w:val="000000"/>
          <w:sz w:val="24"/>
          <w:highlight w:val="none"/>
        </w:rPr>
        <w:tab/>
      </w:r>
      <w:r>
        <w:rPr>
          <w:color w:val="000000"/>
          <w:sz w:val="24"/>
          <w:highlight w:val="none"/>
        </w:rPr>
        <w:tab/>
      </w:r>
      <w:r>
        <w:rPr>
          <w:color w:val="000000"/>
          <w:sz w:val="24"/>
          <w:highlight w:val="none"/>
        </w:rPr>
        <w:tab/>
      </w:r>
      <w:r>
        <w:rPr>
          <w:color w:val="000000"/>
          <w:sz w:val="24"/>
          <w:highlight w:val="none"/>
        </w:rPr>
        <w:tab/>
      </w:r>
      <w:r>
        <w:rPr>
          <w:color w:val="000000"/>
          <w:sz w:val="24"/>
          <w:highlight w:val="none"/>
        </w:rPr>
        <w:t xml:space="preserve"> </w:t>
      </w:r>
      <w:r>
        <w:rPr>
          <w:rFonts w:hint="eastAsia"/>
          <w:color w:val="000000"/>
          <w:sz w:val="24"/>
          <w:highlight w:val="none"/>
        </w:rPr>
        <w:t>联合体成员名称</w:t>
      </w:r>
      <w:r>
        <w:rPr>
          <w:color w:val="000000"/>
          <w:sz w:val="24"/>
          <w:highlight w:val="none"/>
        </w:rPr>
        <w:t>：</w:t>
      </w:r>
      <w:r>
        <w:rPr>
          <w:color w:val="000000"/>
          <w:sz w:val="24"/>
          <w:szCs w:val="20"/>
          <w:highlight w:val="none"/>
        </w:rPr>
        <w:t>______</w:t>
      </w:r>
    </w:p>
    <w:p w14:paraId="141AAE8C">
      <w:pPr>
        <w:spacing w:line="360" w:lineRule="auto"/>
        <w:ind w:firstLine="471"/>
        <w:rPr>
          <w:color w:val="000000"/>
          <w:sz w:val="24"/>
          <w:highlight w:val="none"/>
        </w:rPr>
      </w:pPr>
      <w:r>
        <w:rPr>
          <w:color w:val="000000"/>
          <w:sz w:val="24"/>
          <w:highlight w:val="none"/>
        </w:rPr>
        <w:t>盖章：</w:t>
      </w:r>
      <w:r>
        <w:rPr>
          <w:color w:val="000000"/>
          <w:sz w:val="24"/>
          <w:szCs w:val="20"/>
          <w:highlight w:val="none"/>
        </w:rPr>
        <w:t>______</w:t>
      </w:r>
      <w:r>
        <w:rPr>
          <w:color w:val="000000"/>
          <w:sz w:val="24"/>
          <w:highlight w:val="none"/>
        </w:rPr>
        <w:t xml:space="preserve">                           盖章：</w:t>
      </w:r>
      <w:r>
        <w:rPr>
          <w:color w:val="000000"/>
          <w:sz w:val="24"/>
          <w:szCs w:val="20"/>
          <w:highlight w:val="none"/>
        </w:rPr>
        <w:t>______</w:t>
      </w:r>
    </w:p>
    <w:p w14:paraId="3BDF98C2">
      <w:pPr>
        <w:spacing w:line="360" w:lineRule="auto"/>
        <w:ind w:firstLine="471"/>
        <w:rPr>
          <w:color w:val="000000"/>
          <w:sz w:val="24"/>
          <w:highlight w:val="none"/>
        </w:rPr>
      </w:pPr>
    </w:p>
    <w:p w14:paraId="7A687E88">
      <w:pPr>
        <w:spacing w:line="360" w:lineRule="auto"/>
        <w:ind w:firstLine="471"/>
        <w:rPr>
          <w:color w:val="000000"/>
          <w:sz w:val="24"/>
          <w:highlight w:val="none"/>
        </w:rPr>
      </w:pPr>
    </w:p>
    <w:p w14:paraId="667A2A6A">
      <w:pPr>
        <w:spacing w:line="360" w:lineRule="auto"/>
        <w:ind w:firstLine="471"/>
        <w:rPr>
          <w:color w:val="000000"/>
          <w:sz w:val="24"/>
          <w:highlight w:val="none"/>
        </w:rPr>
      </w:pPr>
      <w:r>
        <w:rPr>
          <w:rFonts w:hint="eastAsia"/>
          <w:color w:val="000000"/>
          <w:sz w:val="24"/>
          <w:highlight w:val="none"/>
        </w:rPr>
        <w:t>联合体成员名称</w:t>
      </w:r>
      <w:r>
        <w:rPr>
          <w:color w:val="000000"/>
          <w:sz w:val="24"/>
          <w:highlight w:val="none"/>
        </w:rPr>
        <w:t>：</w:t>
      </w:r>
      <w:r>
        <w:rPr>
          <w:color w:val="000000"/>
          <w:sz w:val="24"/>
          <w:szCs w:val="20"/>
          <w:highlight w:val="none"/>
        </w:rPr>
        <w:t>______</w:t>
      </w:r>
    </w:p>
    <w:p w14:paraId="5A432B00">
      <w:pPr>
        <w:widowControl/>
        <w:ind w:firstLine="480" w:firstLineChars="200"/>
        <w:jc w:val="left"/>
        <w:rPr>
          <w:rFonts w:eastAsia="宋体"/>
          <w:color w:val="000000"/>
          <w:sz w:val="24"/>
          <w:highlight w:val="none"/>
        </w:rPr>
      </w:pPr>
      <w:r>
        <w:rPr>
          <w:color w:val="000000"/>
          <w:sz w:val="24"/>
          <w:highlight w:val="none"/>
        </w:rPr>
        <w:t>盖章：</w:t>
      </w:r>
      <w:r>
        <w:rPr>
          <w:color w:val="000000"/>
          <w:sz w:val="24"/>
          <w:szCs w:val="20"/>
          <w:highlight w:val="none"/>
        </w:rPr>
        <w:t>______</w:t>
      </w:r>
      <w:r>
        <w:rPr>
          <w:color w:val="000000"/>
          <w:sz w:val="24"/>
          <w:highlight w:val="none"/>
        </w:rPr>
        <w:t xml:space="preserve">        </w:t>
      </w:r>
      <w:r>
        <w:rPr>
          <w:rFonts w:eastAsia="宋体"/>
          <w:color w:val="000000"/>
          <w:sz w:val="24"/>
          <w:highlight w:val="none"/>
        </w:rPr>
        <w:t xml:space="preserve"> </w:t>
      </w:r>
    </w:p>
    <w:p w14:paraId="27626830">
      <w:pPr>
        <w:spacing w:line="360" w:lineRule="auto"/>
        <w:ind w:left="480"/>
        <w:jc w:val="right"/>
        <w:rPr>
          <w:rFonts w:eastAsia="宋体"/>
          <w:color w:val="000000"/>
          <w:sz w:val="24"/>
          <w:highlight w:val="none"/>
        </w:rPr>
      </w:pPr>
    </w:p>
    <w:p w14:paraId="42E1DEE9">
      <w:pPr>
        <w:spacing w:line="360" w:lineRule="auto"/>
        <w:ind w:left="480"/>
        <w:jc w:val="right"/>
        <w:rPr>
          <w:rFonts w:eastAsia="宋体"/>
          <w:color w:val="000000"/>
          <w:sz w:val="24"/>
          <w:highlight w:val="none"/>
        </w:rPr>
      </w:pPr>
      <w:r>
        <w:rPr>
          <w:rFonts w:eastAsia="宋体"/>
          <w:color w:val="000000"/>
          <w:sz w:val="24"/>
          <w:szCs w:val="20"/>
          <w:highlight w:val="none"/>
        </w:rPr>
        <w:t>日期：</w:t>
      </w:r>
      <w:r>
        <w:rPr>
          <w:rFonts w:eastAsia="宋体"/>
          <w:sz w:val="24"/>
          <w:highlight w:val="none"/>
        </w:rPr>
        <w:t>______</w:t>
      </w:r>
      <w:r>
        <w:rPr>
          <w:rFonts w:eastAsia="宋体"/>
          <w:color w:val="000000"/>
          <w:sz w:val="24"/>
          <w:szCs w:val="20"/>
          <w:highlight w:val="none"/>
        </w:rPr>
        <w:t>年</w:t>
      </w:r>
      <w:r>
        <w:rPr>
          <w:rFonts w:eastAsia="宋体"/>
          <w:sz w:val="24"/>
          <w:highlight w:val="none"/>
        </w:rPr>
        <w:t>______</w:t>
      </w:r>
      <w:r>
        <w:rPr>
          <w:rFonts w:eastAsia="宋体"/>
          <w:color w:val="000000"/>
          <w:sz w:val="24"/>
          <w:szCs w:val="20"/>
          <w:highlight w:val="none"/>
        </w:rPr>
        <w:t>月</w:t>
      </w:r>
      <w:r>
        <w:rPr>
          <w:rFonts w:eastAsia="宋体"/>
          <w:sz w:val="24"/>
          <w:highlight w:val="none"/>
        </w:rPr>
        <w:t>______</w:t>
      </w:r>
      <w:r>
        <w:rPr>
          <w:rFonts w:eastAsia="宋体"/>
          <w:color w:val="000000"/>
          <w:sz w:val="24"/>
          <w:szCs w:val="20"/>
          <w:highlight w:val="none"/>
        </w:rPr>
        <w:t>日</w:t>
      </w:r>
    </w:p>
    <w:p w14:paraId="0C1F54D7">
      <w:pPr>
        <w:spacing w:line="360" w:lineRule="auto"/>
        <w:ind w:left="480"/>
        <w:jc w:val="right"/>
        <w:rPr>
          <w:rFonts w:eastAsia="宋体"/>
          <w:b/>
          <w:color w:val="000000"/>
          <w:sz w:val="24"/>
          <w:highlight w:val="none"/>
        </w:rPr>
      </w:pPr>
    </w:p>
    <w:p w14:paraId="016777B7">
      <w:pPr>
        <w:tabs>
          <w:tab w:val="left" w:pos="8280"/>
        </w:tabs>
        <w:spacing w:line="360" w:lineRule="auto"/>
        <w:ind w:firstLine="480"/>
        <w:rPr>
          <w:rFonts w:eastAsia="宋体"/>
          <w:color w:val="000000"/>
          <w:sz w:val="24"/>
          <w:highlight w:val="none"/>
        </w:rPr>
      </w:pPr>
    </w:p>
    <w:p w14:paraId="4E6B84FB">
      <w:pPr>
        <w:tabs>
          <w:tab w:val="left" w:pos="8280"/>
        </w:tabs>
        <w:spacing w:line="360" w:lineRule="auto"/>
        <w:ind w:firstLine="480"/>
        <w:rPr>
          <w:rFonts w:eastAsia="宋体"/>
          <w:color w:val="000000"/>
          <w:sz w:val="24"/>
          <w:highlight w:val="none"/>
        </w:rPr>
      </w:pPr>
    </w:p>
    <w:p w14:paraId="7C93C22E">
      <w:pPr>
        <w:spacing w:line="360" w:lineRule="auto"/>
        <w:ind w:left="719" w:leftChars="228" w:hanging="240" w:hangingChars="100"/>
        <w:rPr>
          <w:rFonts w:eastAsia="宋体"/>
          <w:color w:val="000000"/>
          <w:sz w:val="24"/>
          <w:highlight w:val="none"/>
        </w:rPr>
      </w:pPr>
      <w:r>
        <w:rPr>
          <w:rFonts w:eastAsia="宋体"/>
          <w:color w:val="000000"/>
          <w:sz w:val="24"/>
          <w:highlight w:val="none"/>
        </w:rPr>
        <w:t>注：</w:t>
      </w:r>
    </w:p>
    <w:p w14:paraId="6EC5C48F">
      <w:pPr>
        <w:spacing w:line="360" w:lineRule="auto"/>
        <w:ind w:left="719" w:leftChars="228" w:hanging="240" w:hangingChars="100"/>
        <w:rPr>
          <w:rFonts w:hint="eastAsia" w:eastAsia="宋体"/>
          <w:color w:val="000000"/>
          <w:sz w:val="24"/>
          <w:highlight w:val="none"/>
          <w:lang w:eastAsia="zh-CN"/>
        </w:rPr>
      </w:pPr>
      <w:r>
        <w:rPr>
          <w:rFonts w:hint="eastAsia" w:eastAsia="宋体"/>
          <w:color w:val="000000"/>
          <w:sz w:val="24"/>
          <w:highlight w:val="none"/>
        </w:rPr>
        <w:t>1.如本项目 (包) 接受供应商以联合体形式参加采购活动，且供应商以联合体形式参与时，须提供《联合协议》，否则</w:t>
      </w:r>
      <w:r>
        <w:rPr>
          <w:rFonts w:hint="eastAsia" w:eastAsia="宋体"/>
          <w:b/>
          <w:bCs/>
          <w:color w:val="000000"/>
          <w:sz w:val="24"/>
          <w:highlight w:val="none"/>
        </w:rPr>
        <w:t>响应无效</w:t>
      </w:r>
      <w:r>
        <w:rPr>
          <w:rFonts w:hint="eastAsia"/>
          <w:b w:val="0"/>
          <w:bCs w:val="0"/>
          <w:color w:val="000000"/>
          <w:sz w:val="24"/>
          <w:highlight w:val="none"/>
          <w:lang w:eastAsia="zh-CN"/>
        </w:rPr>
        <w:t>。</w:t>
      </w:r>
    </w:p>
    <w:p w14:paraId="64431BF2">
      <w:pPr>
        <w:spacing w:line="360" w:lineRule="auto"/>
        <w:ind w:left="719" w:leftChars="228" w:hanging="240" w:hangingChars="100"/>
        <w:rPr>
          <w:rFonts w:eastAsia="宋体"/>
          <w:color w:val="000000"/>
          <w:sz w:val="24"/>
          <w:highlight w:val="none"/>
        </w:rPr>
      </w:pPr>
      <w:r>
        <w:rPr>
          <w:rFonts w:hint="eastAsia" w:eastAsia="宋体"/>
          <w:color w:val="000000"/>
          <w:sz w:val="24"/>
          <w:highlight w:val="none"/>
        </w:rPr>
        <w:t>2.联合体各方成员需在本协议上共同盖章。</w:t>
      </w:r>
    </w:p>
    <w:p w14:paraId="043D2D45">
      <w:pPr>
        <w:widowControl/>
        <w:jc w:val="left"/>
        <w:rPr>
          <w:rFonts w:eastAsia="宋体"/>
          <w:sz w:val="24"/>
          <w:highlight w:val="none"/>
        </w:rPr>
      </w:pPr>
      <w:r>
        <w:rPr>
          <w:rFonts w:eastAsia="宋体"/>
          <w:sz w:val="24"/>
          <w:highlight w:val="none"/>
        </w:rPr>
        <w:br w:type="page"/>
      </w:r>
    </w:p>
    <w:p w14:paraId="07D9E756">
      <w:pPr>
        <w:spacing w:line="360" w:lineRule="auto"/>
        <w:outlineLvl w:val="2"/>
        <w:rPr>
          <w:rFonts w:eastAsia="宋体"/>
          <w:sz w:val="24"/>
          <w:szCs w:val="20"/>
          <w:highlight w:val="none"/>
        </w:rPr>
      </w:pPr>
      <w:r>
        <w:rPr>
          <w:rFonts w:eastAsia="宋体"/>
          <w:color w:val="000000"/>
          <w:sz w:val="24"/>
          <w:szCs w:val="20"/>
          <w:highlight w:val="none"/>
        </w:rPr>
        <w:t>3-2其他</w:t>
      </w:r>
      <w:r>
        <w:rPr>
          <w:rFonts w:eastAsia="宋体"/>
          <w:sz w:val="24"/>
          <w:szCs w:val="20"/>
          <w:highlight w:val="none"/>
        </w:rPr>
        <w:t>特定资格要求</w:t>
      </w:r>
    </w:p>
    <w:p w14:paraId="2903E2C6">
      <w:pPr>
        <w:spacing w:line="360" w:lineRule="auto"/>
        <w:outlineLvl w:val="2"/>
        <w:rPr>
          <w:rFonts w:hint="eastAsia" w:eastAsia="宋体"/>
          <w:sz w:val="24"/>
          <w:szCs w:val="20"/>
          <w:highlight w:val="none"/>
        </w:rPr>
      </w:pPr>
      <w:r>
        <w:rPr>
          <w:rFonts w:hint="eastAsia" w:eastAsia="宋体"/>
          <w:sz w:val="24"/>
          <w:szCs w:val="20"/>
          <w:highlight w:val="none"/>
        </w:rPr>
        <w:t>3-2-1建设主管部门核发的工程勘察专业类（岩土工程）丙级及以上资质</w:t>
      </w:r>
      <w:r>
        <w:rPr>
          <w:rFonts w:hint="eastAsia"/>
          <w:sz w:val="24"/>
          <w:szCs w:val="20"/>
          <w:highlight w:val="none"/>
          <w:lang w:val="en-US" w:eastAsia="zh-CN"/>
        </w:rPr>
        <w:t>证明材料</w:t>
      </w:r>
      <w:r>
        <w:rPr>
          <w:rFonts w:hint="eastAsia" w:eastAsia="宋体"/>
          <w:sz w:val="24"/>
          <w:szCs w:val="20"/>
          <w:highlight w:val="none"/>
        </w:rPr>
        <w:t>；</w:t>
      </w:r>
    </w:p>
    <w:p w14:paraId="4529B909">
      <w:pPr>
        <w:spacing w:line="360" w:lineRule="auto"/>
        <w:outlineLvl w:val="2"/>
        <w:rPr>
          <w:rFonts w:hint="eastAsia" w:eastAsia="宋体"/>
          <w:sz w:val="24"/>
          <w:szCs w:val="20"/>
          <w:highlight w:val="none"/>
        </w:rPr>
      </w:pPr>
      <w:r>
        <w:rPr>
          <w:rFonts w:hint="eastAsia" w:eastAsia="宋体"/>
          <w:sz w:val="24"/>
          <w:szCs w:val="20"/>
          <w:highlight w:val="none"/>
        </w:rPr>
        <w:t>3-2-2建设主管部门核发的市政行业(道路工程)专业设计丙级及以上资质证明材料；</w:t>
      </w:r>
    </w:p>
    <w:p w14:paraId="777E41D6">
      <w:pPr>
        <w:spacing w:line="360" w:lineRule="auto"/>
        <w:outlineLvl w:val="2"/>
        <w:rPr>
          <w:rFonts w:eastAsia="宋体"/>
          <w:sz w:val="24"/>
          <w:szCs w:val="20"/>
          <w:highlight w:val="none"/>
        </w:rPr>
      </w:pPr>
      <w:r>
        <w:rPr>
          <w:rFonts w:hint="eastAsia" w:eastAsia="宋体"/>
          <w:sz w:val="24"/>
          <w:szCs w:val="20"/>
          <w:highlight w:val="none"/>
        </w:rPr>
        <w:t xml:space="preserve">3-2-3建设主管部门核发的市政公用工程施工总承包叁级及以上资质以及合格有效的安全生产许可证证明材料。 </w:t>
      </w:r>
    </w:p>
    <w:p w14:paraId="38452BD1">
      <w:pPr>
        <w:tabs>
          <w:tab w:val="left" w:pos="5580"/>
        </w:tabs>
        <w:spacing w:line="360" w:lineRule="auto"/>
        <w:rPr>
          <w:rFonts w:hint="eastAsia" w:eastAsia="宋体"/>
          <w:sz w:val="24"/>
          <w:highlight w:val="none"/>
        </w:rPr>
      </w:pPr>
      <w:r>
        <w:rPr>
          <w:rFonts w:hint="eastAsia"/>
          <w:sz w:val="24"/>
          <w:highlight w:val="none"/>
          <w:lang w:val="en-US" w:eastAsia="zh-CN"/>
        </w:rPr>
        <w:t>3-2-4</w:t>
      </w:r>
      <w:r>
        <w:rPr>
          <w:rFonts w:hint="eastAsia" w:eastAsia="宋体"/>
          <w:sz w:val="24"/>
          <w:highlight w:val="none"/>
        </w:rPr>
        <w:t>拟派主要负责人员要求证明材料：</w:t>
      </w:r>
    </w:p>
    <w:p w14:paraId="0C3F9DB3">
      <w:pPr>
        <w:tabs>
          <w:tab w:val="left" w:pos="5580"/>
        </w:tabs>
        <w:spacing w:line="360" w:lineRule="auto"/>
        <w:rPr>
          <w:rFonts w:hint="eastAsia" w:eastAsia="宋体"/>
          <w:sz w:val="24"/>
          <w:highlight w:val="none"/>
        </w:rPr>
      </w:pPr>
      <w:r>
        <w:rPr>
          <w:rFonts w:hint="eastAsia" w:eastAsia="宋体"/>
          <w:sz w:val="24"/>
          <w:highlight w:val="none"/>
        </w:rPr>
        <w:t>（1）供应商拟派的总承包项目经理具有二级及以上市政公用工程专业注册建造师执业资格，具备有效的安全生产考核合格证书（B证），提供无在建项目承诺声明，总承包项目经理可以兼任施工负责人，不能与设计负责人同时兼任；</w:t>
      </w:r>
    </w:p>
    <w:p w14:paraId="1AEF5631">
      <w:pPr>
        <w:tabs>
          <w:tab w:val="left" w:pos="5580"/>
        </w:tabs>
        <w:spacing w:line="360" w:lineRule="auto"/>
        <w:rPr>
          <w:rFonts w:hint="eastAsia" w:eastAsia="宋体"/>
          <w:sz w:val="24"/>
          <w:highlight w:val="none"/>
        </w:rPr>
      </w:pPr>
      <w:r>
        <w:rPr>
          <w:rFonts w:hint="eastAsia" w:eastAsia="宋体"/>
          <w:sz w:val="24"/>
          <w:highlight w:val="none"/>
        </w:rPr>
        <w:t>（2）设计负责人具有二级及以上注册建筑师执业资格或相关市政公用工程类中级及以上职称；</w:t>
      </w:r>
    </w:p>
    <w:p w14:paraId="51468CAD">
      <w:pPr>
        <w:tabs>
          <w:tab w:val="left" w:pos="5580"/>
        </w:tabs>
        <w:spacing w:line="360" w:lineRule="auto"/>
        <w:rPr>
          <w:rFonts w:hint="eastAsia" w:eastAsia="宋体"/>
          <w:sz w:val="24"/>
          <w:highlight w:val="none"/>
        </w:rPr>
      </w:pPr>
      <w:r>
        <w:rPr>
          <w:rFonts w:hint="eastAsia" w:eastAsia="宋体"/>
          <w:sz w:val="24"/>
          <w:highlight w:val="none"/>
        </w:rPr>
        <w:t>（3）施工负责人具有二级及以上市政公用工程专业注册建造师执业资格、有效的安全生产考核合格证书（B证），并提供无在建项目承诺声明；</w:t>
      </w:r>
    </w:p>
    <w:p w14:paraId="43C4C03F">
      <w:pPr>
        <w:tabs>
          <w:tab w:val="left" w:pos="5580"/>
        </w:tabs>
        <w:spacing w:line="360" w:lineRule="auto"/>
        <w:rPr>
          <w:rFonts w:eastAsia="宋体"/>
          <w:sz w:val="24"/>
          <w:highlight w:val="none"/>
        </w:rPr>
      </w:pPr>
      <w:r>
        <w:rPr>
          <w:rFonts w:hint="eastAsia" w:eastAsia="宋体"/>
          <w:sz w:val="24"/>
          <w:highlight w:val="none"/>
        </w:rPr>
        <w:t>（4）上述人员须为本公司在册人员，且提供近半年任意一个月的社保证明。</w:t>
      </w:r>
    </w:p>
    <w:p w14:paraId="256C58AB">
      <w:pPr>
        <w:widowControl/>
        <w:jc w:val="left"/>
        <w:rPr>
          <w:rFonts w:eastAsia="宋体"/>
          <w:sz w:val="24"/>
          <w:szCs w:val="20"/>
          <w:highlight w:val="none"/>
        </w:rPr>
      </w:pPr>
      <w:r>
        <w:rPr>
          <w:rFonts w:eastAsia="宋体"/>
          <w:sz w:val="24"/>
          <w:szCs w:val="20"/>
          <w:highlight w:val="none"/>
        </w:rPr>
        <w:br w:type="page"/>
      </w:r>
    </w:p>
    <w:p w14:paraId="325BD63B">
      <w:pPr>
        <w:spacing w:line="360" w:lineRule="auto"/>
        <w:outlineLvl w:val="2"/>
        <w:rPr>
          <w:rFonts w:eastAsia="宋体"/>
          <w:sz w:val="24"/>
          <w:szCs w:val="20"/>
          <w:highlight w:val="none"/>
        </w:rPr>
      </w:pPr>
      <w:r>
        <w:rPr>
          <w:rFonts w:eastAsia="宋体"/>
          <w:sz w:val="24"/>
          <w:highlight w:val="none"/>
        </w:rPr>
        <w:t>4 磋商保证金凭证/交款单据</w:t>
      </w:r>
      <w:r>
        <w:rPr>
          <w:rFonts w:hint="eastAsia"/>
          <w:sz w:val="24"/>
          <w:highlight w:val="none"/>
          <w:lang w:eastAsia="zh-CN"/>
        </w:rPr>
        <w:t>复印件</w:t>
      </w:r>
    </w:p>
    <w:p w14:paraId="109D96B5">
      <w:pPr>
        <w:tabs>
          <w:tab w:val="left" w:pos="360"/>
        </w:tabs>
        <w:snapToGrid w:val="0"/>
        <w:spacing w:line="360" w:lineRule="auto"/>
        <w:outlineLvl w:val="1"/>
        <w:rPr>
          <w:rFonts w:hint="eastAsia" w:eastAsia="宋体"/>
          <w:sz w:val="24"/>
          <w:highlight w:val="none"/>
          <w:lang w:eastAsia="zh-CN"/>
        </w:rPr>
      </w:pPr>
    </w:p>
    <w:p w14:paraId="69728885">
      <w:pPr>
        <w:widowControl/>
        <w:jc w:val="left"/>
        <w:rPr>
          <w:rFonts w:eastAsia="宋体"/>
          <w:kern w:val="0"/>
          <w:sz w:val="24"/>
          <w:szCs w:val="20"/>
          <w:highlight w:val="none"/>
        </w:rPr>
      </w:pPr>
      <w:r>
        <w:rPr>
          <w:rFonts w:eastAsia="宋体"/>
          <w:b/>
          <w:sz w:val="24"/>
          <w:highlight w:val="none"/>
        </w:rPr>
        <w:br w:type="page"/>
      </w:r>
    </w:p>
    <w:p w14:paraId="141A1869">
      <w:pPr>
        <w:widowControl/>
        <w:jc w:val="left"/>
        <w:rPr>
          <w:rFonts w:eastAsia="宋体"/>
          <w:b/>
          <w:sz w:val="24"/>
          <w:highlight w:val="none"/>
        </w:rPr>
      </w:pPr>
    </w:p>
    <w:p w14:paraId="264D03C6">
      <w:pPr>
        <w:tabs>
          <w:tab w:val="left" w:pos="360"/>
        </w:tabs>
        <w:snapToGrid w:val="0"/>
        <w:spacing w:line="360" w:lineRule="auto"/>
        <w:outlineLvl w:val="1"/>
        <w:rPr>
          <w:rFonts w:eastAsia="宋体"/>
          <w:sz w:val="24"/>
          <w:highlight w:val="none"/>
        </w:rPr>
      </w:pPr>
      <w:bookmarkStart w:id="1437" w:name="_Hlt520274407"/>
      <w:bookmarkEnd w:id="1437"/>
      <w:bookmarkStart w:id="1438" w:name="_Hlt520274393"/>
      <w:bookmarkEnd w:id="1438"/>
      <w:bookmarkStart w:id="1439" w:name="_Hlt520343392"/>
      <w:bookmarkEnd w:id="1439"/>
      <w:bookmarkStart w:id="1440" w:name="_Hlt520355504"/>
      <w:bookmarkEnd w:id="1440"/>
      <w:bookmarkStart w:id="1441" w:name="_Hlt520274121"/>
      <w:bookmarkEnd w:id="1441"/>
      <w:bookmarkStart w:id="1442" w:name="_Hlt520271212"/>
      <w:bookmarkEnd w:id="1442"/>
      <w:bookmarkStart w:id="1443" w:name="_Hlt520343000"/>
      <w:bookmarkEnd w:id="1443"/>
      <w:bookmarkStart w:id="1444" w:name="_Hlt520273711"/>
      <w:bookmarkEnd w:id="1444"/>
      <w:bookmarkStart w:id="1445" w:name="_Hlt520274065"/>
      <w:bookmarkEnd w:id="1445"/>
      <w:bookmarkStart w:id="1446" w:name="_Hlt520350918"/>
      <w:bookmarkEnd w:id="1446"/>
      <w:bookmarkStart w:id="1447" w:name="_Ref467988698"/>
      <w:bookmarkStart w:id="1448" w:name="_Toc480942349"/>
      <w:bookmarkStart w:id="1449" w:name="_Toc127151556"/>
      <w:bookmarkStart w:id="1450" w:name="_Toc195842921"/>
      <w:bookmarkStart w:id="1451" w:name="_Toc520356217"/>
      <w:bookmarkStart w:id="1452" w:name="_Toc226965746"/>
      <w:bookmarkStart w:id="1453" w:name="_Toc226965829"/>
      <w:bookmarkStart w:id="1454" w:name="_Toc150774761"/>
      <w:bookmarkStart w:id="1455" w:name="_Toc226337252"/>
      <w:bookmarkStart w:id="1456" w:name="_Toc142311058"/>
      <w:bookmarkStart w:id="1457" w:name="_Toc226309800"/>
      <w:bookmarkStart w:id="1458" w:name="_Toc150480794"/>
      <w:r>
        <w:rPr>
          <w:rFonts w:eastAsia="宋体"/>
          <w:sz w:val="24"/>
          <w:highlight w:val="none"/>
        </w:rPr>
        <w:t xml:space="preserve">5  </w:t>
      </w:r>
      <w:bookmarkEnd w:id="1447"/>
      <w:bookmarkEnd w:id="1448"/>
      <w:r>
        <w:rPr>
          <w:rFonts w:eastAsia="宋体"/>
          <w:sz w:val="24"/>
          <w:highlight w:val="none"/>
        </w:rPr>
        <w:t>响应书</w:t>
      </w:r>
      <w:bookmarkEnd w:id="1449"/>
      <w:bookmarkEnd w:id="1450"/>
      <w:bookmarkEnd w:id="1451"/>
      <w:bookmarkEnd w:id="1452"/>
      <w:bookmarkEnd w:id="1453"/>
      <w:bookmarkEnd w:id="1454"/>
      <w:bookmarkEnd w:id="1455"/>
      <w:bookmarkEnd w:id="1456"/>
      <w:bookmarkEnd w:id="1457"/>
      <w:bookmarkEnd w:id="1458"/>
      <w:r>
        <w:rPr>
          <w:spacing w:val="-3"/>
          <w:sz w:val="24"/>
          <w:szCs w:val="24"/>
          <w:highlight w:val="none"/>
        </w:rPr>
        <w:t>（实质性格式）</w:t>
      </w:r>
    </w:p>
    <w:p w14:paraId="3AF1A684">
      <w:pPr>
        <w:tabs>
          <w:tab w:val="left" w:pos="5580"/>
        </w:tabs>
        <w:spacing w:line="360" w:lineRule="auto"/>
        <w:rPr>
          <w:rFonts w:eastAsia="宋体"/>
          <w:color w:val="000000"/>
          <w:sz w:val="24"/>
          <w:highlight w:val="none"/>
        </w:rPr>
      </w:pPr>
    </w:p>
    <w:p w14:paraId="507465E4">
      <w:pPr>
        <w:spacing w:line="360" w:lineRule="auto"/>
        <w:jc w:val="center"/>
        <w:rPr>
          <w:rFonts w:eastAsia="宋体"/>
          <w:b/>
          <w:color w:val="000000"/>
          <w:sz w:val="36"/>
          <w:szCs w:val="36"/>
          <w:highlight w:val="none"/>
        </w:rPr>
      </w:pPr>
      <w:r>
        <w:rPr>
          <w:rFonts w:hint="eastAsia" w:eastAsia="宋体"/>
          <w:b/>
          <w:color w:val="000000"/>
          <w:sz w:val="36"/>
          <w:szCs w:val="36"/>
          <w:highlight w:val="none"/>
        </w:rPr>
        <w:t>响应书</w:t>
      </w:r>
    </w:p>
    <w:p w14:paraId="6615DEAC">
      <w:pPr>
        <w:tabs>
          <w:tab w:val="left" w:pos="5580"/>
        </w:tabs>
        <w:spacing w:line="360" w:lineRule="auto"/>
        <w:rPr>
          <w:rFonts w:eastAsia="宋体"/>
          <w:color w:val="000000"/>
          <w:sz w:val="24"/>
          <w:highlight w:val="none"/>
        </w:rPr>
      </w:pPr>
      <w:r>
        <w:rPr>
          <w:rFonts w:eastAsia="宋体"/>
          <w:color w:val="000000"/>
          <w:sz w:val="24"/>
          <w:highlight w:val="none"/>
        </w:rPr>
        <w:t>致：</w:t>
      </w:r>
      <w:r>
        <w:rPr>
          <w:rFonts w:eastAsia="宋体"/>
          <w:color w:val="000000"/>
          <w:sz w:val="24"/>
          <w:highlight w:val="none"/>
          <w:u w:val="single"/>
        </w:rPr>
        <w:t>（采购人或采购代理机构）</w:t>
      </w:r>
    </w:p>
    <w:p w14:paraId="438D8FBA">
      <w:pPr>
        <w:tabs>
          <w:tab w:val="left" w:pos="5580"/>
        </w:tabs>
        <w:spacing w:line="360" w:lineRule="auto"/>
        <w:rPr>
          <w:rFonts w:eastAsia="宋体"/>
          <w:color w:val="000000"/>
          <w:sz w:val="24"/>
          <w:szCs w:val="20"/>
          <w:highlight w:val="none"/>
        </w:rPr>
      </w:pPr>
    </w:p>
    <w:p w14:paraId="16795B03">
      <w:pPr>
        <w:tabs>
          <w:tab w:val="left" w:pos="5580"/>
        </w:tabs>
        <w:spacing w:line="360" w:lineRule="auto"/>
        <w:ind w:firstLine="408"/>
        <w:rPr>
          <w:rFonts w:eastAsia="宋体"/>
          <w:color w:val="000000"/>
          <w:sz w:val="24"/>
          <w:szCs w:val="20"/>
          <w:highlight w:val="none"/>
        </w:rPr>
      </w:pPr>
      <w:r>
        <w:rPr>
          <w:rFonts w:eastAsia="宋体"/>
          <w:color w:val="000000"/>
          <w:sz w:val="24"/>
          <w:szCs w:val="20"/>
          <w:highlight w:val="none"/>
        </w:rPr>
        <w:t>我方参加你方就</w:t>
      </w:r>
      <w:r>
        <w:rPr>
          <w:rFonts w:eastAsia="宋体"/>
          <w:sz w:val="24"/>
          <w:highlight w:val="none"/>
        </w:rPr>
        <w:t>______</w:t>
      </w:r>
      <w:r>
        <w:rPr>
          <w:rFonts w:eastAsia="宋体"/>
          <w:color w:val="000000"/>
          <w:sz w:val="24"/>
          <w:szCs w:val="20"/>
          <w:highlight w:val="none"/>
        </w:rPr>
        <w:t>（项目名称，项目编号/包号）组织的采购活动，并对此项目进行磋商。</w:t>
      </w:r>
    </w:p>
    <w:p w14:paraId="28D9941B">
      <w:pPr>
        <w:tabs>
          <w:tab w:val="left" w:pos="5580"/>
        </w:tabs>
        <w:spacing w:line="360" w:lineRule="auto"/>
        <w:ind w:firstLine="408"/>
        <w:rPr>
          <w:rFonts w:eastAsia="宋体"/>
          <w:color w:val="000000"/>
          <w:sz w:val="24"/>
          <w:szCs w:val="20"/>
          <w:highlight w:val="none"/>
        </w:rPr>
      </w:pPr>
      <w:r>
        <w:rPr>
          <w:rFonts w:eastAsia="宋体"/>
          <w:color w:val="000000"/>
          <w:sz w:val="24"/>
          <w:szCs w:val="20"/>
          <w:highlight w:val="none"/>
        </w:rPr>
        <w:t>1. 我方</w:t>
      </w:r>
      <w:r>
        <w:rPr>
          <w:rFonts w:eastAsia="宋体"/>
          <w:color w:val="000000"/>
          <w:sz w:val="24"/>
          <w:highlight w:val="none"/>
        </w:rPr>
        <w:t>已详细审查全部竞争性磋商文件</w:t>
      </w:r>
      <w:r>
        <w:rPr>
          <w:rFonts w:eastAsia="宋体"/>
          <w:color w:val="000000"/>
          <w:sz w:val="24"/>
          <w:szCs w:val="20"/>
          <w:highlight w:val="none"/>
        </w:rPr>
        <w:t>，自愿参与磋商并承诺如下：</w:t>
      </w:r>
    </w:p>
    <w:p w14:paraId="514026A8">
      <w:pPr>
        <w:tabs>
          <w:tab w:val="left" w:pos="720"/>
          <w:tab w:val="left" w:pos="900"/>
        </w:tabs>
        <w:spacing w:line="360" w:lineRule="auto"/>
        <w:ind w:left="360" w:firstLine="72" w:firstLineChars="30"/>
        <w:rPr>
          <w:rFonts w:eastAsia="宋体"/>
          <w:color w:val="000000"/>
          <w:sz w:val="24"/>
          <w:szCs w:val="20"/>
          <w:highlight w:val="none"/>
        </w:rPr>
      </w:pPr>
      <w:r>
        <w:rPr>
          <w:rFonts w:eastAsia="宋体"/>
          <w:color w:val="000000"/>
          <w:sz w:val="24"/>
          <w:szCs w:val="20"/>
          <w:highlight w:val="none"/>
        </w:rPr>
        <w:t>（1）本响应有效期为自响应文件提交截止之日起</w:t>
      </w:r>
      <w:r>
        <w:rPr>
          <w:rFonts w:eastAsia="宋体"/>
          <w:sz w:val="24"/>
          <w:highlight w:val="none"/>
        </w:rPr>
        <w:t>______</w:t>
      </w:r>
      <w:r>
        <w:rPr>
          <w:rFonts w:eastAsia="宋体"/>
          <w:color w:val="000000"/>
          <w:sz w:val="24"/>
          <w:szCs w:val="20"/>
          <w:highlight w:val="none"/>
        </w:rPr>
        <w:t>个日历日。</w:t>
      </w:r>
    </w:p>
    <w:p w14:paraId="7FD1C79F">
      <w:pPr>
        <w:tabs>
          <w:tab w:val="left" w:pos="720"/>
          <w:tab w:val="left" w:pos="900"/>
        </w:tabs>
        <w:spacing w:line="360" w:lineRule="auto"/>
        <w:ind w:left="360" w:firstLine="72" w:firstLineChars="30"/>
        <w:rPr>
          <w:rFonts w:eastAsia="宋体"/>
          <w:color w:val="000000"/>
          <w:sz w:val="24"/>
          <w:szCs w:val="20"/>
          <w:highlight w:val="none"/>
        </w:rPr>
      </w:pPr>
      <w:r>
        <w:rPr>
          <w:rFonts w:eastAsia="宋体"/>
          <w:color w:val="000000"/>
          <w:sz w:val="24"/>
          <w:szCs w:val="20"/>
          <w:highlight w:val="none"/>
        </w:rPr>
        <w:t>（2）除合同条款及采购需求偏离表列出的偏离外，我方响应竞争性磋商文件的全部要求。</w:t>
      </w:r>
    </w:p>
    <w:p w14:paraId="41E033F1">
      <w:pPr>
        <w:tabs>
          <w:tab w:val="left" w:pos="5580"/>
        </w:tabs>
        <w:spacing w:line="360" w:lineRule="auto"/>
        <w:ind w:firstLine="420" w:firstLineChars="175"/>
        <w:rPr>
          <w:rFonts w:eastAsia="宋体"/>
          <w:color w:val="000000"/>
          <w:sz w:val="24"/>
          <w:szCs w:val="20"/>
          <w:highlight w:val="none"/>
        </w:rPr>
      </w:pPr>
      <w:r>
        <w:rPr>
          <w:rFonts w:eastAsia="宋体"/>
          <w:color w:val="000000"/>
          <w:sz w:val="24"/>
          <w:szCs w:val="20"/>
          <w:highlight w:val="none"/>
        </w:rPr>
        <w:t>（3）我方已提供的全部文件资料是真实、准确的，并对此承担一切法律后果。</w:t>
      </w:r>
    </w:p>
    <w:p w14:paraId="7DE2359C">
      <w:pPr>
        <w:tabs>
          <w:tab w:val="left" w:pos="5580"/>
        </w:tabs>
        <w:spacing w:line="360" w:lineRule="auto"/>
        <w:ind w:firstLine="420" w:firstLineChars="175"/>
        <w:rPr>
          <w:rFonts w:eastAsia="宋体"/>
          <w:color w:val="000000"/>
          <w:sz w:val="24"/>
          <w:highlight w:val="none"/>
        </w:rPr>
      </w:pPr>
      <w:r>
        <w:rPr>
          <w:rFonts w:eastAsia="宋体"/>
          <w:color w:val="000000"/>
          <w:sz w:val="24"/>
          <w:szCs w:val="20"/>
          <w:highlight w:val="none"/>
        </w:rPr>
        <w:t>（4）如我方成交，我方将在法律规定的期限内与你方签订合同，按照竞争性磋商文件要求提交履约保证金，并在合同约定的期限内完成合同规定的全部义务。</w:t>
      </w:r>
    </w:p>
    <w:p w14:paraId="4E702D7E">
      <w:pPr>
        <w:spacing w:line="360" w:lineRule="auto"/>
        <w:ind w:left="420"/>
        <w:rPr>
          <w:rFonts w:eastAsia="宋体"/>
          <w:color w:val="000000"/>
          <w:sz w:val="24"/>
          <w:highlight w:val="none"/>
        </w:rPr>
      </w:pPr>
      <w:r>
        <w:rPr>
          <w:rFonts w:eastAsia="宋体"/>
          <w:color w:val="000000"/>
          <w:sz w:val="24"/>
          <w:highlight w:val="none"/>
        </w:rPr>
        <w:t>2. 其他补充条款（如有）：</w:t>
      </w:r>
      <w:r>
        <w:rPr>
          <w:rFonts w:eastAsia="宋体"/>
          <w:sz w:val="24"/>
          <w:highlight w:val="none"/>
        </w:rPr>
        <w:t>______</w:t>
      </w:r>
      <w:r>
        <w:rPr>
          <w:rFonts w:eastAsia="宋体"/>
          <w:color w:val="000000"/>
          <w:sz w:val="24"/>
          <w:highlight w:val="none"/>
        </w:rPr>
        <w:t>。</w:t>
      </w:r>
    </w:p>
    <w:p w14:paraId="3582E8BE">
      <w:pPr>
        <w:spacing w:line="360" w:lineRule="auto"/>
        <w:ind w:firstLine="480" w:firstLineChars="200"/>
        <w:rPr>
          <w:rFonts w:eastAsia="宋体"/>
          <w:color w:val="000000"/>
          <w:sz w:val="24"/>
          <w:highlight w:val="none"/>
        </w:rPr>
      </w:pPr>
      <w:r>
        <w:rPr>
          <w:rFonts w:eastAsia="宋体"/>
          <w:color w:val="000000"/>
          <w:sz w:val="24"/>
          <w:highlight w:val="none"/>
        </w:rPr>
        <w:t>与本磋商有关的一切正式往来信函请寄：</w:t>
      </w:r>
    </w:p>
    <w:p w14:paraId="60DF51EE">
      <w:pPr>
        <w:tabs>
          <w:tab w:val="left" w:pos="5580"/>
        </w:tabs>
        <w:spacing w:line="360" w:lineRule="auto"/>
        <w:ind w:left="420"/>
        <w:rPr>
          <w:rFonts w:eastAsia="宋体"/>
          <w:color w:val="000000"/>
          <w:sz w:val="24"/>
          <w:szCs w:val="20"/>
          <w:highlight w:val="none"/>
        </w:rPr>
      </w:pPr>
    </w:p>
    <w:p w14:paraId="516C604E">
      <w:pPr>
        <w:tabs>
          <w:tab w:val="left" w:pos="5580"/>
        </w:tabs>
        <w:spacing w:line="360" w:lineRule="auto"/>
        <w:ind w:left="420"/>
        <w:rPr>
          <w:rFonts w:eastAsia="宋体"/>
          <w:color w:val="000000"/>
          <w:sz w:val="24"/>
          <w:szCs w:val="20"/>
          <w:highlight w:val="none"/>
        </w:rPr>
      </w:pPr>
      <w:r>
        <w:rPr>
          <w:rFonts w:eastAsia="宋体"/>
          <w:color w:val="000000"/>
          <w:sz w:val="24"/>
          <w:szCs w:val="20"/>
          <w:highlight w:val="none"/>
        </w:rPr>
        <w:t>地址</w:t>
      </w:r>
      <w:r>
        <w:rPr>
          <w:rFonts w:eastAsia="宋体"/>
          <w:bCs/>
          <w:color w:val="000000"/>
          <w:sz w:val="24"/>
          <w:highlight w:val="none"/>
        </w:rPr>
        <w:t>_________________________</w:t>
      </w:r>
      <w:r>
        <w:rPr>
          <w:rFonts w:eastAsia="宋体"/>
          <w:color w:val="000000"/>
          <w:sz w:val="24"/>
          <w:szCs w:val="20"/>
          <w:highlight w:val="none"/>
        </w:rPr>
        <w:t xml:space="preserve">      传   真</w:t>
      </w:r>
      <w:r>
        <w:rPr>
          <w:rFonts w:eastAsia="宋体"/>
          <w:bCs/>
          <w:color w:val="000000"/>
          <w:sz w:val="24"/>
          <w:highlight w:val="none"/>
        </w:rPr>
        <w:t>_________________________</w:t>
      </w:r>
    </w:p>
    <w:p w14:paraId="5F882113">
      <w:pPr>
        <w:tabs>
          <w:tab w:val="left" w:pos="5580"/>
        </w:tabs>
        <w:spacing w:line="360" w:lineRule="auto"/>
        <w:ind w:left="420"/>
        <w:rPr>
          <w:rFonts w:eastAsia="宋体"/>
          <w:color w:val="000000"/>
          <w:sz w:val="24"/>
          <w:szCs w:val="20"/>
          <w:highlight w:val="none"/>
        </w:rPr>
      </w:pPr>
      <w:r>
        <w:rPr>
          <w:rFonts w:eastAsia="宋体"/>
          <w:color w:val="000000"/>
          <w:sz w:val="24"/>
          <w:szCs w:val="20"/>
          <w:highlight w:val="none"/>
        </w:rPr>
        <w:t>电话</w:t>
      </w:r>
      <w:r>
        <w:rPr>
          <w:rFonts w:eastAsia="宋体"/>
          <w:bCs/>
          <w:color w:val="000000"/>
          <w:sz w:val="24"/>
          <w:highlight w:val="none"/>
        </w:rPr>
        <w:t>_________________________</w:t>
      </w:r>
      <w:r>
        <w:rPr>
          <w:rFonts w:eastAsia="宋体"/>
          <w:color w:val="000000"/>
          <w:sz w:val="24"/>
          <w:szCs w:val="20"/>
          <w:highlight w:val="none"/>
        </w:rPr>
        <w:t xml:space="preserve">      电子函件</w:t>
      </w:r>
      <w:r>
        <w:rPr>
          <w:rFonts w:eastAsia="宋体"/>
          <w:bCs/>
          <w:color w:val="000000"/>
          <w:sz w:val="24"/>
          <w:highlight w:val="none"/>
        </w:rPr>
        <w:t>_________________________</w:t>
      </w:r>
    </w:p>
    <w:p w14:paraId="3A4C0B5A">
      <w:pPr>
        <w:tabs>
          <w:tab w:val="left" w:pos="5580"/>
        </w:tabs>
        <w:spacing w:line="360" w:lineRule="auto"/>
        <w:ind w:left="420"/>
        <w:rPr>
          <w:rFonts w:eastAsia="宋体"/>
          <w:color w:val="000000"/>
          <w:sz w:val="24"/>
          <w:szCs w:val="20"/>
          <w:highlight w:val="none"/>
        </w:rPr>
      </w:pPr>
    </w:p>
    <w:p w14:paraId="763EEC5A">
      <w:pPr>
        <w:tabs>
          <w:tab w:val="left" w:pos="5580"/>
        </w:tabs>
        <w:spacing w:line="360" w:lineRule="auto"/>
        <w:ind w:left="420"/>
        <w:rPr>
          <w:rFonts w:eastAsia="宋体"/>
          <w:color w:val="000000"/>
          <w:sz w:val="24"/>
          <w:szCs w:val="20"/>
          <w:highlight w:val="none"/>
        </w:rPr>
      </w:pPr>
    </w:p>
    <w:p w14:paraId="2092A02D">
      <w:pPr>
        <w:tabs>
          <w:tab w:val="left" w:pos="5580"/>
        </w:tabs>
        <w:spacing w:line="360" w:lineRule="auto"/>
        <w:ind w:left="420"/>
        <w:rPr>
          <w:rFonts w:eastAsia="宋体"/>
          <w:color w:val="000000"/>
          <w:sz w:val="24"/>
          <w:szCs w:val="20"/>
          <w:highlight w:val="none"/>
        </w:rPr>
      </w:pPr>
    </w:p>
    <w:p w14:paraId="51D6F790">
      <w:pPr>
        <w:autoSpaceDE w:val="0"/>
        <w:autoSpaceDN w:val="0"/>
        <w:adjustRightInd w:val="0"/>
        <w:snapToGrid w:val="0"/>
        <w:spacing w:before="25" w:after="25" w:line="360" w:lineRule="auto"/>
        <w:ind w:right="360" w:firstLine="360" w:firstLineChars="150"/>
        <w:rPr>
          <w:rFonts w:eastAsia="宋体"/>
          <w:color w:val="000000"/>
          <w:sz w:val="24"/>
          <w:highlight w:val="none"/>
          <w:lang w:val="zh-CN"/>
        </w:rPr>
      </w:pPr>
      <w:r>
        <w:rPr>
          <w:rFonts w:eastAsia="宋体"/>
          <w:color w:val="000000"/>
          <w:sz w:val="24"/>
          <w:highlight w:val="none"/>
        </w:rPr>
        <w:t>供应商名称（加盖公章）</w:t>
      </w:r>
      <w:r>
        <w:rPr>
          <w:rFonts w:eastAsia="宋体"/>
          <w:color w:val="000000"/>
          <w:sz w:val="24"/>
          <w:highlight w:val="none"/>
          <w:lang w:val="zh-CN"/>
        </w:rPr>
        <w:t>：</w:t>
      </w:r>
      <w:r>
        <w:rPr>
          <w:rFonts w:eastAsia="宋体"/>
          <w:sz w:val="24"/>
          <w:highlight w:val="none"/>
        </w:rPr>
        <w:t>______</w:t>
      </w:r>
    </w:p>
    <w:p w14:paraId="26226349">
      <w:pPr>
        <w:tabs>
          <w:tab w:val="left" w:pos="5580"/>
        </w:tabs>
        <w:spacing w:line="360" w:lineRule="auto"/>
        <w:ind w:firstLine="360" w:firstLineChars="150"/>
        <w:rPr>
          <w:rFonts w:eastAsia="宋体"/>
          <w:color w:val="000000"/>
          <w:sz w:val="24"/>
          <w:szCs w:val="20"/>
          <w:highlight w:val="none"/>
        </w:rPr>
      </w:pPr>
      <w:r>
        <w:rPr>
          <w:rFonts w:eastAsia="宋体"/>
          <w:color w:val="000000"/>
          <w:sz w:val="24"/>
          <w:szCs w:val="20"/>
          <w:highlight w:val="none"/>
        </w:rPr>
        <w:t xml:space="preserve">日期：____年____月____日  </w:t>
      </w:r>
    </w:p>
    <w:p w14:paraId="0C086F36">
      <w:pPr>
        <w:tabs>
          <w:tab w:val="left" w:pos="5580"/>
        </w:tabs>
        <w:spacing w:line="360" w:lineRule="auto"/>
        <w:ind w:left="420"/>
        <w:jc w:val="left"/>
        <w:rPr>
          <w:rFonts w:eastAsia="宋体"/>
          <w:color w:val="000000"/>
          <w:sz w:val="24"/>
          <w:szCs w:val="20"/>
          <w:highlight w:val="none"/>
        </w:rPr>
      </w:pPr>
    </w:p>
    <w:p w14:paraId="7CC5A8FD">
      <w:pPr>
        <w:widowControl/>
        <w:jc w:val="left"/>
        <w:rPr>
          <w:rFonts w:eastAsia="宋体"/>
          <w:b/>
          <w:color w:val="000000"/>
          <w:sz w:val="24"/>
          <w:szCs w:val="20"/>
          <w:highlight w:val="none"/>
        </w:rPr>
      </w:pPr>
      <w:r>
        <w:rPr>
          <w:rFonts w:eastAsia="宋体"/>
          <w:b/>
          <w:color w:val="000000"/>
          <w:sz w:val="24"/>
          <w:szCs w:val="20"/>
          <w:highlight w:val="none"/>
        </w:rPr>
        <w:br w:type="page"/>
      </w:r>
    </w:p>
    <w:p w14:paraId="118A7D67">
      <w:pPr>
        <w:widowControl/>
        <w:jc w:val="left"/>
        <w:rPr>
          <w:rFonts w:eastAsia="宋体"/>
          <w:color w:val="000000"/>
          <w:sz w:val="24"/>
          <w:highlight w:val="none"/>
        </w:rPr>
      </w:pPr>
      <w:bookmarkStart w:id="1459" w:name="_Hlt520356243"/>
      <w:bookmarkEnd w:id="1459"/>
      <w:bookmarkStart w:id="1460" w:name="_Hlt520355938"/>
      <w:bookmarkEnd w:id="1460"/>
      <w:bookmarkStart w:id="1461" w:name="_Toc305158899"/>
      <w:bookmarkStart w:id="1462" w:name="_Toc150774762"/>
      <w:bookmarkStart w:id="1463" w:name="_Toc150480795"/>
      <w:bookmarkStart w:id="1464" w:name="_Toc520356218"/>
      <w:bookmarkStart w:id="1465" w:name="_Toc226965830"/>
      <w:bookmarkStart w:id="1466" w:name="_Toc480942350"/>
      <w:bookmarkStart w:id="1467" w:name="_Toc142311059"/>
      <w:bookmarkStart w:id="1468" w:name="_Toc226309801"/>
      <w:bookmarkStart w:id="1469" w:name="_Toc226965747"/>
      <w:bookmarkStart w:id="1470" w:name="_Toc265228395"/>
      <w:bookmarkStart w:id="1471" w:name="_Toc264969247"/>
      <w:bookmarkStart w:id="1472" w:name="_Toc226337253"/>
      <w:bookmarkStart w:id="1473" w:name="_Toc305158825"/>
      <w:bookmarkStart w:id="1474" w:name="_Toc127151557"/>
      <w:bookmarkStart w:id="1475" w:name="_Ref467988705"/>
      <w:bookmarkStart w:id="1476" w:name="_Toc195842922"/>
    </w:p>
    <w:p w14:paraId="2916D7BF">
      <w:pPr>
        <w:tabs>
          <w:tab w:val="left" w:pos="360"/>
        </w:tabs>
        <w:snapToGrid w:val="0"/>
        <w:spacing w:line="360" w:lineRule="auto"/>
        <w:outlineLvl w:val="1"/>
        <w:rPr>
          <w:rFonts w:eastAsia="宋体"/>
          <w:sz w:val="24"/>
          <w:highlight w:val="none"/>
        </w:rPr>
      </w:pPr>
      <w:r>
        <w:rPr>
          <w:rFonts w:eastAsia="宋体"/>
          <w:sz w:val="24"/>
          <w:highlight w:val="none"/>
        </w:rPr>
        <w:t>6  授权委托书</w:t>
      </w:r>
      <w:r>
        <w:rPr>
          <w:spacing w:val="-2"/>
          <w:sz w:val="24"/>
          <w:szCs w:val="24"/>
          <w:highlight w:val="none"/>
        </w:rPr>
        <w:t>（实质性格式）</w:t>
      </w:r>
    </w:p>
    <w:p w14:paraId="44430E19">
      <w:pPr>
        <w:autoSpaceDE w:val="0"/>
        <w:autoSpaceDN w:val="0"/>
        <w:adjustRightInd w:val="0"/>
        <w:spacing w:line="360" w:lineRule="auto"/>
        <w:jc w:val="center"/>
        <w:rPr>
          <w:rFonts w:eastAsia="宋体"/>
          <w:b/>
          <w:color w:val="000000"/>
          <w:sz w:val="36"/>
          <w:szCs w:val="36"/>
          <w:highlight w:val="none"/>
        </w:rPr>
      </w:pPr>
      <w:r>
        <w:rPr>
          <w:rFonts w:hint="eastAsia" w:eastAsia="宋体"/>
          <w:b/>
          <w:color w:val="000000"/>
          <w:sz w:val="36"/>
          <w:szCs w:val="36"/>
          <w:highlight w:val="none"/>
        </w:rPr>
        <w:t>授权委托书</w:t>
      </w:r>
    </w:p>
    <w:p w14:paraId="41C29674">
      <w:pPr>
        <w:spacing w:line="360" w:lineRule="auto"/>
        <w:ind w:firstLine="420"/>
        <w:rPr>
          <w:rFonts w:eastAsia="宋体"/>
          <w:color w:val="000000"/>
          <w:sz w:val="24"/>
          <w:szCs w:val="20"/>
          <w:highlight w:val="none"/>
        </w:rPr>
      </w:pPr>
      <w:r>
        <w:rPr>
          <w:rFonts w:eastAsia="宋体"/>
          <w:color w:val="000000"/>
          <w:sz w:val="24"/>
          <w:szCs w:val="20"/>
          <w:highlight w:val="none"/>
        </w:rPr>
        <w:t>本人____（姓名）系____（供应商名称）的法定代表人（单位负责人），现委托_____ （姓名）为我方代理人。代理人根据授权，以我方名义签署、澄清确认、</w:t>
      </w:r>
      <w:r>
        <w:rPr>
          <w:rFonts w:hint="eastAsia"/>
          <w:color w:val="000000"/>
          <w:sz w:val="24"/>
          <w:szCs w:val="20"/>
          <w:highlight w:val="none"/>
          <w:lang w:val="en-US" w:eastAsia="zh-CN"/>
        </w:rPr>
        <w:t>提</w:t>
      </w:r>
      <w:r>
        <w:rPr>
          <w:rFonts w:eastAsia="宋体"/>
          <w:color w:val="000000"/>
          <w:sz w:val="24"/>
          <w:szCs w:val="20"/>
          <w:highlight w:val="none"/>
        </w:rPr>
        <w:t>交、撤回、修改____（项目名称）响应文件和处理有关事宜，其法律后果由我方承担。</w:t>
      </w:r>
    </w:p>
    <w:p w14:paraId="5A7BCF3D">
      <w:pPr>
        <w:spacing w:line="360" w:lineRule="auto"/>
        <w:ind w:firstLine="420"/>
        <w:rPr>
          <w:rFonts w:eastAsia="宋体"/>
          <w:color w:val="000000"/>
          <w:sz w:val="24"/>
          <w:szCs w:val="20"/>
          <w:highlight w:val="none"/>
        </w:rPr>
      </w:pPr>
      <w:r>
        <w:rPr>
          <w:rFonts w:eastAsia="宋体"/>
          <w:color w:val="000000"/>
          <w:sz w:val="24"/>
          <w:szCs w:val="20"/>
          <w:highlight w:val="none"/>
        </w:rPr>
        <w:t>委托期限：自本授权委托书签署之日起至响应有效期届满之日止。</w:t>
      </w:r>
    </w:p>
    <w:p w14:paraId="54D3A0B2">
      <w:pPr>
        <w:spacing w:line="360" w:lineRule="auto"/>
        <w:ind w:firstLine="420"/>
        <w:rPr>
          <w:rFonts w:eastAsia="宋体"/>
          <w:color w:val="000000"/>
          <w:sz w:val="24"/>
          <w:szCs w:val="20"/>
          <w:highlight w:val="none"/>
        </w:rPr>
      </w:pPr>
      <w:r>
        <w:rPr>
          <w:rFonts w:eastAsia="宋体"/>
          <w:color w:val="000000"/>
          <w:sz w:val="24"/>
          <w:szCs w:val="20"/>
          <w:highlight w:val="none"/>
        </w:rPr>
        <w:t>代理人无转委托权。</w:t>
      </w:r>
      <w:r>
        <w:rPr>
          <w:rFonts w:eastAsia="宋体"/>
          <w:color w:val="000000"/>
          <w:sz w:val="24"/>
          <w:szCs w:val="20"/>
          <w:highlight w:val="none"/>
        </w:rPr>
        <w:cr/>
      </w:r>
    </w:p>
    <w:p w14:paraId="0DFF8634">
      <w:pPr>
        <w:spacing w:line="360" w:lineRule="auto"/>
        <w:rPr>
          <w:rFonts w:eastAsia="宋体"/>
          <w:color w:val="000000"/>
          <w:sz w:val="24"/>
          <w:highlight w:val="none"/>
          <w:lang w:val="zh-CN"/>
        </w:rPr>
      </w:pPr>
      <w:r>
        <w:rPr>
          <w:rFonts w:eastAsia="宋体"/>
          <w:color w:val="000000"/>
          <w:sz w:val="24"/>
          <w:highlight w:val="none"/>
        </w:rPr>
        <w:t>供应商名称（加盖公章）</w:t>
      </w:r>
      <w:r>
        <w:rPr>
          <w:rFonts w:eastAsia="宋体"/>
          <w:color w:val="000000"/>
          <w:sz w:val="24"/>
          <w:highlight w:val="none"/>
          <w:lang w:val="zh-CN"/>
        </w:rPr>
        <w:t>：</w:t>
      </w:r>
      <w:r>
        <w:rPr>
          <w:rFonts w:eastAsia="宋体"/>
          <w:color w:val="000000"/>
          <w:sz w:val="24"/>
          <w:szCs w:val="20"/>
          <w:highlight w:val="none"/>
        </w:rPr>
        <w:t>______________</w:t>
      </w:r>
    </w:p>
    <w:p w14:paraId="7A2DF1CA">
      <w:pPr>
        <w:spacing w:line="360" w:lineRule="auto"/>
        <w:rPr>
          <w:rFonts w:eastAsia="宋体"/>
          <w:color w:val="000000"/>
          <w:sz w:val="24"/>
          <w:szCs w:val="20"/>
          <w:highlight w:val="none"/>
        </w:rPr>
      </w:pPr>
      <w:r>
        <w:rPr>
          <w:rFonts w:eastAsia="宋体"/>
          <w:color w:val="000000"/>
          <w:sz w:val="24"/>
          <w:szCs w:val="20"/>
          <w:highlight w:val="none"/>
        </w:rPr>
        <w:t>法定代表人（单位负责人）（签字或</w:t>
      </w:r>
      <w:r>
        <w:rPr>
          <w:rFonts w:hint="eastAsia"/>
          <w:color w:val="000000"/>
          <w:sz w:val="24"/>
          <w:szCs w:val="20"/>
          <w:highlight w:val="none"/>
          <w:lang w:val="en-US" w:eastAsia="zh-CN"/>
        </w:rPr>
        <w:t>签章</w:t>
      </w:r>
      <w:r>
        <w:rPr>
          <w:rFonts w:eastAsia="宋体"/>
          <w:color w:val="000000"/>
          <w:sz w:val="24"/>
          <w:szCs w:val="20"/>
          <w:highlight w:val="none"/>
        </w:rPr>
        <w:t>）：______________</w:t>
      </w:r>
    </w:p>
    <w:p w14:paraId="61186C82">
      <w:pPr>
        <w:autoSpaceDE w:val="0"/>
        <w:autoSpaceDN w:val="0"/>
        <w:adjustRightInd w:val="0"/>
        <w:snapToGrid w:val="0"/>
        <w:spacing w:line="360" w:lineRule="auto"/>
        <w:rPr>
          <w:rFonts w:eastAsia="宋体"/>
          <w:color w:val="000000"/>
          <w:sz w:val="24"/>
          <w:highlight w:val="none"/>
          <w:lang w:val="zh-CN"/>
        </w:rPr>
      </w:pPr>
      <w:r>
        <w:rPr>
          <w:rFonts w:eastAsia="宋体"/>
          <w:color w:val="000000"/>
          <w:sz w:val="24"/>
          <w:highlight w:val="none"/>
        </w:rPr>
        <w:t>委托代理人（签字</w:t>
      </w:r>
      <w:r>
        <w:rPr>
          <w:rFonts w:hint="eastAsia" w:ascii="宋体" w:hAnsi="宋体"/>
          <w:color w:val="000000"/>
          <w:sz w:val="24"/>
          <w:szCs w:val="20"/>
          <w:highlight w:val="none"/>
          <w:lang w:val="en-US" w:eastAsia="zh-CN"/>
        </w:rPr>
        <w:t>或</w:t>
      </w:r>
      <w:r>
        <w:rPr>
          <w:rFonts w:hint="eastAsia" w:ascii="宋体" w:hAnsi="宋体"/>
          <w:color w:val="000000"/>
          <w:sz w:val="24"/>
          <w:szCs w:val="20"/>
          <w:highlight w:val="none"/>
        </w:rPr>
        <w:t>签章</w:t>
      </w:r>
      <w:r>
        <w:rPr>
          <w:rFonts w:eastAsia="宋体"/>
          <w:color w:val="000000"/>
          <w:sz w:val="24"/>
          <w:highlight w:val="none"/>
        </w:rPr>
        <w:t>）：</w:t>
      </w:r>
      <w:r>
        <w:rPr>
          <w:rFonts w:eastAsia="宋体"/>
          <w:color w:val="000000"/>
          <w:sz w:val="24"/>
          <w:szCs w:val="20"/>
          <w:highlight w:val="none"/>
        </w:rPr>
        <w:t>______________</w:t>
      </w:r>
      <w:r>
        <w:rPr>
          <w:rFonts w:eastAsia="宋体"/>
          <w:color w:val="000000"/>
          <w:sz w:val="24"/>
          <w:highlight w:val="none"/>
          <w:lang w:val="zh-CN"/>
        </w:rPr>
        <w:t xml:space="preserve">        </w:t>
      </w:r>
    </w:p>
    <w:p w14:paraId="39519844">
      <w:pPr>
        <w:autoSpaceDE w:val="0"/>
        <w:autoSpaceDN w:val="0"/>
        <w:adjustRightInd w:val="0"/>
        <w:snapToGrid w:val="0"/>
        <w:spacing w:line="360" w:lineRule="auto"/>
        <w:rPr>
          <w:rFonts w:eastAsia="宋体"/>
          <w:color w:val="000000"/>
          <w:sz w:val="24"/>
          <w:highlight w:val="none"/>
          <w:lang w:val="zh-CN"/>
        </w:rPr>
      </w:pPr>
      <w:r>
        <w:rPr>
          <w:rFonts w:eastAsia="宋体"/>
          <w:color w:val="000000"/>
          <w:sz w:val="24"/>
          <w:highlight w:val="none"/>
        </w:rPr>
        <w:t>日期：</w:t>
      </w:r>
      <w:r>
        <w:rPr>
          <w:rFonts w:eastAsia="宋体"/>
          <w:color w:val="000000"/>
          <w:sz w:val="24"/>
          <w:szCs w:val="20"/>
          <w:highlight w:val="none"/>
        </w:rPr>
        <w:t>____</w:t>
      </w:r>
      <w:r>
        <w:rPr>
          <w:rFonts w:eastAsia="宋体"/>
          <w:color w:val="000000"/>
          <w:sz w:val="24"/>
          <w:highlight w:val="none"/>
        </w:rPr>
        <w:t>年</w:t>
      </w:r>
      <w:r>
        <w:rPr>
          <w:rFonts w:eastAsia="宋体"/>
          <w:color w:val="000000"/>
          <w:sz w:val="24"/>
          <w:szCs w:val="20"/>
          <w:highlight w:val="none"/>
        </w:rPr>
        <w:t>____</w:t>
      </w:r>
      <w:r>
        <w:rPr>
          <w:rFonts w:eastAsia="宋体"/>
          <w:color w:val="000000"/>
          <w:sz w:val="24"/>
          <w:highlight w:val="none"/>
        </w:rPr>
        <w:t>月</w:t>
      </w:r>
      <w:r>
        <w:rPr>
          <w:rFonts w:eastAsia="宋体"/>
          <w:color w:val="000000"/>
          <w:sz w:val="24"/>
          <w:szCs w:val="20"/>
          <w:highlight w:val="none"/>
        </w:rPr>
        <w:t>____</w:t>
      </w:r>
      <w:r>
        <w:rPr>
          <w:rFonts w:eastAsia="宋体"/>
          <w:color w:val="000000"/>
          <w:sz w:val="24"/>
          <w:highlight w:val="none"/>
        </w:rPr>
        <w:t>日</w:t>
      </w:r>
    </w:p>
    <w:p w14:paraId="7290B1D8">
      <w:pPr>
        <w:tabs>
          <w:tab w:val="left" w:pos="5580"/>
        </w:tabs>
        <w:spacing w:line="360" w:lineRule="auto"/>
        <w:ind w:firstLine="480" w:firstLineChars="200"/>
        <w:rPr>
          <w:rFonts w:eastAsia="宋体"/>
          <w:color w:val="000000"/>
          <w:sz w:val="24"/>
          <w:szCs w:val="20"/>
          <w:highlight w:val="none"/>
        </w:rPr>
      </w:pPr>
    </w:p>
    <w:p w14:paraId="5C5BA26F">
      <w:pPr>
        <w:pStyle w:val="17"/>
        <w:spacing w:before="79" w:line="219" w:lineRule="auto"/>
        <w:ind w:left="141"/>
        <w:rPr>
          <w:sz w:val="24"/>
          <w:szCs w:val="24"/>
          <w:highlight w:val="none"/>
        </w:rPr>
      </w:pPr>
      <w:r>
        <w:rPr>
          <w:spacing w:val="-4"/>
          <w:sz w:val="24"/>
          <w:szCs w:val="24"/>
          <w:highlight w:val="none"/>
        </w:rPr>
        <w:t>附：法定代表人及委托代理人身份证明文件</w:t>
      </w:r>
      <w:r>
        <w:rPr>
          <w:rFonts w:hint="eastAsia"/>
          <w:spacing w:val="-4"/>
          <w:sz w:val="24"/>
          <w:szCs w:val="24"/>
          <w:highlight w:val="none"/>
          <w:lang w:eastAsia="zh-CN"/>
        </w:rPr>
        <w:t>复印件</w:t>
      </w:r>
      <w:r>
        <w:rPr>
          <w:spacing w:val="-4"/>
          <w:sz w:val="24"/>
          <w:szCs w:val="24"/>
          <w:highlight w:val="none"/>
        </w:rPr>
        <w:t>：</w:t>
      </w:r>
    </w:p>
    <w:p w14:paraId="11722C00">
      <w:pPr>
        <w:tabs>
          <w:tab w:val="left" w:pos="5580"/>
        </w:tabs>
        <w:spacing w:line="360" w:lineRule="auto"/>
        <w:jc w:val="left"/>
        <w:rPr>
          <w:rFonts w:eastAsia="宋体"/>
          <w:color w:val="000000"/>
          <w:sz w:val="24"/>
          <w:szCs w:val="20"/>
          <w:highlight w:val="none"/>
        </w:rPr>
      </w:pPr>
      <w:r>
        <w:rPr>
          <w:position w:val="-47"/>
          <w:highlight w:val="none"/>
        </w:rPr>
        <w:drawing>
          <wp:inline distT="0" distB="0" distL="114300" distR="114300">
            <wp:extent cx="5274310" cy="1503680"/>
            <wp:effectExtent l="0" t="0" r="13970" b="5080"/>
            <wp:docPr id="1" name="IM 178"/>
            <wp:cNvGraphicFramePr/>
            <a:graphic xmlns:a="http://schemas.openxmlformats.org/drawingml/2006/main">
              <a:graphicData uri="http://schemas.openxmlformats.org/drawingml/2006/picture">
                <pic:pic xmlns:pic="http://schemas.openxmlformats.org/drawingml/2006/picture">
                  <pic:nvPicPr>
                    <pic:cNvPr id="1" name="IM 178"/>
                    <pic:cNvPicPr/>
                  </pic:nvPicPr>
                  <pic:blipFill>
                    <a:blip r:embed="rId58"/>
                    <a:stretch>
                      <a:fillRect/>
                    </a:stretch>
                  </pic:blipFill>
                  <pic:spPr>
                    <a:xfrm>
                      <a:off x="0" y="0"/>
                      <a:ext cx="5274310" cy="1503680"/>
                    </a:xfrm>
                    <a:prstGeom prst="rect">
                      <a:avLst/>
                    </a:prstGeom>
                    <a:noFill/>
                    <a:ln>
                      <a:noFill/>
                    </a:ln>
                  </pic:spPr>
                </pic:pic>
              </a:graphicData>
            </a:graphic>
          </wp:inline>
        </w:drawing>
      </w:r>
    </w:p>
    <w:p w14:paraId="6D1733E7">
      <w:pPr>
        <w:tabs>
          <w:tab w:val="left" w:pos="5580"/>
        </w:tabs>
        <w:spacing w:line="360" w:lineRule="auto"/>
        <w:jc w:val="left"/>
        <w:rPr>
          <w:rFonts w:eastAsia="宋体"/>
          <w:color w:val="000000"/>
          <w:sz w:val="24"/>
          <w:szCs w:val="20"/>
          <w:highlight w:val="none"/>
        </w:rPr>
      </w:pPr>
      <w:r>
        <w:rPr>
          <w:rFonts w:eastAsia="宋体"/>
          <w:color w:val="000000"/>
          <w:sz w:val="24"/>
          <w:szCs w:val="20"/>
          <w:highlight w:val="none"/>
        </w:rPr>
        <w:t>说明：</w:t>
      </w:r>
    </w:p>
    <w:p w14:paraId="7DEBE03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宋体"/>
          <w:color w:val="000000"/>
          <w:sz w:val="24"/>
          <w:szCs w:val="24"/>
          <w:highlight w:val="none"/>
        </w:rPr>
      </w:pPr>
      <w:r>
        <w:rPr>
          <w:rFonts w:hint="eastAsia" w:eastAsia="宋体"/>
          <w:color w:val="000000"/>
          <w:sz w:val="24"/>
          <w:szCs w:val="24"/>
          <w:highlight w:val="none"/>
        </w:rPr>
        <w:t>1.若供应商为事业单位或其他组织或分支机构，则法定代表人(单位负责人)处的签署人可为单位负责人。</w:t>
      </w:r>
    </w:p>
    <w:p w14:paraId="024D7CF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宋体"/>
          <w:color w:val="000000"/>
          <w:sz w:val="24"/>
          <w:szCs w:val="24"/>
          <w:highlight w:val="none"/>
        </w:rPr>
      </w:pPr>
      <w:r>
        <w:rPr>
          <w:rFonts w:hint="eastAsia" w:eastAsia="宋体"/>
          <w:color w:val="000000"/>
          <w:sz w:val="24"/>
          <w:szCs w:val="24"/>
          <w:highlight w:val="none"/>
        </w:rPr>
        <w:t>2.若响应文件中签字之处均为法定代表人 (单位负责人) 本人签署，则可不提供本《授权委托书》，但须提供《法定代表人 (单位负责人)身份证明》: 否则，不需要提供《法定代表人 (单位负责人) 身份证明》。</w:t>
      </w:r>
    </w:p>
    <w:p w14:paraId="7CB3CFD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宋体"/>
          <w:color w:val="000000"/>
          <w:sz w:val="24"/>
          <w:szCs w:val="24"/>
          <w:highlight w:val="none"/>
        </w:rPr>
      </w:pPr>
      <w:r>
        <w:rPr>
          <w:rFonts w:hint="eastAsia" w:eastAsia="宋体"/>
          <w:color w:val="000000"/>
          <w:sz w:val="24"/>
          <w:szCs w:val="24"/>
          <w:highlight w:val="none"/>
        </w:rPr>
        <w:t>3.供应商为自然人的情形，可不提供本《授权委托书》</w:t>
      </w:r>
    </w:p>
    <w:p w14:paraId="125A82E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eastAsia="宋体"/>
          <w:color w:val="000000"/>
          <w:sz w:val="30"/>
          <w:szCs w:val="30"/>
          <w:highlight w:val="none"/>
        </w:rPr>
      </w:pPr>
      <w:r>
        <w:rPr>
          <w:rFonts w:hint="eastAsia" w:eastAsia="宋体"/>
          <w:color w:val="000000"/>
          <w:sz w:val="24"/>
          <w:szCs w:val="24"/>
          <w:highlight w:val="none"/>
        </w:rPr>
        <w:t>4.供应商应随本《授权委托书》同时提供法定代表人 (单位负责人)及委托代理人的有效的身份证、护照等身份证明文件</w:t>
      </w:r>
      <w:r>
        <w:rPr>
          <w:rFonts w:hint="eastAsia"/>
          <w:color w:val="000000"/>
          <w:sz w:val="24"/>
          <w:szCs w:val="24"/>
          <w:highlight w:val="none"/>
          <w:lang w:eastAsia="zh-CN"/>
        </w:rPr>
        <w:t>复印件</w:t>
      </w:r>
      <w:r>
        <w:rPr>
          <w:rFonts w:hint="eastAsia" w:eastAsia="宋体"/>
          <w:color w:val="000000"/>
          <w:sz w:val="24"/>
          <w:szCs w:val="24"/>
          <w:highlight w:val="none"/>
        </w:rPr>
        <w:t>。提供身份证的，应同时提供身份证</w:t>
      </w:r>
      <w:r>
        <w:rPr>
          <w:rFonts w:hint="eastAsia" w:eastAsia="宋体"/>
          <w:b/>
          <w:bCs/>
          <w:color w:val="000000"/>
          <w:sz w:val="24"/>
          <w:szCs w:val="24"/>
          <w:highlight w:val="none"/>
        </w:rPr>
        <w:t>双面</w:t>
      </w:r>
      <w:r>
        <w:rPr>
          <w:rFonts w:hint="eastAsia"/>
          <w:color w:val="000000"/>
          <w:sz w:val="24"/>
          <w:szCs w:val="24"/>
          <w:highlight w:val="none"/>
          <w:lang w:eastAsia="zh-CN"/>
        </w:rPr>
        <w:t>复印件</w:t>
      </w:r>
      <w:r>
        <w:rPr>
          <w:rFonts w:hint="eastAsia" w:eastAsia="宋体"/>
          <w:color w:val="000000"/>
          <w:sz w:val="24"/>
          <w:szCs w:val="24"/>
          <w:highlight w:val="none"/>
        </w:rPr>
        <w:t>。</w:t>
      </w:r>
      <w:r>
        <w:rPr>
          <w:rFonts w:eastAsia="宋体"/>
          <w:color w:val="000000"/>
          <w:sz w:val="30"/>
          <w:szCs w:val="30"/>
          <w:highlight w:val="none"/>
        </w:rPr>
        <w:br w:type="page"/>
      </w:r>
    </w:p>
    <w:p w14:paraId="320314B7">
      <w:pPr>
        <w:autoSpaceDE w:val="0"/>
        <w:autoSpaceDN w:val="0"/>
        <w:adjustRightInd w:val="0"/>
        <w:spacing w:line="360" w:lineRule="auto"/>
        <w:jc w:val="center"/>
        <w:rPr>
          <w:rFonts w:eastAsia="宋体"/>
          <w:b/>
          <w:color w:val="000000"/>
          <w:sz w:val="36"/>
          <w:szCs w:val="36"/>
          <w:highlight w:val="none"/>
        </w:rPr>
      </w:pPr>
      <w:r>
        <w:rPr>
          <w:rFonts w:hint="eastAsia" w:eastAsia="宋体"/>
          <w:b/>
          <w:color w:val="000000"/>
          <w:sz w:val="36"/>
          <w:szCs w:val="36"/>
          <w:highlight w:val="none"/>
        </w:rPr>
        <w:t>法定代表人（单位负责人）身份证明</w:t>
      </w:r>
    </w:p>
    <w:p w14:paraId="7A2DA005">
      <w:pPr>
        <w:kinsoku w:val="0"/>
        <w:overflowPunct w:val="0"/>
        <w:spacing w:line="200" w:lineRule="exact"/>
        <w:rPr>
          <w:rFonts w:eastAsia="宋体"/>
          <w:sz w:val="20"/>
          <w:szCs w:val="20"/>
          <w:highlight w:val="none"/>
        </w:rPr>
      </w:pPr>
    </w:p>
    <w:p w14:paraId="42CC2B0C">
      <w:pPr>
        <w:tabs>
          <w:tab w:val="left" w:pos="5580"/>
        </w:tabs>
        <w:spacing w:line="360" w:lineRule="auto"/>
        <w:rPr>
          <w:rFonts w:eastAsia="宋体"/>
          <w:color w:val="000000"/>
          <w:sz w:val="24"/>
          <w:highlight w:val="none"/>
        </w:rPr>
      </w:pPr>
      <w:r>
        <w:rPr>
          <w:rFonts w:eastAsia="宋体"/>
          <w:color w:val="000000"/>
          <w:sz w:val="24"/>
          <w:highlight w:val="none"/>
        </w:rPr>
        <w:t>致：</w:t>
      </w:r>
      <w:r>
        <w:rPr>
          <w:rFonts w:eastAsia="宋体"/>
          <w:color w:val="000000"/>
          <w:sz w:val="24"/>
          <w:szCs w:val="20"/>
          <w:highlight w:val="none"/>
        </w:rPr>
        <w:t>____</w:t>
      </w:r>
      <w:r>
        <w:rPr>
          <w:rFonts w:eastAsia="宋体"/>
          <w:color w:val="000000"/>
          <w:sz w:val="24"/>
          <w:highlight w:val="none"/>
        </w:rPr>
        <w:t>（采购人或采购代理机构）</w:t>
      </w:r>
    </w:p>
    <w:p w14:paraId="3F096351">
      <w:pPr>
        <w:pStyle w:val="17"/>
        <w:tabs>
          <w:tab w:val="left" w:pos="2412"/>
          <w:tab w:val="left" w:pos="3883"/>
          <w:tab w:val="left" w:pos="5352"/>
          <w:tab w:val="left" w:pos="6821"/>
        </w:tabs>
        <w:kinsoku w:val="0"/>
        <w:overflowPunct w:val="0"/>
        <w:spacing w:line="335" w:lineRule="exact"/>
        <w:ind w:firstLine="480" w:firstLineChars="200"/>
        <w:rPr>
          <w:rFonts w:ascii="Times New Roman" w:hAnsi="Times New Roman" w:eastAsia="宋体"/>
          <w:highlight w:val="none"/>
        </w:rPr>
      </w:pPr>
      <w:r>
        <w:rPr>
          <w:rFonts w:ascii="Times New Roman" w:hAnsi="Times New Roman" w:eastAsia="宋体"/>
          <w:highlight w:val="none"/>
        </w:rPr>
        <w:t>兹证明，</w:t>
      </w:r>
    </w:p>
    <w:p w14:paraId="7DA1A3FC">
      <w:pPr>
        <w:pStyle w:val="17"/>
        <w:tabs>
          <w:tab w:val="left" w:pos="1690"/>
          <w:tab w:val="left" w:pos="3400"/>
          <w:tab w:val="left" w:pos="5110"/>
          <w:tab w:val="left" w:pos="6821"/>
        </w:tabs>
        <w:kinsoku w:val="0"/>
        <w:overflowPunct w:val="0"/>
        <w:spacing w:line="335" w:lineRule="exact"/>
        <w:rPr>
          <w:rFonts w:ascii="Times New Roman" w:hAnsi="Times New Roman" w:eastAsia="宋体"/>
          <w:highlight w:val="none"/>
        </w:rPr>
      </w:pPr>
      <w:r>
        <w:rPr>
          <w:rFonts w:ascii="Times New Roman" w:hAnsi="Times New Roman" w:eastAsia="宋体"/>
          <w:highlight w:val="none"/>
        </w:rPr>
        <w:t>姓名：</w:t>
      </w:r>
      <w:r>
        <w:rPr>
          <w:rFonts w:ascii="Times New Roman" w:hAnsi="Times New Roman" w:eastAsia="宋体"/>
          <w:color w:val="000000"/>
          <w:szCs w:val="20"/>
          <w:highlight w:val="none"/>
        </w:rPr>
        <w:t>____</w:t>
      </w:r>
      <w:r>
        <w:rPr>
          <w:rFonts w:ascii="Times New Roman" w:hAnsi="Times New Roman" w:eastAsia="宋体"/>
          <w:highlight w:val="none"/>
        </w:rPr>
        <w:t>性别：</w:t>
      </w:r>
      <w:r>
        <w:rPr>
          <w:rFonts w:ascii="Times New Roman" w:hAnsi="Times New Roman" w:eastAsia="宋体"/>
          <w:color w:val="000000"/>
          <w:szCs w:val="20"/>
          <w:highlight w:val="none"/>
        </w:rPr>
        <w:t>____</w:t>
      </w:r>
      <w:r>
        <w:rPr>
          <w:rFonts w:ascii="Times New Roman" w:hAnsi="Times New Roman" w:eastAsia="宋体"/>
          <w:highlight w:val="none"/>
        </w:rPr>
        <w:t>年龄：</w:t>
      </w:r>
      <w:r>
        <w:rPr>
          <w:rFonts w:ascii="Times New Roman" w:hAnsi="Times New Roman" w:eastAsia="宋体"/>
          <w:color w:val="000000"/>
          <w:szCs w:val="20"/>
          <w:highlight w:val="none"/>
        </w:rPr>
        <w:t>____</w:t>
      </w:r>
      <w:r>
        <w:rPr>
          <w:rFonts w:ascii="Times New Roman" w:hAnsi="Times New Roman" w:eastAsia="宋体"/>
          <w:highlight w:val="none"/>
        </w:rPr>
        <w:t>职务：</w:t>
      </w:r>
      <w:r>
        <w:rPr>
          <w:rFonts w:ascii="Times New Roman" w:hAnsi="Times New Roman" w:eastAsia="宋体"/>
          <w:color w:val="000000"/>
          <w:szCs w:val="20"/>
          <w:highlight w:val="none"/>
        </w:rPr>
        <w:t>____</w:t>
      </w:r>
    </w:p>
    <w:p w14:paraId="603595EC">
      <w:pPr>
        <w:pStyle w:val="17"/>
        <w:tabs>
          <w:tab w:val="left" w:pos="2412"/>
          <w:tab w:val="left" w:pos="3883"/>
          <w:tab w:val="left" w:pos="5352"/>
          <w:tab w:val="left" w:pos="6821"/>
        </w:tabs>
        <w:kinsoku w:val="0"/>
        <w:overflowPunct w:val="0"/>
        <w:spacing w:line="335" w:lineRule="exact"/>
        <w:rPr>
          <w:rFonts w:ascii="Times New Roman" w:hAnsi="Times New Roman" w:eastAsia="宋体"/>
          <w:highlight w:val="none"/>
        </w:rPr>
      </w:pPr>
    </w:p>
    <w:p w14:paraId="6287FAB8">
      <w:pPr>
        <w:pStyle w:val="17"/>
        <w:tabs>
          <w:tab w:val="left" w:pos="2250"/>
          <w:tab w:val="left" w:pos="2412"/>
          <w:tab w:val="left" w:pos="3883"/>
          <w:tab w:val="left" w:pos="5352"/>
          <w:tab w:val="left" w:pos="6821"/>
          <w:tab w:val="clear" w:pos="567"/>
        </w:tabs>
        <w:kinsoku w:val="0"/>
        <w:overflowPunct w:val="0"/>
        <w:spacing w:line="335" w:lineRule="exact"/>
        <w:rPr>
          <w:rFonts w:ascii="Times New Roman" w:hAnsi="Times New Roman" w:eastAsia="宋体"/>
          <w:highlight w:val="none"/>
        </w:rPr>
      </w:pPr>
      <w:r>
        <w:rPr>
          <w:rFonts w:ascii="Times New Roman" w:hAnsi="Times New Roman" w:eastAsia="宋体"/>
          <w:highlight w:val="none"/>
        </w:rPr>
        <w:t>系</w:t>
      </w:r>
      <w:r>
        <w:rPr>
          <w:rFonts w:ascii="Times New Roman" w:hAnsi="Times New Roman" w:eastAsia="宋体"/>
          <w:color w:val="000000"/>
          <w:szCs w:val="20"/>
          <w:highlight w:val="none"/>
        </w:rPr>
        <w:t>__________</w:t>
      </w:r>
      <w:r>
        <w:rPr>
          <w:rFonts w:ascii="Times New Roman" w:hAnsi="Times New Roman" w:eastAsia="宋体"/>
          <w:highlight w:val="none"/>
        </w:rPr>
        <w:t>（供应商名称）的法定代表人（单位负责人）。</w:t>
      </w:r>
    </w:p>
    <w:p w14:paraId="4C30D9B3">
      <w:pPr>
        <w:pStyle w:val="17"/>
        <w:tabs>
          <w:tab w:val="left" w:pos="2412"/>
          <w:tab w:val="left" w:pos="3883"/>
          <w:tab w:val="left" w:pos="5352"/>
          <w:tab w:val="left" w:pos="6821"/>
        </w:tabs>
        <w:kinsoku w:val="0"/>
        <w:overflowPunct w:val="0"/>
        <w:spacing w:line="335" w:lineRule="exact"/>
        <w:rPr>
          <w:rFonts w:ascii="Times New Roman" w:hAnsi="Times New Roman" w:eastAsia="宋体"/>
          <w:highlight w:val="none"/>
        </w:rPr>
      </w:pPr>
    </w:p>
    <w:p w14:paraId="517AF3A5">
      <w:pPr>
        <w:pStyle w:val="17"/>
        <w:tabs>
          <w:tab w:val="left" w:pos="2412"/>
          <w:tab w:val="left" w:pos="3883"/>
          <w:tab w:val="left" w:pos="5352"/>
          <w:tab w:val="left" w:pos="6821"/>
        </w:tabs>
        <w:kinsoku w:val="0"/>
        <w:overflowPunct w:val="0"/>
        <w:spacing w:line="335" w:lineRule="exact"/>
        <w:rPr>
          <w:rFonts w:ascii="Times New Roman" w:hAnsi="Times New Roman" w:eastAsia="宋体"/>
          <w:highlight w:val="none"/>
        </w:rPr>
      </w:pPr>
    </w:p>
    <w:p w14:paraId="040B9CBD">
      <w:pPr>
        <w:pStyle w:val="17"/>
        <w:tabs>
          <w:tab w:val="left" w:pos="2412"/>
          <w:tab w:val="left" w:pos="3883"/>
          <w:tab w:val="left" w:pos="5352"/>
          <w:tab w:val="left" w:pos="6821"/>
        </w:tabs>
        <w:kinsoku w:val="0"/>
        <w:overflowPunct w:val="0"/>
        <w:spacing w:line="335" w:lineRule="exact"/>
        <w:rPr>
          <w:rFonts w:ascii="Times New Roman" w:hAnsi="Times New Roman" w:eastAsia="宋体"/>
          <w:highlight w:val="none"/>
        </w:rPr>
      </w:pPr>
    </w:p>
    <w:p w14:paraId="71692915">
      <w:pPr>
        <w:pStyle w:val="17"/>
        <w:kinsoku w:val="0"/>
        <w:overflowPunct w:val="0"/>
        <w:spacing w:line="583" w:lineRule="auto"/>
        <w:ind w:right="-46"/>
        <w:rPr>
          <w:rFonts w:hint="eastAsia" w:ascii="Times New Roman" w:hAnsi="Times New Roman" w:eastAsia="宋体"/>
          <w:spacing w:val="-3"/>
          <w:highlight w:val="none"/>
          <w:lang w:eastAsia="zh-CN"/>
        </w:rPr>
      </w:pPr>
      <w:r>
        <w:rPr>
          <w:rFonts w:ascii="Times New Roman" w:hAnsi="Times New Roman" w:eastAsia="宋体"/>
          <w:highlight w:val="none"/>
        </w:rPr>
        <w:t>附：</w:t>
      </w:r>
      <w:r>
        <w:rPr>
          <w:rFonts w:ascii="Times New Roman" w:hAnsi="Times New Roman" w:eastAsia="宋体"/>
          <w:spacing w:val="-3"/>
          <w:highlight w:val="none"/>
        </w:rPr>
        <w:t>法</w:t>
      </w:r>
      <w:r>
        <w:rPr>
          <w:rFonts w:ascii="Times New Roman" w:hAnsi="Times New Roman" w:eastAsia="宋体"/>
          <w:highlight w:val="none"/>
        </w:rPr>
        <w:t>定</w:t>
      </w:r>
      <w:r>
        <w:rPr>
          <w:rFonts w:ascii="Times New Roman" w:hAnsi="Times New Roman" w:eastAsia="宋体"/>
          <w:spacing w:val="-3"/>
          <w:highlight w:val="none"/>
        </w:rPr>
        <w:t>代</w:t>
      </w:r>
      <w:r>
        <w:rPr>
          <w:rFonts w:ascii="Times New Roman" w:hAnsi="Times New Roman" w:eastAsia="宋体"/>
          <w:highlight w:val="none"/>
        </w:rPr>
        <w:t>表</w:t>
      </w:r>
      <w:r>
        <w:rPr>
          <w:rFonts w:ascii="Times New Roman" w:hAnsi="Times New Roman" w:eastAsia="宋体"/>
          <w:spacing w:val="-3"/>
          <w:highlight w:val="none"/>
        </w:rPr>
        <w:t>人</w:t>
      </w:r>
      <w:r>
        <w:rPr>
          <w:rFonts w:ascii="Times New Roman" w:hAnsi="Times New Roman" w:eastAsia="宋体"/>
          <w:highlight w:val="none"/>
        </w:rPr>
        <w:t>（</w:t>
      </w:r>
      <w:r>
        <w:rPr>
          <w:rFonts w:ascii="Times New Roman" w:hAnsi="Times New Roman" w:eastAsia="宋体"/>
          <w:spacing w:val="-3"/>
          <w:highlight w:val="none"/>
        </w:rPr>
        <w:t>单</w:t>
      </w:r>
      <w:r>
        <w:rPr>
          <w:rFonts w:ascii="Times New Roman" w:hAnsi="Times New Roman" w:eastAsia="宋体"/>
          <w:highlight w:val="none"/>
        </w:rPr>
        <w:t>位</w:t>
      </w:r>
      <w:r>
        <w:rPr>
          <w:rFonts w:ascii="Times New Roman" w:hAnsi="Times New Roman" w:eastAsia="宋体"/>
          <w:spacing w:val="-3"/>
          <w:highlight w:val="none"/>
        </w:rPr>
        <w:t>负</w:t>
      </w:r>
      <w:r>
        <w:rPr>
          <w:rFonts w:ascii="Times New Roman" w:hAnsi="Times New Roman" w:eastAsia="宋体"/>
          <w:highlight w:val="none"/>
        </w:rPr>
        <w:t>责人</w:t>
      </w:r>
      <w:r>
        <w:rPr>
          <w:rFonts w:hint="eastAsia" w:ascii="Times New Roman" w:hAnsi="Times New Roman"/>
          <w:highlight w:val="none"/>
          <w:lang w:eastAsia="zh-CN"/>
        </w:rPr>
        <w:t>）</w:t>
      </w:r>
      <w:r>
        <w:rPr>
          <w:rFonts w:hint="eastAsia" w:ascii="Times New Roman" w:hAnsi="Times New Roman" w:eastAsia="宋体"/>
          <w:highlight w:val="none"/>
        </w:rPr>
        <w:t>身份证</w:t>
      </w:r>
      <w:r>
        <w:rPr>
          <w:rFonts w:hint="eastAsia" w:ascii="Times New Roman" w:hAnsi="Times New Roman"/>
          <w:highlight w:val="none"/>
          <w:lang w:val="en-US" w:eastAsia="zh-CN"/>
        </w:rPr>
        <w:t>或</w:t>
      </w:r>
      <w:r>
        <w:rPr>
          <w:rFonts w:hint="eastAsia" w:ascii="Times New Roman" w:hAnsi="Times New Roman" w:eastAsia="宋体"/>
          <w:highlight w:val="none"/>
        </w:rPr>
        <w:t>护照等身份证明文件</w:t>
      </w:r>
      <w:r>
        <w:rPr>
          <w:rFonts w:hint="eastAsia" w:ascii="Times New Roman" w:hAnsi="Times New Roman"/>
          <w:highlight w:val="none"/>
          <w:lang w:eastAsia="zh-CN"/>
        </w:rPr>
        <w:t>复印件：</w:t>
      </w:r>
    </w:p>
    <w:p w14:paraId="1E827120">
      <w:pPr>
        <w:pStyle w:val="17"/>
        <w:kinsoku w:val="0"/>
        <w:overflowPunct w:val="0"/>
        <w:spacing w:line="583" w:lineRule="auto"/>
        <w:ind w:right="-46"/>
        <w:rPr>
          <w:rFonts w:ascii="Times New Roman" w:hAnsi="Times New Roman" w:eastAsia="宋体"/>
          <w:spacing w:val="-3"/>
          <w:highlight w:val="none"/>
        </w:rPr>
      </w:pPr>
      <w:r>
        <w:rPr>
          <w:position w:val="-47"/>
          <w:highlight w:val="none"/>
        </w:rPr>
        <w:drawing>
          <wp:inline distT="0" distB="0" distL="114300" distR="114300">
            <wp:extent cx="5274310" cy="1503680"/>
            <wp:effectExtent l="0" t="0" r="13970" b="508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8"/>
                    <a:stretch>
                      <a:fillRect/>
                    </a:stretch>
                  </pic:blipFill>
                  <pic:spPr>
                    <a:xfrm>
                      <a:off x="0" y="0"/>
                      <a:ext cx="5274310" cy="1503680"/>
                    </a:xfrm>
                    <a:prstGeom prst="rect">
                      <a:avLst/>
                    </a:prstGeom>
                    <a:noFill/>
                    <a:ln>
                      <a:noFill/>
                    </a:ln>
                  </pic:spPr>
                </pic:pic>
              </a:graphicData>
            </a:graphic>
          </wp:inline>
        </w:drawing>
      </w:r>
    </w:p>
    <w:p w14:paraId="70ABF333">
      <w:pPr>
        <w:pStyle w:val="17"/>
        <w:kinsoku w:val="0"/>
        <w:overflowPunct w:val="0"/>
        <w:spacing w:line="583" w:lineRule="auto"/>
        <w:ind w:right="4305"/>
        <w:rPr>
          <w:rFonts w:ascii="Times New Roman" w:hAnsi="Times New Roman" w:eastAsia="宋体"/>
          <w:spacing w:val="-3"/>
          <w:highlight w:val="none"/>
        </w:rPr>
      </w:pPr>
    </w:p>
    <w:p w14:paraId="6DC993D5">
      <w:pPr>
        <w:pStyle w:val="17"/>
        <w:kinsoku w:val="0"/>
        <w:overflowPunct w:val="0"/>
        <w:spacing w:line="583" w:lineRule="auto"/>
        <w:ind w:right="4305"/>
        <w:rPr>
          <w:rFonts w:ascii="Times New Roman" w:hAnsi="Times New Roman" w:eastAsia="宋体"/>
          <w:spacing w:val="-3"/>
          <w:highlight w:val="none"/>
        </w:rPr>
      </w:pPr>
    </w:p>
    <w:p w14:paraId="66EF8252">
      <w:pPr>
        <w:autoSpaceDE w:val="0"/>
        <w:autoSpaceDN w:val="0"/>
        <w:adjustRightInd w:val="0"/>
        <w:snapToGrid w:val="0"/>
        <w:spacing w:line="360" w:lineRule="auto"/>
        <w:rPr>
          <w:rFonts w:eastAsia="宋体"/>
          <w:color w:val="000000"/>
          <w:sz w:val="24"/>
          <w:highlight w:val="none"/>
          <w:lang w:val="zh-CN"/>
        </w:rPr>
      </w:pPr>
      <w:r>
        <w:rPr>
          <w:rFonts w:eastAsia="宋体"/>
          <w:color w:val="000000"/>
          <w:sz w:val="24"/>
          <w:highlight w:val="none"/>
        </w:rPr>
        <w:t>供应商名称（加盖公章）</w:t>
      </w:r>
      <w:r>
        <w:rPr>
          <w:rFonts w:eastAsia="宋体"/>
          <w:color w:val="000000"/>
          <w:sz w:val="24"/>
          <w:highlight w:val="none"/>
          <w:lang w:val="zh-CN"/>
        </w:rPr>
        <w:t>：</w:t>
      </w:r>
      <w:r>
        <w:rPr>
          <w:rFonts w:eastAsia="宋体"/>
          <w:sz w:val="24"/>
          <w:highlight w:val="none"/>
        </w:rPr>
        <w:t>______</w:t>
      </w:r>
    </w:p>
    <w:p w14:paraId="598E1C56">
      <w:pPr>
        <w:autoSpaceDE w:val="0"/>
        <w:autoSpaceDN w:val="0"/>
        <w:adjustRightInd w:val="0"/>
        <w:snapToGrid w:val="0"/>
        <w:spacing w:line="360" w:lineRule="auto"/>
        <w:rPr>
          <w:rFonts w:eastAsia="宋体"/>
          <w:color w:val="000000"/>
          <w:sz w:val="24"/>
          <w:highlight w:val="none"/>
          <w:lang w:val="zh-CN"/>
        </w:rPr>
      </w:pPr>
      <w:r>
        <w:rPr>
          <w:rFonts w:eastAsia="宋体"/>
          <w:spacing w:val="-3"/>
          <w:sz w:val="24"/>
          <w:highlight w:val="none"/>
        </w:rPr>
        <w:t>法定代表人（</w:t>
      </w:r>
      <w:r>
        <w:rPr>
          <w:rFonts w:eastAsia="宋体"/>
          <w:sz w:val="24"/>
          <w:highlight w:val="none"/>
        </w:rPr>
        <w:t>单位负责人</w:t>
      </w:r>
      <w:r>
        <w:rPr>
          <w:rFonts w:eastAsia="宋体"/>
          <w:spacing w:val="-3"/>
          <w:sz w:val="24"/>
          <w:highlight w:val="none"/>
        </w:rPr>
        <w:t>）（签字</w:t>
      </w:r>
      <w:r>
        <w:rPr>
          <w:rFonts w:hint="eastAsia" w:ascii="宋体" w:hAnsi="宋体"/>
          <w:color w:val="000000"/>
          <w:sz w:val="24"/>
          <w:szCs w:val="20"/>
          <w:highlight w:val="none"/>
          <w:lang w:val="en-US" w:eastAsia="zh-CN"/>
        </w:rPr>
        <w:t>或</w:t>
      </w:r>
      <w:r>
        <w:rPr>
          <w:rFonts w:hint="eastAsia" w:ascii="宋体" w:hAnsi="宋体"/>
          <w:color w:val="000000"/>
          <w:sz w:val="24"/>
          <w:szCs w:val="20"/>
          <w:highlight w:val="none"/>
        </w:rPr>
        <w:t>签章</w:t>
      </w:r>
      <w:r>
        <w:rPr>
          <w:rFonts w:eastAsia="宋体"/>
          <w:spacing w:val="-3"/>
          <w:sz w:val="24"/>
          <w:highlight w:val="none"/>
        </w:rPr>
        <w:t>）：</w:t>
      </w:r>
      <w:r>
        <w:rPr>
          <w:rFonts w:eastAsia="宋体"/>
          <w:sz w:val="24"/>
          <w:highlight w:val="none"/>
        </w:rPr>
        <w:t>______</w:t>
      </w:r>
    </w:p>
    <w:p w14:paraId="42007D31">
      <w:pPr>
        <w:autoSpaceDE w:val="0"/>
        <w:autoSpaceDN w:val="0"/>
        <w:adjustRightInd w:val="0"/>
        <w:snapToGrid w:val="0"/>
        <w:spacing w:line="360" w:lineRule="auto"/>
        <w:rPr>
          <w:rFonts w:eastAsia="宋体"/>
          <w:color w:val="000000"/>
          <w:sz w:val="24"/>
          <w:highlight w:val="none"/>
          <w:lang w:val="zh-CN"/>
        </w:rPr>
      </w:pPr>
      <w:r>
        <w:rPr>
          <w:rFonts w:eastAsia="宋体"/>
          <w:color w:val="000000"/>
          <w:sz w:val="24"/>
          <w:highlight w:val="none"/>
        </w:rPr>
        <w:t>日期：</w:t>
      </w:r>
      <w:r>
        <w:rPr>
          <w:rFonts w:eastAsia="宋体"/>
          <w:color w:val="000000"/>
          <w:sz w:val="24"/>
          <w:szCs w:val="20"/>
          <w:highlight w:val="none"/>
        </w:rPr>
        <w:t>____年____月____日</w:t>
      </w:r>
    </w:p>
    <w:p w14:paraId="023B9D9C">
      <w:pPr>
        <w:widowControl/>
        <w:jc w:val="left"/>
        <w:rPr>
          <w:rFonts w:eastAsia="宋体"/>
          <w:i/>
          <w:color w:val="000000"/>
          <w:sz w:val="24"/>
          <w:szCs w:val="20"/>
          <w:highlight w:val="none"/>
          <w:u w:val="single"/>
        </w:rPr>
      </w:pPr>
    </w:p>
    <w:p w14:paraId="331E94A1">
      <w:pPr>
        <w:widowControl/>
        <w:jc w:val="left"/>
        <w:rPr>
          <w:rFonts w:eastAsia="宋体"/>
          <w:color w:val="000000"/>
          <w:sz w:val="24"/>
          <w:szCs w:val="20"/>
          <w:highlight w:val="none"/>
        </w:rPr>
      </w:pPr>
      <w:r>
        <w:rPr>
          <w:rFonts w:eastAsia="宋体"/>
          <w:color w:val="000000"/>
          <w:sz w:val="24"/>
          <w:szCs w:val="20"/>
          <w:highlight w:val="none"/>
        </w:rPr>
        <w:br w:type="page"/>
      </w:r>
    </w:p>
    <w:p w14:paraId="56A9A82E">
      <w:pPr>
        <w:tabs>
          <w:tab w:val="left" w:pos="360"/>
        </w:tabs>
        <w:snapToGrid w:val="0"/>
        <w:spacing w:line="360" w:lineRule="auto"/>
        <w:outlineLvl w:val="1"/>
        <w:rPr>
          <w:rFonts w:eastAsia="宋体"/>
          <w:sz w:val="24"/>
          <w:highlight w:val="none"/>
        </w:rPr>
      </w:pPr>
      <w:bookmarkStart w:id="1514" w:name="_GoBack"/>
      <w:bookmarkEnd w:id="1514"/>
      <w:r>
        <w:rPr>
          <w:rFonts w:eastAsia="宋体"/>
          <w:sz w:val="24"/>
          <w:highlight w:val="none"/>
        </w:rPr>
        <w:t>7  报价一览表</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14:paraId="0135AAF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eastAsia="宋体"/>
          <w:b/>
          <w:color w:val="000000"/>
          <w:sz w:val="36"/>
          <w:szCs w:val="36"/>
          <w:highlight w:val="none"/>
        </w:rPr>
      </w:pPr>
      <w:bookmarkStart w:id="1477" w:name="_Toc164608827"/>
      <w:bookmarkStart w:id="1478" w:name="_Toc265228396"/>
      <w:bookmarkStart w:id="1479" w:name="_Toc226965831"/>
      <w:bookmarkStart w:id="1480" w:name="_Toc226965748"/>
      <w:bookmarkStart w:id="1481" w:name="_Toc264969248"/>
      <w:bookmarkStart w:id="1482" w:name="_Toc195842923"/>
      <w:bookmarkStart w:id="1483" w:name="_Toc305158826"/>
      <w:bookmarkStart w:id="1484" w:name="_Toc305158900"/>
      <w:bookmarkStart w:id="1485" w:name="_Toc226309802"/>
      <w:bookmarkStart w:id="1486" w:name="_Toc164608672"/>
      <w:bookmarkStart w:id="1487" w:name="_Toc226337254"/>
      <w:r>
        <w:rPr>
          <w:rFonts w:hint="eastAsia" w:eastAsia="宋体"/>
          <w:b/>
          <w:color w:val="000000"/>
          <w:sz w:val="36"/>
          <w:szCs w:val="36"/>
          <w:highlight w:val="none"/>
        </w:rPr>
        <w:t>报价一览表</w:t>
      </w:r>
      <w:bookmarkEnd w:id="1477"/>
      <w:bookmarkEnd w:id="1478"/>
      <w:bookmarkEnd w:id="1479"/>
      <w:bookmarkEnd w:id="1480"/>
      <w:bookmarkEnd w:id="1481"/>
      <w:bookmarkEnd w:id="1482"/>
      <w:bookmarkEnd w:id="1483"/>
      <w:bookmarkEnd w:id="1484"/>
      <w:bookmarkEnd w:id="1485"/>
      <w:bookmarkEnd w:id="1486"/>
      <w:bookmarkEnd w:id="1487"/>
    </w:p>
    <w:p w14:paraId="0F22F680">
      <w:pPr>
        <w:keepNext w:val="0"/>
        <w:keepLines w:val="0"/>
        <w:pageBreakBefore w:val="0"/>
        <w:widowControl w:val="0"/>
        <w:tabs>
          <w:tab w:val="left" w:pos="1800"/>
          <w:tab w:val="left" w:pos="5580"/>
        </w:tabs>
        <w:kinsoku/>
        <w:wordWrap/>
        <w:overflowPunct/>
        <w:topLinePunct w:val="0"/>
        <w:autoSpaceDE/>
        <w:autoSpaceDN/>
        <w:bidi w:val="0"/>
        <w:adjustRightInd/>
        <w:snapToGrid/>
        <w:spacing w:line="480" w:lineRule="exact"/>
        <w:jc w:val="left"/>
        <w:textAlignment w:val="auto"/>
        <w:rPr>
          <w:rFonts w:eastAsia="宋体"/>
          <w:color w:val="000000"/>
          <w:sz w:val="24"/>
          <w:highlight w:val="none"/>
        </w:rPr>
      </w:pPr>
    </w:p>
    <w:p w14:paraId="49F481A1">
      <w:pPr>
        <w:tabs>
          <w:tab w:val="left" w:pos="1800"/>
          <w:tab w:val="left" w:pos="5580"/>
        </w:tabs>
        <w:spacing w:line="360" w:lineRule="auto"/>
        <w:jc w:val="left"/>
        <w:rPr>
          <w:i/>
          <w:color w:val="FF0000"/>
          <w:sz w:val="24"/>
          <w:highlight w:val="none"/>
        </w:rPr>
      </w:pPr>
    </w:p>
    <w:p w14:paraId="1A83DEFC">
      <w:pPr>
        <w:tabs>
          <w:tab w:val="left" w:pos="1800"/>
          <w:tab w:val="left" w:pos="5580"/>
        </w:tabs>
        <w:spacing w:line="360" w:lineRule="auto"/>
        <w:ind w:firstLine="240" w:firstLineChars="100"/>
        <w:jc w:val="left"/>
        <w:rPr>
          <w:rFonts w:eastAsia="宋体"/>
          <w:color w:val="000000"/>
          <w:sz w:val="24"/>
          <w:highlight w:val="none"/>
          <w:u w:val="single"/>
        </w:rPr>
      </w:pPr>
      <w:r>
        <w:rPr>
          <w:rFonts w:eastAsia="宋体"/>
          <w:color w:val="000000"/>
          <w:sz w:val="24"/>
          <w:highlight w:val="none"/>
        </w:rPr>
        <w:t>项目编号：</w:t>
      </w:r>
      <w:r>
        <w:rPr>
          <w:rFonts w:eastAsia="宋体"/>
          <w:sz w:val="24"/>
          <w:highlight w:val="none"/>
        </w:rPr>
        <w:t>___________</w:t>
      </w:r>
      <w:r>
        <w:rPr>
          <w:rFonts w:eastAsia="宋体"/>
          <w:color w:val="000000"/>
          <w:sz w:val="24"/>
          <w:highlight w:val="none"/>
        </w:rPr>
        <w:t xml:space="preserve">     项目名称：</w:t>
      </w:r>
      <w:r>
        <w:rPr>
          <w:rFonts w:eastAsia="宋体"/>
          <w:sz w:val="24"/>
          <w:highlight w:val="none"/>
        </w:rPr>
        <w:t>___________</w:t>
      </w:r>
    </w:p>
    <w:tbl>
      <w:tblPr>
        <w:tblStyle w:val="44"/>
        <w:tblW w:w="44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0"/>
        <w:gridCol w:w="3204"/>
        <w:gridCol w:w="2026"/>
        <w:gridCol w:w="2132"/>
      </w:tblGrid>
      <w:tr w14:paraId="0EC8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96" w:type="pct"/>
            <w:vMerge w:val="restart"/>
            <w:tcBorders>
              <w:top w:val="single" w:color="auto" w:sz="4" w:space="0"/>
              <w:left w:val="single" w:color="auto" w:sz="4" w:space="0"/>
              <w:bottom w:val="single" w:color="auto" w:sz="4" w:space="0"/>
              <w:right w:val="single" w:color="auto" w:sz="4" w:space="0"/>
            </w:tcBorders>
            <w:noWrap w:val="0"/>
            <w:vAlign w:val="center"/>
          </w:tcPr>
          <w:p w14:paraId="46AE66CB">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eastAsia"/>
                <w:b/>
                <w:sz w:val="24"/>
                <w:highlight w:val="none"/>
                <w:lang w:val="en-US" w:eastAsia="zh-CN"/>
              </w:rPr>
              <w:t>包</w:t>
            </w:r>
            <w:r>
              <w:rPr>
                <w:rFonts w:hint="eastAsia" w:eastAsia="宋体"/>
                <w:b/>
                <w:sz w:val="24"/>
                <w:highlight w:val="none"/>
              </w:rPr>
              <w:t>号</w:t>
            </w:r>
          </w:p>
        </w:tc>
        <w:tc>
          <w:tcPr>
            <w:tcW w:w="1960" w:type="pct"/>
            <w:vMerge w:val="restart"/>
            <w:tcBorders>
              <w:top w:val="single" w:color="auto" w:sz="4" w:space="0"/>
              <w:left w:val="single" w:color="auto" w:sz="4" w:space="0"/>
              <w:bottom w:val="single" w:color="auto" w:sz="4" w:space="0"/>
              <w:right w:val="single" w:color="auto" w:sz="4" w:space="0"/>
            </w:tcBorders>
            <w:noWrap w:val="0"/>
            <w:vAlign w:val="center"/>
          </w:tcPr>
          <w:p w14:paraId="5EA6A2B9">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eastAsia" w:eastAsia="宋体"/>
                <w:b/>
                <w:sz w:val="24"/>
                <w:highlight w:val="none"/>
              </w:rPr>
              <w:t>供应商名称</w:t>
            </w:r>
          </w:p>
        </w:tc>
        <w:tc>
          <w:tcPr>
            <w:tcW w:w="2543" w:type="pct"/>
            <w:gridSpan w:val="2"/>
            <w:tcBorders>
              <w:top w:val="single" w:color="auto" w:sz="4" w:space="0"/>
              <w:left w:val="single" w:color="auto" w:sz="4" w:space="0"/>
              <w:bottom w:val="single" w:color="auto" w:sz="4" w:space="0"/>
              <w:right w:val="single" w:color="auto" w:sz="4" w:space="0"/>
            </w:tcBorders>
            <w:noWrap w:val="0"/>
            <w:vAlign w:val="center"/>
          </w:tcPr>
          <w:p w14:paraId="7ED8092D">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eastAsia" w:eastAsia="宋体"/>
                <w:b/>
                <w:sz w:val="24"/>
                <w:highlight w:val="none"/>
              </w:rPr>
              <w:t>报价</w:t>
            </w:r>
          </w:p>
        </w:tc>
      </w:tr>
      <w:tr w14:paraId="63EE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482C3D39">
            <w:pPr>
              <w:keepNext w:val="0"/>
              <w:keepLines w:val="0"/>
              <w:widowControl/>
              <w:suppressLineNumbers w:val="0"/>
              <w:spacing w:before="0" w:beforeAutospacing="0" w:after="0" w:afterAutospacing="0"/>
              <w:ind w:left="0" w:right="0"/>
              <w:jc w:val="left"/>
              <w:rPr>
                <w:rFonts w:hint="default" w:eastAsia="宋体"/>
                <w:b/>
                <w:sz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4D62649F">
            <w:pPr>
              <w:keepNext w:val="0"/>
              <w:keepLines w:val="0"/>
              <w:widowControl/>
              <w:suppressLineNumbers w:val="0"/>
              <w:spacing w:before="0" w:beforeAutospacing="0" w:after="0" w:afterAutospacing="0"/>
              <w:ind w:left="0" w:right="0"/>
              <w:jc w:val="left"/>
              <w:rPr>
                <w:rFonts w:hint="default" w:eastAsia="宋体"/>
                <w:b/>
                <w:sz w:val="24"/>
                <w:highlight w:val="none"/>
              </w:rPr>
            </w:pPr>
          </w:p>
        </w:tc>
        <w:tc>
          <w:tcPr>
            <w:tcW w:w="1239" w:type="pct"/>
            <w:tcBorders>
              <w:top w:val="single" w:color="auto" w:sz="4" w:space="0"/>
              <w:left w:val="single" w:color="auto" w:sz="4" w:space="0"/>
              <w:bottom w:val="single" w:color="auto" w:sz="4" w:space="0"/>
              <w:right w:val="single" w:color="auto" w:sz="4" w:space="0"/>
            </w:tcBorders>
            <w:noWrap w:val="0"/>
            <w:vAlign w:val="center"/>
          </w:tcPr>
          <w:p w14:paraId="1877DEC4">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eastAsia" w:eastAsia="宋体"/>
                <w:b/>
                <w:sz w:val="24"/>
                <w:highlight w:val="none"/>
              </w:rPr>
              <w:t>大写</w:t>
            </w:r>
          </w:p>
        </w:tc>
        <w:tc>
          <w:tcPr>
            <w:tcW w:w="1304" w:type="pct"/>
            <w:tcBorders>
              <w:top w:val="single" w:color="auto" w:sz="4" w:space="0"/>
              <w:left w:val="single" w:color="auto" w:sz="4" w:space="0"/>
              <w:bottom w:val="single" w:color="auto" w:sz="4" w:space="0"/>
              <w:right w:val="single" w:color="auto" w:sz="4" w:space="0"/>
            </w:tcBorders>
            <w:noWrap w:val="0"/>
            <w:vAlign w:val="center"/>
          </w:tcPr>
          <w:p w14:paraId="75C3C3AE">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eastAsia" w:eastAsia="宋体"/>
                <w:b/>
                <w:sz w:val="24"/>
                <w:highlight w:val="none"/>
              </w:rPr>
              <w:t>小写</w:t>
            </w:r>
          </w:p>
        </w:tc>
      </w:tr>
      <w:tr w14:paraId="1EAD9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96" w:type="pct"/>
            <w:tcBorders>
              <w:top w:val="single" w:color="auto" w:sz="4" w:space="0"/>
              <w:left w:val="single" w:color="auto" w:sz="4" w:space="0"/>
              <w:bottom w:val="single" w:color="auto" w:sz="4" w:space="0"/>
              <w:right w:val="single" w:color="auto" w:sz="4" w:space="0"/>
            </w:tcBorders>
            <w:noWrap w:val="0"/>
            <w:vAlign w:val="center"/>
          </w:tcPr>
          <w:p w14:paraId="55FBDB10">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c>
          <w:tcPr>
            <w:tcW w:w="1960" w:type="pct"/>
            <w:tcBorders>
              <w:top w:val="single" w:color="auto" w:sz="4" w:space="0"/>
              <w:left w:val="single" w:color="auto" w:sz="4" w:space="0"/>
              <w:bottom w:val="single" w:color="auto" w:sz="4" w:space="0"/>
              <w:right w:val="single" w:color="auto" w:sz="4" w:space="0"/>
            </w:tcBorders>
            <w:noWrap w:val="0"/>
            <w:vAlign w:val="center"/>
          </w:tcPr>
          <w:p w14:paraId="67318F23">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c>
          <w:tcPr>
            <w:tcW w:w="1239" w:type="pct"/>
            <w:tcBorders>
              <w:top w:val="single" w:color="auto" w:sz="4" w:space="0"/>
              <w:left w:val="single" w:color="auto" w:sz="4" w:space="0"/>
              <w:bottom w:val="single" w:color="auto" w:sz="4" w:space="0"/>
              <w:right w:val="single" w:color="auto" w:sz="4" w:space="0"/>
            </w:tcBorders>
            <w:noWrap w:val="0"/>
            <w:vAlign w:val="center"/>
          </w:tcPr>
          <w:p w14:paraId="090613A3">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c>
          <w:tcPr>
            <w:tcW w:w="1304" w:type="pct"/>
            <w:tcBorders>
              <w:top w:val="single" w:color="auto" w:sz="4" w:space="0"/>
              <w:left w:val="single" w:color="auto" w:sz="4" w:space="0"/>
              <w:bottom w:val="single" w:color="auto" w:sz="4" w:space="0"/>
              <w:right w:val="single" w:color="auto" w:sz="4" w:space="0"/>
            </w:tcBorders>
            <w:noWrap w:val="0"/>
            <w:vAlign w:val="center"/>
          </w:tcPr>
          <w:p w14:paraId="0C8DC4F4">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r>
    </w:tbl>
    <w:p w14:paraId="21371A8C">
      <w:pPr>
        <w:autoSpaceDE w:val="0"/>
        <w:autoSpaceDN w:val="0"/>
        <w:adjustRightInd w:val="0"/>
        <w:jc w:val="left"/>
        <w:rPr>
          <w:rFonts w:eastAsia="宋体"/>
          <w:color w:val="000000"/>
          <w:kern w:val="0"/>
          <w:sz w:val="24"/>
          <w:highlight w:val="none"/>
        </w:rPr>
      </w:pPr>
    </w:p>
    <w:p w14:paraId="1E409559">
      <w:pPr>
        <w:autoSpaceDE w:val="0"/>
        <w:autoSpaceDN w:val="0"/>
        <w:adjustRightInd w:val="0"/>
        <w:jc w:val="left"/>
        <w:rPr>
          <w:rFonts w:eastAsia="宋体"/>
          <w:color w:val="000000"/>
          <w:sz w:val="24"/>
          <w:szCs w:val="20"/>
          <w:highlight w:val="none"/>
        </w:rPr>
      </w:pPr>
      <w:r>
        <w:rPr>
          <w:rFonts w:eastAsia="宋体"/>
          <w:color w:val="000000"/>
          <w:kern w:val="0"/>
          <w:sz w:val="24"/>
          <w:highlight w:val="none"/>
        </w:rPr>
        <w:t>注：1</w:t>
      </w:r>
      <w:r>
        <w:rPr>
          <w:rFonts w:eastAsia="宋体"/>
          <w:color w:val="000000"/>
          <w:sz w:val="24"/>
          <w:szCs w:val="20"/>
          <w:highlight w:val="none"/>
        </w:rPr>
        <w:t>.此表中，每包的报价应和《分项报价表》中的总价相一致。</w:t>
      </w:r>
    </w:p>
    <w:p w14:paraId="4490D482">
      <w:pPr>
        <w:tabs>
          <w:tab w:val="left" w:pos="5580"/>
        </w:tabs>
        <w:ind w:firstLine="480" w:firstLineChars="200"/>
        <w:rPr>
          <w:rFonts w:eastAsia="宋体"/>
          <w:color w:val="000000"/>
          <w:sz w:val="24"/>
          <w:szCs w:val="20"/>
          <w:highlight w:val="none"/>
        </w:rPr>
      </w:pPr>
      <w:r>
        <w:rPr>
          <w:rFonts w:eastAsia="宋体"/>
          <w:color w:val="000000"/>
          <w:sz w:val="24"/>
          <w:szCs w:val="20"/>
          <w:highlight w:val="none"/>
        </w:rPr>
        <w:t>2.本表必须按包分别填写。</w:t>
      </w:r>
    </w:p>
    <w:p w14:paraId="5ED5051F">
      <w:pPr>
        <w:tabs>
          <w:tab w:val="left" w:pos="5580"/>
        </w:tabs>
        <w:ind w:firstLine="480" w:firstLineChars="200"/>
        <w:rPr>
          <w:rFonts w:eastAsia="宋体"/>
          <w:color w:val="000000"/>
          <w:sz w:val="24"/>
          <w:szCs w:val="20"/>
          <w:highlight w:val="none"/>
        </w:rPr>
      </w:pPr>
    </w:p>
    <w:p w14:paraId="11268ABF">
      <w:pPr>
        <w:autoSpaceDE w:val="0"/>
        <w:autoSpaceDN w:val="0"/>
        <w:adjustRightInd w:val="0"/>
        <w:snapToGrid w:val="0"/>
        <w:spacing w:before="25" w:after="25" w:line="360" w:lineRule="auto"/>
        <w:rPr>
          <w:rFonts w:eastAsia="宋体"/>
          <w:color w:val="000000"/>
          <w:sz w:val="24"/>
          <w:highlight w:val="none"/>
          <w:lang w:val="zh-CN"/>
        </w:rPr>
      </w:pPr>
    </w:p>
    <w:p w14:paraId="0680F800">
      <w:pPr>
        <w:autoSpaceDE w:val="0"/>
        <w:autoSpaceDN w:val="0"/>
        <w:adjustRightInd w:val="0"/>
        <w:snapToGrid w:val="0"/>
        <w:spacing w:before="25" w:after="25" w:line="360" w:lineRule="auto"/>
        <w:rPr>
          <w:rFonts w:eastAsia="宋体"/>
          <w:color w:val="000000"/>
          <w:sz w:val="24"/>
          <w:highlight w:val="none"/>
          <w:lang w:val="zh-CN"/>
        </w:rPr>
      </w:pPr>
      <w:r>
        <w:rPr>
          <w:rFonts w:eastAsia="宋体"/>
          <w:color w:val="000000"/>
          <w:sz w:val="24"/>
          <w:highlight w:val="none"/>
          <w:lang w:val="zh-CN"/>
        </w:rPr>
        <w:t xml:space="preserve">   </w:t>
      </w:r>
    </w:p>
    <w:p w14:paraId="51FDB4AF">
      <w:pPr>
        <w:autoSpaceDE w:val="0"/>
        <w:autoSpaceDN w:val="0"/>
        <w:adjustRightInd w:val="0"/>
        <w:snapToGrid w:val="0"/>
        <w:spacing w:before="25" w:after="25" w:line="360" w:lineRule="auto"/>
        <w:rPr>
          <w:rFonts w:eastAsia="宋体"/>
          <w:color w:val="000000"/>
          <w:sz w:val="24"/>
          <w:highlight w:val="none"/>
          <w:lang w:val="zh-CN"/>
        </w:rPr>
      </w:pPr>
      <w:r>
        <w:rPr>
          <w:rFonts w:eastAsia="宋体"/>
          <w:color w:val="000000"/>
          <w:sz w:val="24"/>
          <w:highlight w:val="none"/>
        </w:rPr>
        <w:t>供应商名称（加盖公章）</w:t>
      </w:r>
      <w:r>
        <w:rPr>
          <w:rFonts w:eastAsia="宋体"/>
          <w:color w:val="000000"/>
          <w:sz w:val="24"/>
          <w:highlight w:val="none"/>
          <w:lang w:val="zh-CN"/>
        </w:rPr>
        <w:t>：</w:t>
      </w:r>
      <w:r>
        <w:rPr>
          <w:rFonts w:eastAsia="宋体"/>
          <w:sz w:val="24"/>
          <w:highlight w:val="none"/>
        </w:rPr>
        <w:t>___________</w:t>
      </w:r>
    </w:p>
    <w:p w14:paraId="70CE0A9C">
      <w:pPr>
        <w:autoSpaceDE w:val="0"/>
        <w:autoSpaceDN w:val="0"/>
        <w:adjustRightInd w:val="0"/>
        <w:snapToGrid w:val="0"/>
        <w:spacing w:line="360" w:lineRule="auto"/>
        <w:rPr>
          <w:rFonts w:eastAsia="宋体"/>
          <w:color w:val="000000"/>
          <w:sz w:val="24"/>
          <w:highlight w:val="none"/>
          <w:lang w:val="zh-CN"/>
        </w:rPr>
      </w:pPr>
      <w:r>
        <w:rPr>
          <w:rFonts w:eastAsia="宋体"/>
          <w:color w:val="000000"/>
          <w:sz w:val="24"/>
          <w:highlight w:val="none"/>
        </w:rPr>
        <w:t>日期：</w:t>
      </w:r>
      <w:r>
        <w:rPr>
          <w:rFonts w:eastAsia="宋体"/>
          <w:color w:val="000000"/>
          <w:sz w:val="24"/>
          <w:szCs w:val="20"/>
          <w:highlight w:val="none"/>
        </w:rPr>
        <w:t>____年____月____日</w:t>
      </w:r>
    </w:p>
    <w:p w14:paraId="018142FC">
      <w:pPr>
        <w:autoSpaceDE w:val="0"/>
        <w:autoSpaceDN w:val="0"/>
        <w:adjustRightInd w:val="0"/>
        <w:snapToGrid w:val="0"/>
        <w:spacing w:before="25" w:after="25" w:line="360" w:lineRule="auto"/>
        <w:rPr>
          <w:rFonts w:eastAsia="宋体"/>
          <w:color w:val="000000"/>
          <w:sz w:val="24"/>
          <w:szCs w:val="20"/>
          <w:highlight w:val="none"/>
        </w:rPr>
        <w:sectPr>
          <w:headerReference r:id="rId35" w:type="first"/>
          <w:footerReference r:id="rId37" w:type="first"/>
          <w:headerReference r:id="rId34" w:type="even"/>
          <w:footerReference r:id="rId36" w:type="even"/>
          <w:pgSz w:w="11907" w:h="16840"/>
          <w:pgMar w:top="1418" w:right="1134" w:bottom="1418" w:left="1701" w:header="851" w:footer="851" w:gutter="0"/>
          <w:pgNumType w:fmt="decimal"/>
          <w:cols w:space="720" w:num="1"/>
          <w:docGrid w:linePitch="462" w:charSpace="0"/>
        </w:sectPr>
      </w:pPr>
      <w:r>
        <w:rPr>
          <w:rFonts w:eastAsia="宋体"/>
          <w:color w:val="000000"/>
          <w:sz w:val="24"/>
          <w:szCs w:val="20"/>
          <w:highlight w:val="none"/>
        </w:rPr>
        <w:t xml:space="preserve">  </w:t>
      </w:r>
    </w:p>
    <w:p w14:paraId="1A65EA70">
      <w:pPr>
        <w:widowControl/>
        <w:jc w:val="left"/>
        <w:rPr>
          <w:rFonts w:eastAsia="宋体"/>
          <w:sz w:val="24"/>
          <w:highlight w:val="none"/>
        </w:rPr>
      </w:pPr>
      <w:r>
        <w:rPr>
          <w:rFonts w:eastAsia="宋体"/>
          <w:sz w:val="24"/>
          <w:highlight w:val="none"/>
        </w:rPr>
        <w:t>8  分项报价表</w:t>
      </w:r>
    </w:p>
    <w:p w14:paraId="38E59772">
      <w:pPr>
        <w:spacing w:line="360" w:lineRule="exact"/>
        <w:jc w:val="center"/>
        <w:rPr>
          <w:rFonts w:eastAsia="宋体"/>
          <w:b/>
          <w:color w:val="000000"/>
          <w:sz w:val="36"/>
          <w:szCs w:val="36"/>
          <w:highlight w:val="none"/>
        </w:rPr>
      </w:pPr>
      <w:r>
        <w:rPr>
          <w:rFonts w:hint="eastAsia" w:eastAsia="宋体"/>
          <w:b/>
          <w:color w:val="000000"/>
          <w:sz w:val="36"/>
          <w:szCs w:val="36"/>
          <w:highlight w:val="none"/>
        </w:rPr>
        <w:t>分项报价表</w:t>
      </w:r>
    </w:p>
    <w:p w14:paraId="4F954F8C">
      <w:pPr>
        <w:adjustRightInd w:val="0"/>
        <w:snapToGrid w:val="0"/>
        <w:spacing w:before="240" w:beforeLines="100" w:after="240" w:afterLines="100"/>
        <w:jc w:val="left"/>
        <w:rPr>
          <w:rFonts w:eastAsia="宋体"/>
          <w:b/>
          <w:i/>
          <w:color w:val="FF0000"/>
          <w:sz w:val="24"/>
          <w:highlight w:val="none"/>
        </w:rPr>
      </w:pPr>
    </w:p>
    <w:p w14:paraId="720C5F5C">
      <w:pPr>
        <w:tabs>
          <w:tab w:val="left" w:pos="1800"/>
          <w:tab w:val="left" w:pos="5580"/>
        </w:tabs>
        <w:rPr>
          <w:rFonts w:eastAsia="宋体"/>
          <w:color w:val="000000"/>
          <w:sz w:val="24"/>
          <w:highlight w:val="none"/>
        </w:rPr>
      </w:pPr>
      <w:r>
        <w:rPr>
          <w:rFonts w:eastAsia="宋体"/>
          <w:color w:val="000000"/>
          <w:sz w:val="24"/>
          <w:highlight w:val="none"/>
        </w:rPr>
        <w:t>项目编号/包号：_________ 项目名称：_________报价单位：人民币元</w:t>
      </w:r>
    </w:p>
    <w:tbl>
      <w:tblPr>
        <w:tblStyle w:val="4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2932"/>
        <w:gridCol w:w="1346"/>
        <w:gridCol w:w="1348"/>
        <w:gridCol w:w="1344"/>
        <w:gridCol w:w="1709"/>
      </w:tblGrid>
      <w:tr w14:paraId="3D0D5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noWrap w:val="0"/>
            <w:vAlign w:val="center"/>
          </w:tcPr>
          <w:p w14:paraId="71D4F991">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序号</w:t>
            </w:r>
          </w:p>
        </w:tc>
        <w:tc>
          <w:tcPr>
            <w:tcW w:w="1579" w:type="pct"/>
            <w:noWrap w:val="0"/>
            <w:vAlign w:val="center"/>
          </w:tcPr>
          <w:p w14:paraId="60A78CCF">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分项名称</w:t>
            </w:r>
          </w:p>
        </w:tc>
        <w:tc>
          <w:tcPr>
            <w:tcW w:w="725" w:type="pct"/>
            <w:noWrap w:val="0"/>
            <w:vAlign w:val="center"/>
          </w:tcPr>
          <w:p w14:paraId="646E3084">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单价（元）</w:t>
            </w:r>
          </w:p>
        </w:tc>
        <w:tc>
          <w:tcPr>
            <w:tcW w:w="724" w:type="pct"/>
            <w:noWrap w:val="0"/>
            <w:vAlign w:val="center"/>
          </w:tcPr>
          <w:p w14:paraId="458804E0">
            <w:pPr>
              <w:keepNext w:val="0"/>
              <w:keepLines w:val="0"/>
              <w:suppressLineNumbers w:val="0"/>
              <w:adjustRightInd w:val="0"/>
              <w:snapToGrid w:val="0"/>
              <w:spacing w:before="0" w:beforeAutospacing="0" w:after="0" w:afterAutospacing="0"/>
              <w:ind w:left="0" w:right="0"/>
              <w:jc w:val="center"/>
              <w:rPr>
                <w:rFonts w:hint="default" w:eastAsia="宋体"/>
                <w:b/>
                <w:color w:val="000000"/>
                <w:sz w:val="24"/>
                <w:highlight w:val="none"/>
                <w:lang w:val="en-US" w:eastAsia="zh-CN"/>
              </w:rPr>
            </w:pPr>
            <w:r>
              <w:rPr>
                <w:rFonts w:hint="eastAsia"/>
                <w:b/>
                <w:color w:val="000000"/>
                <w:sz w:val="24"/>
                <w:highlight w:val="none"/>
                <w:lang w:val="en-US" w:eastAsia="zh-CN"/>
              </w:rPr>
              <w:t>数量</w:t>
            </w:r>
          </w:p>
        </w:tc>
        <w:tc>
          <w:tcPr>
            <w:tcW w:w="724" w:type="pct"/>
            <w:noWrap w:val="0"/>
            <w:vAlign w:val="center"/>
          </w:tcPr>
          <w:p w14:paraId="6942C7BE">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合价（元）</w:t>
            </w:r>
          </w:p>
        </w:tc>
        <w:tc>
          <w:tcPr>
            <w:tcW w:w="920" w:type="pct"/>
            <w:noWrap w:val="0"/>
            <w:vAlign w:val="center"/>
          </w:tcPr>
          <w:p w14:paraId="3A3D33BB">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备注/说明</w:t>
            </w:r>
          </w:p>
        </w:tc>
      </w:tr>
      <w:tr w14:paraId="7DDE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5" w:type="pct"/>
            <w:noWrap w:val="0"/>
            <w:vAlign w:val="center"/>
          </w:tcPr>
          <w:p w14:paraId="5A3F7642">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1</w:t>
            </w:r>
          </w:p>
        </w:tc>
        <w:tc>
          <w:tcPr>
            <w:tcW w:w="2932" w:type="dxa"/>
            <w:noWrap w:val="0"/>
            <w:vAlign w:val="center"/>
          </w:tcPr>
          <w:p w14:paraId="4FEE00D7">
            <w:pPr>
              <w:keepNext w:val="0"/>
              <w:keepLines w:val="0"/>
              <w:widowControl w:val="0"/>
              <w:suppressLineNumbers w:val="0"/>
              <w:adjustRightInd w:val="0"/>
              <w:snapToGrid w:val="0"/>
              <w:spacing w:before="0" w:beforeAutospacing="0" w:after="0" w:afterAutospacing="0"/>
              <w:ind w:left="0" w:leftChars="0" w:right="0" w:rightChars="0"/>
              <w:jc w:val="left"/>
              <w:rPr>
                <w:rFonts w:hint="default" w:eastAsia="宋体"/>
                <w:color w:val="000000"/>
                <w:sz w:val="24"/>
                <w:highlight w:val="none"/>
              </w:rPr>
            </w:pPr>
            <w:r>
              <w:rPr>
                <w:rFonts w:hint="eastAsia" w:ascii="宋体" w:hAnsi="宋体" w:eastAsia="宋体" w:cs="宋体"/>
                <w:color w:val="000000"/>
                <w:kern w:val="2"/>
                <w:sz w:val="24"/>
                <w:szCs w:val="24"/>
                <w:lang w:val="en-US" w:eastAsia="zh-CN" w:bidi="ar"/>
              </w:rPr>
              <w:t>勘察费</w:t>
            </w:r>
          </w:p>
        </w:tc>
        <w:tc>
          <w:tcPr>
            <w:tcW w:w="725" w:type="pct"/>
            <w:noWrap w:val="0"/>
            <w:vAlign w:val="center"/>
          </w:tcPr>
          <w:p w14:paraId="42D2C29B">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724" w:type="pct"/>
            <w:noWrap w:val="0"/>
            <w:vAlign w:val="center"/>
          </w:tcPr>
          <w:p w14:paraId="20F5130C">
            <w:pPr>
              <w:keepNext w:val="0"/>
              <w:keepLines w:val="0"/>
              <w:suppressLineNumbers w:val="0"/>
              <w:adjustRightInd w:val="0"/>
              <w:snapToGrid w:val="0"/>
              <w:spacing w:before="0" w:beforeAutospacing="0" w:after="0" w:afterAutospacing="0"/>
              <w:ind w:left="0" w:right="0"/>
              <w:jc w:val="left"/>
              <w:rPr>
                <w:rFonts w:hint="eastAsia" w:eastAsia="宋体"/>
                <w:color w:val="000000"/>
                <w:sz w:val="24"/>
                <w:highlight w:val="none"/>
                <w:lang w:val="en-US" w:eastAsia="zh-CN"/>
              </w:rPr>
            </w:pPr>
            <w:r>
              <w:rPr>
                <w:rFonts w:hint="eastAsia"/>
                <w:color w:val="000000"/>
                <w:sz w:val="24"/>
                <w:highlight w:val="none"/>
                <w:lang w:val="en-US" w:eastAsia="zh-CN"/>
              </w:rPr>
              <w:t>1</w:t>
            </w:r>
          </w:p>
        </w:tc>
        <w:tc>
          <w:tcPr>
            <w:tcW w:w="724" w:type="pct"/>
            <w:noWrap w:val="0"/>
            <w:vAlign w:val="center"/>
          </w:tcPr>
          <w:p w14:paraId="4A78E5EE">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920" w:type="pct"/>
            <w:noWrap w:val="0"/>
            <w:vAlign w:val="center"/>
          </w:tcPr>
          <w:p w14:paraId="2EBE9364">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r>
      <w:tr w14:paraId="43C0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25" w:type="pct"/>
            <w:noWrap w:val="0"/>
            <w:vAlign w:val="center"/>
          </w:tcPr>
          <w:p w14:paraId="6C8DBF81">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2</w:t>
            </w:r>
          </w:p>
        </w:tc>
        <w:tc>
          <w:tcPr>
            <w:tcW w:w="2932" w:type="dxa"/>
            <w:noWrap w:val="0"/>
            <w:vAlign w:val="center"/>
          </w:tcPr>
          <w:p w14:paraId="377B82B6">
            <w:pPr>
              <w:keepNext w:val="0"/>
              <w:keepLines w:val="0"/>
              <w:widowControl w:val="0"/>
              <w:suppressLineNumbers w:val="0"/>
              <w:adjustRightInd w:val="0"/>
              <w:snapToGrid w:val="0"/>
              <w:spacing w:before="0" w:beforeAutospacing="0" w:after="0" w:afterAutospacing="0"/>
              <w:ind w:left="0" w:leftChars="0" w:right="0" w:rightChars="0"/>
              <w:jc w:val="left"/>
              <w:rPr>
                <w:rFonts w:hint="default" w:eastAsia="宋体"/>
                <w:color w:val="000000"/>
                <w:sz w:val="24"/>
                <w:highlight w:val="none"/>
              </w:rPr>
            </w:pPr>
            <w:r>
              <w:rPr>
                <w:rFonts w:hint="eastAsia" w:ascii="宋体" w:hAnsi="宋体" w:eastAsia="宋体" w:cs="宋体"/>
                <w:color w:val="000000"/>
                <w:kern w:val="2"/>
                <w:sz w:val="24"/>
                <w:szCs w:val="24"/>
                <w:lang w:val="en-US" w:eastAsia="zh-CN" w:bidi="ar"/>
              </w:rPr>
              <w:t>设计费</w:t>
            </w:r>
          </w:p>
        </w:tc>
        <w:tc>
          <w:tcPr>
            <w:tcW w:w="725" w:type="pct"/>
            <w:noWrap w:val="0"/>
            <w:vAlign w:val="center"/>
          </w:tcPr>
          <w:p w14:paraId="57FB0E84">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724" w:type="pct"/>
            <w:noWrap w:val="0"/>
            <w:vAlign w:val="center"/>
          </w:tcPr>
          <w:p w14:paraId="51AB5B75">
            <w:pPr>
              <w:keepNext w:val="0"/>
              <w:keepLines w:val="0"/>
              <w:suppressLineNumbers w:val="0"/>
              <w:adjustRightInd w:val="0"/>
              <w:snapToGrid w:val="0"/>
              <w:spacing w:before="0" w:beforeAutospacing="0" w:after="0" w:afterAutospacing="0"/>
              <w:ind w:left="0" w:right="0"/>
              <w:jc w:val="left"/>
              <w:rPr>
                <w:rFonts w:hint="eastAsia" w:eastAsia="宋体"/>
                <w:color w:val="000000"/>
                <w:sz w:val="24"/>
                <w:highlight w:val="none"/>
                <w:lang w:val="en-US" w:eastAsia="zh-CN"/>
              </w:rPr>
            </w:pPr>
            <w:r>
              <w:rPr>
                <w:rFonts w:hint="eastAsia"/>
                <w:color w:val="000000"/>
                <w:sz w:val="24"/>
                <w:highlight w:val="none"/>
                <w:lang w:val="en-US" w:eastAsia="zh-CN"/>
              </w:rPr>
              <w:t>1</w:t>
            </w:r>
          </w:p>
        </w:tc>
        <w:tc>
          <w:tcPr>
            <w:tcW w:w="724" w:type="pct"/>
            <w:noWrap w:val="0"/>
            <w:vAlign w:val="center"/>
          </w:tcPr>
          <w:p w14:paraId="7EC7E104">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920" w:type="pct"/>
            <w:noWrap w:val="0"/>
            <w:vAlign w:val="center"/>
          </w:tcPr>
          <w:p w14:paraId="6D7F92B1">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r>
      <w:tr w14:paraId="2820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5" w:type="pct"/>
            <w:noWrap w:val="0"/>
            <w:vAlign w:val="center"/>
          </w:tcPr>
          <w:p w14:paraId="05458A1D">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3</w:t>
            </w:r>
          </w:p>
        </w:tc>
        <w:tc>
          <w:tcPr>
            <w:tcW w:w="2932" w:type="dxa"/>
            <w:noWrap w:val="0"/>
            <w:vAlign w:val="center"/>
          </w:tcPr>
          <w:p w14:paraId="4BE3741F">
            <w:pPr>
              <w:keepNext w:val="0"/>
              <w:keepLines w:val="0"/>
              <w:widowControl w:val="0"/>
              <w:suppressLineNumbers w:val="0"/>
              <w:adjustRightInd w:val="0"/>
              <w:snapToGrid w:val="0"/>
              <w:spacing w:before="0" w:beforeAutospacing="0" w:after="0" w:afterAutospacing="0"/>
              <w:ind w:left="0" w:leftChars="0" w:right="0" w:rightChars="0"/>
              <w:jc w:val="left"/>
              <w:rPr>
                <w:rFonts w:hint="default" w:eastAsia="宋体"/>
                <w:color w:val="000000"/>
                <w:sz w:val="24"/>
                <w:highlight w:val="none"/>
              </w:rPr>
            </w:pPr>
            <w:r>
              <w:rPr>
                <w:rFonts w:hint="eastAsia" w:ascii="宋体" w:hAnsi="宋体" w:eastAsia="宋体" w:cs="宋体"/>
                <w:color w:val="000000"/>
                <w:kern w:val="2"/>
                <w:sz w:val="24"/>
                <w:szCs w:val="24"/>
                <w:lang w:val="en-US" w:eastAsia="zh-CN" w:bidi="ar"/>
              </w:rPr>
              <w:t>工程费</w:t>
            </w:r>
          </w:p>
        </w:tc>
        <w:tc>
          <w:tcPr>
            <w:tcW w:w="725" w:type="pct"/>
            <w:noWrap w:val="0"/>
            <w:vAlign w:val="center"/>
          </w:tcPr>
          <w:p w14:paraId="2136CDFB">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724" w:type="pct"/>
            <w:noWrap w:val="0"/>
            <w:vAlign w:val="center"/>
          </w:tcPr>
          <w:p w14:paraId="76BA2BEE">
            <w:pPr>
              <w:keepNext w:val="0"/>
              <w:keepLines w:val="0"/>
              <w:suppressLineNumbers w:val="0"/>
              <w:adjustRightInd w:val="0"/>
              <w:snapToGrid w:val="0"/>
              <w:spacing w:before="0" w:beforeAutospacing="0" w:after="0" w:afterAutospacing="0"/>
              <w:ind w:left="0" w:right="0"/>
              <w:jc w:val="left"/>
              <w:rPr>
                <w:rFonts w:hint="eastAsia" w:eastAsia="宋体"/>
                <w:color w:val="000000"/>
                <w:sz w:val="24"/>
                <w:highlight w:val="none"/>
                <w:lang w:val="en-US" w:eastAsia="zh-CN"/>
              </w:rPr>
            </w:pPr>
            <w:r>
              <w:rPr>
                <w:rFonts w:hint="eastAsia"/>
                <w:color w:val="000000"/>
                <w:sz w:val="24"/>
                <w:highlight w:val="none"/>
                <w:lang w:val="en-US" w:eastAsia="zh-CN"/>
              </w:rPr>
              <w:t>1</w:t>
            </w:r>
          </w:p>
        </w:tc>
        <w:tc>
          <w:tcPr>
            <w:tcW w:w="724" w:type="pct"/>
            <w:noWrap w:val="0"/>
            <w:vAlign w:val="center"/>
          </w:tcPr>
          <w:p w14:paraId="04A2FE4D">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920" w:type="pct"/>
            <w:noWrap w:val="0"/>
            <w:vAlign w:val="center"/>
          </w:tcPr>
          <w:p w14:paraId="2FAE386F">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r>
      <w:tr w14:paraId="6BE3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55" w:type="pct"/>
            <w:gridSpan w:val="4"/>
            <w:noWrap w:val="0"/>
            <w:vAlign w:val="center"/>
          </w:tcPr>
          <w:p w14:paraId="783A245E">
            <w:pPr>
              <w:keepNext w:val="0"/>
              <w:keepLines w:val="0"/>
              <w:suppressLineNumbers w:val="0"/>
              <w:adjustRightInd w:val="0"/>
              <w:snapToGrid w:val="0"/>
              <w:spacing w:before="0" w:beforeAutospacing="0" w:after="0" w:afterAutospacing="0"/>
              <w:ind w:left="0" w:right="0"/>
              <w:jc w:val="right"/>
              <w:rPr>
                <w:rFonts w:hint="default" w:eastAsia="宋体"/>
                <w:color w:val="000000"/>
                <w:sz w:val="24"/>
                <w:highlight w:val="none"/>
              </w:rPr>
            </w:pPr>
            <w:r>
              <w:rPr>
                <w:rFonts w:hint="default" w:eastAsia="宋体"/>
                <w:color w:val="000000"/>
                <w:sz w:val="24"/>
                <w:highlight w:val="none"/>
              </w:rPr>
              <w:t>总价（元）</w:t>
            </w:r>
          </w:p>
        </w:tc>
        <w:tc>
          <w:tcPr>
            <w:tcW w:w="724" w:type="pct"/>
            <w:noWrap w:val="0"/>
            <w:vAlign w:val="center"/>
          </w:tcPr>
          <w:p w14:paraId="7D2DC1F0">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920" w:type="pct"/>
            <w:noWrap w:val="0"/>
            <w:vAlign w:val="center"/>
          </w:tcPr>
          <w:p w14:paraId="2D596FCF">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r>
    </w:tbl>
    <w:p w14:paraId="2EE00A75">
      <w:pPr>
        <w:tabs>
          <w:tab w:val="left" w:pos="1800"/>
          <w:tab w:val="left" w:pos="5580"/>
        </w:tabs>
        <w:jc w:val="left"/>
        <w:rPr>
          <w:rFonts w:eastAsia="宋体"/>
          <w:color w:val="000000"/>
          <w:sz w:val="24"/>
          <w:highlight w:val="none"/>
        </w:rPr>
      </w:pPr>
    </w:p>
    <w:p w14:paraId="76A751D1">
      <w:pPr>
        <w:tabs>
          <w:tab w:val="left" w:pos="1800"/>
          <w:tab w:val="left" w:pos="5580"/>
        </w:tabs>
        <w:jc w:val="left"/>
        <w:rPr>
          <w:rFonts w:eastAsia="宋体"/>
          <w:color w:val="000000"/>
          <w:sz w:val="24"/>
          <w:highlight w:val="none"/>
        </w:rPr>
      </w:pPr>
    </w:p>
    <w:p w14:paraId="47E45002">
      <w:pPr>
        <w:tabs>
          <w:tab w:val="left" w:pos="1800"/>
          <w:tab w:val="left" w:pos="5580"/>
        </w:tabs>
        <w:jc w:val="left"/>
        <w:rPr>
          <w:rFonts w:eastAsia="宋体"/>
          <w:color w:val="000000"/>
          <w:sz w:val="24"/>
          <w:highlight w:val="none"/>
        </w:rPr>
      </w:pPr>
    </w:p>
    <w:p w14:paraId="6ADED494">
      <w:pPr>
        <w:tabs>
          <w:tab w:val="left" w:pos="1800"/>
          <w:tab w:val="left" w:pos="5580"/>
        </w:tabs>
        <w:jc w:val="left"/>
        <w:rPr>
          <w:rFonts w:eastAsia="宋体"/>
          <w:color w:val="000000"/>
          <w:sz w:val="24"/>
          <w:highlight w:val="none"/>
        </w:rPr>
      </w:pPr>
    </w:p>
    <w:p w14:paraId="10C9E899">
      <w:pPr>
        <w:keepNext w:val="0"/>
        <w:keepLines w:val="0"/>
        <w:pageBreakBefore w:val="0"/>
        <w:widowControl w:val="0"/>
        <w:tabs>
          <w:tab w:val="left" w:pos="1800"/>
          <w:tab w:val="left" w:pos="5580"/>
        </w:tabs>
        <w:kinsoku/>
        <w:wordWrap/>
        <w:overflowPunct/>
        <w:topLinePunct w:val="0"/>
        <w:bidi w:val="0"/>
        <w:spacing w:line="240" w:lineRule="auto"/>
        <w:jc w:val="left"/>
        <w:textAlignment w:val="auto"/>
        <w:rPr>
          <w:rFonts w:eastAsia="宋体"/>
          <w:color w:val="000000"/>
          <w:sz w:val="24"/>
          <w:highlight w:val="none"/>
        </w:rPr>
      </w:pPr>
      <w:r>
        <w:rPr>
          <w:rFonts w:eastAsia="宋体"/>
          <w:color w:val="000000"/>
          <w:sz w:val="24"/>
          <w:highlight w:val="none"/>
        </w:rPr>
        <w:t>注：1.本表应按包分别填写。</w:t>
      </w:r>
    </w:p>
    <w:p w14:paraId="3E7659C3">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25" w:after="25" w:line="240" w:lineRule="auto"/>
        <w:ind w:firstLine="480" w:firstLineChars="200"/>
        <w:textAlignment w:val="auto"/>
        <w:rPr>
          <w:rFonts w:hint="eastAsia" w:eastAsia="宋体"/>
          <w:color w:val="000000"/>
          <w:sz w:val="24"/>
          <w:highlight w:val="none"/>
        </w:rPr>
      </w:pPr>
      <w:r>
        <w:rPr>
          <w:rFonts w:hint="eastAsia" w:ascii="Times New Roman" w:hAnsi="Times New Roman" w:eastAsia="宋体" w:cs="Times New Roman"/>
          <w:color w:val="000000"/>
          <w:kern w:val="2"/>
          <w:sz w:val="24"/>
          <w:szCs w:val="24"/>
          <w:highlight w:val="none"/>
          <w:lang w:val="en-US" w:eastAsia="zh-CN" w:bidi="ar-SA"/>
        </w:rPr>
        <w:t>2.</w:t>
      </w:r>
      <w:r>
        <w:rPr>
          <w:rFonts w:hint="eastAsia" w:eastAsia="宋体"/>
          <w:color w:val="000000"/>
          <w:sz w:val="24"/>
          <w:highlight w:val="none"/>
        </w:rPr>
        <w:t>上述各项的详细规格</w:t>
      </w:r>
      <w:r>
        <w:rPr>
          <w:rFonts w:hint="eastAsia"/>
          <w:color w:val="000000"/>
          <w:sz w:val="24"/>
          <w:highlight w:val="none"/>
          <w:lang w:eastAsia="zh-CN"/>
        </w:rPr>
        <w:t>（</w:t>
      </w:r>
      <w:r>
        <w:rPr>
          <w:rFonts w:hint="eastAsia" w:eastAsia="宋体"/>
          <w:color w:val="000000"/>
          <w:sz w:val="24"/>
          <w:highlight w:val="none"/>
        </w:rPr>
        <w:t>如有)，可另页描述。</w:t>
      </w:r>
    </w:p>
    <w:p w14:paraId="67C95FA0">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25" w:after="25" w:line="240" w:lineRule="auto"/>
        <w:ind w:firstLine="480" w:firstLineChars="200"/>
        <w:textAlignment w:val="auto"/>
        <w:rPr>
          <w:rFonts w:eastAsia="宋体"/>
          <w:color w:val="000000"/>
          <w:sz w:val="24"/>
          <w:highlight w:val="none"/>
        </w:rPr>
      </w:pPr>
    </w:p>
    <w:p w14:paraId="42EEBA3C">
      <w:pPr>
        <w:autoSpaceDE w:val="0"/>
        <w:autoSpaceDN w:val="0"/>
        <w:adjustRightInd w:val="0"/>
        <w:snapToGrid w:val="0"/>
        <w:spacing w:before="25" w:after="25" w:line="360" w:lineRule="auto"/>
        <w:rPr>
          <w:rFonts w:eastAsia="宋体"/>
          <w:color w:val="000000"/>
          <w:sz w:val="24"/>
          <w:highlight w:val="none"/>
        </w:rPr>
      </w:pPr>
    </w:p>
    <w:p w14:paraId="6092BC0D">
      <w:pPr>
        <w:autoSpaceDE w:val="0"/>
        <w:autoSpaceDN w:val="0"/>
        <w:adjustRightInd w:val="0"/>
        <w:snapToGrid w:val="0"/>
        <w:spacing w:before="25" w:after="25" w:line="360" w:lineRule="auto"/>
        <w:ind w:right="360"/>
        <w:jc w:val="left"/>
        <w:rPr>
          <w:rFonts w:eastAsia="宋体"/>
          <w:color w:val="000000"/>
          <w:sz w:val="24"/>
          <w:highlight w:val="none"/>
          <w:lang w:val="zh-CN"/>
        </w:rPr>
      </w:pPr>
      <w:r>
        <w:rPr>
          <w:rFonts w:eastAsia="宋体"/>
          <w:color w:val="000000"/>
          <w:sz w:val="24"/>
          <w:highlight w:val="none"/>
        </w:rPr>
        <w:t>供应商名称（加盖公章）</w:t>
      </w:r>
      <w:r>
        <w:rPr>
          <w:rFonts w:eastAsia="宋体"/>
          <w:color w:val="000000"/>
          <w:sz w:val="24"/>
          <w:highlight w:val="none"/>
          <w:lang w:val="zh-CN"/>
        </w:rPr>
        <w:t>：</w:t>
      </w:r>
      <w:r>
        <w:rPr>
          <w:rFonts w:eastAsia="宋体"/>
          <w:sz w:val="24"/>
          <w:highlight w:val="none"/>
        </w:rPr>
        <w:t>______</w:t>
      </w:r>
    </w:p>
    <w:p w14:paraId="6CB73146">
      <w:pPr>
        <w:autoSpaceDE w:val="0"/>
        <w:autoSpaceDN w:val="0"/>
        <w:adjustRightInd w:val="0"/>
        <w:snapToGrid w:val="0"/>
        <w:spacing w:before="25" w:after="25" w:line="360" w:lineRule="auto"/>
        <w:rPr>
          <w:rFonts w:eastAsia="宋体"/>
          <w:color w:val="000000"/>
          <w:sz w:val="24"/>
          <w:highlight w:val="none"/>
          <w:lang w:val="zh-CN"/>
        </w:rPr>
      </w:pPr>
      <w:r>
        <w:rPr>
          <w:rFonts w:eastAsia="宋体"/>
          <w:color w:val="000000"/>
          <w:sz w:val="24"/>
          <w:szCs w:val="20"/>
          <w:highlight w:val="none"/>
        </w:rPr>
        <w:t xml:space="preserve">日期：____年____月____日  </w:t>
      </w:r>
    </w:p>
    <w:p w14:paraId="22C5481C">
      <w:pPr>
        <w:tabs>
          <w:tab w:val="left" w:pos="360"/>
        </w:tabs>
        <w:snapToGrid w:val="0"/>
        <w:spacing w:line="360" w:lineRule="auto"/>
        <w:outlineLvl w:val="1"/>
        <w:rPr>
          <w:rFonts w:eastAsia="宋体"/>
          <w:color w:val="000000"/>
          <w:sz w:val="24"/>
          <w:szCs w:val="20"/>
          <w:highlight w:val="none"/>
        </w:rPr>
      </w:pPr>
      <w:bookmarkStart w:id="1488" w:name="_Toc305158904"/>
      <w:bookmarkStart w:id="1489" w:name="_Toc305158830"/>
      <w:bookmarkStart w:id="1490" w:name="_Toc226309806"/>
      <w:bookmarkStart w:id="1491" w:name="_Toc142311062"/>
      <w:bookmarkStart w:id="1492" w:name="_Toc150774765"/>
      <w:bookmarkStart w:id="1493" w:name="_Toc226337258"/>
      <w:bookmarkStart w:id="1494" w:name="_Toc150480798"/>
      <w:bookmarkStart w:id="1495" w:name="_Toc265228400"/>
      <w:bookmarkStart w:id="1496" w:name="_Toc127151562"/>
      <w:bookmarkStart w:id="1497" w:name="_Toc195842927"/>
      <w:bookmarkStart w:id="1498" w:name="_Toc264969252"/>
      <w:bookmarkStart w:id="1499" w:name="_Toc226965835"/>
      <w:bookmarkStart w:id="1500" w:name="_Toc226965752"/>
      <w:bookmarkStart w:id="1501" w:name="_Toc226309805"/>
      <w:bookmarkStart w:id="1502" w:name="_Toc150774764"/>
      <w:bookmarkStart w:id="1503" w:name="_Toc142311061"/>
      <w:bookmarkStart w:id="1504" w:name="_Toc226965751"/>
      <w:bookmarkStart w:id="1505" w:name="_Toc226337257"/>
      <w:bookmarkStart w:id="1506" w:name="_Toc264969251"/>
      <w:bookmarkStart w:id="1507" w:name="_Toc150480797"/>
      <w:bookmarkStart w:id="1508" w:name="_Toc226965834"/>
      <w:bookmarkStart w:id="1509" w:name="_Toc305158903"/>
      <w:bookmarkStart w:id="1510" w:name="_Toc265228399"/>
      <w:bookmarkStart w:id="1511" w:name="_Toc305158829"/>
      <w:bookmarkStart w:id="1512" w:name="_Toc127151561"/>
      <w:bookmarkStart w:id="1513" w:name="_Toc195842926"/>
      <w:r>
        <w:rPr>
          <w:rFonts w:eastAsia="宋体"/>
          <w:color w:val="000000"/>
          <w:sz w:val="24"/>
          <w:szCs w:val="20"/>
          <w:highlight w:val="none"/>
        </w:rPr>
        <w:br w:type="page"/>
      </w:r>
      <w:r>
        <w:rPr>
          <w:rFonts w:eastAsia="宋体"/>
          <w:sz w:val="24"/>
          <w:highlight w:val="none"/>
        </w:rPr>
        <w:t>9  合同条款偏离表</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r>
        <w:rPr>
          <w:spacing w:val="-2"/>
          <w:sz w:val="24"/>
          <w:szCs w:val="24"/>
          <w:highlight w:val="none"/>
        </w:rPr>
        <w:t>（实质性格式）</w:t>
      </w:r>
    </w:p>
    <w:p w14:paraId="2C65606E">
      <w:pPr>
        <w:spacing w:line="360" w:lineRule="auto"/>
        <w:rPr>
          <w:rFonts w:eastAsia="宋体"/>
          <w:color w:val="000000"/>
          <w:sz w:val="24"/>
          <w:szCs w:val="20"/>
          <w:highlight w:val="none"/>
        </w:rPr>
      </w:pPr>
    </w:p>
    <w:p w14:paraId="003811B6">
      <w:pPr>
        <w:tabs>
          <w:tab w:val="left" w:pos="2775"/>
          <w:tab w:val="center" w:pos="4153"/>
        </w:tabs>
        <w:autoSpaceDE w:val="0"/>
        <w:autoSpaceDN w:val="0"/>
        <w:adjustRightInd w:val="0"/>
        <w:spacing w:line="360" w:lineRule="auto"/>
        <w:jc w:val="left"/>
        <w:rPr>
          <w:rFonts w:eastAsia="宋体"/>
          <w:b/>
          <w:color w:val="000000"/>
          <w:sz w:val="36"/>
          <w:szCs w:val="36"/>
          <w:highlight w:val="none"/>
        </w:rPr>
      </w:pPr>
      <w:r>
        <w:rPr>
          <w:rFonts w:eastAsia="宋体"/>
          <w:color w:val="000000"/>
          <w:sz w:val="36"/>
          <w:szCs w:val="36"/>
          <w:highlight w:val="none"/>
        </w:rPr>
        <w:tab/>
      </w:r>
      <w:r>
        <w:rPr>
          <w:rFonts w:eastAsia="宋体"/>
          <w:b/>
          <w:color w:val="000000"/>
          <w:sz w:val="36"/>
          <w:szCs w:val="36"/>
          <w:highlight w:val="none"/>
        </w:rPr>
        <w:tab/>
      </w:r>
      <w:r>
        <w:rPr>
          <w:rFonts w:hint="eastAsia" w:eastAsia="宋体"/>
          <w:b/>
          <w:color w:val="000000"/>
          <w:sz w:val="36"/>
          <w:szCs w:val="36"/>
          <w:highlight w:val="none"/>
        </w:rPr>
        <w:t>合同条款偏离表</w:t>
      </w:r>
    </w:p>
    <w:p w14:paraId="4FB379BA">
      <w:pPr>
        <w:spacing w:line="360" w:lineRule="auto"/>
        <w:rPr>
          <w:rFonts w:eastAsia="宋体"/>
          <w:color w:val="000000"/>
          <w:sz w:val="24"/>
          <w:szCs w:val="20"/>
          <w:highlight w:val="none"/>
        </w:rPr>
      </w:pPr>
    </w:p>
    <w:p w14:paraId="0D66191A">
      <w:pPr>
        <w:tabs>
          <w:tab w:val="left" w:pos="1800"/>
          <w:tab w:val="left" w:pos="5580"/>
        </w:tabs>
        <w:spacing w:line="360" w:lineRule="auto"/>
        <w:ind w:firstLine="360" w:firstLineChars="150"/>
        <w:jc w:val="left"/>
        <w:rPr>
          <w:rFonts w:eastAsia="宋体"/>
          <w:color w:val="000000"/>
          <w:sz w:val="24"/>
          <w:highlight w:val="none"/>
        </w:rPr>
      </w:pPr>
      <w:r>
        <w:rPr>
          <w:rFonts w:eastAsia="宋体"/>
          <w:color w:val="000000"/>
          <w:sz w:val="24"/>
          <w:highlight w:val="none"/>
        </w:rPr>
        <w:t>项目编号/包号：_______________     项目名称：_______________</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575"/>
        <w:gridCol w:w="1695"/>
        <w:gridCol w:w="1981"/>
        <w:gridCol w:w="2427"/>
        <w:gridCol w:w="783"/>
      </w:tblGrid>
      <w:tr w14:paraId="1EEA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14:paraId="1E5AEEFA">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序号</w:t>
            </w:r>
          </w:p>
        </w:tc>
        <w:tc>
          <w:tcPr>
            <w:tcW w:w="1575" w:type="dxa"/>
            <w:noWrap w:val="0"/>
            <w:vAlign w:val="center"/>
          </w:tcPr>
          <w:p w14:paraId="1E46B668">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szCs w:val="21"/>
                <w:highlight w:val="none"/>
              </w:rPr>
              <w:t>竞争性磋商文件</w:t>
            </w:r>
            <w:r>
              <w:rPr>
                <w:rFonts w:hint="default" w:eastAsia="宋体"/>
                <w:color w:val="000000"/>
                <w:sz w:val="24"/>
                <w:highlight w:val="none"/>
              </w:rPr>
              <w:t>条目号（页码）</w:t>
            </w:r>
          </w:p>
        </w:tc>
        <w:tc>
          <w:tcPr>
            <w:tcW w:w="1695" w:type="dxa"/>
            <w:noWrap w:val="0"/>
            <w:vAlign w:val="center"/>
          </w:tcPr>
          <w:p w14:paraId="0F3B7AEF">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szCs w:val="21"/>
                <w:highlight w:val="none"/>
              </w:rPr>
              <w:t>竞争性磋商文件</w:t>
            </w:r>
            <w:r>
              <w:rPr>
                <w:rFonts w:hint="default" w:eastAsia="宋体"/>
                <w:color w:val="000000"/>
                <w:sz w:val="24"/>
                <w:highlight w:val="none"/>
              </w:rPr>
              <w:t>要求</w:t>
            </w:r>
          </w:p>
        </w:tc>
        <w:tc>
          <w:tcPr>
            <w:tcW w:w="1981" w:type="dxa"/>
            <w:noWrap w:val="0"/>
            <w:vAlign w:val="center"/>
          </w:tcPr>
          <w:p w14:paraId="32B5D7F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响应文件内容</w:t>
            </w:r>
          </w:p>
        </w:tc>
        <w:tc>
          <w:tcPr>
            <w:tcW w:w="2427" w:type="dxa"/>
            <w:noWrap w:val="0"/>
            <w:vAlign w:val="center"/>
          </w:tcPr>
          <w:p w14:paraId="616B66C0">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偏离情况</w:t>
            </w:r>
          </w:p>
        </w:tc>
        <w:tc>
          <w:tcPr>
            <w:tcW w:w="783" w:type="dxa"/>
            <w:noWrap w:val="0"/>
            <w:vAlign w:val="center"/>
          </w:tcPr>
          <w:p w14:paraId="4FBCAB84">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说明</w:t>
            </w:r>
          </w:p>
        </w:tc>
      </w:tr>
      <w:tr w14:paraId="17AC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288" w:type="dxa"/>
            <w:gridSpan w:val="6"/>
            <w:noWrap w:val="0"/>
            <w:vAlign w:val="center"/>
          </w:tcPr>
          <w:p w14:paraId="6A6CB7ED">
            <w:pPr>
              <w:keepNext w:val="0"/>
              <w:keepLines w:val="0"/>
              <w:suppressLineNumbers w:val="0"/>
              <w:adjustRightInd w:val="0"/>
              <w:snapToGrid w:val="0"/>
              <w:spacing w:before="0" w:beforeAutospacing="0" w:after="0" w:afterAutospacing="0"/>
              <w:ind w:left="0" w:right="0"/>
              <w:jc w:val="both"/>
              <w:rPr>
                <w:rFonts w:hint="eastAsia" w:eastAsia="宋体"/>
                <w:color w:val="000000"/>
                <w:sz w:val="24"/>
                <w:highlight w:val="none"/>
              </w:rPr>
            </w:pPr>
            <w:r>
              <w:rPr>
                <w:rFonts w:hint="eastAsia" w:eastAsia="宋体"/>
                <w:b/>
                <w:bCs/>
                <w:color w:val="000000"/>
                <w:sz w:val="24"/>
                <w:highlight w:val="none"/>
              </w:rPr>
              <w:t>对本项目合同条款的偏离情况</w:t>
            </w:r>
            <w:r>
              <w:rPr>
                <w:rFonts w:hint="eastAsia" w:eastAsia="宋体"/>
                <w:color w:val="000000"/>
                <w:sz w:val="24"/>
                <w:highlight w:val="none"/>
              </w:rPr>
              <w:t>（应进行选择，未选择</w:t>
            </w:r>
            <w:r>
              <w:rPr>
                <w:rFonts w:hint="eastAsia" w:eastAsia="宋体"/>
                <w:b/>
                <w:bCs/>
                <w:color w:val="000000"/>
                <w:sz w:val="24"/>
                <w:highlight w:val="none"/>
              </w:rPr>
              <w:t>响应无效</w:t>
            </w:r>
            <w:r>
              <w:rPr>
                <w:rFonts w:hint="eastAsia" w:eastAsia="宋体"/>
                <w:color w:val="000000"/>
                <w:sz w:val="24"/>
                <w:highlight w:val="none"/>
              </w:rPr>
              <w:t>）：</w:t>
            </w:r>
          </w:p>
          <w:p w14:paraId="11AD5254">
            <w:pPr>
              <w:keepNext w:val="0"/>
              <w:keepLines w:val="0"/>
              <w:suppressLineNumbers w:val="0"/>
              <w:adjustRightInd w:val="0"/>
              <w:snapToGrid w:val="0"/>
              <w:spacing w:before="0" w:beforeAutospacing="0" w:after="0" w:afterAutospacing="0"/>
              <w:ind w:left="0" w:right="0"/>
              <w:jc w:val="both"/>
              <w:rPr>
                <w:rFonts w:hint="eastAsia" w:eastAsia="宋体"/>
                <w:color w:val="000000"/>
                <w:sz w:val="24"/>
                <w:highlight w:val="none"/>
              </w:rPr>
            </w:pPr>
            <w:r>
              <w:rPr>
                <w:rFonts w:hint="default" w:eastAsia="宋体"/>
                <w:highlight w:val="none"/>
              </w:rPr>
              <w:t>□</w:t>
            </w:r>
            <w:r>
              <w:rPr>
                <w:rFonts w:hint="eastAsia" w:eastAsia="宋体"/>
                <w:b/>
                <w:bCs/>
                <w:color w:val="000000"/>
                <w:sz w:val="24"/>
                <w:highlight w:val="none"/>
              </w:rPr>
              <w:t>无偏离</w:t>
            </w:r>
            <w:r>
              <w:rPr>
                <w:rFonts w:hint="eastAsia" w:eastAsia="宋体"/>
                <w:color w:val="000000"/>
                <w:sz w:val="24"/>
                <w:highlight w:val="none"/>
              </w:rPr>
              <w:t>（如无偏离，仅选择无偏离即可；无偏离即为对合同条款中的所有要求</w:t>
            </w:r>
            <w:r>
              <w:rPr>
                <w:rFonts w:hint="eastAsia"/>
                <w:color w:val="000000"/>
                <w:sz w:val="24"/>
                <w:highlight w:val="none"/>
                <w:lang w:eastAsia="zh-CN"/>
              </w:rPr>
              <w:t>，</w:t>
            </w:r>
            <w:r>
              <w:rPr>
                <w:rFonts w:hint="eastAsia" w:eastAsia="宋体"/>
                <w:color w:val="000000"/>
                <w:sz w:val="24"/>
                <w:highlight w:val="none"/>
              </w:rPr>
              <w:t>均视作供应商已对之理解和响应。）</w:t>
            </w:r>
          </w:p>
          <w:p w14:paraId="36223C98">
            <w:pPr>
              <w:keepNext w:val="0"/>
              <w:keepLines w:val="0"/>
              <w:suppressLineNumbers w:val="0"/>
              <w:adjustRightInd w:val="0"/>
              <w:snapToGrid w:val="0"/>
              <w:spacing w:before="0" w:beforeAutospacing="0" w:after="0" w:afterAutospacing="0"/>
              <w:ind w:left="0" w:right="0"/>
              <w:jc w:val="both"/>
              <w:rPr>
                <w:rFonts w:hint="default" w:eastAsia="宋体"/>
                <w:color w:val="000000"/>
                <w:sz w:val="24"/>
                <w:highlight w:val="none"/>
              </w:rPr>
            </w:pPr>
            <w:r>
              <w:rPr>
                <w:rFonts w:hint="default" w:eastAsia="宋体"/>
                <w:highlight w:val="none"/>
              </w:rPr>
              <w:t>□</w:t>
            </w:r>
            <w:r>
              <w:rPr>
                <w:rFonts w:hint="eastAsia" w:eastAsia="宋体"/>
                <w:b/>
                <w:bCs/>
                <w:color w:val="000000"/>
                <w:sz w:val="24"/>
                <w:highlight w:val="none"/>
              </w:rPr>
              <w:t>有偏离</w:t>
            </w:r>
            <w:r>
              <w:rPr>
                <w:rFonts w:hint="eastAsia" w:eastAsia="宋体"/>
                <w:color w:val="000000"/>
                <w:sz w:val="24"/>
                <w:highlight w:val="none"/>
              </w:rPr>
              <w:t>（如有偏离，则应在本表中对负偏离项逐一列明，否则</w:t>
            </w:r>
            <w:r>
              <w:rPr>
                <w:rFonts w:hint="eastAsia" w:eastAsia="宋体"/>
                <w:b/>
                <w:bCs/>
                <w:color w:val="000000"/>
                <w:sz w:val="24"/>
                <w:highlight w:val="none"/>
              </w:rPr>
              <w:t>响应无效</w:t>
            </w:r>
            <w:r>
              <w:rPr>
                <w:rFonts w:hint="eastAsia" w:eastAsia="宋体"/>
                <w:color w:val="000000"/>
                <w:sz w:val="24"/>
                <w:highlight w:val="none"/>
              </w:rPr>
              <w:t>；对合同条款中的所有要求，除本表列明的偏离外，均视作供应商已对之理解和响应。）</w:t>
            </w:r>
          </w:p>
        </w:tc>
      </w:tr>
      <w:tr w14:paraId="520B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14:paraId="4F745213">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575" w:type="dxa"/>
            <w:noWrap w:val="0"/>
            <w:vAlign w:val="center"/>
          </w:tcPr>
          <w:p w14:paraId="05D87484">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695" w:type="dxa"/>
            <w:noWrap w:val="0"/>
            <w:vAlign w:val="center"/>
          </w:tcPr>
          <w:p w14:paraId="2E274EC8">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981" w:type="dxa"/>
            <w:noWrap w:val="0"/>
            <w:vAlign w:val="center"/>
          </w:tcPr>
          <w:p w14:paraId="4F81AACC">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427" w:type="dxa"/>
            <w:noWrap w:val="0"/>
            <w:vAlign w:val="center"/>
          </w:tcPr>
          <w:p w14:paraId="50938AE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783" w:type="dxa"/>
            <w:noWrap w:val="0"/>
            <w:vAlign w:val="center"/>
          </w:tcPr>
          <w:p w14:paraId="11C2E47F">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r w14:paraId="4CC4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14:paraId="60A7435B">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575" w:type="dxa"/>
            <w:noWrap w:val="0"/>
            <w:vAlign w:val="center"/>
          </w:tcPr>
          <w:p w14:paraId="626E4F7E">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695" w:type="dxa"/>
            <w:noWrap w:val="0"/>
            <w:vAlign w:val="center"/>
          </w:tcPr>
          <w:p w14:paraId="44D21324">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981" w:type="dxa"/>
            <w:noWrap w:val="0"/>
            <w:vAlign w:val="center"/>
          </w:tcPr>
          <w:p w14:paraId="1BF9A691">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427" w:type="dxa"/>
            <w:noWrap w:val="0"/>
            <w:vAlign w:val="center"/>
          </w:tcPr>
          <w:p w14:paraId="1B0A6742">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783" w:type="dxa"/>
            <w:noWrap w:val="0"/>
            <w:vAlign w:val="center"/>
          </w:tcPr>
          <w:p w14:paraId="3709B990">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r w14:paraId="09D5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14:paraId="0F631149">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575" w:type="dxa"/>
            <w:noWrap w:val="0"/>
            <w:vAlign w:val="center"/>
          </w:tcPr>
          <w:p w14:paraId="368E0862">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695" w:type="dxa"/>
            <w:noWrap w:val="0"/>
            <w:vAlign w:val="center"/>
          </w:tcPr>
          <w:p w14:paraId="0A4372DB">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981" w:type="dxa"/>
            <w:noWrap w:val="0"/>
            <w:vAlign w:val="center"/>
          </w:tcPr>
          <w:p w14:paraId="7760FD45">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427" w:type="dxa"/>
            <w:noWrap w:val="0"/>
            <w:vAlign w:val="center"/>
          </w:tcPr>
          <w:p w14:paraId="0716FF9D">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783" w:type="dxa"/>
            <w:noWrap w:val="0"/>
            <w:vAlign w:val="center"/>
          </w:tcPr>
          <w:p w14:paraId="06AF3F6F">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r w14:paraId="6B355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14:paraId="62CD4C3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575" w:type="dxa"/>
            <w:noWrap w:val="0"/>
            <w:vAlign w:val="center"/>
          </w:tcPr>
          <w:p w14:paraId="1D9C6BC1">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695" w:type="dxa"/>
            <w:noWrap w:val="0"/>
            <w:vAlign w:val="center"/>
          </w:tcPr>
          <w:p w14:paraId="5EE0784E">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981" w:type="dxa"/>
            <w:noWrap w:val="0"/>
            <w:vAlign w:val="center"/>
          </w:tcPr>
          <w:p w14:paraId="7FA005BC">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427" w:type="dxa"/>
            <w:noWrap w:val="0"/>
            <w:vAlign w:val="center"/>
          </w:tcPr>
          <w:p w14:paraId="02216F68">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783" w:type="dxa"/>
            <w:noWrap w:val="0"/>
            <w:vAlign w:val="center"/>
          </w:tcPr>
          <w:p w14:paraId="65CF19DF">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r w14:paraId="7B72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14:paraId="5A7CBD0F">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575" w:type="dxa"/>
            <w:noWrap w:val="0"/>
            <w:vAlign w:val="center"/>
          </w:tcPr>
          <w:p w14:paraId="5A4594AA">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695" w:type="dxa"/>
            <w:noWrap w:val="0"/>
            <w:vAlign w:val="center"/>
          </w:tcPr>
          <w:p w14:paraId="5AFE4769">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981" w:type="dxa"/>
            <w:noWrap w:val="0"/>
            <w:vAlign w:val="center"/>
          </w:tcPr>
          <w:p w14:paraId="7CEF657C">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427" w:type="dxa"/>
            <w:noWrap w:val="0"/>
            <w:vAlign w:val="center"/>
          </w:tcPr>
          <w:p w14:paraId="08E8A694">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783" w:type="dxa"/>
            <w:noWrap w:val="0"/>
            <w:vAlign w:val="center"/>
          </w:tcPr>
          <w:p w14:paraId="3682B7B3">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bl>
    <w:p w14:paraId="5213D9FD">
      <w:pPr>
        <w:tabs>
          <w:tab w:val="left" w:pos="1800"/>
          <w:tab w:val="left" w:pos="5580"/>
        </w:tabs>
        <w:jc w:val="left"/>
        <w:rPr>
          <w:rFonts w:eastAsia="宋体"/>
          <w:color w:val="000000"/>
          <w:sz w:val="24"/>
          <w:highlight w:val="none"/>
        </w:rPr>
      </w:pPr>
    </w:p>
    <w:p w14:paraId="085FA49D">
      <w:pPr>
        <w:tabs>
          <w:tab w:val="left" w:pos="1800"/>
          <w:tab w:val="left" w:pos="5580"/>
        </w:tabs>
        <w:jc w:val="left"/>
        <w:rPr>
          <w:color w:val="000000"/>
          <w:sz w:val="24"/>
          <w:highlight w:val="none"/>
        </w:rPr>
      </w:pPr>
      <w:r>
        <w:rPr>
          <w:rFonts w:hint="eastAsia"/>
          <w:color w:val="000000"/>
          <w:sz w:val="24"/>
          <w:highlight w:val="none"/>
        </w:rPr>
        <w:t>注：</w:t>
      </w:r>
      <w:r>
        <w:rPr>
          <w:rFonts w:hint="eastAsia"/>
          <w:sz w:val="24"/>
          <w:highlight w:val="none"/>
        </w:rPr>
        <w:t>“偏离情况”列应</w:t>
      </w:r>
      <w:r>
        <w:rPr>
          <w:rFonts w:hint="eastAsia"/>
          <w:color w:val="000000"/>
          <w:sz w:val="24"/>
          <w:highlight w:val="none"/>
        </w:rPr>
        <w:t>据实</w:t>
      </w:r>
      <w:r>
        <w:rPr>
          <w:rFonts w:hint="eastAsia"/>
          <w:sz w:val="24"/>
          <w:highlight w:val="none"/>
        </w:rPr>
        <w:t>填写“正偏离”或“负偏离”。</w:t>
      </w:r>
    </w:p>
    <w:p w14:paraId="0B0A3F4C">
      <w:pPr>
        <w:spacing w:line="360" w:lineRule="auto"/>
        <w:rPr>
          <w:rFonts w:eastAsia="宋体"/>
          <w:color w:val="000000"/>
          <w:sz w:val="24"/>
          <w:szCs w:val="20"/>
          <w:highlight w:val="none"/>
        </w:rPr>
      </w:pPr>
    </w:p>
    <w:p w14:paraId="43BCEC3C">
      <w:pPr>
        <w:autoSpaceDE w:val="0"/>
        <w:autoSpaceDN w:val="0"/>
        <w:adjustRightInd w:val="0"/>
        <w:snapToGrid w:val="0"/>
        <w:spacing w:before="25" w:after="25" w:line="360" w:lineRule="auto"/>
        <w:rPr>
          <w:rFonts w:eastAsia="宋体"/>
          <w:color w:val="000000"/>
          <w:sz w:val="24"/>
          <w:highlight w:val="none"/>
          <w:lang w:val="zh-CN"/>
        </w:rPr>
      </w:pPr>
      <w:r>
        <w:rPr>
          <w:rFonts w:eastAsia="宋体"/>
          <w:color w:val="000000"/>
          <w:sz w:val="24"/>
          <w:highlight w:val="none"/>
        </w:rPr>
        <w:t>供应商名称（加盖公章）</w:t>
      </w:r>
      <w:r>
        <w:rPr>
          <w:rFonts w:eastAsia="宋体"/>
          <w:color w:val="000000"/>
          <w:sz w:val="24"/>
          <w:highlight w:val="none"/>
          <w:lang w:val="zh-CN"/>
        </w:rPr>
        <w:t>：</w:t>
      </w:r>
      <w:r>
        <w:rPr>
          <w:rFonts w:eastAsia="宋体"/>
          <w:color w:val="000000"/>
          <w:sz w:val="24"/>
          <w:highlight w:val="none"/>
        </w:rPr>
        <w:t>_______________</w:t>
      </w:r>
    </w:p>
    <w:p w14:paraId="7EF7268E">
      <w:pPr>
        <w:autoSpaceDE w:val="0"/>
        <w:autoSpaceDN w:val="0"/>
        <w:adjustRightInd w:val="0"/>
        <w:snapToGrid w:val="0"/>
        <w:spacing w:before="25" w:after="25" w:line="360" w:lineRule="auto"/>
        <w:rPr>
          <w:rFonts w:eastAsia="宋体"/>
          <w:color w:val="000000"/>
          <w:sz w:val="24"/>
          <w:highlight w:val="none"/>
          <w:lang w:val="zh-CN"/>
        </w:rPr>
      </w:pPr>
      <w:r>
        <w:rPr>
          <w:rFonts w:eastAsia="宋体"/>
          <w:color w:val="000000"/>
          <w:sz w:val="24"/>
          <w:szCs w:val="20"/>
          <w:highlight w:val="none"/>
        </w:rPr>
        <w:t xml:space="preserve">日期：____年____月____日    </w:t>
      </w:r>
    </w:p>
    <w:p w14:paraId="2C178269">
      <w:pPr>
        <w:tabs>
          <w:tab w:val="left" w:pos="360"/>
        </w:tabs>
        <w:snapToGrid w:val="0"/>
        <w:spacing w:line="360" w:lineRule="auto"/>
        <w:outlineLvl w:val="1"/>
        <w:rPr>
          <w:rFonts w:eastAsia="宋体"/>
          <w:color w:val="000000"/>
          <w:sz w:val="24"/>
          <w:szCs w:val="20"/>
          <w:highlight w:val="none"/>
        </w:rPr>
      </w:pPr>
      <w:r>
        <w:rPr>
          <w:rFonts w:eastAsia="宋体"/>
          <w:color w:val="000000"/>
          <w:sz w:val="24"/>
          <w:szCs w:val="20"/>
          <w:highlight w:val="none"/>
        </w:rPr>
        <w:br w:type="page"/>
      </w:r>
      <w:r>
        <w:rPr>
          <w:rFonts w:eastAsia="宋体"/>
          <w:sz w:val="24"/>
          <w:highlight w:val="none"/>
        </w:rPr>
        <w:t xml:space="preserve">10  </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r>
        <w:rPr>
          <w:rFonts w:eastAsia="宋体"/>
          <w:sz w:val="24"/>
          <w:highlight w:val="none"/>
        </w:rPr>
        <w:t>采购需求偏离表</w:t>
      </w:r>
      <w:r>
        <w:rPr>
          <w:spacing w:val="-1"/>
          <w:sz w:val="24"/>
          <w:szCs w:val="24"/>
          <w:highlight w:val="none"/>
        </w:rPr>
        <w:t>（实质性格式）</w:t>
      </w:r>
    </w:p>
    <w:p w14:paraId="0E124BFA">
      <w:pPr>
        <w:autoSpaceDE w:val="0"/>
        <w:autoSpaceDN w:val="0"/>
        <w:adjustRightInd w:val="0"/>
        <w:spacing w:line="360" w:lineRule="auto"/>
        <w:jc w:val="center"/>
        <w:rPr>
          <w:rFonts w:eastAsia="宋体"/>
          <w:b/>
          <w:color w:val="000000"/>
          <w:sz w:val="36"/>
          <w:szCs w:val="36"/>
          <w:highlight w:val="none"/>
        </w:rPr>
      </w:pPr>
      <w:r>
        <w:rPr>
          <w:rFonts w:hint="eastAsia" w:eastAsia="宋体"/>
          <w:b/>
          <w:color w:val="000000"/>
          <w:sz w:val="36"/>
          <w:szCs w:val="36"/>
          <w:highlight w:val="none"/>
        </w:rPr>
        <w:t>采购需求偏离表</w:t>
      </w:r>
    </w:p>
    <w:p w14:paraId="7CC92ECE">
      <w:pPr>
        <w:tabs>
          <w:tab w:val="left" w:pos="1800"/>
          <w:tab w:val="left" w:pos="5580"/>
        </w:tabs>
        <w:spacing w:line="360" w:lineRule="auto"/>
        <w:ind w:firstLine="360" w:firstLineChars="150"/>
        <w:jc w:val="left"/>
        <w:rPr>
          <w:rFonts w:eastAsia="宋体"/>
          <w:color w:val="000000"/>
          <w:sz w:val="24"/>
          <w:highlight w:val="none"/>
        </w:rPr>
      </w:pPr>
      <w:r>
        <w:rPr>
          <w:rFonts w:eastAsia="宋体"/>
          <w:color w:val="000000"/>
          <w:sz w:val="24"/>
          <w:highlight w:val="none"/>
        </w:rPr>
        <w:t>项目编号/包号：_______________     项目名称：_______________</w:t>
      </w:r>
    </w:p>
    <w:tbl>
      <w:tblPr>
        <w:tblStyle w:val="44"/>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6A01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noWrap w:val="0"/>
            <w:vAlign w:val="center"/>
          </w:tcPr>
          <w:p w14:paraId="5D431D3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序号</w:t>
            </w:r>
          </w:p>
        </w:tc>
        <w:tc>
          <w:tcPr>
            <w:tcW w:w="1482" w:type="dxa"/>
            <w:noWrap w:val="0"/>
            <w:vAlign w:val="center"/>
          </w:tcPr>
          <w:p w14:paraId="3FCDF286">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竞争性磋商文件条目号(页码)</w:t>
            </w:r>
          </w:p>
        </w:tc>
        <w:tc>
          <w:tcPr>
            <w:tcW w:w="2384" w:type="dxa"/>
            <w:noWrap w:val="0"/>
            <w:vAlign w:val="center"/>
          </w:tcPr>
          <w:p w14:paraId="2573A9BE">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竞争性磋商文件要求</w:t>
            </w:r>
          </w:p>
        </w:tc>
        <w:tc>
          <w:tcPr>
            <w:tcW w:w="2126" w:type="dxa"/>
            <w:noWrap w:val="0"/>
            <w:vAlign w:val="center"/>
          </w:tcPr>
          <w:p w14:paraId="596C6D42">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响应内容</w:t>
            </w:r>
          </w:p>
        </w:tc>
        <w:tc>
          <w:tcPr>
            <w:tcW w:w="1875" w:type="dxa"/>
            <w:noWrap w:val="0"/>
            <w:vAlign w:val="center"/>
          </w:tcPr>
          <w:p w14:paraId="7E317A46">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偏离情况</w:t>
            </w:r>
          </w:p>
        </w:tc>
        <w:tc>
          <w:tcPr>
            <w:tcW w:w="1009" w:type="dxa"/>
            <w:noWrap w:val="0"/>
            <w:vAlign w:val="center"/>
          </w:tcPr>
          <w:p w14:paraId="3DF33BED">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说明</w:t>
            </w:r>
          </w:p>
        </w:tc>
      </w:tr>
      <w:tr w14:paraId="5C48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438F3EDD">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482" w:type="dxa"/>
            <w:noWrap w:val="0"/>
            <w:vAlign w:val="center"/>
          </w:tcPr>
          <w:p w14:paraId="62F20FD5">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384" w:type="dxa"/>
            <w:noWrap w:val="0"/>
            <w:vAlign w:val="center"/>
          </w:tcPr>
          <w:p w14:paraId="1D62280A">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126" w:type="dxa"/>
            <w:noWrap w:val="0"/>
            <w:vAlign w:val="center"/>
          </w:tcPr>
          <w:p w14:paraId="4D80EF65">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875" w:type="dxa"/>
            <w:noWrap w:val="0"/>
            <w:vAlign w:val="center"/>
          </w:tcPr>
          <w:p w14:paraId="04CD7A94">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009" w:type="dxa"/>
            <w:noWrap w:val="0"/>
            <w:vAlign w:val="center"/>
          </w:tcPr>
          <w:p w14:paraId="68C5945F">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r w14:paraId="0098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00C07A0F">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482" w:type="dxa"/>
            <w:noWrap w:val="0"/>
            <w:vAlign w:val="center"/>
          </w:tcPr>
          <w:p w14:paraId="4BC41AB4">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384" w:type="dxa"/>
            <w:noWrap w:val="0"/>
            <w:vAlign w:val="center"/>
          </w:tcPr>
          <w:p w14:paraId="36635DB6">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126" w:type="dxa"/>
            <w:noWrap w:val="0"/>
            <w:vAlign w:val="center"/>
          </w:tcPr>
          <w:p w14:paraId="20F5E3FF">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875" w:type="dxa"/>
            <w:noWrap w:val="0"/>
            <w:vAlign w:val="center"/>
          </w:tcPr>
          <w:p w14:paraId="6FBA5EC0">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009" w:type="dxa"/>
            <w:noWrap w:val="0"/>
            <w:vAlign w:val="center"/>
          </w:tcPr>
          <w:p w14:paraId="2E4A111B">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r w14:paraId="4747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57D55BC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482" w:type="dxa"/>
            <w:noWrap w:val="0"/>
            <w:vAlign w:val="center"/>
          </w:tcPr>
          <w:p w14:paraId="72FF5649">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384" w:type="dxa"/>
            <w:noWrap w:val="0"/>
            <w:vAlign w:val="center"/>
          </w:tcPr>
          <w:p w14:paraId="279D8762">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126" w:type="dxa"/>
            <w:noWrap w:val="0"/>
            <w:vAlign w:val="center"/>
          </w:tcPr>
          <w:p w14:paraId="54A69329">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875" w:type="dxa"/>
            <w:noWrap w:val="0"/>
            <w:vAlign w:val="center"/>
          </w:tcPr>
          <w:p w14:paraId="1401D6C2">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009" w:type="dxa"/>
            <w:noWrap w:val="0"/>
            <w:vAlign w:val="center"/>
          </w:tcPr>
          <w:p w14:paraId="4254CC9B">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r w14:paraId="510D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34B9C0EB">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482" w:type="dxa"/>
            <w:noWrap w:val="0"/>
            <w:vAlign w:val="center"/>
          </w:tcPr>
          <w:p w14:paraId="39DDB03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384" w:type="dxa"/>
            <w:noWrap w:val="0"/>
            <w:vAlign w:val="center"/>
          </w:tcPr>
          <w:p w14:paraId="1E787F10">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126" w:type="dxa"/>
            <w:noWrap w:val="0"/>
            <w:vAlign w:val="center"/>
          </w:tcPr>
          <w:p w14:paraId="6C14CC03">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875" w:type="dxa"/>
            <w:noWrap w:val="0"/>
            <w:vAlign w:val="center"/>
          </w:tcPr>
          <w:p w14:paraId="01900294">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009" w:type="dxa"/>
            <w:noWrap w:val="0"/>
            <w:vAlign w:val="center"/>
          </w:tcPr>
          <w:p w14:paraId="307CEA30">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r w14:paraId="508A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17FE43B3">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482" w:type="dxa"/>
            <w:noWrap w:val="0"/>
            <w:vAlign w:val="center"/>
          </w:tcPr>
          <w:p w14:paraId="759C97C5">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384" w:type="dxa"/>
            <w:noWrap w:val="0"/>
            <w:vAlign w:val="center"/>
          </w:tcPr>
          <w:p w14:paraId="6E9303ED">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126" w:type="dxa"/>
            <w:noWrap w:val="0"/>
            <w:vAlign w:val="center"/>
          </w:tcPr>
          <w:p w14:paraId="58B1805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875" w:type="dxa"/>
            <w:noWrap w:val="0"/>
            <w:vAlign w:val="center"/>
          </w:tcPr>
          <w:p w14:paraId="24D0409A">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009" w:type="dxa"/>
            <w:noWrap w:val="0"/>
            <w:vAlign w:val="center"/>
          </w:tcPr>
          <w:p w14:paraId="08B8C5A4">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r w14:paraId="4E43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689EF7C8">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482" w:type="dxa"/>
            <w:noWrap w:val="0"/>
            <w:vAlign w:val="center"/>
          </w:tcPr>
          <w:p w14:paraId="649FEF8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384" w:type="dxa"/>
            <w:noWrap w:val="0"/>
            <w:vAlign w:val="center"/>
          </w:tcPr>
          <w:p w14:paraId="72D60B59">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126" w:type="dxa"/>
            <w:noWrap w:val="0"/>
            <w:vAlign w:val="center"/>
          </w:tcPr>
          <w:p w14:paraId="4E762B4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875" w:type="dxa"/>
            <w:noWrap w:val="0"/>
            <w:vAlign w:val="center"/>
          </w:tcPr>
          <w:p w14:paraId="0631CB14">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009" w:type="dxa"/>
            <w:noWrap w:val="0"/>
            <w:vAlign w:val="center"/>
          </w:tcPr>
          <w:p w14:paraId="56A1A6C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bl>
    <w:p w14:paraId="5B1F69B2">
      <w:pPr>
        <w:tabs>
          <w:tab w:val="left" w:pos="1800"/>
          <w:tab w:val="left" w:pos="5580"/>
        </w:tabs>
        <w:spacing w:line="360" w:lineRule="auto"/>
        <w:ind w:firstLine="360" w:firstLineChars="150"/>
        <w:jc w:val="left"/>
        <w:rPr>
          <w:rFonts w:eastAsia="宋体"/>
          <w:color w:val="000000"/>
          <w:sz w:val="24"/>
          <w:highlight w:val="none"/>
          <w:u w:val="single"/>
        </w:rPr>
      </w:pPr>
    </w:p>
    <w:p w14:paraId="634449E5">
      <w:pPr>
        <w:tabs>
          <w:tab w:val="left" w:pos="1800"/>
          <w:tab w:val="left" w:pos="5580"/>
        </w:tabs>
        <w:spacing w:line="360" w:lineRule="auto"/>
        <w:ind w:firstLine="360" w:firstLineChars="150"/>
        <w:jc w:val="left"/>
        <w:rPr>
          <w:rFonts w:eastAsia="宋体"/>
          <w:color w:val="000000"/>
          <w:sz w:val="24"/>
          <w:highlight w:val="none"/>
          <w:u w:val="single"/>
        </w:rPr>
      </w:pPr>
    </w:p>
    <w:p w14:paraId="48C71D28">
      <w:pPr>
        <w:tabs>
          <w:tab w:val="left" w:pos="1800"/>
          <w:tab w:val="left" w:pos="5580"/>
        </w:tabs>
        <w:jc w:val="left"/>
        <w:rPr>
          <w:rFonts w:eastAsia="宋体"/>
          <w:color w:val="000000"/>
          <w:sz w:val="24"/>
          <w:highlight w:val="none"/>
        </w:rPr>
      </w:pPr>
      <w:r>
        <w:rPr>
          <w:rFonts w:eastAsia="宋体"/>
          <w:color w:val="000000"/>
          <w:sz w:val="24"/>
          <w:highlight w:val="none"/>
        </w:rPr>
        <w:t>注：</w:t>
      </w:r>
    </w:p>
    <w:p w14:paraId="74563D2D">
      <w:pPr>
        <w:tabs>
          <w:tab w:val="left" w:pos="1800"/>
          <w:tab w:val="left" w:pos="5580"/>
        </w:tabs>
        <w:jc w:val="left"/>
        <w:rPr>
          <w:rFonts w:eastAsia="宋体"/>
          <w:sz w:val="24"/>
          <w:highlight w:val="none"/>
        </w:rPr>
      </w:pPr>
      <w:r>
        <w:rPr>
          <w:rFonts w:hint="eastAsia" w:eastAsia="宋体"/>
          <w:color w:val="000000"/>
          <w:sz w:val="24"/>
          <w:highlight w:val="none"/>
        </w:rPr>
        <w:t>1</w:t>
      </w:r>
      <w:r>
        <w:rPr>
          <w:rFonts w:eastAsia="宋体"/>
          <w:color w:val="000000"/>
          <w:sz w:val="24"/>
          <w:highlight w:val="none"/>
        </w:rPr>
        <w:t xml:space="preserve">. </w:t>
      </w:r>
      <w:r>
        <w:rPr>
          <w:rFonts w:eastAsia="宋体"/>
          <w:sz w:val="24"/>
          <w:highlight w:val="none"/>
        </w:rPr>
        <w:t>对竞争性磋商文件中的所有商务、技术要求，除本表所列明的所有偏离外，均视作供应商已对之理解和响应。此表中若无任何文字说明，内容为空白的</w:t>
      </w:r>
      <w:r>
        <w:rPr>
          <w:rFonts w:hint="eastAsia"/>
          <w:sz w:val="24"/>
          <w:highlight w:val="none"/>
          <w:lang w:eastAsia="zh-CN"/>
        </w:rPr>
        <w:t>，</w:t>
      </w:r>
      <w:r>
        <w:rPr>
          <w:rFonts w:eastAsia="宋体"/>
          <w:b/>
          <w:sz w:val="24"/>
          <w:highlight w:val="none"/>
        </w:rPr>
        <w:t>响应无效</w:t>
      </w:r>
      <w:r>
        <w:rPr>
          <w:rFonts w:eastAsia="宋体"/>
          <w:sz w:val="24"/>
          <w:highlight w:val="none"/>
        </w:rPr>
        <w:t>。</w:t>
      </w:r>
    </w:p>
    <w:p w14:paraId="791EB566">
      <w:pPr>
        <w:tabs>
          <w:tab w:val="left" w:pos="1800"/>
          <w:tab w:val="left" w:pos="5580"/>
        </w:tabs>
        <w:jc w:val="left"/>
        <w:rPr>
          <w:color w:val="000000"/>
          <w:sz w:val="24"/>
          <w:highlight w:val="none"/>
        </w:rPr>
      </w:pPr>
      <w:r>
        <w:rPr>
          <w:sz w:val="24"/>
          <w:highlight w:val="none"/>
        </w:rPr>
        <w:t>2.</w:t>
      </w:r>
      <w:r>
        <w:rPr>
          <w:rFonts w:hint="eastAsia"/>
          <w:sz w:val="24"/>
          <w:highlight w:val="none"/>
        </w:rPr>
        <w:t>“偏离情况”列应</w:t>
      </w:r>
      <w:r>
        <w:rPr>
          <w:rFonts w:hint="eastAsia"/>
          <w:color w:val="000000"/>
          <w:sz w:val="24"/>
          <w:highlight w:val="none"/>
        </w:rPr>
        <w:t>据实</w:t>
      </w:r>
      <w:r>
        <w:rPr>
          <w:rFonts w:hint="eastAsia"/>
          <w:sz w:val="24"/>
          <w:highlight w:val="none"/>
        </w:rPr>
        <w:t>填写</w:t>
      </w:r>
      <w:r>
        <w:rPr>
          <w:rFonts w:hint="eastAsia"/>
          <w:sz w:val="24"/>
          <w:highlight w:val="none"/>
          <w:lang w:eastAsia="zh-CN"/>
        </w:rPr>
        <w:t>“</w:t>
      </w:r>
      <w:r>
        <w:rPr>
          <w:rFonts w:hint="eastAsia"/>
          <w:sz w:val="24"/>
          <w:highlight w:val="none"/>
          <w:lang w:val="en-US" w:eastAsia="zh-CN"/>
        </w:rPr>
        <w:t>无偏离</w:t>
      </w:r>
      <w:r>
        <w:rPr>
          <w:rFonts w:hint="eastAsia"/>
          <w:sz w:val="24"/>
          <w:highlight w:val="none"/>
          <w:lang w:eastAsia="zh-CN"/>
        </w:rPr>
        <w:t>”、</w:t>
      </w:r>
      <w:r>
        <w:rPr>
          <w:rFonts w:hint="eastAsia"/>
          <w:sz w:val="24"/>
          <w:highlight w:val="none"/>
        </w:rPr>
        <w:t>“正偏离”或“负偏离”。</w:t>
      </w:r>
    </w:p>
    <w:p w14:paraId="2AC6F993">
      <w:pPr>
        <w:tabs>
          <w:tab w:val="left" w:pos="1800"/>
          <w:tab w:val="left" w:pos="5580"/>
        </w:tabs>
        <w:jc w:val="left"/>
        <w:rPr>
          <w:rFonts w:eastAsia="宋体"/>
          <w:color w:val="000000"/>
          <w:sz w:val="24"/>
          <w:highlight w:val="none"/>
        </w:rPr>
      </w:pPr>
    </w:p>
    <w:p w14:paraId="23AF4245">
      <w:pPr>
        <w:rPr>
          <w:rFonts w:eastAsia="宋体"/>
          <w:color w:val="000000"/>
          <w:sz w:val="24"/>
          <w:szCs w:val="20"/>
          <w:highlight w:val="none"/>
        </w:rPr>
      </w:pPr>
    </w:p>
    <w:p w14:paraId="10DBF8C2">
      <w:pPr>
        <w:autoSpaceDE w:val="0"/>
        <w:autoSpaceDN w:val="0"/>
        <w:adjustRightInd w:val="0"/>
        <w:snapToGrid w:val="0"/>
        <w:spacing w:before="25" w:after="25" w:line="360" w:lineRule="auto"/>
        <w:ind w:right="360"/>
        <w:jc w:val="left"/>
        <w:rPr>
          <w:rFonts w:eastAsia="宋体"/>
          <w:color w:val="000000"/>
          <w:sz w:val="24"/>
          <w:highlight w:val="none"/>
          <w:lang w:val="zh-CN"/>
        </w:rPr>
      </w:pPr>
      <w:r>
        <w:rPr>
          <w:rFonts w:eastAsia="宋体"/>
          <w:color w:val="000000"/>
          <w:sz w:val="24"/>
          <w:highlight w:val="none"/>
        </w:rPr>
        <w:t>供应商名称（加盖公章）</w:t>
      </w:r>
      <w:r>
        <w:rPr>
          <w:rFonts w:eastAsia="宋体"/>
          <w:color w:val="000000"/>
          <w:sz w:val="24"/>
          <w:highlight w:val="none"/>
          <w:lang w:val="zh-CN"/>
        </w:rPr>
        <w:t>：</w:t>
      </w:r>
      <w:r>
        <w:rPr>
          <w:rFonts w:eastAsia="宋体"/>
          <w:sz w:val="24"/>
          <w:highlight w:val="none"/>
        </w:rPr>
        <w:t>______</w:t>
      </w:r>
    </w:p>
    <w:p w14:paraId="5C508425">
      <w:pPr>
        <w:autoSpaceDE w:val="0"/>
        <w:autoSpaceDN w:val="0"/>
        <w:adjustRightInd w:val="0"/>
        <w:snapToGrid w:val="0"/>
        <w:spacing w:before="25" w:after="25" w:line="360" w:lineRule="auto"/>
        <w:ind w:right="360"/>
        <w:jc w:val="left"/>
        <w:rPr>
          <w:rFonts w:eastAsia="宋体"/>
          <w:color w:val="000000"/>
          <w:sz w:val="24"/>
          <w:szCs w:val="20"/>
          <w:highlight w:val="none"/>
        </w:rPr>
      </w:pPr>
      <w:r>
        <w:rPr>
          <w:rFonts w:eastAsia="宋体"/>
          <w:color w:val="000000"/>
          <w:sz w:val="24"/>
          <w:szCs w:val="20"/>
          <w:highlight w:val="none"/>
        </w:rPr>
        <w:t xml:space="preserve">日期：____年____月____日 </w:t>
      </w:r>
    </w:p>
    <w:p w14:paraId="7C551FF8">
      <w:pPr>
        <w:tabs>
          <w:tab w:val="left" w:pos="360"/>
        </w:tabs>
        <w:snapToGrid w:val="0"/>
        <w:spacing w:line="360" w:lineRule="auto"/>
        <w:outlineLvl w:val="1"/>
        <w:rPr>
          <w:rFonts w:eastAsia="宋体"/>
          <w:color w:val="000000"/>
          <w:sz w:val="24"/>
          <w:szCs w:val="20"/>
          <w:highlight w:val="none"/>
        </w:rPr>
        <w:sectPr>
          <w:headerReference r:id="rId38" w:type="default"/>
          <w:pgSz w:w="11907" w:h="16840"/>
          <w:pgMar w:top="1418" w:right="1134" w:bottom="1418" w:left="1701" w:header="851" w:footer="851" w:gutter="0"/>
          <w:pgNumType w:fmt="decimal"/>
          <w:cols w:space="720" w:num="1"/>
          <w:docGrid w:linePitch="462" w:charSpace="0"/>
        </w:sectPr>
      </w:pPr>
    </w:p>
    <w:p w14:paraId="6A1273B6">
      <w:pPr>
        <w:spacing w:line="360" w:lineRule="auto"/>
        <w:outlineLvl w:val="2"/>
        <w:rPr>
          <w:sz w:val="24"/>
          <w:highlight w:val="none"/>
        </w:rPr>
      </w:pPr>
      <w:r>
        <w:rPr>
          <w:rFonts w:hint="eastAsia"/>
          <w:sz w:val="24"/>
          <w:highlight w:val="none"/>
          <w:lang w:val="en-US" w:eastAsia="zh-CN"/>
        </w:rPr>
        <w:t xml:space="preserve">11 </w:t>
      </w:r>
      <w:r>
        <w:rPr>
          <w:rFonts w:hint="eastAsia"/>
          <w:sz w:val="24"/>
          <w:highlight w:val="none"/>
        </w:rPr>
        <w:t>竞争性磋商文件要求提供或供应商认为应附的其他材料</w:t>
      </w:r>
    </w:p>
    <w:p w14:paraId="18244C31">
      <w:pPr>
        <w:spacing w:line="360" w:lineRule="auto"/>
        <w:outlineLvl w:val="2"/>
        <w:rPr>
          <w:rFonts w:hint="eastAsia"/>
          <w:sz w:val="24"/>
          <w:highlight w:val="none"/>
        </w:rPr>
      </w:pPr>
      <w:r>
        <w:rPr>
          <w:rFonts w:hint="eastAsia"/>
          <w:sz w:val="24"/>
          <w:highlight w:val="none"/>
        </w:rPr>
        <w:t>11-1 供应商相关业绩</w:t>
      </w:r>
    </w:p>
    <w:p w14:paraId="72487A4B">
      <w:pPr>
        <w:spacing w:line="360" w:lineRule="auto"/>
        <w:outlineLvl w:val="2"/>
        <w:rPr>
          <w:rFonts w:hint="eastAsia"/>
          <w:sz w:val="24"/>
          <w:highlight w:val="none"/>
        </w:rPr>
      </w:pPr>
      <w:r>
        <w:rPr>
          <w:rFonts w:hint="eastAsia"/>
          <w:sz w:val="24"/>
          <w:highlight w:val="none"/>
        </w:rPr>
        <w:t>11-2 供应商拟派团队人员及相关证明材料</w:t>
      </w:r>
    </w:p>
    <w:p w14:paraId="2F90CCA4">
      <w:pPr>
        <w:spacing w:line="360" w:lineRule="auto"/>
        <w:outlineLvl w:val="2"/>
        <w:rPr>
          <w:rFonts w:hint="eastAsia"/>
          <w:sz w:val="24"/>
          <w:highlight w:val="none"/>
        </w:rPr>
      </w:pPr>
      <w:r>
        <w:rPr>
          <w:rFonts w:hint="eastAsia"/>
          <w:sz w:val="24"/>
          <w:highlight w:val="none"/>
        </w:rPr>
        <w:t>11-3 供应商针对本项目的设计方案</w:t>
      </w:r>
    </w:p>
    <w:p w14:paraId="55853E61">
      <w:pPr>
        <w:spacing w:line="360" w:lineRule="auto"/>
        <w:outlineLvl w:val="2"/>
        <w:rPr>
          <w:rFonts w:hint="eastAsia"/>
          <w:sz w:val="24"/>
          <w:highlight w:val="none"/>
        </w:rPr>
      </w:pPr>
      <w:r>
        <w:rPr>
          <w:rFonts w:hint="eastAsia"/>
          <w:sz w:val="24"/>
          <w:highlight w:val="none"/>
        </w:rPr>
        <w:t>11-4 供应商施工组织设计文件</w:t>
      </w:r>
    </w:p>
    <w:p w14:paraId="0D4F9CF7">
      <w:pPr>
        <w:spacing w:line="360" w:lineRule="auto"/>
        <w:outlineLvl w:val="2"/>
        <w:rPr>
          <w:rFonts w:hint="eastAsia"/>
          <w:sz w:val="24"/>
          <w:highlight w:val="none"/>
        </w:rPr>
      </w:pPr>
      <w:r>
        <w:rPr>
          <w:rFonts w:hint="eastAsia"/>
          <w:sz w:val="24"/>
          <w:highlight w:val="none"/>
        </w:rPr>
        <w:t>等其他竞争性磋商文件要求提供或供应商认为应附的其他材料。</w:t>
      </w:r>
    </w:p>
    <w:p w14:paraId="7D4DADBF">
      <w:pPr>
        <w:rPr>
          <w:rFonts w:hint="eastAsia"/>
          <w:sz w:val="24"/>
          <w:highlight w:val="none"/>
        </w:rPr>
      </w:pPr>
      <w:r>
        <w:rPr>
          <w:rFonts w:hint="eastAsia"/>
          <w:sz w:val="24"/>
          <w:highlight w:val="none"/>
        </w:rPr>
        <w:br w:type="page"/>
      </w:r>
    </w:p>
    <w:p w14:paraId="015CCAD7">
      <w:pPr>
        <w:widowControl/>
        <w:jc w:val="left"/>
        <w:rPr>
          <w:rFonts w:eastAsia="宋体"/>
          <w:sz w:val="24"/>
          <w:highlight w:val="none"/>
        </w:rPr>
      </w:pPr>
      <w:r>
        <w:rPr>
          <w:rFonts w:eastAsia="宋体"/>
          <w:sz w:val="24"/>
          <w:highlight w:val="none"/>
        </w:rPr>
        <w:t>1</w:t>
      </w:r>
      <w:r>
        <w:rPr>
          <w:rFonts w:hint="eastAsia"/>
          <w:sz w:val="24"/>
          <w:highlight w:val="none"/>
          <w:lang w:val="en-US" w:eastAsia="zh-CN"/>
        </w:rPr>
        <w:t>2</w:t>
      </w:r>
      <w:r>
        <w:rPr>
          <w:rFonts w:eastAsia="宋体"/>
          <w:sz w:val="24"/>
          <w:highlight w:val="none"/>
        </w:rPr>
        <w:t xml:space="preserve">  最后报价一览表（实质性格式，磋商后提交）</w:t>
      </w:r>
    </w:p>
    <w:p w14:paraId="376BF6E6">
      <w:pPr>
        <w:widowControl/>
        <w:jc w:val="left"/>
        <w:rPr>
          <w:rFonts w:eastAsia="宋体"/>
          <w:kern w:val="0"/>
          <w:sz w:val="24"/>
          <w:szCs w:val="20"/>
          <w:highlight w:val="none"/>
        </w:rPr>
      </w:pPr>
    </w:p>
    <w:p w14:paraId="0D337740">
      <w:pPr>
        <w:keepNext w:val="0"/>
        <w:keepLines w:val="0"/>
        <w:pageBreakBefore w:val="0"/>
        <w:widowControl w:val="0"/>
        <w:kinsoku/>
        <w:wordWrap/>
        <w:overflowPunct/>
        <w:topLinePunct w:val="0"/>
        <w:autoSpaceDE/>
        <w:autoSpaceDN/>
        <w:bidi w:val="0"/>
        <w:adjustRightInd/>
        <w:snapToGrid/>
        <w:spacing w:line="480" w:lineRule="exact"/>
        <w:ind w:firstLine="720"/>
        <w:jc w:val="center"/>
        <w:textAlignment w:val="auto"/>
        <w:rPr>
          <w:rFonts w:eastAsia="宋体"/>
          <w:b/>
          <w:color w:val="000000"/>
          <w:sz w:val="36"/>
          <w:szCs w:val="36"/>
          <w:highlight w:val="none"/>
        </w:rPr>
      </w:pPr>
      <w:r>
        <w:rPr>
          <w:rFonts w:hint="eastAsia" w:eastAsia="宋体"/>
          <w:b/>
          <w:color w:val="000000"/>
          <w:sz w:val="36"/>
          <w:szCs w:val="36"/>
          <w:highlight w:val="none"/>
        </w:rPr>
        <w:t>最后报价一览表</w:t>
      </w:r>
    </w:p>
    <w:p w14:paraId="1F318386">
      <w:pPr>
        <w:tabs>
          <w:tab w:val="left" w:pos="1800"/>
          <w:tab w:val="left" w:pos="5580"/>
        </w:tabs>
        <w:spacing w:line="360" w:lineRule="auto"/>
        <w:jc w:val="left"/>
        <w:rPr>
          <w:rFonts w:eastAsia="宋体"/>
          <w:color w:val="000000"/>
          <w:sz w:val="24"/>
          <w:highlight w:val="none"/>
        </w:rPr>
      </w:pPr>
    </w:p>
    <w:p w14:paraId="403047D8">
      <w:pPr>
        <w:tabs>
          <w:tab w:val="left" w:pos="1800"/>
          <w:tab w:val="left" w:pos="5580"/>
        </w:tabs>
        <w:spacing w:line="360" w:lineRule="auto"/>
        <w:ind w:firstLine="360" w:firstLineChars="150"/>
        <w:jc w:val="left"/>
        <w:rPr>
          <w:rFonts w:eastAsia="宋体"/>
          <w:color w:val="000000"/>
          <w:sz w:val="24"/>
          <w:highlight w:val="none"/>
        </w:rPr>
      </w:pPr>
      <w:r>
        <w:rPr>
          <w:rFonts w:eastAsia="宋体"/>
          <w:color w:val="000000"/>
          <w:sz w:val="24"/>
          <w:highlight w:val="none"/>
        </w:rPr>
        <w:t>项目编号/包号：_______________     项目名称：_______________</w:t>
      </w:r>
    </w:p>
    <w:tbl>
      <w:tblPr>
        <w:tblStyle w:val="44"/>
        <w:tblW w:w="42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7"/>
        <w:gridCol w:w="2305"/>
        <w:gridCol w:w="1714"/>
        <w:gridCol w:w="1526"/>
        <w:gridCol w:w="1460"/>
      </w:tblGrid>
      <w:tr w14:paraId="5783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47" w:type="pct"/>
            <w:vMerge w:val="restart"/>
            <w:noWrap w:val="0"/>
            <w:vAlign w:val="center"/>
          </w:tcPr>
          <w:p w14:paraId="038DA52F">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default" w:eastAsia="宋体"/>
                <w:b/>
                <w:sz w:val="24"/>
                <w:highlight w:val="none"/>
              </w:rPr>
              <w:t>序号</w:t>
            </w:r>
          </w:p>
        </w:tc>
        <w:tc>
          <w:tcPr>
            <w:tcW w:w="1498" w:type="pct"/>
            <w:vMerge w:val="restart"/>
            <w:noWrap w:val="0"/>
            <w:vAlign w:val="center"/>
          </w:tcPr>
          <w:p w14:paraId="04D198E1">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default" w:eastAsia="宋体"/>
                <w:b/>
                <w:sz w:val="24"/>
                <w:highlight w:val="none"/>
              </w:rPr>
              <w:t>供应商名称</w:t>
            </w:r>
          </w:p>
        </w:tc>
        <w:tc>
          <w:tcPr>
            <w:tcW w:w="2106" w:type="pct"/>
            <w:gridSpan w:val="2"/>
            <w:noWrap w:val="0"/>
            <w:vAlign w:val="center"/>
          </w:tcPr>
          <w:p w14:paraId="6C3A87F6">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default" w:eastAsia="宋体"/>
                <w:b/>
                <w:sz w:val="24"/>
                <w:highlight w:val="none"/>
              </w:rPr>
              <w:t>最后报价</w:t>
            </w:r>
          </w:p>
        </w:tc>
        <w:tc>
          <w:tcPr>
            <w:tcW w:w="949" w:type="pct"/>
            <w:vMerge w:val="restart"/>
            <w:noWrap w:val="0"/>
            <w:vAlign w:val="center"/>
          </w:tcPr>
          <w:p w14:paraId="290E6A89">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default" w:eastAsia="宋体"/>
                <w:b/>
                <w:sz w:val="24"/>
                <w:highlight w:val="none"/>
              </w:rPr>
              <w:t>其他</w:t>
            </w:r>
          </w:p>
          <w:p w14:paraId="3655DB90">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default" w:eastAsia="宋体"/>
                <w:b/>
                <w:sz w:val="24"/>
                <w:highlight w:val="none"/>
              </w:rPr>
              <w:t>声明</w:t>
            </w:r>
          </w:p>
        </w:tc>
      </w:tr>
      <w:tr w14:paraId="725D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47" w:type="pct"/>
            <w:vMerge w:val="continue"/>
            <w:noWrap w:val="0"/>
            <w:vAlign w:val="center"/>
          </w:tcPr>
          <w:p w14:paraId="1D60539E">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c>
          <w:tcPr>
            <w:tcW w:w="1498" w:type="pct"/>
            <w:vMerge w:val="continue"/>
            <w:noWrap w:val="0"/>
            <w:vAlign w:val="center"/>
          </w:tcPr>
          <w:p w14:paraId="115252E7">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c>
          <w:tcPr>
            <w:tcW w:w="1114" w:type="pct"/>
            <w:noWrap w:val="0"/>
            <w:vAlign w:val="center"/>
          </w:tcPr>
          <w:p w14:paraId="30C157DE">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default" w:eastAsia="宋体"/>
                <w:b/>
                <w:sz w:val="24"/>
                <w:highlight w:val="none"/>
              </w:rPr>
              <w:t>大写</w:t>
            </w:r>
          </w:p>
        </w:tc>
        <w:tc>
          <w:tcPr>
            <w:tcW w:w="992" w:type="pct"/>
            <w:noWrap w:val="0"/>
            <w:vAlign w:val="center"/>
          </w:tcPr>
          <w:p w14:paraId="65EA2B27">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default" w:eastAsia="宋体"/>
                <w:b/>
                <w:sz w:val="24"/>
                <w:highlight w:val="none"/>
              </w:rPr>
              <w:t>小写</w:t>
            </w:r>
          </w:p>
        </w:tc>
        <w:tc>
          <w:tcPr>
            <w:tcW w:w="949" w:type="pct"/>
            <w:vMerge w:val="continue"/>
            <w:noWrap w:val="0"/>
            <w:vAlign w:val="center"/>
          </w:tcPr>
          <w:p w14:paraId="0E9E6E88">
            <w:pPr>
              <w:keepNext w:val="0"/>
              <w:keepLines w:val="0"/>
              <w:suppressLineNumbers w:val="0"/>
              <w:tabs>
                <w:tab w:val="left" w:pos="5580"/>
              </w:tabs>
              <w:spacing w:before="0" w:beforeAutospacing="0" w:after="0" w:afterAutospacing="0"/>
              <w:ind w:left="0" w:right="0" w:firstLine="482"/>
              <w:jc w:val="center"/>
              <w:rPr>
                <w:rFonts w:hint="default" w:eastAsia="宋体"/>
                <w:b/>
                <w:sz w:val="24"/>
                <w:highlight w:val="none"/>
              </w:rPr>
            </w:pPr>
          </w:p>
        </w:tc>
      </w:tr>
      <w:tr w14:paraId="64C7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1" w:hRule="atLeast"/>
          <w:jc w:val="center"/>
        </w:trPr>
        <w:tc>
          <w:tcPr>
            <w:tcW w:w="447" w:type="pct"/>
            <w:noWrap w:val="0"/>
            <w:vAlign w:val="center"/>
          </w:tcPr>
          <w:p w14:paraId="6DEDC1E0">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c>
          <w:tcPr>
            <w:tcW w:w="1498" w:type="pct"/>
            <w:noWrap w:val="0"/>
            <w:vAlign w:val="center"/>
          </w:tcPr>
          <w:p w14:paraId="4DFFF81B">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c>
          <w:tcPr>
            <w:tcW w:w="1114" w:type="pct"/>
            <w:noWrap w:val="0"/>
            <w:vAlign w:val="center"/>
          </w:tcPr>
          <w:p w14:paraId="0BF73CDA">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c>
          <w:tcPr>
            <w:tcW w:w="992" w:type="pct"/>
            <w:noWrap w:val="0"/>
            <w:vAlign w:val="center"/>
          </w:tcPr>
          <w:p w14:paraId="210BC92E">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c>
          <w:tcPr>
            <w:tcW w:w="949" w:type="pct"/>
            <w:noWrap w:val="0"/>
            <w:vAlign w:val="center"/>
          </w:tcPr>
          <w:p w14:paraId="371FA6FC">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r>
    </w:tbl>
    <w:p w14:paraId="4C291500">
      <w:pPr>
        <w:autoSpaceDE w:val="0"/>
        <w:autoSpaceDN w:val="0"/>
        <w:adjustRightInd w:val="0"/>
        <w:jc w:val="left"/>
        <w:rPr>
          <w:rFonts w:eastAsia="宋体"/>
          <w:color w:val="000000"/>
          <w:kern w:val="0"/>
          <w:sz w:val="24"/>
          <w:highlight w:val="none"/>
        </w:rPr>
      </w:pPr>
    </w:p>
    <w:p w14:paraId="47CF5564">
      <w:pPr>
        <w:autoSpaceDE w:val="0"/>
        <w:autoSpaceDN w:val="0"/>
        <w:adjustRightInd w:val="0"/>
        <w:jc w:val="left"/>
        <w:rPr>
          <w:rFonts w:eastAsia="宋体"/>
          <w:color w:val="000000"/>
          <w:sz w:val="24"/>
          <w:szCs w:val="20"/>
          <w:highlight w:val="none"/>
        </w:rPr>
      </w:pPr>
      <w:r>
        <w:rPr>
          <w:rFonts w:eastAsia="宋体"/>
          <w:color w:val="000000"/>
          <w:kern w:val="0"/>
          <w:sz w:val="24"/>
          <w:highlight w:val="none"/>
        </w:rPr>
        <w:t>注：1</w:t>
      </w:r>
      <w:r>
        <w:rPr>
          <w:rFonts w:eastAsia="宋体"/>
          <w:color w:val="000000"/>
          <w:sz w:val="24"/>
          <w:szCs w:val="20"/>
          <w:highlight w:val="none"/>
        </w:rPr>
        <w:t>.此表中，每包的</w:t>
      </w:r>
      <w:r>
        <w:rPr>
          <w:rFonts w:hint="eastAsia"/>
          <w:color w:val="000000"/>
          <w:sz w:val="24"/>
          <w:szCs w:val="20"/>
          <w:highlight w:val="none"/>
          <w:lang w:val="en-US" w:eastAsia="zh-CN"/>
        </w:rPr>
        <w:t>最后</w:t>
      </w:r>
      <w:r>
        <w:rPr>
          <w:rFonts w:eastAsia="宋体"/>
          <w:color w:val="000000"/>
          <w:sz w:val="24"/>
          <w:szCs w:val="20"/>
          <w:highlight w:val="none"/>
        </w:rPr>
        <w:t>报价应和《最后分项报价表》中的总价相一致。</w:t>
      </w:r>
    </w:p>
    <w:p w14:paraId="3397A531">
      <w:pPr>
        <w:numPr>
          <w:ilvl w:val="0"/>
          <w:numId w:val="0"/>
        </w:numPr>
        <w:tabs>
          <w:tab w:val="left" w:pos="5580"/>
        </w:tabs>
        <w:ind w:firstLine="480" w:firstLineChars="200"/>
        <w:rPr>
          <w:rFonts w:eastAsia="宋体"/>
          <w:color w:val="000000"/>
          <w:sz w:val="24"/>
          <w:szCs w:val="20"/>
          <w:highlight w:val="none"/>
        </w:rPr>
      </w:pPr>
      <w:r>
        <w:rPr>
          <w:rFonts w:ascii="Times New Roman" w:hAnsi="Times New Roman" w:eastAsia="宋体" w:cs="Times New Roman"/>
          <w:color w:val="000000"/>
          <w:kern w:val="2"/>
          <w:sz w:val="24"/>
          <w:szCs w:val="20"/>
          <w:highlight w:val="none"/>
          <w:lang w:val="en-US" w:eastAsia="zh-CN" w:bidi="ar-SA"/>
        </w:rPr>
        <w:t>2.</w:t>
      </w:r>
      <w:r>
        <w:rPr>
          <w:rFonts w:eastAsia="宋体"/>
          <w:color w:val="000000"/>
          <w:sz w:val="24"/>
          <w:szCs w:val="20"/>
          <w:highlight w:val="none"/>
        </w:rPr>
        <w:t>本表必须按包分别填写。</w:t>
      </w:r>
    </w:p>
    <w:p w14:paraId="0893B9D9">
      <w:pPr>
        <w:numPr>
          <w:ilvl w:val="0"/>
          <w:numId w:val="0"/>
        </w:numPr>
        <w:tabs>
          <w:tab w:val="left" w:pos="5580"/>
        </w:tabs>
        <w:ind w:firstLine="480" w:firstLineChars="200"/>
        <w:rPr>
          <w:rFonts w:hint="eastAsia" w:eastAsia="宋体"/>
          <w:color w:val="000000"/>
          <w:sz w:val="24"/>
          <w:szCs w:val="20"/>
          <w:highlight w:val="none"/>
          <w:lang w:eastAsia="zh-CN"/>
        </w:rPr>
      </w:pPr>
      <w:r>
        <w:rPr>
          <w:rFonts w:hint="eastAsia" w:eastAsia="宋体"/>
          <w:color w:val="000000"/>
          <w:sz w:val="24"/>
          <w:szCs w:val="20"/>
          <w:highlight w:val="none"/>
        </w:rPr>
        <w:t>3.此表无需在响应文件中提交，磋商后供应商按磋商小组要求提交</w:t>
      </w:r>
      <w:r>
        <w:rPr>
          <w:rFonts w:hint="eastAsia"/>
          <w:color w:val="000000"/>
          <w:sz w:val="24"/>
          <w:szCs w:val="20"/>
          <w:highlight w:val="none"/>
          <w:lang w:eastAsia="zh-CN"/>
        </w:rPr>
        <w:t>。</w:t>
      </w:r>
    </w:p>
    <w:p w14:paraId="18E34CFE">
      <w:pPr>
        <w:numPr>
          <w:ilvl w:val="0"/>
          <w:numId w:val="0"/>
        </w:numPr>
        <w:tabs>
          <w:tab w:val="left" w:pos="5580"/>
        </w:tabs>
        <w:rPr>
          <w:rFonts w:eastAsia="宋体"/>
          <w:color w:val="000000"/>
          <w:sz w:val="24"/>
          <w:szCs w:val="20"/>
          <w:highlight w:val="none"/>
        </w:rPr>
      </w:pPr>
    </w:p>
    <w:p w14:paraId="2428E35D">
      <w:pPr>
        <w:autoSpaceDE w:val="0"/>
        <w:autoSpaceDN w:val="0"/>
        <w:adjustRightInd w:val="0"/>
        <w:snapToGrid w:val="0"/>
        <w:spacing w:before="25" w:after="25" w:line="360" w:lineRule="auto"/>
        <w:rPr>
          <w:rFonts w:eastAsia="宋体"/>
          <w:color w:val="000000"/>
          <w:sz w:val="24"/>
          <w:highlight w:val="none"/>
          <w:lang w:val="zh-CN"/>
        </w:rPr>
      </w:pPr>
    </w:p>
    <w:p w14:paraId="0DC4FD26">
      <w:pPr>
        <w:autoSpaceDE w:val="0"/>
        <w:autoSpaceDN w:val="0"/>
        <w:adjustRightInd w:val="0"/>
        <w:snapToGrid w:val="0"/>
        <w:spacing w:before="25" w:after="25" w:line="360" w:lineRule="auto"/>
        <w:rPr>
          <w:rFonts w:eastAsia="宋体"/>
          <w:color w:val="000000"/>
          <w:sz w:val="24"/>
          <w:highlight w:val="none"/>
          <w:lang w:val="zh-CN"/>
        </w:rPr>
      </w:pPr>
      <w:r>
        <w:rPr>
          <w:rFonts w:eastAsia="宋体"/>
          <w:color w:val="000000"/>
          <w:sz w:val="24"/>
          <w:highlight w:val="none"/>
          <w:lang w:val="zh-CN"/>
        </w:rPr>
        <w:t xml:space="preserve">      </w:t>
      </w:r>
    </w:p>
    <w:p w14:paraId="0E01293E">
      <w:pPr>
        <w:autoSpaceDE w:val="0"/>
        <w:autoSpaceDN w:val="0"/>
        <w:adjustRightInd w:val="0"/>
        <w:snapToGrid w:val="0"/>
        <w:spacing w:before="25" w:after="25" w:line="360" w:lineRule="auto"/>
        <w:rPr>
          <w:rFonts w:eastAsia="宋体"/>
          <w:color w:val="000000"/>
          <w:sz w:val="24"/>
          <w:highlight w:val="none"/>
          <w:lang w:val="zh-CN"/>
        </w:rPr>
      </w:pPr>
      <w:r>
        <w:rPr>
          <w:rFonts w:eastAsia="宋体"/>
          <w:color w:val="000000"/>
          <w:sz w:val="24"/>
          <w:highlight w:val="none"/>
        </w:rPr>
        <w:t>供应商授权代表签字（或加盖供应商公章）</w:t>
      </w:r>
      <w:r>
        <w:rPr>
          <w:rFonts w:eastAsia="宋体"/>
          <w:color w:val="000000"/>
          <w:sz w:val="24"/>
          <w:highlight w:val="none"/>
          <w:lang w:val="zh-CN"/>
        </w:rPr>
        <w:t xml:space="preserve">：___________ </w:t>
      </w:r>
    </w:p>
    <w:p w14:paraId="52BA01B9">
      <w:pPr>
        <w:widowControl/>
        <w:jc w:val="left"/>
        <w:rPr>
          <w:rFonts w:eastAsia="宋体"/>
          <w:color w:val="000000"/>
          <w:sz w:val="24"/>
          <w:szCs w:val="20"/>
          <w:highlight w:val="none"/>
        </w:rPr>
      </w:pPr>
      <w:r>
        <w:rPr>
          <w:rFonts w:eastAsia="宋体"/>
          <w:color w:val="000000"/>
          <w:sz w:val="24"/>
          <w:szCs w:val="20"/>
          <w:highlight w:val="none"/>
        </w:rPr>
        <w:t xml:space="preserve">日期：____年____月____日   </w:t>
      </w:r>
    </w:p>
    <w:p w14:paraId="6C4165E3">
      <w:pPr>
        <w:widowControl/>
        <w:jc w:val="left"/>
        <w:rPr>
          <w:rFonts w:eastAsia="宋体"/>
          <w:color w:val="000000"/>
          <w:sz w:val="24"/>
          <w:szCs w:val="20"/>
          <w:highlight w:val="none"/>
        </w:rPr>
        <w:sectPr>
          <w:pgSz w:w="11907" w:h="16840"/>
          <w:pgMar w:top="1418" w:right="1134" w:bottom="1418" w:left="1701" w:header="851" w:footer="851" w:gutter="0"/>
          <w:pgNumType w:fmt="decimal"/>
          <w:cols w:space="720" w:num="1"/>
          <w:docGrid w:linePitch="462" w:charSpace="0"/>
        </w:sectPr>
      </w:pPr>
    </w:p>
    <w:p w14:paraId="2CBD5C1B">
      <w:pPr>
        <w:tabs>
          <w:tab w:val="left" w:pos="360"/>
        </w:tabs>
        <w:snapToGrid w:val="0"/>
        <w:spacing w:line="360" w:lineRule="auto"/>
        <w:outlineLvl w:val="1"/>
        <w:rPr>
          <w:rFonts w:eastAsia="宋体"/>
          <w:sz w:val="24"/>
          <w:highlight w:val="none"/>
        </w:rPr>
      </w:pPr>
      <w:r>
        <w:rPr>
          <w:rFonts w:eastAsia="宋体"/>
          <w:sz w:val="24"/>
          <w:highlight w:val="none"/>
        </w:rPr>
        <w:t>1</w:t>
      </w:r>
      <w:r>
        <w:rPr>
          <w:rFonts w:hint="eastAsia"/>
          <w:sz w:val="24"/>
          <w:highlight w:val="none"/>
          <w:lang w:val="en-US" w:eastAsia="zh-CN"/>
        </w:rPr>
        <w:t>3</w:t>
      </w:r>
      <w:r>
        <w:rPr>
          <w:rFonts w:eastAsia="宋体"/>
          <w:sz w:val="24"/>
          <w:highlight w:val="none"/>
        </w:rPr>
        <w:t xml:space="preserve">  最后分项报价表（实质性格式</w:t>
      </w:r>
      <w:r>
        <w:rPr>
          <w:rFonts w:hint="eastAsia"/>
          <w:sz w:val="24"/>
          <w:highlight w:val="none"/>
          <w:lang w:eastAsia="zh-CN"/>
        </w:rPr>
        <w:t>，</w:t>
      </w:r>
      <w:r>
        <w:rPr>
          <w:rFonts w:hint="eastAsia"/>
          <w:sz w:val="24"/>
          <w:highlight w:val="none"/>
          <w:lang w:val="en-US" w:eastAsia="zh-CN"/>
        </w:rPr>
        <w:t>磋商后提交</w:t>
      </w:r>
      <w:r>
        <w:rPr>
          <w:rFonts w:eastAsia="宋体"/>
          <w:sz w:val="24"/>
          <w:highlight w:val="none"/>
        </w:rPr>
        <w:t>）</w:t>
      </w:r>
    </w:p>
    <w:p w14:paraId="01BE248D">
      <w:pPr>
        <w:spacing w:line="360" w:lineRule="exact"/>
        <w:jc w:val="center"/>
        <w:rPr>
          <w:rFonts w:eastAsia="宋体"/>
          <w:color w:val="000000"/>
          <w:sz w:val="36"/>
          <w:szCs w:val="36"/>
          <w:highlight w:val="none"/>
        </w:rPr>
      </w:pPr>
      <w:r>
        <w:rPr>
          <w:rFonts w:eastAsia="宋体"/>
          <w:color w:val="000000"/>
          <w:sz w:val="36"/>
          <w:szCs w:val="36"/>
          <w:highlight w:val="none"/>
        </w:rPr>
        <w:t>最后分项报价表</w:t>
      </w:r>
    </w:p>
    <w:p w14:paraId="1DDB863A">
      <w:pPr>
        <w:adjustRightInd w:val="0"/>
        <w:snapToGrid w:val="0"/>
        <w:spacing w:before="240" w:beforeLines="100" w:after="240" w:afterLines="100"/>
        <w:jc w:val="left"/>
        <w:rPr>
          <w:rFonts w:eastAsia="宋体"/>
          <w:b/>
          <w:i/>
          <w:color w:val="FF0000"/>
          <w:sz w:val="24"/>
          <w:highlight w:val="none"/>
        </w:rPr>
      </w:pPr>
    </w:p>
    <w:p w14:paraId="38B249A2">
      <w:pPr>
        <w:tabs>
          <w:tab w:val="left" w:pos="1800"/>
          <w:tab w:val="left" w:pos="5580"/>
        </w:tabs>
        <w:rPr>
          <w:rFonts w:eastAsia="宋体"/>
          <w:color w:val="000000"/>
          <w:sz w:val="24"/>
          <w:highlight w:val="none"/>
        </w:rPr>
      </w:pPr>
      <w:r>
        <w:rPr>
          <w:rFonts w:eastAsia="宋体"/>
          <w:color w:val="000000"/>
          <w:sz w:val="24"/>
          <w:highlight w:val="none"/>
        </w:rPr>
        <w:t>项目编号/包号：_________ 项目名称：_________报价单位：人民币元</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4"/>
        <w:gridCol w:w="2933"/>
        <w:gridCol w:w="1348"/>
        <w:gridCol w:w="1345"/>
        <w:gridCol w:w="1345"/>
        <w:gridCol w:w="1709"/>
      </w:tblGrid>
      <w:tr w14:paraId="1A99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6" w:type="pct"/>
            <w:noWrap w:val="0"/>
            <w:vAlign w:val="center"/>
          </w:tcPr>
          <w:p w14:paraId="472F821D">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序号</w:t>
            </w:r>
          </w:p>
        </w:tc>
        <w:tc>
          <w:tcPr>
            <w:tcW w:w="1579" w:type="pct"/>
            <w:noWrap w:val="0"/>
            <w:vAlign w:val="center"/>
          </w:tcPr>
          <w:p w14:paraId="00B69F81">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分项名称</w:t>
            </w:r>
          </w:p>
        </w:tc>
        <w:tc>
          <w:tcPr>
            <w:tcW w:w="725" w:type="pct"/>
            <w:noWrap w:val="0"/>
            <w:vAlign w:val="center"/>
          </w:tcPr>
          <w:p w14:paraId="43D9F2C8">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单价（元）</w:t>
            </w:r>
          </w:p>
        </w:tc>
        <w:tc>
          <w:tcPr>
            <w:tcW w:w="724" w:type="pct"/>
            <w:noWrap w:val="0"/>
            <w:vAlign w:val="center"/>
          </w:tcPr>
          <w:p w14:paraId="69BC6497">
            <w:pPr>
              <w:keepNext w:val="0"/>
              <w:keepLines w:val="0"/>
              <w:suppressLineNumbers w:val="0"/>
              <w:adjustRightInd w:val="0"/>
              <w:snapToGrid w:val="0"/>
              <w:spacing w:before="0" w:beforeAutospacing="0" w:after="0" w:afterAutospacing="0"/>
              <w:ind w:left="0" w:right="0"/>
              <w:jc w:val="center"/>
              <w:rPr>
                <w:rFonts w:hint="eastAsia" w:eastAsia="宋体"/>
                <w:b/>
                <w:color w:val="000000"/>
                <w:sz w:val="24"/>
                <w:highlight w:val="none"/>
                <w:lang w:val="en-US" w:eastAsia="zh-CN"/>
              </w:rPr>
            </w:pPr>
            <w:r>
              <w:rPr>
                <w:rFonts w:hint="eastAsia"/>
                <w:b/>
                <w:color w:val="000000"/>
                <w:sz w:val="24"/>
                <w:highlight w:val="none"/>
                <w:lang w:val="en-US" w:eastAsia="zh-CN"/>
              </w:rPr>
              <w:t>数量</w:t>
            </w:r>
          </w:p>
        </w:tc>
        <w:tc>
          <w:tcPr>
            <w:tcW w:w="724" w:type="pct"/>
            <w:noWrap w:val="0"/>
            <w:vAlign w:val="center"/>
          </w:tcPr>
          <w:p w14:paraId="01276904">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合价（元）</w:t>
            </w:r>
          </w:p>
        </w:tc>
        <w:tc>
          <w:tcPr>
            <w:tcW w:w="920" w:type="pct"/>
            <w:noWrap w:val="0"/>
            <w:vAlign w:val="center"/>
          </w:tcPr>
          <w:p w14:paraId="75164854">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备注/说明</w:t>
            </w:r>
          </w:p>
        </w:tc>
      </w:tr>
      <w:tr w14:paraId="2346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6" w:type="pct"/>
            <w:noWrap w:val="0"/>
            <w:vAlign w:val="center"/>
          </w:tcPr>
          <w:p w14:paraId="4B5113EE">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1</w:t>
            </w:r>
          </w:p>
        </w:tc>
        <w:tc>
          <w:tcPr>
            <w:tcW w:w="2933" w:type="dxa"/>
            <w:noWrap w:val="0"/>
            <w:vAlign w:val="center"/>
          </w:tcPr>
          <w:p w14:paraId="756E1D6E">
            <w:pPr>
              <w:keepNext w:val="0"/>
              <w:keepLines w:val="0"/>
              <w:widowControl w:val="0"/>
              <w:suppressLineNumbers w:val="0"/>
              <w:adjustRightInd w:val="0"/>
              <w:snapToGrid w:val="0"/>
              <w:spacing w:before="0" w:beforeAutospacing="0" w:after="0" w:afterAutospacing="0"/>
              <w:ind w:left="0" w:leftChars="0" w:right="0" w:rightChars="0"/>
              <w:jc w:val="left"/>
              <w:rPr>
                <w:rFonts w:hint="default" w:eastAsia="宋体"/>
                <w:color w:val="000000"/>
                <w:sz w:val="24"/>
                <w:highlight w:val="none"/>
              </w:rPr>
            </w:pPr>
            <w:r>
              <w:rPr>
                <w:rFonts w:hint="eastAsia" w:ascii="宋体" w:hAnsi="宋体" w:eastAsia="宋体" w:cs="宋体"/>
                <w:color w:val="000000"/>
                <w:kern w:val="2"/>
                <w:sz w:val="24"/>
                <w:szCs w:val="24"/>
                <w:lang w:val="en-US" w:eastAsia="zh-CN" w:bidi="ar"/>
              </w:rPr>
              <w:t>勘察费</w:t>
            </w:r>
          </w:p>
        </w:tc>
        <w:tc>
          <w:tcPr>
            <w:tcW w:w="725" w:type="pct"/>
            <w:noWrap w:val="0"/>
            <w:vAlign w:val="center"/>
          </w:tcPr>
          <w:p w14:paraId="7C64F448">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724" w:type="pct"/>
            <w:noWrap w:val="0"/>
            <w:vAlign w:val="center"/>
          </w:tcPr>
          <w:p w14:paraId="50FC1396">
            <w:pPr>
              <w:keepNext w:val="0"/>
              <w:keepLines w:val="0"/>
              <w:suppressLineNumbers w:val="0"/>
              <w:adjustRightInd w:val="0"/>
              <w:snapToGrid w:val="0"/>
              <w:spacing w:before="0" w:beforeAutospacing="0" w:after="0" w:afterAutospacing="0"/>
              <w:ind w:left="0" w:right="0"/>
              <w:jc w:val="left"/>
              <w:rPr>
                <w:rFonts w:hint="eastAsia" w:eastAsia="宋体"/>
                <w:color w:val="000000"/>
                <w:sz w:val="24"/>
                <w:highlight w:val="none"/>
                <w:lang w:val="en-US" w:eastAsia="zh-CN"/>
              </w:rPr>
            </w:pPr>
            <w:r>
              <w:rPr>
                <w:rFonts w:hint="eastAsia"/>
                <w:color w:val="000000"/>
                <w:sz w:val="24"/>
                <w:highlight w:val="none"/>
                <w:lang w:val="en-US" w:eastAsia="zh-CN"/>
              </w:rPr>
              <w:t>1</w:t>
            </w:r>
          </w:p>
        </w:tc>
        <w:tc>
          <w:tcPr>
            <w:tcW w:w="724" w:type="pct"/>
            <w:noWrap w:val="0"/>
            <w:vAlign w:val="center"/>
          </w:tcPr>
          <w:p w14:paraId="0893A97D">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920" w:type="pct"/>
            <w:noWrap w:val="0"/>
            <w:vAlign w:val="center"/>
          </w:tcPr>
          <w:p w14:paraId="73601071">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r>
      <w:tr w14:paraId="3CFF2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26" w:type="pct"/>
            <w:noWrap w:val="0"/>
            <w:vAlign w:val="center"/>
          </w:tcPr>
          <w:p w14:paraId="12E1395A">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2</w:t>
            </w:r>
          </w:p>
        </w:tc>
        <w:tc>
          <w:tcPr>
            <w:tcW w:w="2933" w:type="dxa"/>
            <w:noWrap w:val="0"/>
            <w:vAlign w:val="center"/>
          </w:tcPr>
          <w:p w14:paraId="6B00CD80">
            <w:pPr>
              <w:keepNext w:val="0"/>
              <w:keepLines w:val="0"/>
              <w:widowControl w:val="0"/>
              <w:suppressLineNumbers w:val="0"/>
              <w:adjustRightInd w:val="0"/>
              <w:snapToGrid w:val="0"/>
              <w:spacing w:before="0" w:beforeAutospacing="0" w:after="0" w:afterAutospacing="0"/>
              <w:ind w:left="0" w:leftChars="0" w:right="0" w:rightChars="0"/>
              <w:jc w:val="left"/>
              <w:rPr>
                <w:rFonts w:hint="default" w:eastAsia="宋体"/>
                <w:color w:val="000000"/>
                <w:sz w:val="24"/>
                <w:highlight w:val="none"/>
              </w:rPr>
            </w:pPr>
            <w:r>
              <w:rPr>
                <w:rFonts w:hint="eastAsia" w:ascii="宋体" w:hAnsi="宋体" w:eastAsia="宋体" w:cs="宋体"/>
                <w:color w:val="000000"/>
                <w:kern w:val="2"/>
                <w:sz w:val="24"/>
                <w:szCs w:val="24"/>
                <w:lang w:val="en-US" w:eastAsia="zh-CN" w:bidi="ar"/>
              </w:rPr>
              <w:t>设计费</w:t>
            </w:r>
          </w:p>
        </w:tc>
        <w:tc>
          <w:tcPr>
            <w:tcW w:w="725" w:type="pct"/>
            <w:noWrap w:val="0"/>
            <w:vAlign w:val="center"/>
          </w:tcPr>
          <w:p w14:paraId="7FF57E0B">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724" w:type="pct"/>
            <w:noWrap w:val="0"/>
            <w:vAlign w:val="center"/>
          </w:tcPr>
          <w:p w14:paraId="7C3ED361">
            <w:pPr>
              <w:keepNext w:val="0"/>
              <w:keepLines w:val="0"/>
              <w:suppressLineNumbers w:val="0"/>
              <w:adjustRightInd w:val="0"/>
              <w:snapToGrid w:val="0"/>
              <w:spacing w:before="0" w:beforeAutospacing="0" w:after="0" w:afterAutospacing="0"/>
              <w:ind w:left="0" w:right="0"/>
              <w:jc w:val="left"/>
              <w:rPr>
                <w:rFonts w:hint="eastAsia" w:eastAsia="宋体"/>
                <w:color w:val="000000"/>
                <w:sz w:val="24"/>
                <w:highlight w:val="none"/>
                <w:lang w:val="en-US" w:eastAsia="zh-CN"/>
              </w:rPr>
            </w:pPr>
            <w:r>
              <w:rPr>
                <w:rFonts w:hint="eastAsia"/>
                <w:color w:val="000000"/>
                <w:sz w:val="24"/>
                <w:highlight w:val="none"/>
                <w:lang w:val="en-US" w:eastAsia="zh-CN"/>
              </w:rPr>
              <w:t>1</w:t>
            </w:r>
          </w:p>
        </w:tc>
        <w:tc>
          <w:tcPr>
            <w:tcW w:w="724" w:type="pct"/>
            <w:noWrap w:val="0"/>
            <w:vAlign w:val="center"/>
          </w:tcPr>
          <w:p w14:paraId="349BACBD">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920" w:type="pct"/>
            <w:noWrap w:val="0"/>
            <w:vAlign w:val="center"/>
          </w:tcPr>
          <w:p w14:paraId="60A107D3">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r>
      <w:tr w14:paraId="7CF2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6" w:type="pct"/>
            <w:noWrap w:val="0"/>
            <w:vAlign w:val="center"/>
          </w:tcPr>
          <w:p w14:paraId="63160160">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3</w:t>
            </w:r>
          </w:p>
        </w:tc>
        <w:tc>
          <w:tcPr>
            <w:tcW w:w="2933" w:type="dxa"/>
            <w:noWrap w:val="0"/>
            <w:vAlign w:val="center"/>
          </w:tcPr>
          <w:p w14:paraId="7A5573E0">
            <w:pPr>
              <w:keepNext w:val="0"/>
              <w:keepLines w:val="0"/>
              <w:widowControl w:val="0"/>
              <w:suppressLineNumbers w:val="0"/>
              <w:adjustRightInd w:val="0"/>
              <w:snapToGrid w:val="0"/>
              <w:spacing w:before="0" w:beforeAutospacing="0" w:after="0" w:afterAutospacing="0"/>
              <w:ind w:left="0" w:leftChars="0" w:right="0" w:rightChars="0"/>
              <w:jc w:val="left"/>
              <w:rPr>
                <w:rFonts w:hint="default" w:eastAsia="宋体"/>
                <w:color w:val="000000"/>
                <w:sz w:val="24"/>
                <w:highlight w:val="none"/>
              </w:rPr>
            </w:pPr>
            <w:r>
              <w:rPr>
                <w:rFonts w:hint="eastAsia" w:ascii="宋体" w:hAnsi="宋体" w:eastAsia="宋体" w:cs="宋体"/>
                <w:color w:val="000000"/>
                <w:kern w:val="2"/>
                <w:sz w:val="24"/>
                <w:szCs w:val="24"/>
                <w:lang w:val="en-US" w:eastAsia="zh-CN" w:bidi="ar"/>
              </w:rPr>
              <w:t>工程费</w:t>
            </w:r>
          </w:p>
        </w:tc>
        <w:tc>
          <w:tcPr>
            <w:tcW w:w="725" w:type="pct"/>
            <w:noWrap w:val="0"/>
            <w:vAlign w:val="center"/>
          </w:tcPr>
          <w:p w14:paraId="543B70C5">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724" w:type="pct"/>
            <w:noWrap w:val="0"/>
            <w:vAlign w:val="center"/>
          </w:tcPr>
          <w:p w14:paraId="58A97A9D">
            <w:pPr>
              <w:keepNext w:val="0"/>
              <w:keepLines w:val="0"/>
              <w:suppressLineNumbers w:val="0"/>
              <w:adjustRightInd w:val="0"/>
              <w:snapToGrid w:val="0"/>
              <w:spacing w:before="0" w:beforeAutospacing="0" w:after="0" w:afterAutospacing="0"/>
              <w:ind w:left="0" w:right="0"/>
              <w:jc w:val="left"/>
              <w:rPr>
                <w:rFonts w:hint="eastAsia" w:eastAsia="宋体"/>
                <w:color w:val="000000"/>
                <w:sz w:val="24"/>
                <w:highlight w:val="none"/>
                <w:lang w:val="en-US" w:eastAsia="zh-CN"/>
              </w:rPr>
            </w:pPr>
            <w:r>
              <w:rPr>
                <w:rFonts w:hint="eastAsia"/>
                <w:color w:val="000000"/>
                <w:sz w:val="24"/>
                <w:highlight w:val="none"/>
                <w:lang w:val="en-US" w:eastAsia="zh-CN"/>
              </w:rPr>
              <w:t>1</w:t>
            </w:r>
          </w:p>
        </w:tc>
        <w:tc>
          <w:tcPr>
            <w:tcW w:w="724" w:type="pct"/>
            <w:noWrap w:val="0"/>
            <w:vAlign w:val="center"/>
          </w:tcPr>
          <w:p w14:paraId="577CA1E3">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920" w:type="pct"/>
            <w:noWrap w:val="0"/>
            <w:vAlign w:val="center"/>
          </w:tcPr>
          <w:p w14:paraId="090186DC">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r>
      <w:tr w14:paraId="73E0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631" w:type="pct"/>
            <w:gridSpan w:val="3"/>
            <w:noWrap w:val="0"/>
            <w:vAlign w:val="center"/>
          </w:tcPr>
          <w:p w14:paraId="7AEBABDB">
            <w:pPr>
              <w:keepNext w:val="0"/>
              <w:keepLines w:val="0"/>
              <w:suppressLineNumbers w:val="0"/>
              <w:adjustRightInd w:val="0"/>
              <w:snapToGrid w:val="0"/>
              <w:spacing w:before="0" w:beforeAutospacing="0" w:after="0" w:afterAutospacing="0"/>
              <w:ind w:left="0" w:right="0"/>
              <w:jc w:val="right"/>
              <w:rPr>
                <w:rFonts w:hint="default" w:eastAsia="宋体"/>
                <w:color w:val="000000"/>
                <w:sz w:val="24"/>
                <w:highlight w:val="none"/>
              </w:rPr>
            </w:pPr>
            <w:r>
              <w:rPr>
                <w:rFonts w:hint="default" w:eastAsia="宋体"/>
                <w:color w:val="000000"/>
                <w:sz w:val="24"/>
                <w:highlight w:val="none"/>
              </w:rPr>
              <w:t>总价（元）</w:t>
            </w:r>
          </w:p>
        </w:tc>
        <w:tc>
          <w:tcPr>
            <w:tcW w:w="724" w:type="pct"/>
            <w:noWrap w:val="0"/>
            <w:vAlign w:val="center"/>
          </w:tcPr>
          <w:p w14:paraId="7F7F6AE4">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724" w:type="pct"/>
            <w:noWrap w:val="0"/>
            <w:vAlign w:val="center"/>
          </w:tcPr>
          <w:p w14:paraId="37013C90">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920" w:type="pct"/>
            <w:noWrap w:val="0"/>
            <w:vAlign w:val="center"/>
          </w:tcPr>
          <w:p w14:paraId="4CE386F4">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r>
    </w:tbl>
    <w:p w14:paraId="5BEB8BC2">
      <w:pPr>
        <w:tabs>
          <w:tab w:val="left" w:pos="1800"/>
          <w:tab w:val="left" w:pos="5580"/>
        </w:tabs>
        <w:jc w:val="left"/>
        <w:rPr>
          <w:rFonts w:eastAsia="宋体"/>
          <w:color w:val="000000"/>
          <w:sz w:val="24"/>
          <w:highlight w:val="none"/>
        </w:rPr>
      </w:pPr>
    </w:p>
    <w:p w14:paraId="48C6FC9B">
      <w:pPr>
        <w:tabs>
          <w:tab w:val="left" w:pos="1800"/>
          <w:tab w:val="left" w:pos="5580"/>
        </w:tabs>
        <w:jc w:val="left"/>
        <w:rPr>
          <w:rFonts w:eastAsia="宋体"/>
          <w:color w:val="000000"/>
          <w:sz w:val="24"/>
          <w:highlight w:val="none"/>
        </w:rPr>
      </w:pPr>
    </w:p>
    <w:p w14:paraId="2CA8B873">
      <w:pPr>
        <w:tabs>
          <w:tab w:val="left" w:pos="1800"/>
          <w:tab w:val="left" w:pos="5580"/>
        </w:tabs>
        <w:jc w:val="left"/>
        <w:rPr>
          <w:rFonts w:eastAsia="宋体"/>
          <w:color w:val="000000"/>
          <w:sz w:val="24"/>
          <w:highlight w:val="none"/>
        </w:rPr>
      </w:pPr>
    </w:p>
    <w:p w14:paraId="748722E9">
      <w:pPr>
        <w:tabs>
          <w:tab w:val="left" w:pos="1800"/>
          <w:tab w:val="left" w:pos="5580"/>
        </w:tabs>
        <w:jc w:val="left"/>
        <w:rPr>
          <w:rFonts w:eastAsia="宋体"/>
          <w:color w:val="000000"/>
          <w:sz w:val="24"/>
          <w:highlight w:val="none"/>
        </w:rPr>
      </w:pPr>
    </w:p>
    <w:p w14:paraId="0819767B">
      <w:pPr>
        <w:keepNext w:val="0"/>
        <w:keepLines w:val="0"/>
        <w:pageBreakBefore w:val="0"/>
        <w:widowControl w:val="0"/>
        <w:kinsoku/>
        <w:wordWrap/>
        <w:overflowPunct/>
        <w:topLinePunct w:val="0"/>
        <w:autoSpaceDE w:val="0"/>
        <w:autoSpaceDN w:val="0"/>
        <w:bidi w:val="0"/>
        <w:adjustRightInd w:val="0"/>
        <w:snapToGrid w:val="0"/>
        <w:spacing w:before="25" w:after="25" w:line="240" w:lineRule="auto"/>
        <w:textAlignment w:val="auto"/>
        <w:rPr>
          <w:rFonts w:hint="eastAsia" w:eastAsia="宋体"/>
          <w:color w:val="000000"/>
          <w:sz w:val="24"/>
          <w:highlight w:val="none"/>
        </w:rPr>
      </w:pPr>
      <w:r>
        <w:rPr>
          <w:rFonts w:eastAsia="宋体"/>
          <w:color w:val="000000"/>
          <w:sz w:val="24"/>
          <w:highlight w:val="none"/>
        </w:rPr>
        <w:t>注：</w:t>
      </w:r>
      <w:r>
        <w:rPr>
          <w:rFonts w:hint="eastAsia"/>
          <w:color w:val="000000"/>
          <w:sz w:val="24"/>
          <w:highlight w:val="none"/>
          <w:lang w:val="en-US" w:eastAsia="zh-CN"/>
        </w:rPr>
        <w:t>1.</w:t>
      </w:r>
      <w:r>
        <w:rPr>
          <w:rFonts w:hint="eastAsia" w:eastAsia="宋体"/>
          <w:color w:val="000000"/>
          <w:sz w:val="24"/>
          <w:highlight w:val="none"/>
        </w:rPr>
        <w:t>本表应按包分别填写。</w:t>
      </w:r>
    </w:p>
    <w:p w14:paraId="5F847E1A">
      <w:pPr>
        <w:keepNext w:val="0"/>
        <w:keepLines w:val="0"/>
        <w:pageBreakBefore w:val="0"/>
        <w:widowControl w:val="0"/>
        <w:kinsoku/>
        <w:wordWrap/>
        <w:overflowPunct/>
        <w:topLinePunct w:val="0"/>
        <w:autoSpaceDE w:val="0"/>
        <w:autoSpaceDN w:val="0"/>
        <w:bidi w:val="0"/>
        <w:adjustRightInd w:val="0"/>
        <w:snapToGrid w:val="0"/>
        <w:spacing w:before="25" w:after="25" w:line="240" w:lineRule="auto"/>
        <w:ind w:firstLine="480" w:firstLineChars="200"/>
        <w:textAlignment w:val="auto"/>
        <w:rPr>
          <w:rFonts w:hint="eastAsia" w:eastAsia="宋体"/>
          <w:color w:val="000000"/>
          <w:sz w:val="24"/>
          <w:highlight w:val="none"/>
        </w:rPr>
      </w:pPr>
      <w:r>
        <w:rPr>
          <w:rFonts w:hint="eastAsia" w:eastAsia="宋体"/>
          <w:color w:val="000000"/>
          <w:sz w:val="24"/>
          <w:highlight w:val="none"/>
        </w:rPr>
        <w:t>2.上述各项的详细规格 (如有)，可另页描述。</w:t>
      </w:r>
    </w:p>
    <w:p w14:paraId="2A89DE5B">
      <w:pPr>
        <w:keepNext w:val="0"/>
        <w:keepLines w:val="0"/>
        <w:pageBreakBefore w:val="0"/>
        <w:widowControl w:val="0"/>
        <w:kinsoku/>
        <w:wordWrap/>
        <w:overflowPunct/>
        <w:topLinePunct w:val="0"/>
        <w:autoSpaceDE w:val="0"/>
        <w:autoSpaceDN w:val="0"/>
        <w:bidi w:val="0"/>
        <w:adjustRightInd w:val="0"/>
        <w:snapToGrid w:val="0"/>
        <w:spacing w:before="25" w:after="25" w:line="240" w:lineRule="auto"/>
        <w:ind w:firstLine="480" w:firstLineChars="200"/>
        <w:textAlignment w:val="auto"/>
        <w:rPr>
          <w:rFonts w:hint="eastAsia" w:eastAsia="宋体"/>
          <w:color w:val="000000"/>
          <w:sz w:val="24"/>
          <w:highlight w:val="none"/>
        </w:rPr>
      </w:pPr>
      <w:r>
        <w:rPr>
          <w:rFonts w:hint="eastAsia" w:eastAsia="宋体"/>
          <w:color w:val="000000"/>
          <w:sz w:val="24"/>
          <w:highlight w:val="none"/>
        </w:rPr>
        <w:t>3.此表无需在响应文件中提交，磋商后供应商按磋商小组要求提交。</w:t>
      </w:r>
    </w:p>
    <w:p w14:paraId="6C10F208">
      <w:pPr>
        <w:autoSpaceDE w:val="0"/>
        <w:autoSpaceDN w:val="0"/>
        <w:adjustRightInd w:val="0"/>
        <w:snapToGrid w:val="0"/>
        <w:spacing w:before="25" w:after="25" w:line="360" w:lineRule="auto"/>
        <w:rPr>
          <w:rFonts w:eastAsia="宋体"/>
          <w:color w:val="000000"/>
          <w:sz w:val="24"/>
          <w:highlight w:val="none"/>
          <w:lang w:val="zh-CN"/>
        </w:rPr>
      </w:pPr>
    </w:p>
    <w:p w14:paraId="1B37CE8F">
      <w:pPr>
        <w:autoSpaceDE w:val="0"/>
        <w:autoSpaceDN w:val="0"/>
        <w:adjustRightInd w:val="0"/>
        <w:snapToGrid w:val="0"/>
        <w:spacing w:before="25" w:after="25" w:line="360" w:lineRule="auto"/>
        <w:rPr>
          <w:rFonts w:eastAsia="宋体"/>
          <w:color w:val="000000"/>
          <w:sz w:val="24"/>
          <w:highlight w:val="none"/>
          <w:lang w:val="zh-CN"/>
        </w:rPr>
      </w:pPr>
    </w:p>
    <w:p w14:paraId="422DC54E">
      <w:pPr>
        <w:autoSpaceDE w:val="0"/>
        <w:autoSpaceDN w:val="0"/>
        <w:adjustRightInd w:val="0"/>
        <w:snapToGrid w:val="0"/>
        <w:spacing w:before="25" w:after="25" w:line="360" w:lineRule="auto"/>
        <w:rPr>
          <w:rFonts w:eastAsia="宋体"/>
          <w:color w:val="000000"/>
          <w:sz w:val="24"/>
          <w:highlight w:val="none"/>
          <w:lang w:val="zh-CN"/>
        </w:rPr>
      </w:pPr>
      <w:r>
        <w:rPr>
          <w:rFonts w:eastAsia="宋体"/>
          <w:kern w:val="0"/>
          <w:sz w:val="24"/>
          <w:highlight w:val="none"/>
        </w:rPr>
        <w:t>供应商授权代表签字（或加盖供应商公章）</w:t>
      </w:r>
      <w:r>
        <w:rPr>
          <w:rFonts w:eastAsia="宋体"/>
          <w:color w:val="000000"/>
          <w:sz w:val="24"/>
          <w:highlight w:val="none"/>
          <w:lang w:val="zh-CN"/>
        </w:rPr>
        <w:t xml:space="preserve">：____________ </w:t>
      </w:r>
    </w:p>
    <w:p w14:paraId="662EB776">
      <w:pPr>
        <w:autoSpaceDE w:val="0"/>
        <w:autoSpaceDN w:val="0"/>
        <w:adjustRightInd w:val="0"/>
        <w:snapToGrid w:val="0"/>
        <w:spacing w:before="25" w:after="25" w:line="360" w:lineRule="auto"/>
        <w:rPr>
          <w:rFonts w:eastAsia="宋体"/>
          <w:color w:val="000000"/>
          <w:sz w:val="24"/>
          <w:highlight w:val="none"/>
          <w:lang w:val="zh-CN"/>
        </w:rPr>
      </w:pPr>
      <w:r>
        <w:rPr>
          <w:rFonts w:eastAsia="宋体"/>
          <w:color w:val="000000"/>
          <w:sz w:val="24"/>
          <w:szCs w:val="20"/>
          <w:highlight w:val="none"/>
        </w:rPr>
        <w:t xml:space="preserve">日期：____年____月____日   </w:t>
      </w:r>
    </w:p>
    <w:p w14:paraId="091E7B79">
      <w:pPr>
        <w:widowControl/>
        <w:jc w:val="left"/>
        <w:rPr>
          <w:rFonts w:eastAsia="宋体"/>
          <w:b/>
          <w:sz w:val="36"/>
          <w:szCs w:val="36"/>
          <w:highlight w:val="none"/>
        </w:rPr>
        <w:sectPr>
          <w:headerReference r:id="rId39" w:type="default"/>
          <w:footerReference r:id="rId40" w:type="default"/>
          <w:pgSz w:w="11907" w:h="16840"/>
          <w:pgMar w:top="1418" w:right="1134" w:bottom="1418" w:left="1701" w:header="851" w:footer="851" w:gutter="0"/>
          <w:pgNumType w:fmt="decimal"/>
          <w:cols w:space="720" w:num="1"/>
          <w:docGrid w:linePitch="462" w:charSpace="0"/>
        </w:sectPr>
      </w:pPr>
    </w:p>
    <w:p w14:paraId="0F75802C">
      <w:pPr>
        <w:rPr>
          <w:rFonts w:hint="eastAsia" w:ascii="Times New Roman" w:hAnsi="Times New Roman" w:eastAsia="宋体" w:cs="Times New Roman"/>
          <w:sz w:val="24"/>
          <w:highlight w:val="none"/>
          <w:lang w:val="en-US" w:eastAsia="zh-CN"/>
        </w:rPr>
      </w:pPr>
    </w:p>
    <w:p w14:paraId="1B24E8BE">
      <w:pPr>
        <w:tabs>
          <w:tab w:val="left" w:pos="360"/>
        </w:tabs>
        <w:snapToGrid w:val="0"/>
        <w:spacing w:line="360" w:lineRule="auto"/>
        <w:outlineLvl w:val="1"/>
        <w:rPr>
          <w:sz w:val="24"/>
          <w:szCs w:val="20"/>
          <w:highlight w:val="none"/>
        </w:rPr>
      </w:pPr>
      <w:r>
        <w:rPr>
          <w:rFonts w:hint="eastAsia" w:ascii="Times New Roman" w:hAnsi="Times New Roman" w:eastAsia="宋体" w:cs="Times New Roman"/>
          <w:sz w:val="24"/>
          <w:highlight w:val="none"/>
          <w:lang w:val="en-US" w:eastAsia="zh-CN"/>
        </w:rPr>
        <w:t>1</w:t>
      </w:r>
      <w:r>
        <w:rPr>
          <w:rFonts w:hint="eastAsia" w:cs="Times New Roman"/>
          <w:sz w:val="24"/>
          <w:highlight w:val="none"/>
          <w:lang w:val="en-US" w:eastAsia="zh-CN"/>
        </w:rPr>
        <w:t>4</w:t>
      </w:r>
      <w:r>
        <w:rPr>
          <w:rFonts w:hint="eastAsia" w:ascii="Times New Roman" w:hAnsi="Times New Roman" w:eastAsia="宋体" w:cs="Times New Roman"/>
          <w:sz w:val="24"/>
          <w:highlight w:val="none"/>
          <w:lang w:val="en-US" w:eastAsia="zh-CN"/>
        </w:rPr>
        <w:t xml:space="preserve"> 磋商文件</w:t>
      </w:r>
      <w:r>
        <w:rPr>
          <w:sz w:val="24"/>
          <w:szCs w:val="20"/>
          <w:highlight w:val="none"/>
        </w:rPr>
        <w:t>要求提供或</w:t>
      </w:r>
      <w:r>
        <w:rPr>
          <w:rFonts w:hint="eastAsia" w:ascii="Times New Roman" w:hAnsi="Times New Roman" w:eastAsia="宋体" w:cs="Times New Roman"/>
          <w:sz w:val="24"/>
          <w:highlight w:val="none"/>
        </w:rPr>
        <w:t>供应商</w:t>
      </w:r>
      <w:r>
        <w:rPr>
          <w:sz w:val="24"/>
          <w:szCs w:val="20"/>
          <w:highlight w:val="none"/>
        </w:rPr>
        <w:t>认为应附的其他材料</w:t>
      </w:r>
    </w:p>
    <w:p w14:paraId="335D8DA6">
      <w:pPr>
        <w:pStyle w:val="17"/>
        <w:spacing w:before="0" w:line="240" w:lineRule="auto"/>
        <w:ind w:left="221" w:right="234"/>
        <w:jc w:val="left"/>
        <w:rPr>
          <w:rFonts w:ascii="Tahoma" w:hAnsi="Tahoma" w:eastAsia="Tahoma" w:cs="Tahoma"/>
          <w:spacing w:val="45"/>
          <w:highlight w:val="none"/>
        </w:rPr>
      </w:pPr>
      <w:r>
        <w:rPr>
          <w:rFonts w:ascii="Tahoma" w:hAnsi="Tahoma" w:eastAsia="Tahoma" w:cs="Tahoma"/>
          <w:spacing w:val="45"/>
          <w:highlight w:val="none"/>
        </w:rPr>
        <w:t xml:space="preserve"> </w:t>
      </w:r>
    </w:p>
    <w:p w14:paraId="35C66EB2">
      <w:pPr>
        <w:pStyle w:val="17"/>
        <w:spacing w:before="0" w:line="240" w:lineRule="auto"/>
        <w:ind w:left="221" w:right="234"/>
        <w:jc w:val="left"/>
        <w:rPr>
          <w:highlight w:val="none"/>
        </w:rPr>
      </w:pPr>
      <w:r>
        <w:rPr>
          <w:rFonts w:hint="eastAsia" w:ascii="Tahoma" w:hAnsi="Tahoma" w:eastAsia="宋体" w:cs="Tahoma"/>
          <w:spacing w:val="45"/>
          <w:highlight w:val="none"/>
          <w:lang w:val="en-US" w:eastAsia="zh-CN"/>
        </w:rPr>
        <w:t>1</w:t>
      </w:r>
      <w:r>
        <w:rPr>
          <w:rFonts w:hint="eastAsia" w:ascii="Tahoma" w:hAnsi="Tahoma" w:cs="Tahoma"/>
          <w:spacing w:val="45"/>
          <w:highlight w:val="none"/>
          <w:lang w:val="en-US" w:eastAsia="zh-CN"/>
        </w:rPr>
        <w:t>4</w:t>
      </w:r>
      <w:r>
        <w:rPr>
          <w:rFonts w:hint="eastAsia" w:ascii="Tahoma" w:hAnsi="Tahoma" w:eastAsia="宋体" w:cs="Tahoma"/>
          <w:spacing w:val="45"/>
          <w:highlight w:val="none"/>
          <w:lang w:val="en-US" w:eastAsia="zh-CN"/>
        </w:rPr>
        <w:t>-1</w:t>
      </w:r>
      <w:r>
        <w:rPr>
          <w:highlight w:val="none"/>
        </w:rPr>
        <w:t>供应商信息采集表</w:t>
      </w:r>
    </w:p>
    <w:p w14:paraId="1206E941">
      <w:pPr>
        <w:spacing w:before="6" w:line="240" w:lineRule="auto"/>
        <w:rPr>
          <w:rFonts w:ascii="宋体" w:hAnsi="宋体" w:eastAsia="宋体" w:cs="宋体"/>
          <w:sz w:val="3"/>
          <w:szCs w:val="3"/>
          <w:highlight w:val="none"/>
        </w:rPr>
      </w:pPr>
    </w:p>
    <w:tbl>
      <w:tblPr>
        <w:tblStyle w:val="44"/>
        <w:tblW w:w="0" w:type="auto"/>
        <w:jc w:val="center"/>
        <w:tblLayout w:type="fixed"/>
        <w:tblCellMar>
          <w:top w:w="0" w:type="dxa"/>
          <w:left w:w="0" w:type="dxa"/>
          <w:bottom w:w="0" w:type="dxa"/>
          <w:right w:w="0" w:type="dxa"/>
        </w:tblCellMar>
      </w:tblPr>
      <w:tblGrid>
        <w:gridCol w:w="3096"/>
        <w:gridCol w:w="3097"/>
        <w:gridCol w:w="3095"/>
      </w:tblGrid>
      <w:tr w14:paraId="78C24B6D">
        <w:tblPrEx>
          <w:tblCellMar>
            <w:top w:w="0" w:type="dxa"/>
            <w:left w:w="0" w:type="dxa"/>
            <w:bottom w:w="0" w:type="dxa"/>
            <w:right w:w="0" w:type="dxa"/>
          </w:tblCellMar>
        </w:tblPrEx>
        <w:trPr>
          <w:trHeight w:val="390" w:hRule="exact"/>
          <w:jc w:val="center"/>
        </w:trPr>
        <w:tc>
          <w:tcPr>
            <w:tcW w:w="3096" w:type="dxa"/>
            <w:tcBorders>
              <w:top w:val="single" w:color="000000" w:sz="4" w:space="0"/>
              <w:left w:val="single" w:color="000000" w:sz="4" w:space="0"/>
              <w:bottom w:val="single" w:color="000000" w:sz="4" w:space="0"/>
              <w:right w:val="single" w:color="000000" w:sz="4" w:space="0"/>
            </w:tcBorders>
            <w:vAlign w:val="center"/>
          </w:tcPr>
          <w:p w14:paraId="1E1095C3">
            <w:pPr>
              <w:pStyle w:val="249"/>
              <w:keepNext w:val="0"/>
              <w:keepLines w:val="0"/>
              <w:suppressLineNumbers w:val="0"/>
              <w:spacing w:before="0" w:beforeAutospacing="0" w:after="0" w:afterAutospacing="0" w:line="287" w:lineRule="exact"/>
              <w:ind w:left="103" w:right="0"/>
              <w:jc w:val="center"/>
              <w:rPr>
                <w:rFonts w:hint="default" w:ascii="宋体" w:hAnsi="宋体" w:eastAsia="宋体" w:cs="宋体"/>
                <w:sz w:val="24"/>
                <w:szCs w:val="24"/>
                <w:highlight w:val="none"/>
              </w:rPr>
            </w:pPr>
            <w:r>
              <w:rPr>
                <w:rFonts w:hint="default" w:ascii="宋体" w:hAnsi="宋体" w:eastAsia="宋体" w:cs="宋体"/>
                <w:sz w:val="24"/>
                <w:szCs w:val="24"/>
                <w:highlight w:val="none"/>
              </w:rPr>
              <w:t>供应商名称</w:t>
            </w:r>
          </w:p>
        </w:tc>
        <w:tc>
          <w:tcPr>
            <w:tcW w:w="3097" w:type="dxa"/>
            <w:tcBorders>
              <w:top w:val="single" w:color="000000" w:sz="4" w:space="0"/>
              <w:left w:val="single" w:color="000000" w:sz="4" w:space="0"/>
              <w:bottom w:val="single" w:color="000000" w:sz="4" w:space="0"/>
              <w:right w:val="single" w:color="000000" w:sz="4" w:space="0"/>
            </w:tcBorders>
            <w:vAlign w:val="center"/>
          </w:tcPr>
          <w:p w14:paraId="140D5D91">
            <w:pPr>
              <w:pStyle w:val="249"/>
              <w:keepNext w:val="0"/>
              <w:keepLines w:val="0"/>
              <w:suppressLineNumbers w:val="0"/>
              <w:spacing w:before="0" w:beforeAutospacing="0" w:after="0" w:afterAutospacing="0" w:line="287" w:lineRule="exact"/>
              <w:ind w:left="103" w:right="0"/>
              <w:jc w:val="center"/>
              <w:rPr>
                <w:rFonts w:hint="default" w:ascii="宋体" w:hAnsi="宋体" w:eastAsia="宋体" w:cs="宋体"/>
                <w:sz w:val="24"/>
                <w:szCs w:val="24"/>
                <w:highlight w:val="none"/>
              </w:rPr>
            </w:pPr>
            <w:r>
              <w:rPr>
                <w:rFonts w:hint="default" w:ascii="宋体" w:hAnsi="宋体" w:eastAsia="宋体" w:cs="宋体"/>
                <w:sz w:val="24"/>
                <w:szCs w:val="24"/>
                <w:highlight w:val="none"/>
              </w:rPr>
              <w:t>供应商所属性别</w:t>
            </w:r>
          </w:p>
        </w:tc>
        <w:tc>
          <w:tcPr>
            <w:tcW w:w="3095" w:type="dxa"/>
            <w:tcBorders>
              <w:top w:val="single" w:color="000000" w:sz="4" w:space="0"/>
              <w:left w:val="single" w:color="000000" w:sz="4" w:space="0"/>
              <w:bottom w:val="single" w:color="000000" w:sz="4" w:space="0"/>
              <w:right w:val="single" w:color="000000" w:sz="4" w:space="0"/>
            </w:tcBorders>
            <w:vAlign w:val="center"/>
          </w:tcPr>
          <w:p w14:paraId="239E5C9B">
            <w:pPr>
              <w:pStyle w:val="249"/>
              <w:keepNext w:val="0"/>
              <w:keepLines w:val="0"/>
              <w:suppressLineNumbers w:val="0"/>
              <w:spacing w:before="0" w:beforeAutospacing="0" w:after="0" w:afterAutospacing="0" w:line="287" w:lineRule="exact"/>
              <w:ind w:left="102" w:right="0"/>
              <w:jc w:val="center"/>
              <w:rPr>
                <w:rFonts w:hint="default" w:ascii="宋体" w:hAnsi="宋体" w:eastAsia="宋体" w:cs="宋体"/>
                <w:sz w:val="24"/>
                <w:szCs w:val="24"/>
                <w:highlight w:val="none"/>
              </w:rPr>
            </w:pPr>
            <w:r>
              <w:rPr>
                <w:rFonts w:hint="default" w:ascii="宋体" w:hAnsi="宋体" w:eastAsia="宋体" w:cs="宋体"/>
                <w:sz w:val="24"/>
                <w:szCs w:val="24"/>
                <w:highlight w:val="none"/>
              </w:rPr>
              <w:t>外商投资类型</w:t>
            </w:r>
          </w:p>
        </w:tc>
      </w:tr>
      <w:tr w14:paraId="4059B635">
        <w:tblPrEx>
          <w:tblCellMar>
            <w:top w:w="0" w:type="dxa"/>
            <w:left w:w="0" w:type="dxa"/>
            <w:bottom w:w="0" w:type="dxa"/>
            <w:right w:w="0" w:type="dxa"/>
          </w:tblCellMar>
        </w:tblPrEx>
        <w:trPr>
          <w:trHeight w:val="424" w:hRule="exact"/>
          <w:jc w:val="center"/>
        </w:trPr>
        <w:tc>
          <w:tcPr>
            <w:tcW w:w="3096" w:type="dxa"/>
            <w:tcBorders>
              <w:top w:val="single" w:color="000000" w:sz="4" w:space="0"/>
              <w:left w:val="single" w:color="000000" w:sz="4" w:space="0"/>
              <w:bottom w:val="single" w:color="000000" w:sz="4" w:space="0"/>
              <w:right w:val="single" w:color="000000" w:sz="4" w:space="0"/>
            </w:tcBorders>
            <w:vAlign w:val="center"/>
          </w:tcPr>
          <w:p w14:paraId="6D98D9E0">
            <w:pPr>
              <w:keepNext w:val="0"/>
              <w:keepLines w:val="0"/>
              <w:suppressLineNumbers w:val="0"/>
              <w:spacing w:before="0" w:beforeAutospacing="0" w:after="0" w:afterAutospacing="0"/>
              <w:ind w:left="0" w:right="0"/>
              <w:jc w:val="center"/>
              <w:rPr>
                <w:rFonts w:hint="default"/>
                <w:sz w:val="24"/>
                <w:szCs w:val="24"/>
                <w:highlight w:val="none"/>
              </w:rPr>
            </w:pPr>
          </w:p>
        </w:tc>
        <w:tc>
          <w:tcPr>
            <w:tcW w:w="3097" w:type="dxa"/>
            <w:tcBorders>
              <w:top w:val="single" w:color="000000" w:sz="4" w:space="0"/>
              <w:left w:val="single" w:color="000000" w:sz="4" w:space="0"/>
              <w:bottom w:val="single" w:color="000000" w:sz="4" w:space="0"/>
              <w:right w:val="single" w:color="000000" w:sz="4" w:space="0"/>
            </w:tcBorders>
            <w:vAlign w:val="center"/>
          </w:tcPr>
          <w:p w14:paraId="3B4D239A">
            <w:pPr>
              <w:keepNext w:val="0"/>
              <w:keepLines w:val="0"/>
              <w:suppressLineNumbers w:val="0"/>
              <w:spacing w:before="0" w:beforeAutospacing="0" w:after="0" w:afterAutospacing="0"/>
              <w:ind w:left="0" w:right="0"/>
              <w:jc w:val="center"/>
              <w:rPr>
                <w:rFonts w:hint="default"/>
                <w:sz w:val="24"/>
                <w:szCs w:val="24"/>
                <w:highlight w:val="none"/>
              </w:rPr>
            </w:pPr>
          </w:p>
        </w:tc>
        <w:tc>
          <w:tcPr>
            <w:tcW w:w="3095" w:type="dxa"/>
            <w:tcBorders>
              <w:top w:val="single" w:color="000000" w:sz="4" w:space="0"/>
              <w:left w:val="single" w:color="000000" w:sz="4" w:space="0"/>
              <w:bottom w:val="single" w:color="000000" w:sz="4" w:space="0"/>
              <w:right w:val="single" w:color="000000" w:sz="4" w:space="0"/>
            </w:tcBorders>
            <w:vAlign w:val="center"/>
          </w:tcPr>
          <w:p w14:paraId="0610EBDC">
            <w:pPr>
              <w:keepNext w:val="0"/>
              <w:keepLines w:val="0"/>
              <w:suppressLineNumbers w:val="0"/>
              <w:spacing w:before="0" w:beforeAutospacing="0" w:after="0" w:afterAutospacing="0"/>
              <w:ind w:left="0" w:right="0"/>
              <w:jc w:val="center"/>
              <w:rPr>
                <w:rFonts w:hint="default"/>
                <w:sz w:val="24"/>
                <w:szCs w:val="24"/>
                <w:highlight w:val="none"/>
              </w:rPr>
            </w:pPr>
          </w:p>
        </w:tc>
      </w:tr>
      <w:tr w14:paraId="4B37D67A">
        <w:tblPrEx>
          <w:tblCellMar>
            <w:top w:w="0" w:type="dxa"/>
            <w:left w:w="0" w:type="dxa"/>
            <w:bottom w:w="0" w:type="dxa"/>
            <w:right w:w="0" w:type="dxa"/>
          </w:tblCellMar>
        </w:tblPrEx>
        <w:trPr>
          <w:trHeight w:val="429" w:hRule="exact"/>
          <w:jc w:val="center"/>
        </w:trPr>
        <w:tc>
          <w:tcPr>
            <w:tcW w:w="3096" w:type="dxa"/>
            <w:tcBorders>
              <w:top w:val="single" w:color="000000" w:sz="4" w:space="0"/>
              <w:left w:val="single" w:color="000000" w:sz="4" w:space="0"/>
              <w:bottom w:val="single" w:color="000000" w:sz="4" w:space="0"/>
              <w:right w:val="single" w:color="000000" w:sz="4" w:space="0"/>
            </w:tcBorders>
            <w:vAlign w:val="center"/>
          </w:tcPr>
          <w:p w14:paraId="6F65E2B3">
            <w:pPr>
              <w:keepNext w:val="0"/>
              <w:keepLines w:val="0"/>
              <w:suppressLineNumbers w:val="0"/>
              <w:spacing w:before="0" w:beforeAutospacing="0" w:after="0" w:afterAutospacing="0"/>
              <w:ind w:left="0" w:right="0"/>
              <w:jc w:val="center"/>
              <w:rPr>
                <w:rFonts w:hint="default"/>
                <w:sz w:val="24"/>
                <w:szCs w:val="24"/>
                <w:highlight w:val="none"/>
              </w:rPr>
            </w:pPr>
          </w:p>
        </w:tc>
        <w:tc>
          <w:tcPr>
            <w:tcW w:w="3097" w:type="dxa"/>
            <w:tcBorders>
              <w:top w:val="single" w:color="000000" w:sz="4" w:space="0"/>
              <w:left w:val="single" w:color="000000" w:sz="4" w:space="0"/>
              <w:bottom w:val="single" w:color="000000" w:sz="4" w:space="0"/>
              <w:right w:val="single" w:color="000000" w:sz="4" w:space="0"/>
            </w:tcBorders>
            <w:vAlign w:val="center"/>
          </w:tcPr>
          <w:p w14:paraId="4F95F91F">
            <w:pPr>
              <w:keepNext w:val="0"/>
              <w:keepLines w:val="0"/>
              <w:suppressLineNumbers w:val="0"/>
              <w:spacing w:before="0" w:beforeAutospacing="0" w:after="0" w:afterAutospacing="0"/>
              <w:ind w:left="0" w:right="0"/>
              <w:jc w:val="center"/>
              <w:rPr>
                <w:rFonts w:hint="default"/>
                <w:sz w:val="24"/>
                <w:szCs w:val="24"/>
                <w:highlight w:val="none"/>
              </w:rPr>
            </w:pPr>
          </w:p>
        </w:tc>
        <w:tc>
          <w:tcPr>
            <w:tcW w:w="3095" w:type="dxa"/>
            <w:tcBorders>
              <w:top w:val="single" w:color="000000" w:sz="4" w:space="0"/>
              <w:left w:val="single" w:color="000000" w:sz="4" w:space="0"/>
              <w:bottom w:val="single" w:color="000000" w:sz="4" w:space="0"/>
              <w:right w:val="single" w:color="000000" w:sz="4" w:space="0"/>
            </w:tcBorders>
            <w:vAlign w:val="center"/>
          </w:tcPr>
          <w:p w14:paraId="748CEEEB">
            <w:pPr>
              <w:keepNext w:val="0"/>
              <w:keepLines w:val="0"/>
              <w:suppressLineNumbers w:val="0"/>
              <w:spacing w:before="0" w:beforeAutospacing="0" w:after="0" w:afterAutospacing="0"/>
              <w:ind w:left="0" w:right="0"/>
              <w:jc w:val="center"/>
              <w:rPr>
                <w:rFonts w:hint="default"/>
                <w:sz w:val="24"/>
                <w:szCs w:val="24"/>
                <w:highlight w:val="none"/>
              </w:rPr>
            </w:pPr>
          </w:p>
        </w:tc>
      </w:tr>
      <w:tr w14:paraId="73F3E8F3">
        <w:tblPrEx>
          <w:tblCellMar>
            <w:top w:w="0" w:type="dxa"/>
            <w:left w:w="0" w:type="dxa"/>
            <w:bottom w:w="0" w:type="dxa"/>
            <w:right w:w="0" w:type="dxa"/>
          </w:tblCellMar>
        </w:tblPrEx>
        <w:trPr>
          <w:trHeight w:val="421" w:hRule="exact"/>
          <w:jc w:val="center"/>
        </w:trPr>
        <w:tc>
          <w:tcPr>
            <w:tcW w:w="3096" w:type="dxa"/>
            <w:tcBorders>
              <w:top w:val="single" w:color="000000" w:sz="4" w:space="0"/>
              <w:left w:val="single" w:color="000000" w:sz="4" w:space="0"/>
              <w:bottom w:val="single" w:color="000000" w:sz="4" w:space="0"/>
              <w:right w:val="single" w:color="000000" w:sz="4" w:space="0"/>
            </w:tcBorders>
            <w:vAlign w:val="center"/>
          </w:tcPr>
          <w:p w14:paraId="2D66D48C">
            <w:pPr>
              <w:keepNext w:val="0"/>
              <w:keepLines w:val="0"/>
              <w:suppressLineNumbers w:val="0"/>
              <w:spacing w:before="0" w:beforeAutospacing="0" w:after="0" w:afterAutospacing="0"/>
              <w:ind w:left="0" w:right="0"/>
              <w:jc w:val="center"/>
              <w:rPr>
                <w:rFonts w:hint="default"/>
                <w:sz w:val="24"/>
                <w:szCs w:val="24"/>
                <w:highlight w:val="none"/>
              </w:rPr>
            </w:pPr>
          </w:p>
        </w:tc>
        <w:tc>
          <w:tcPr>
            <w:tcW w:w="3097" w:type="dxa"/>
            <w:tcBorders>
              <w:top w:val="single" w:color="000000" w:sz="4" w:space="0"/>
              <w:left w:val="single" w:color="000000" w:sz="4" w:space="0"/>
              <w:bottom w:val="single" w:color="000000" w:sz="4" w:space="0"/>
              <w:right w:val="single" w:color="000000" w:sz="4" w:space="0"/>
            </w:tcBorders>
            <w:vAlign w:val="center"/>
          </w:tcPr>
          <w:p w14:paraId="2395F791">
            <w:pPr>
              <w:keepNext w:val="0"/>
              <w:keepLines w:val="0"/>
              <w:suppressLineNumbers w:val="0"/>
              <w:spacing w:before="0" w:beforeAutospacing="0" w:after="0" w:afterAutospacing="0"/>
              <w:ind w:left="0" w:right="0"/>
              <w:jc w:val="center"/>
              <w:rPr>
                <w:rFonts w:hint="default"/>
                <w:sz w:val="24"/>
                <w:szCs w:val="24"/>
                <w:highlight w:val="none"/>
              </w:rPr>
            </w:pPr>
          </w:p>
        </w:tc>
        <w:tc>
          <w:tcPr>
            <w:tcW w:w="3095" w:type="dxa"/>
            <w:tcBorders>
              <w:top w:val="single" w:color="000000" w:sz="4" w:space="0"/>
              <w:left w:val="single" w:color="000000" w:sz="4" w:space="0"/>
              <w:bottom w:val="single" w:color="000000" w:sz="4" w:space="0"/>
              <w:right w:val="single" w:color="000000" w:sz="4" w:space="0"/>
            </w:tcBorders>
            <w:vAlign w:val="center"/>
          </w:tcPr>
          <w:p w14:paraId="0548FDF3">
            <w:pPr>
              <w:keepNext w:val="0"/>
              <w:keepLines w:val="0"/>
              <w:suppressLineNumbers w:val="0"/>
              <w:spacing w:before="0" w:beforeAutospacing="0" w:after="0" w:afterAutospacing="0"/>
              <w:ind w:left="0" w:right="0"/>
              <w:jc w:val="center"/>
              <w:rPr>
                <w:rFonts w:hint="default"/>
                <w:sz w:val="24"/>
                <w:szCs w:val="24"/>
                <w:highlight w:val="none"/>
              </w:rPr>
            </w:pPr>
          </w:p>
        </w:tc>
      </w:tr>
      <w:tr w14:paraId="20AE0C0A">
        <w:tblPrEx>
          <w:tblCellMar>
            <w:top w:w="0" w:type="dxa"/>
            <w:left w:w="0" w:type="dxa"/>
            <w:bottom w:w="0" w:type="dxa"/>
            <w:right w:w="0" w:type="dxa"/>
          </w:tblCellMar>
        </w:tblPrEx>
        <w:trPr>
          <w:trHeight w:val="359" w:hRule="exact"/>
          <w:jc w:val="center"/>
        </w:trPr>
        <w:tc>
          <w:tcPr>
            <w:tcW w:w="3096" w:type="dxa"/>
            <w:tcBorders>
              <w:top w:val="single" w:color="000000" w:sz="4" w:space="0"/>
              <w:left w:val="single" w:color="000000" w:sz="4" w:space="0"/>
              <w:bottom w:val="single" w:color="000000" w:sz="4" w:space="0"/>
              <w:right w:val="single" w:color="000000" w:sz="4" w:space="0"/>
            </w:tcBorders>
            <w:vAlign w:val="center"/>
          </w:tcPr>
          <w:p w14:paraId="6161AA63">
            <w:pPr>
              <w:keepNext w:val="0"/>
              <w:keepLines w:val="0"/>
              <w:suppressLineNumbers w:val="0"/>
              <w:spacing w:before="0" w:beforeAutospacing="0" w:after="0" w:afterAutospacing="0"/>
              <w:ind w:left="0" w:right="0"/>
              <w:jc w:val="center"/>
              <w:rPr>
                <w:rFonts w:hint="default"/>
                <w:sz w:val="24"/>
                <w:szCs w:val="24"/>
                <w:highlight w:val="none"/>
              </w:rPr>
            </w:pPr>
          </w:p>
        </w:tc>
        <w:tc>
          <w:tcPr>
            <w:tcW w:w="3097" w:type="dxa"/>
            <w:tcBorders>
              <w:top w:val="single" w:color="000000" w:sz="4" w:space="0"/>
              <w:left w:val="single" w:color="000000" w:sz="4" w:space="0"/>
              <w:bottom w:val="single" w:color="000000" w:sz="4" w:space="0"/>
              <w:right w:val="single" w:color="000000" w:sz="4" w:space="0"/>
            </w:tcBorders>
            <w:vAlign w:val="center"/>
          </w:tcPr>
          <w:p w14:paraId="56204DF0">
            <w:pPr>
              <w:keepNext w:val="0"/>
              <w:keepLines w:val="0"/>
              <w:suppressLineNumbers w:val="0"/>
              <w:spacing w:before="0" w:beforeAutospacing="0" w:after="0" w:afterAutospacing="0"/>
              <w:ind w:left="0" w:right="0"/>
              <w:jc w:val="center"/>
              <w:rPr>
                <w:rFonts w:hint="default"/>
                <w:sz w:val="24"/>
                <w:szCs w:val="24"/>
                <w:highlight w:val="none"/>
              </w:rPr>
            </w:pPr>
          </w:p>
        </w:tc>
        <w:tc>
          <w:tcPr>
            <w:tcW w:w="3095" w:type="dxa"/>
            <w:tcBorders>
              <w:top w:val="single" w:color="000000" w:sz="4" w:space="0"/>
              <w:left w:val="single" w:color="000000" w:sz="4" w:space="0"/>
              <w:bottom w:val="single" w:color="000000" w:sz="4" w:space="0"/>
              <w:right w:val="single" w:color="000000" w:sz="4" w:space="0"/>
            </w:tcBorders>
            <w:vAlign w:val="center"/>
          </w:tcPr>
          <w:p w14:paraId="782959C3">
            <w:pPr>
              <w:keepNext w:val="0"/>
              <w:keepLines w:val="0"/>
              <w:suppressLineNumbers w:val="0"/>
              <w:spacing w:before="0" w:beforeAutospacing="0" w:after="0" w:afterAutospacing="0"/>
              <w:ind w:left="0" w:right="0"/>
              <w:jc w:val="center"/>
              <w:rPr>
                <w:rFonts w:hint="default"/>
                <w:sz w:val="24"/>
                <w:szCs w:val="24"/>
                <w:highlight w:val="none"/>
              </w:rPr>
            </w:pPr>
          </w:p>
        </w:tc>
      </w:tr>
    </w:tbl>
    <w:p w14:paraId="65DEA8B5">
      <w:pPr>
        <w:pStyle w:val="17"/>
        <w:keepNext w:val="0"/>
        <w:keepLines w:val="0"/>
        <w:pageBreakBefore w:val="0"/>
        <w:widowControl w:val="0"/>
        <w:kinsoku/>
        <w:wordWrap/>
        <w:overflowPunct/>
        <w:topLinePunct w:val="0"/>
        <w:autoSpaceDE/>
        <w:autoSpaceDN/>
        <w:bidi w:val="0"/>
        <w:adjustRightInd/>
        <w:snapToGrid/>
        <w:spacing w:before="0" w:line="360" w:lineRule="auto"/>
        <w:ind w:left="701" w:right="234" w:hanging="480"/>
        <w:jc w:val="left"/>
        <w:textAlignment w:val="auto"/>
        <w:rPr>
          <w:rFonts w:hint="eastAsia" w:ascii="宋体" w:hAnsi="宋体" w:eastAsia="宋体" w:cs="宋体"/>
          <w:highlight w:val="none"/>
        </w:rPr>
      </w:pPr>
      <w:r>
        <w:rPr>
          <w:rFonts w:hint="eastAsia" w:ascii="宋体" w:hAnsi="宋体" w:eastAsia="宋体" w:cs="宋体"/>
          <w:highlight w:val="none"/>
        </w:rPr>
        <w:t>注：1.供应商如为联合体，则应填写联合体各成员信息。</w:t>
      </w:r>
    </w:p>
    <w:p w14:paraId="6409E529">
      <w:pPr>
        <w:pStyle w:val="17"/>
        <w:keepNext w:val="0"/>
        <w:keepLines w:val="0"/>
        <w:pageBreakBefore w:val="0"/>
        <w:widowControl w:val="0"/>
        <w:kinsoku/>
        <w:wordWrap/>
        <w:overflowPunct/>
        <w:topLinePunct w:val="0"/>
        <w:autoSpaceDE/>
        <w:autoSpaceDN/>
        <w:bidi w:val="0"/>
        <w:adjustRightInd/>
        <w:snapToGrid/>
        <w:spacing w:before="18" w:line="360" w:lineRule="auto"/>
        <w:ind w:left="221" w:right="111" w:firstLine="480"/>
        <w:jc w:val="left"/>
        <w:textAlignment w:val="auto"/>
        <w:rPr>
          <w:rFonts w:hint="eastAsia" w:ascii="宋体" w:hAnsi="宋体" w:eastAsia="宋体" w:cs="宋体"/>
          <w:highlight w:val="none"/>
        </w:rPr>
      </w:pPr>
      <w:r>
        <w:rPr>
          <w:rFonts w:hint="eastAsia" w:ascii="宋体" w:hAnsi="宋体" w:eastAsia="宋体" w:cs="宋体"/>
          <w:spacing w:val="-6"/>
          <w:highlight w:val="none"/>
        </w:rPr>
        <w:t>2.供应商所属性别请填写“男”或“女”，指拥有供应商</w:t>
      </w:r>
      <w:r>
        <w:rPr>
          <w:rFonts w:hint="eastAsia" w:ascii="宋体" w:hAnsi="宋体" w:eastAsia="宋体" w:cs="宋体"/>
          <w:spacing w:val="-9"/>
          <w:highlight w:val="none"/>
        </w:rPr>
        <w:t xml:space="preserve"> </w:t>
      </w:r>
      <w:r>
        <w:rPr>
          <w:rFonts w:hint="eastAsia" w:ascii="宋体" w:hAnsi="宋体" w:eastAsia="宋体" w:cs="宋体"/>
          <w:highlight w:val="none"/>
        </w:rPr>
        <w:t>51%以上绝对所有权的性别；绝对所有权拥有者可以是一个人，也可以是多人合计计算。</w:t>
      </w:r>
    </w:p>
    <w:p w14:paraId="5A381713">
      <w:pPr>
        <w:pStyle w:val="17"/>
        <w:keepNext w:val="0"/>
        <w:keepLines w:val="0"/>
        <w:pageBreakBefore w:val="0"/>
        <w:widowControl w:val="0"/>
        <w:kinsoku/>
        <w:wordWrap/>
        <w:overflowPunct/>
        <w:topLinePunct w:val="0"/>
        <w:autoSpaceDE/>
        <w:autoSpaceDN/>
        <w:bidi w:val="0"/>
        <w:adjustRightInd/>
        <w:snapToGrid/>
        <w:spacing w:before="22" w:line="360" w:lineRule="auto"/>
        <w:ind w:left="701" w:right="234"/>
        <w:jc w:val="left"/>
        <w:textAlignment w:val="auto"/>
        <w:rPr>
          <w:rFonts w:hint="eastAsia" w:ascii="宋体" w:hAnsi="宋体" w:eastAsia="宋体" w:cs="宋体"/>
          <w:highlight w:val="none"/>
        </w:rPr>
      </w:pPr>
      <w:r>
        <w:rPr>
          <w:rFonts w:hint="eastAsia" w:ascii="宋体" w:hAnsi="宋体" w:eastAsia="宋体" w:cs="宋体"/>
          <w:spacing w:val="-11"/>
          <w:highlight w:val="none"/>
        </w:rPr>
        <w:t>3.外商投资类型请填写“外商单独投资”、“外商部分投资”或“内资”。</w:t>
      </w:r>
    </w:p>
    <w:p w14:paraId="5263465E">
      <w:pPr>
        <w:pStyle w:val="55"/>
        <w:rPr>
          <w:rFonts w:hint="default"/>
          <w:highlight w:val="none"/>
          <w:lang w:val="en-US" w:eastAsia="zh-CN"/>
        </w:rPr>
      </w:pPr>
    </w:p>
    <w:sectPr>
      <w:headerReference r:id="rId41" w:type="default"/>
      <w:footerReference r:id="rId42" w:type="default"/>
      <w:pgSz w:w="11907" w:h="16840"/>
      <w:pgMar w:top="1117" w:right="1132" w:bottom="1060" w:left="1700" w:header="878" w:footer="886"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405B56B-97EF-4FC3-B77A-22D0BE47613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2" w:fontKey="{0B5EEEA8-8F72-4589-B783-223B10EEF170}"/>
  </w:font>
  <w:font w:name="仿宋_GB2312">
    <w:panose1 w:val="02010609030101010101"/>
    <w:charset w:val="86"/>
    <w:family w:val="modern"/>
    <w:pitch w:val="default"/>
    <w:sig w:usb0="00000001" w:usb1="080E0000" w:usb2="00000000" w:usb3="00000000" w:csb0="00040000" w:csb1="00000000"/>
    <w:embedRegular r:id="rId3" w:fontKey="{D15F4EA3-32E6-463D-ADBC-3AEC4E202066}"/>
  </w:font>
  <w:font w:name="ˎ̥">
    <w:altName w:val="华文中宋"/>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embedRegular r:id="rId4" w:fontKey="{BE3D9506-0913-4A38-9008-57D51C8E89EF}"/>
  </w:font>
  <w:font w:name="Tahoma">
    <w:panose1 w:val="020B0604030504040204"/>
    <w:charset w:val="00"/>
    <w:family w:val="swiss"/>
    <w:pitch w:val="default"/>
    <w:sig w:usb0="E1002EFF" w:usb1="C000605B" w:usb2="00000029" w:usb3="00000000" w:csb0="200101FF" w:csb1="20280000"/>
    <w:embedRegular r:id="rId5" w:fontKey="{E9EB7BCA-0EE3-4880-876D-0F2231C02FA9}"/>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Times">
    <w:altName w:val="Times New Roman"/>
    <w:panose1 w:val="02020603050405020304"/>
    <w:charset w:val="00"/>
    <w:family w:val="roman"/>
    <w:pitch w:val="default"/>
    <w:sig w:usb0="00000000" w:usb1="00000000" w:usb2="00000000" w:usb3="00000000" w:csb0="00000093"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embedRegular r:id="rId6" w:fontKey="{1D03FE9A-2A00-4C8F-BBC2-085FC9F18485}"/>
  </w:font>
  <w:font w:name="Cambria Math">
    <w:panose1 w:val="02040503050406030204"/>
    <w:charset w:val="00"/>
    <w:family w:val="auto"/>
    <w:pitch w:val="default"/>
    <w:sig w:usb0="E00006FF" w:usb1="420024FF" w:usb2="02000000" w:usb3="00000000" w:csb0="2000019F" w:csb1="00000000"/>
    <w:embedRegular r:id="rId7" w:fontKey="{D1C06C50-50C5-483A-9F6E-A210C22C7B86}"/>
  </w:font>
  <w:font w:name="方正小标宋简体">
    <w:panose1 w:val="02000000000000000000"/>
    <w:charset w:val="86"/>
    <w:family w:val="auto"/>
    <w:pitch w:val="default"/>
    <w:sig w:usb0="A00002BF" w:usb1="184F6CFA" w:usb2="00000012" w:usb3="00000000" w:csb0="00040001" w:csb1="00000000"/>
    <w:embedRegular r:id="rId8" w:fontKey="{9C783888-B0DD-4666-89E7-E3A0D2158AC9}"/>
  </w:font>
  <w:font w:name="Bookman Old Style">
    <w:panose1 w:val="02050604050505020204"/>
    <w:charset w:val="00"/>
    <w:family w:val="roman"/>
    <w:pitch w:val="default"/>
    <w:sig w:usb0="00000287" w:usb1="00000000" w:usb2="00000000" w:usb3="00000000" w:csb0="2000009F" w:csb1="DFD70000"/>
    <w:embedRegular r:id="rId9" w:fontKey="{CFB2BDC8-7F7E-4112-8EE6-D238E8AC68A9}"/>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E61DC">
    <w:pPr>
      <w:pStyle w:val="29"/>
      <w:jc w:val="center"/>
      <w:rPr>
        <w:rFonts w:ascii="Times New Roma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F7CA3">
    <w:pPr>
      <w:widowControl/>
      <w:wordWrap w:val="0"/>
      <w:topLinePunct/>
      <w:adjustRightInd w:val="0"/>
      <w:snapToGrid w:val="0"/>
      <w:spacing w:after="120" w:afterLines="50" w:line="360" w:lineRule="auto"/>
      <w:ind w:firstLine="480" w:firstLineChars="200"/>
      <w:rPr>
        <w:rFonts w:ascii="宋体" w:hAnsi="宋体" w:eastAsia="宋体" w:cs="Times New Roman"/>
        <w:kern w:val="0"/>
        <w:sz w:val="24"/>
        <w:szCs w:val="20"/>
      </w:rPr>
    </w:pPr>
    <w:r>
      <w:rPr>
        <w:rFonts w:ascii="宋体" w:hAnsi="宋体" w:eastAsia="宋体" w:cs="Times New Roman"/>
        <w:kern w:val="0"/>
        <w:sz w:val="24"/>
        <w:szCs w:val="20"/>
      </w:rPr>
      <w:fldChar w:fldCharType="begin"/>
    </w:r>
    <w:r>
      <w:rPr>
        <w:rFonts w:ascii="宋体" w:hAnsi="宋体" w:eastAsia="宋体" w:cs="Times New Roman"/>
        <w:kern w:val="0"/>
        <w:sz w:val="24"/>
        <w:szCs w:val="20"/>
      </w:rPr>
      <w:instrText xml:space="preserve"> PAGE   \* MERGEFORMAT </w:instrText>
    </w:r>
    <w:r>
      <w:rPr>
        <w:rFonts w:ascii="宋体" w:hAnsi="宋体" w:eastAsia="宋体" w:cs="Times New Roman"/>
        <w:kern w:val="0"/>
        <w:sz w:val="24"/>
        <w:szCs w:val="20"/>
      </w:rPr>
      <w:fldChar w:fldCharType="separate"/>
    </w:r>
    <w:r>
      <w:rPr>
        <w:rFonts w:ascii="宋体" w:hAnsi="宋体" w:eastAsia="Times New Roman" w:cs="Times New Roman"/>
        <w:kern w:val="0"/>
        <w:sz w:val="18"/>
        <w:szCs w:val="20"/>
      </w:rPr>
      <w:t>1</w:t>
    </w:r>
    <w:r>
      <w:rPr>
        <w:rFonts w:ascii="宋体" w:hAnsi="宋体" w:eastAsia="Times New Roman" w:cs="Times New Roman"/>
        <w:kern w:val="0"/>
        <w:sz w:val="18"/>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704D0">
    <w:pPr>
      <w:rPr>
        <w:rFonts w:ascii="宋体" w:hAnsi="宋体" w:eastAsia="宋体" w:cs="Times New Roman"/>
        <w:kern w:val="2"/>
        <w:sz w:val="18"/>
        <w:szCs w:val="18"/>
        <w:lang w:val="en-US" w:eastAsia="zh-CN" w:bidi="ar-S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E301B9">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6E301B9">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D44D0">
    <w:pPr>
      <w:rPr>
        <w:rFonts w:ascii="宋体" w:hAnsi="宋体" w:eastAsia="宋体" w:cs="Times New Roman"/>
        <w:kern w:val="2"/>
        <w:sz w:val="18"/>
        <w:szCs w:val="18"/>
        <w:lang w:val="en-US" w:eastAsia="zh-CN" w:bidi="ar-S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B458EE">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43B458EE">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D3A2F">
    <w:pPr>
      <w:rPr>
        <w:rFonts w:ascii="宋体" w:hAnsi="宋体" w:eastAsia="宋体" w:cs="Times New Roman"/>
        <w:kern w:val="2"/>
        <w:sz w:val="18"/>
        <w:szCs w:val="18"/>
        <w:lang w:val="en-US" w:eastAsia="zh-CN" w:bidi="ar-S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97DFF">
                          <w:pPr>
                            <w:pStyle w:val="29"/>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52997DFF">
                    <w:pPr>
                      <w:pStyle w:val="29"/>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49E7D">
    <w:pPr>
      <w:rPr>
        <w:rFonts w:hint="eastAsia" w:ascii="宋体" w:hAnsi="宋体" w:eastAsia="宋体" w:cs="宋体"/>
        <w:kern w:val="2"/>
        <w:sz w:val="18"/>
        <w:szCs w:val="18"/>
        <w:lang w:val="en-US" w:eastAsia="zh-CN" w:bidi="ar-SA"/>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39ADB1">
                          <w:pPr>
                            <w:pStyle w:val="29"/>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6039ADB1">
                    <w:pPr>
                      <w:pStyle w:val="29"/>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0DF6A">
    <w:pPr>
      <w:pStyle w:val="29"/>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8BA6C">
                          <w:pPr>
                            <w:pStyle w:val="29"/>
                          </w:pPr>
                          <w:r>
                            <w:fldChar w:fldCharType="begin"/>
                          </w:r>
                          <w:r>
                            <w:instrText xml:space="preserve"> PAGE  \* MERGEFORMAT </w:instrText>
                          </w:r>
                          <w:r>
                            <w:fldChar w:fldCharType="separate"/>
                          </w:r>
                          <w:r>
                            <w:t>147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44C8BA6C">
                    <w:pPr>
                      <w:pStyle w:val="29"/>
                    </w:pPr>
                    <w:r>
                      <w:fldChar w:fldCharType="begin"/>
                    </w:r>
                    <w:r>
                      <w:instrText xml:space="preserve"> PAGE  \* MERGEFORMAT </w:instrText>
                    </w:r>
                    <w:r>
                      <w:fldChar w:fldCharType="separate"/>
                    </w:r>
                    <w:r>
                      <w:t>147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2F58E">
    <w:pPr>
      <w:pStyle w:val="29"/>
      <w:framePr w:wrap="around" w:vAnchor="text" w:hAnchor="margin" w:xAlign="right" w:y="1"/>
      <w:rPr>
        <w:rStyle w:val="49"/>
      </w:rPr>
    </w:pPr>
    <w:r>
      <w:rPr>
        <w:rStyle w:val="49"/>
      </w:rPr>
      <w:fldChar w:fldCharType="begin"/>
    </w:r>
    <w:r>
      <w:rPr>
        <w:rStyle w:val="49"/>
      </w:rPr>
      <w:instrText xml:space="preserve">PAGE  </w:instrText>
    </w:r>
    <w:r>
      <w:rPr>
        <w:rStyle w:val="49"/>
      </w:rPr>
      <w:fldChar w:fldCharType="end"/>
    </w:r>
  </w:p>
  <w:p w14:paraId="1319ACB3">
    <w:pPr>
      <w:pStyle w:val="29"/>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3E637">
    <w:pPr>
      <w:pStyle w:val="29"/>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F7A4F">
    <w:pPr>
      <w:pStyle w:val="29"/>
      <w:framePr w:wrap="around" w:vAnchor="text" w:hAnchor="margin" w:xAlign="right" w:y="1"/>
      <w:rPr>
        <w:rStyle w:val="49"/>
      </w:rPr>
    </w:pPr>
    <w:r>
      <w:rPr>
        <w:rStyle w:val="49"/>
      </w:rPr>
      <w:fldChar w:fldCharType="begin"/>
    </w:r>
    <w:r>
      <w:rPr>
        <w:rStyle w:val="49"/>
      </w:rPr>
      <w:instrText xml:space="preserve">PAGE  </w:instrText>
    </w:r>
    <w:r>
      <w:rPr>
        <w:rStyle w:val="49"/>
      </w:rPr>
      <w:fldChar w:fldCharType="end"/>
    </w:r>
  </w:p>
  <w:p w14:paraId="7B4D7F3F">
    <w:pPr>
      <w:pStyle w:val="29"/>
      <w:ind w:right="360"/>
    </w:pPr>
  </w:p>
  <w:p w14:paraId="2DF7E9CE"/>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3F750">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59BB5">
    <w:pPr>
      <w:pStyle w:val="29"/>
      <w:framePr w:wrap="around" w:vAnchor="text" w:hAnchor="margin" w:xAlign="center" w:y="1"/>
      <w:rPr>
        <w:rStyle w:val="49"/>
      </w:rPr>
    </w:pPr>
    <w:r>
      <w:fldChar w:fldCharType="begin"/>
    </w:r>
    <w:r>
      <w:rPr>
        <w:rStyle w:val="49"/>
      </w:rPr>
      <w:instrText xml:space="preserve">PAGE  </w:instrText>
    </w:r>
    <w:r>
      <w:fldChar w:fldCharType="end"/>
    </w:r>
  </w:p>
  <w:p w14:paraId="4108C6D2">
    <w:pPr>
      <w:pStyle w:val="29"/>
      <w:ind w:right="360"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E2A6C">
    <w:pPr>
      <w:pStyle w:val="29"/>
      <w:framePr w:wrap="around" w:vAnchor="text" w:hAnchor="margin" w:xAlign="right" w:y="1"/>
      <w:rPr>
        <w:rStyle w:val="49"/>
      </w:rPr>
    </w:pPr>
    <w:r>
      <w:rPr>
        <w:rStyle w:val="49"/>
      </w:rPr>
      <w:fldChar w:fldCharType="begin"/>
    </w:r>
    <w:r>
      <w:rPr>
        <w:rStyle w:val="49"/>
      </w:rPr>
      <w:instrText xml:space="preserve">PAGE  </w:instrText>
    </w:r>
    <w:r>
      <w:rPr>
        <w:rStyle w:val="49"/>
      </w:rPr>
      <w:fldChar w:fldCharType="end"/>
    </w:r>
  </w:p>
  <w:p w14:paraId="6CB9B229">
    <w:pPr>
      <w:pStyle w:val="29"/>
      <w:ind w:right="360"/>
    </w:pPr>
  </w:p>
  <w:p w14:paraId="180F9556"/>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B9699">
    <w:pPr>
      <w:pStyle w:val="29"/>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8957E">
    <w:pPr>
      <w:spacing w:line="189" w:lineRule="auto"/>
      <w:rPr>
        <w:rFonts w:ascii="Arial" w:hAnsi="Arial" w:eastAsia="Arial" w:cs="Arial"/>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CD9B3B">
                          <w:pPr>
                            <w:pStyle w:val="29"/>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60CD9B3B">
                    <w:pPr>
                      <w:pStyle w:val="29"/>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24AFD">
    <w:pPr>
      <w:spacing w:line="189" w:lineRule="auto"/>
      <w:ind w:left="4433"/>
      <w:rPr>
        <w:rFonts w:ascii="Arial" w:hAnsi="Arial" w:eastAsia="Arial" w:cs="Arial"/>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C7E42">
                          <w:pPr>
                            <w:pStyle w:val="29"/>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5D2C7E42">
                    <w:pPr>
                      <w:pStyle w:val="29"/>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72CC0">
    <w:pPr>
      <w:pStyle w:val="2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08278">
    <w:pPr>
      <w:pStyle w:val="29"/>
      <w:jc w:val="center"/>
      <w:rPr>
        <w:rFonts w:ascii="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890B4D">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1C890B4D">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8214D">
    <w:pPr>
      <w:pStyle w:val="29"/>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6ED299">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666ED299">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EF789">
    <w:pPr>
      <w:pStyle w:val="29"/>
      <w:rPr>
        <w:rFonts w:ascii="Times New Roma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5C273">
                          <w:pPr>
                            <w:pStyle w:val="2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0795C273">
                    <w:pPr>
                      <w:pStyle w:val="2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88D8F">
    <w:pPr>
      <w:pStyle w:val="2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679DB2">
                          <w:pPr>
                            <w:pStyle w:val="2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68679DB2">
                    <w:pPr>
                      <w:pStyle w:val="2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97C23">
    <w:pPr>
      <w:pStyle w:val="29"/>
      <w:ind w:right="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A60E10">
                          <w:pPr>
                            <w:pStyle w:val="29"/>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27A60E10">
                    <w:pPr>
                      <w:pStyle w:val="29"/>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13F46">
    <w:pPr>
      <w:jc w:val="center"/>
      <w:rPr>
        <w:rFonts w:ascii="宋体" w:hAnsi="宋体" w:eastAsia="宋体" w:cs="Times New Roman"/>
        <w:kern w:val="2"/>
        <w:sz w:val="18"/>
        <w:szCs w:val="18"/>
        <w:lang w:val="en-US" w:eastAsia="zh-CN" w:bidi="ar-S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D1B7C">
                          <w:pPr>
                            <w:pStyle w:val="29"/>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70CD1B7C">
                    <w:pPr>
                      <w:pStyle w:val="29"/>
                    </w:pPr>
                    <w:r>
                      <w:fldChar w:fldCharType="begin"/>
                    </w:r>
                    <w:r>
                      <w:instrText xml:space="preserve"> PAGE  \* MERGEFORMAT </w:instrText>
                    </w:r>
                    <w:r>
                      <w:fldChar w:fldCharType="separate"/>
                    </w:r>
                    <w:r>
                      <w:t>36</w:t>
                    </w:r>
                    <w:r>
                      <w:fldChar w:fldCharType="end"/>
                    </w:r>
                  </w:p>
                </w:txbxContent>
              </v:textbox>
            </v:shape>
          </w:pict>
        </mc:Fallback>
      </mc:AlternateContent>
    </w:r>
    <w:r>
      <w:rPr>
        <w:rFonts w:hint="eastAsia" w:ascii="宋体" w:hAnsi="宋体" w:eastAsia="宋体" w:cs="Times New Roman"/>
        <w:kern w:val="2"/>
        <w:sz w:val="18"/>
        <w:szCs w:val="18"/>
        <w:lang w:val="en-US" w:eastAsia="zh-CN" w:bidi="ar-SA"/>
      </w:rPr>
      <w:t>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181A3">
    <w:pPr>
      <w:pStyle w:val="30"/>
      <w:jc w:val="right"/>
    </w:pPr>
    <w:r>
      <w:rPr>
        <w:rFonts w:hint="eastAsia"/>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15D53">
    <w:pPr>
      <w:pStyle w:val="3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DF772">
    <w:pPr>
      <w:pStyle w:val="30"/>
    </w:pPr>
  </w:p>
  <w:p w14:paraId="04057810"/>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6DA2B">
    <w:pPr>
      <w:pStyle w:val="3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EED29">
    <w:pPr>
      <w:pStyle w:val="30"/>
    </w:pPr>
  </w:p>
  <w:p w14:paraId="64D5157B"/>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8CA98">
    <w:pPr>
      <w:pStyle w:val="3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A1672">
    <w:pPr>
      <w:pStyle w:val="30"/>
      <w:rPr>
        <w:rFonts w:hint="default"/>
        <w:lang w:val="en-US" w:eastAsia="zh-CN"/>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28B46">
    <w:pPr>
      <w:pStyle w:val="3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E68DC">
    <w:pPr>
      <w:pStyle w:val="3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6E2E4">
    <w:pPr>
      <w:pStyle w:val="30"/>
      <w:pBdr>
        <w:bottom w:val="single" w:color="auto" w:sz="4" w:space="1"/>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52DD3">
    <w:pPr>
      <w:pStyle w:val="30"/>
      <w:jc w:val="right"/>
    </w:pPr>
    <w:r>
      <w:rPr>
        <w:rFonts w:hint="eastAsia"/>
      </w:rPr>
      <w:t xml:space="preserve">北京市政府采购项目竞争性磋商文件示范文本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63DC1">
    <w:pPr>
      <w:pStyle w:val="30"/>
      <w:pBdr>
        <w:bottom w:val="single" w:color="auto" w:sz="4" w:space="1"/>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BE8BB">
    <w:pPr>
      <w:pStyle w:val="3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7AEBD">
    <w:pPr>
      <w:pStyle w:val="3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217BE">
    <w:pPr>
      <w:jc w:val="center"/>
      <w:rPr>
        <w:rFonts w:ascii="宋体" w:hAnsi="宋体" w:eastAsia="宋体" w:cs="Times New Roman"/>
        <w:kern w:val="2"/>
        <w:sz w:val="18"/>
        <w:szCs w:val="18"/>
        <w:lang w:val="en-US" w:eastAsia="zh-CN" w:bidi="ar-S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15FF4">
    <w:pPr>
      <w:pStyle w:val="30"/>
      <w:rPr>
        <w:rFonts w:hint="default"/>
        <w:lang w:val="en-US"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7E3C9">
    <w:pPr>
      <w:pStyle w:val="3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60E55E"/>
    <w:multiLevelType w:val="singleLevel"/>
    <w:tmpl w:val="A760E55E"/>
    <w:lvl w:ilvl="0" w:tentative="0">
      <w:start w:val="4"/>
      <w:numFmt w:val="chineseCounting"/>
      <w:suff w:val="space"/>
      <w:lvlText w:val="第%1章"/>
      <w:lvlJc w:val="left"/>
      <w:rPr>
        <w:rFonts w:hint="eastAsia"/>
      </w:rPr>
    </w:lvl>
  </w:abstractNum>
  <w:abstractNum w:abstractNumId="1">
    <w:nsid w:val="B1988DF4"/>
    <w:multiLevelType w:val="singleLevel"/>
    <w:tmpl w:val="B1988DF4"/>
    <w:lvl w:ilvl="0" w:tentative="0">
      <w:start w:val="21"/>
      <w:numFmt w:val="decimal"/>
      <w:suff w:val="space"/>
      <w:lvlText w:val="第%1条"/>
      <w:lvlJc w:val="left"/>
    </w:lvl>
  </w:abstractNum>
  <w:abstractNum w:abstractNumId="2">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3">
    <w:nsid w:val="0000000A"/>
    <w:multiLevelType w:val="multilevel"/>
    <w:tmpl w:val="0000000A"/>
    <w:lvl w:ilvl="0" w:tentative="0">
      <w:start w:val="1"/>
      <w:numFmt w:val="decimal"/>
      <w:pStyle w:val="112"/>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D"/>
    <w:multiLevelType w:val="multilevel"/>
    <w:tmpl w:val="0000000D"/>
    <w:lvl w:ilvl="0" w:tentative="0">
      <w:start w:val="1"/>
      <w:numFmt w:val="lowerLetter"/>
      <w:pStyle w:val="187"/>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5">
    <w:nsid w:val="00000010"/>
    <w:multiLevelType w:val="singleLevel"/>
    <w:tmpl w:val="00000010"/>
    <w:lvl w:ilvl="0" w:tentative="0">
      <w:start w:val="2"/>
      <w:numFmt w:val="decimal"/>
      <w:suff w:val="nothing"/>
      <w:lvlText w:val="%1、"/>
      <w:lvlJc w:val="left"/>
    </w:lvl>
  </w:abstractNum>
  <w:abstractNum w:abstractNumId="6">
    <w:nsid w:val="00000011"/>
    <w:multiLevelType w:val="singleLevel"/>
    <w:tmpl w:val="00000011"/>
    <w:lvl w:ilvl="0" w:tentative="0">
      <w:start w:val="1"/>
      <w:numFmt w:val="lowerLetter"/>
      <w:lvlText w:val="%1."/>
      <w:lvlJc w:val="left"/>
      <w:pPr>
        <w:tabs>
          <w:tab w:val="left" w:pos="312"/>
        </w:tabs>
        <w:ind w:left="951"/>
      </w:pPr>
    </w:lvl>
  </w:abstractNum>
  <w:abstractNum w:abstractNumId="7">
    <w:nsid w:val="00000013"/>
    <w:multiLevelType w:val="singleLevel"/>
    <w:tmpl w:val="00000013"/>
    <w:lvl w:ilvl="0" w:tentative="0">
      <w:start w:val="1"/>
      <w:numFmt w:val="decimal"/>
      <w:pStyle w:val="157"/>
      <w:lvlText w:val="%1."/>
      <w:lvlJc w:val="left"/>
      <w:pPr>
        <w:tabs>
          <w:tab w:val="left" w:pos="360"/>
        </w:tabs>
        <w:ind w:left="360" w:hanging="360"/>
      </w:pPr>
      <w:rPr>
        <w:rFonts w:hint="default"/>
      </w:rPr>
    </w:lvl>
  </w:abstractNum>
  <w:abstractNum w:abstractNumId="8">
    <w:nsid w:val="00000026"/>
    <w:multiLevelType w:val="multilevel"/>
    <w:tmpl w:val="00000026"/>
    <w:lvl w:ilvl="0" w:tentative="0">
      <w:start w:val="1"/>
      <w:numFmt w:val="decimal"/>
      <w:pStyle w:val="106"/>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05"/>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42"/>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41"/>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50"/>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63"/>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26"/>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9">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44"/>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10">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1">
    <w:nsid w:val="0000002F"/>
    <w:multiLevelType w:val="multilevel"/>
    <w:tmpl w:val="0000002F"/>
    <w:lvl w:ilvl="0" w:tentative="0">
      <w:start w:val="1"/>
      <w:numFmt w:val="decimal"/>
      <w:pStyle w:val="111"/>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968922B"/>
    <w:multiLevelType w:val="singleLevel"/>
    <w:tmpl w:val="0968922B"/>
    <w:lvl w:ilvl="0" w:tentative="0">
      <w:start w:val="6"/>
      <w:numFmt w:val="decimal"/>
      <w:lvlText w:val="%1."/>
      <w:lvlJc w:val="left"/>
      <w:pPr>
        <w:tabs>
          <w:tab w:val="left" w:pos="312"/>
        </w:tabs>
      </w:pPr>
    </w:lvl>
  </w:abstractNum>
  <w:abstractNum w:abstractNumId="13">
    <w:nsid w:val="0E230849"/>
    <w:multiLevelType w:val="multilevel"/>
    <w:tmpl w:val="0E230849"/>
    <w:lvl w:ilvl="0" w:tentative="0">
      <w:start w:val="1"/>
      <w:numFmt w:val="decimal"/>
      <w:pStyle w:val="212"/>
      <w:lvlText w:val="%1"/>
      <w:lvlJc w:val="left"/>
      <w:pPr>
        <w:ind w:left="680" w:hanging="680"/>
      </w:pPr>
      <w:rPr>
        <w:rFonts w:hint="eastAsia" w:ascii="宋体" w:hAnsi="宋体" w:eastAsia="宋体"/>
      </w:rPr>
    </w:lvl>
    <w:lvl w:ilvl="1" w:tentative="0">
      <w:start w:val="1"/>
      <w:numFmt w:val="decimal"/>
      <w:pStyle w:val="213"/>
      <w:lvlText w:val="%1.%2"/>
      <w:lvlJc w:val="left"/>
      <w:pPr>
        <w:ind w:left="851" w:hanging="851"/>
      </w:pPr>
      <w:rPr>
        <w:rFonts w:hint="eastAsia" w:ascii="宋体" w:hAnsi="宋体" w:eastAsia="宋体"/>
        <w:color w:val="auto"/>
      </w:rPr>
    </w:lvl>
    <w:lvl w:ilvl="2" w:tentative="0">
      <w:start w:val="1"/>
      <w:numFmt w:val="decimal"/>
      <w:pStyle w:val="214"/>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4">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b w:val="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5">
    <w:nsid w:val="229734FF"/>
    <w:multiLevelType w:val="multilevel"/>
    <w:tmpl w:val="229734FF"/>
    <w:lvl w:ilvl="0" w:tentative="0">
      <w:start w:val="1"/>
      <w:numFmt w:val="decimal"/>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16">
    <w:nsid w:val="2BB4885D"/>
    <w:multiLevelType w:val="singleLevel"/>
    <w:tmpl w:val="2BB4885D"/>
    <w:lvl w:ilvl="0" w:tentative="0">
      <w:start w:val="1"/>
      <w:numFmt w:val="decimal"/>
      <w:suff w:val="nothing"/>
      <w:lvlText w:val="%1."/>
      <w:lvlJc w:val="left"/>
    </w:lvl>
  </w:abstractNum>
  <w:abstractNum w:abstractNumId="17">
    <w:nsid w:val="2CC50D97"/>
    <w:multiLevelType w:val="singleLevel"/>
    <w:tmpl w:val="2CC50D97"/>
    <w:lvl w:ilvl="0" w:tentative="0">
      <w:start w:val="1"/>
      <w:numFmt w:val="decimal"/>
      <w:suff w:val="space"/>
      <w:lvlText w:val="（%1）"/>
      <w:lvlJc w:val="left"/>
    </w:lvl>
  </w:abstractNum>
  <w:abstractNum w:abstractNumId="18">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3AA800C6"/>
    <w:multiLevelType w:val="multilevel"/>
    <w:tmpl w:val="3AA800C6"/>
    <w:lvl w:ilvl="0" w:tentative="0">
      <w:start w:val="1"/>
      <w:numFmt w:val="decimal"/>
      <w:pStyle w:val="258"/>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rPr>
        <w:rFonts w:hint="eastAsia" w:ascii="仿宋_GB2312" w:eastAsia="仿宋_GB2312"/>
      </w:r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20">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21">
    <w:nsid w:val="6348ED34"/>
    <w:multiLevelType w:val="singleLevel"/>
    <w:tmpl w:val="6348ED34"/>
    <w:lvl w:ilvl="0" w:tentative="0">
      <w:start w:val="2"/>
      <w:numFmt w:val="chineseCounting"/>
      <w:suff w:val="nothing"/>
      <w:lvlText w:val="%1、"/>
      <w:lvlJc w:val="left"/>
      <w:rPr>
        <w:rFonts w:hint="eastAsia"/>
      </w:rPr>
    </w:lvl>
  </w:abstractNum>
  <w:abstractNum w:abstractNumId="22">
    <w:nsid w:val="6E87019F"/>
    <w:multiLevelType w:val="multilevel"/>
    <w:tmpl w:val="6E87019F"/>
    <w:lvl w:ilvl="0" w:tentative="0">
      <w:start w:val="1"/>
      <w:numFmt w:val="chineseCountingThousand"/>
      <w:pStyle w:val="256"/>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8"/>
  </w:num>
  <w:num w:numId="2">
    <w:abstractNumId w:val="11"/>
  </w:num>
  <w:num w:numId="3">
    <w:abstractNumId w:val="3"/>
  </w:num>
  <w:num w:numId="4">
    <w:abstractNumId w:val="9"/>
  </w:num>
  <w:num w:numId="5">
    <w:abstractNumId w:val="7"/>
  </w:num>
  <w:num w:numId="6">
    <w:abstractNumId w:val="4"/>
  </w:num>
  <w:num w:numId="7">
    <w:abstractNumId w:val="13"/>
  </w:num>
  <w:num w:numId="8">
    <w:abstractNumId w:val="22"/>
  </w:num>
  <w:num w:numId="9">
    <w:abstractNumId w:val="19"/>
  </w:num>
  <w:num w:numId="10">
    <w:abstractNumId w:val="15"/>
    <w:lvlOverride w:ilvl="0">
      <w:lvl w:ilvl="0" w:tentative="1">
        <w:start w:val="1"/>
        <w:numFmt w:val="decimal"/>
        <w:lvlText w:val="第%1条"/>
        <w:lvlJc w:val="left"/>
        <w:pPr>
          <w:ind w:left="0" w:firstLine="0"/>
        </w:pPr>
      </w:lvl>
    </w:lvlOverride>
    <w:lvlOverride w:ilvl="1">
      <w:lvl w:ilvl="1" w:tentative="1">
        <w:start w:val="1"/>
        <w:numFmt w:val="decimal"/>
        <w:pStyle w:val="259"/>
        <w:lvlText w:val="%1.%2"/>
        <w:lvlJc w:val="left"/>
        <w:pPr>
          <w:ind w:left="1843" w:firstLine="0"/>
        </w:pPr>
      </w:lvl>
    </w:lvlOverride>
    <w:lvlOverride w:ilvl="2">
      <w:lvl w:ilvl="2" w:tentative="1">
        <w:start w:val="1"/>
        <w:numFmt w:val="decimal"/>
        <w:pStyle w:val="260"/>
        <w:lvlText w:val="%1.%2.%3"/>
        <w:lvlJc w:val="left"/>
        <w:pPr>
          <w:ind w:left="2126" w:firstLine="0"/>
        </w:pPr>
      </w:lvl>
    </w:lvlOverride>
    <w:lvlOverride w:ilvl="3">
      <w:lvl w:ilvl="3" w:tentative="1">
        <w:start w:val="1"/>
        <w:numFmt w:val="decimal"/>
        <w:pStyle w:val="261"/>
        <w:lvlText w:val="%1.%2.%3.%4"/>
        <w:lvlJc w:val="left"/>
        <w:pPr>
          <w:ind w:left="710" w:firstLine="0"/>
        </w:pPr>
      </w:lvl>
    </w:lvlOverride>
    <w:lvlOverride w:ilvl="4">
      <w:lvl w:ilvl="4" w:tentative="1">
        <w:start w:val="1"/>
        <w:numFmt w:val="decimal"/>
        <w:lvlText w:val="%1.%2.%3.%4.%5"/>
        <w:lvlJc w:val="left"/>
        <w:pPr>
          <w:ind w:left="0" w:firstLine="0"/>
        </w:pPr>
      </w:lvl>
    </w:lvlOverride>
    <w:lvlOverride w:ilvl="5">
      <w:lvl w:ilvl="5" w:tentative="1">
        <w:start w:val="1"/>
        <w:numFmt w:val="decimal"/>
        <w:lvlText w:val="%1.%2.%3.%4.%5.%6"/>
        <w:lvlJc w:val="left"/>
        <w:pPr>
          <w:ind w:left="0" w:firstLine="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11">
    <w:abstractNumId w:val="15"/>
    <w:lvlOverride w:ilvl="0">
      <w:lvl w:ilvl="0" w:tentative="1">
        <w:start w:val="1"/>
        <w:numFmt w:val="decimal"/>
        <w:lvlText w:val="第%1条"/>
        <w:lvlJc w:val="left"/>
        <w:pPr>
          <w:ind w:left="0" w:firstLine="0"/>
        </w:pPr>
      </w:lvl>
    </w:lvlOverride>
    <w:lvlOverride w:ilvl="1">
      <w:lvl w:ilvl="1" w:tentative="1">
        <w:start w:val="1"/>
        <w:numFmt w:val="decimal"/>
        <w:lvlText w:val="%1.%2"/>
        <w:lvlJc w:val="left"/>
        <w:pPr>
          <w:ind w:left="0" w:firstLine="0"/>
        </w:pPr>
      </w:lvl>
    </w:lvlOverride>
    <w:lvlOverride w:ilvl="2">
      <w:lvl w:ilvl="2" w:tentative="1">
        <w:start w:val="1"/>
        <w:numFmt w:val="decimal"/>
        <w:lvlText w:val="%1.%2.%3"/>
        <w:lvlJc w:val="left"/>
        <w:pPr>
          <w:ind w:left="0" w:firstLine="0"/>
        </w:pPr>
      </w:lvl>
    </w:lvlOverride>
    <w:lvlOverride w:ilvl="3">
      <w:lvl w:ilvl="3" w:tentative="1">
        <w:start w:val="1"/>
        <w:numFmt w:val="decimal"/>
        <w:lvlText w:val="%1.%2.%3.%4"/>
        <w:lvlJc w:val="left"/>
        <w:pPr>
          <w:ind w:left="0" w:firstLine="0"/>
        </w:pPr>
      </w:lvl>
    </w:lvlOverride>
    <w:lvlOverride w:ilvl="4">
      <w:lvl w:ilvl="4" w:tentative="1">
        <w:start w:val="1"/>
        <w:numFmt w:val="decimal"/>
        <w:pStyle w:val="262"/>
        <w:lvlText w:val="(%5)"/>
        <w:lvlJc w:val="left"/>
        <w:pPr>
          <w:ind w:left="310" w:firstLine="400"/>
        </w:pPr>
      </w:lvl>
    </w:lvlOverride>
    <w:lvlOverride w:ilvl="5">
      <w:lvl w:ilvl="5" w:tentative="1">
        <w:start w:val="1"/>
        <w:numFmt w:val="decimal"/>
        <w:lvlText w:val="%6)"/>
        <w:lvlJc w:val="left"/>
        <w:pPr>
          <w:ind w:left="0" w:firstLine="48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12">
    <w:abstractNumId w:val="12"/>
  </w:num>
  <w:num w:numId="13">
    <w:abstractNumId w:val="10"/>
  </w:num>
  <w:num w:numId="14">
    <w:abstractNumId w:val="2"/>
  </w:num>
  <w:num w:numId="15">
    <w:abstractNumId w:val="14"/>
  </w:num>
  <w:num w:numId="16">
    <w:abstractNumId w:val="21"/>
  </w:num>
  <w:num w:numId="17">
    <w:abstractNumId w:val="0"/>
  </w:num>
  <w:num w:numId="18">
    <w:abstractNumId w:val="6"/>
  </w:num>
  <w:num w:numId="19">
    <w:abstractNumId w:val="5"/>
  </w:num>
  <w:num w:numId="20">
    <w:abstractNumId w:val="17"/>
  </w:num>
  <w:num w:numId="21">
    <w:abstractNumId w:val="1"/>
  </w:num>
  <w:num w:numId="22">
    <w:abstractNumId w:val="18"/>
  </w:num>
  <w:num w:numId="23">
    <w:abstractNumId w:val="16"/>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YmY4ZWU1YTAzODE2YmYzM2YyNzcxMmM2ODgyNDU0ODA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0CF"/>
    <w:rsid w:val="00001711"/>
    <w:rsid w:val="00001895"/>
    <w:rsid w:val="00001948"/>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21"/>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993"/>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7"/>
    <w:rsid w:val="0004611A"/>
    <w:rsid w:val="000461DC"/>
    <w:rsid w:val="00046309"/>
    <w:rsid w:val="0004639F"/>
    <w:rsid w:val="00046737"/>
    <w:rsid w:val="0004680B"/>
    <w:rsid w:val="00046872"/>
    <w:rsid w:val="00046939"/>
    <w:rsid w:val="00046963"/>
    <w:rsid w:val="00046C5C"/>
    <w:rsid w:val="000470D5"/>
    <w:rsid w:val="00047207"/>
    <w:rsid w:val="00047479"/>
    <w:rsid w:val="000476F9"/>
    <w:rsid w:val="00047889"/>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9CC"/>
    <w:rsid w:val="00053AC5"/>
    <w:rsid w:val="00053B80"/>
    <w:rsid w:val="00054265"/>
    <w:rsid w:val="0005434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741"/>
    <w:rsid w:val="00063AB9"/>
    <w:rsid w:val="00063C49"/>
    <w:rsid w:val="000640A5"/>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80"/>
    <w:rsid w:val="00074786"/>
    <w:rsid w:val="00074C28"/>
    <w:rsid w:val="00074FC7"/>
    <w:rsid w:val="000752FF"/>
    <w:rsid w:val="000756AC"/>
    <w:rsid w:val="00075879"/>
    <w:rsid w:val="00075941"/>
    <w:rsid w:val="00075AFF"/>
    <w:rsid w:val="00075BC6"/>
    <w:rsid w:val="00075C77"/>
    <w:rsid w:val="00076259"/>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030"/>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EB"/>
    <w:rsid w:val="000A34BA"/>
    <w:rsid w:val="000A34F3"/>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513"/>
    <w:rsid w:val="000B15B4"/>
    <w:rsid w:val="000B1772"/>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0D9E"/>
    <w:rsid w:val="000C1275"/>
    <w:rsid w:val="000C15B8"/>
    <w:rsid w:val="000C1698"/>
    <w:rsid w:val="000C1890"/>
    <w:rsid w:val="000C196B"/>
    <w:rsid w:val="000C1B49"/>
    <w:rsid w:val="000C1E46"/>
    <w:rsid w:val="000C1F62"/>
    <w:rsid w:val="000C206A"/>
    <w:rsid w:val="000C2090"/>
    <w:rsid w:val="000C2095"/>
    <w:rsid w:val="000C210C"/>
    <w:rsid w:val="000C219A"/>
    <w:rsid w:val="000C24A8"/>
    <w:rsid w:val="000C2612"/>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DD"/>
    <w:rsid w:val="000C7E46"/>
    <w:rsid w:val="000C7EAD"/>
    <w:rsid w:val="000D02EB"/>
    <w:rsid w:val="000D0723"/>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1C0"/>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60DC"/>
    <w:rsid w:val="000E62CE"/>
    <w:rsid w:val="000E62D4"/>
    <w:rsid w:val="000E62F5"/>
    <w:rsid w:val="000E6382"/>
    <w:rsid w:val="000E6393"/>
    <w:rsid w:val="000E678B"/>
    <w:rsid w:val="000E6A44"/>
    <w:rsid w:val="000E6EA3"/>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6E"/>
    <w:rsid w:val="00100CF1"/>
    <w:rsid w:val="00100EF3"/>
    <w:rsid w:val="00100FA0"/>
    <w:rsid w:val="001011B1"/>
    <w:rsid w:val="00101254"/>
    <w:rsid w:val="0010166A"/>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C06"/>
    <w:rsid w:val="001140D4"/>
    <w:rsid w:val="001141CF"/>
    <w:rsid w:val="00114447"/>
    <w:rsid w:val="001146A0"/>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76"/>
    <w:rsid w:val="00142EA5"/>
    <w:rsid w:val="00142F2B"/>
    <w:rsid w:val="00143045"/>
    <w:rsid w:val="001436C2"/>
    <w:rsid w:val="001436DC"/>
    <w:rsid w:val="00143844"/>
    <w:rsid w:val="00143A06"/>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05"/>
    <w:rsid w:val="0014676D"/>
    <w:rsid w:val="00146782"/>
    <w:rsid w:val="00146993"/>
    <w:rsid w:val="00146C9F"/>
    <w:rsid w:val="00146CFB"/>
    <w:rsid w:val="00146F6C"/>
    <w:rsid w:val="00146FDE"/>
    <w:rsid w:val="00147261"/>
    <w:rsid w:val="00147382"/>
    <w:rsid w:val="001473A6"/>
    <w:rsid w:val="001473C3"/>
    <w:rsid w:val="00147723"/>
    <w:rsid w:val="00147A05"/>
    <w:rsid w:val="00147FCF"/>
    <w:rsid w:val="00147FEA"/>
    <w:rsid w:val="001501D5"/>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EA"/>
    <w:rsid w:val="001547F6"/>
    <w:rsid w:val="00154E2A"/>
    <w:rsid w:val="00154E60"/>
    <w:rsid w:val="00155202"/>
    <w:rsid w:val="0015538F"/>
    <w:rsid w:val="00155434"/>
    <w:rsid w:val="00155982"/>
    <w:rsid w:val="001564FC"/>
    <w:rsid w:val="00156D28"/>
    <w:rsid w:val="00156D64"/>
    <w:rsid w:val="00156EF9"/>
    <w:rsid w:val="001570D9"/>
    <w:rsid w:val="00157375"/>
    <w:rsid w:val="00157500"/>
    <w:rsid w:val="00157721"/>
    <w:rsid w:val="00157952"/>
    <w:rsid w:val="00157A47"/>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0B0"/>
    <w:rsid w:val="001655BB"/>
    <w:rsid w:val="001657CC"/>
    <w:rsid w:val="00165B61"/>
    <w:rsid w:val="00165F07"/>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427"/>
    <w:rsid w:val="001954DF"/>
    <w:rsid w:val="00195515"/>
    <w:rsid w:val="0019580B"/>
    <w:rsid w:val="001958C9"/>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AC"/>
    <w:rsid w:val="001A390C"/>
    <w:rsid w:val="001A3985"/>
    <w:rsid w:val="001A399C"/>
    <w:rsid w:val="001A3B4D"/>
    <w:rsid w:val="001A3B6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8F9"/>
    <w:rsid w:val="001B2A06"/>
    <w:rsid w:val="001B2D3E"/>
    <w:rsid w:val="001B2EB9"/>
    <w:rsid w:val="001B2FD0"/>
    <w:rsid w:val="001B302C"/>
    <w:rsid w:val="001B30FE"/>
    <w:rsid w:val="001B3159"/>
    <w:rsid w:val="001B3793"/>
    <w:rsid w:val="001B38ED"/>
    <w:rsid w:val="001B39CE"/>
    <w:rsid w:val="001B39DF"/>
    <w:rsid w:val="001B3B2F"/>
    <w:rsid w:val="001B3B98"/>
    <w:rsid w:val="001B3BBA"/>
    <w:rsid w:val="001B3EF9"/>
    <w:rsid w:val="001B40F1"/>
    <w:rsid w:val="001B43B1"/>
    <w:rsid w:val="001B4499"/>
    <w:rsid w:val="001B47AF"/>
    <w:rsid w:val="001B49F0"/>
    <w:rsid w:val="001B504D"/>
    <w:rsid w:val="001B5307"/>
    <w:rsid w:val="001B53EE"/>
    <w:rsid w:val="001B56F4"/>
    <w:rsid w:val="001B5918"/>
    <w:rsid w:val="001B5BA3"/>
    <w:rsid w:val="001B5CD4"/>
    <w:rsid w:val="001B64C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21A"/>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D30"/>
    <w:rsid w:val="001D309E"/>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13"/>
    <w:rsid w:val="001D55D6"/>
    <w:rsid w:val="001D5897"/>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126A"/>
    <w:rsid w:val="001F137C"/>
    <w:rsid w:val="001F17AB"/>
    <w:rsid w:val="001F1B18"/>
    <w:rsid w:val="001F1D26"/>
    <w:rsid w:val="001F1E70"/>
    <w:rsid w:val="001F2402"/>
    <w:rsid w:val="001F28AA"/>
    <w:rsid w:val="001F2AB7"/>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5191"/>
    <w:rsid w:val="001F5251"/>
    <w:rsid w:val="001F52D4"/>
    <w:rsid w:val="001F5318"/>
    <w:rsid w:val="001F536F"/>
    <w:rsid w:val="001F5482"/>
    <w:rsid w:val="001F5484"/>
    <w:rsid w:val="001F584C"/>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E82"/>
    <w:rsid w:val="00221EA7"/>
    <w:rsid w:val="00222202"/>
    <w:rsid w:val="00222614"/>
    <w:rsid w:val="00222706"/>
    <w:rsid w:val="00222A23"/>
    <w:rsid w:val="00222B6A"/>
    <w:rsid w:val="00222B97"/>
    <w:rsid w:val="00222CE5"/>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95E"/>
    <w:rsid w:val="00232AC0"/>
    <w:rsid w:val="00232EAF"/>
    <w:rsid w:val="0023302F"/>
    <w:rsid w:val="002332CE"/>
    <w:rsid w:val="00233389"/>
    <w:rsid w:val="002334AF"/>
    <w:rsid w:val="002335F7"/>
    <w:rsid w:val="0023385B"/>
    <w:rsid w:val="002339B5"/>
    <w:rsid w:val="00233BE4"/>
    <w:rsid w:val="00233CFD"/>
    <w:rsid w:val="00233DA6"/>
    <w:rsid w:val="00234295"/>
    <w:rsid w:val="00234AA6"/>
    <w:rsid w:val="00234AED"/>
    <w:rsid w:val="00234B77"/>
    <w:rsid w:val="00234BF1"/>
    <w:rsid w:val="002351F1"/>
    <w:rsid w:val="00235450"/>
    <w:rsid w:val="002355E5"/>
    <w:rsid w:val="00235640"/>
    <w:rsid w:val="00235BDF"/>
    <w:rsid w:val="00235BEE"/>
    <w:rsid w:val="00235DA2"/>
    <w:rsid w:val="00235FCF"/>
    <w:rsid w:val="00236642"/>
    <w:rsid w:val="00236765"/>
    <w:rsid w:val="00236AC5"/>
    <w:rsid w:val="00236BA3"/>
    <w:rsid w:val="00236C96"/>
    <w:rsid w:val="00237125"/>
    <w:rsid w:val="002371F0"/>
    <w:rsid w:val="00237712"/>
    <w:rsid w:val="00237B33"/>
    <w:rsid w:val="00237C8B"/>
    <w:rsid w:val="00237DF5"/>
    <w:rsid w:val="00237E9C"/>
    <w:rsid w:val="00240071"/>
    <w:rsid w:val="00240426"/>
    <w:rsid w:val="00240561"/>
    <w:rsid w:val="00240852"/>
    <w:rsid w:val="00240AC8"/>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60FE"/>
    <w:rsid w:val="00246133"/>
    <w:rsid w:val="0024623F"/>
    <w:rsid w:val="00246812"/>
    <w:rsid w:val="002469F5"/>
    <w:rsid w:val="00246BC6"/>
    <w:rsid w:val="00246C6D"/>
    <w:rsid w:val="00246D51"/>
    <w:rsid w:val="00246E3E"/>
    <w:rsid w:val="00246FBC"/>
    <w:rsid w:val="0024701C"/>
    <w:rsid w:val="0024706D"/>
    <w:rsid w:val="00247A52"/>
    <w:rsid w:val="00247C47"/>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FE"/>
    <w:rsid w:val="002527A2"/>
    <w:rsid w:val="002527B3"/>
    <w:rsid w:val="0025298E"/>
    <w:rsid w:val="00252DF4"/>
    <w:rsid w:val="00252E4C"/>
    <w:rsid w:val="00252F1B"/>
    <w:rsid w:val="00252F1D"/>
    <w:rsid w:val="002531AA"/>
    <w:rsid w:val="0025371C"/>
    <w:rsid w:val="0025374F"/>
    <w:rsid w:val="00253AA7"/>
    <w:rsid w:val="00253CA5"/>
    <w:rsid w:val="00253F9B"/>
    <w:rsid w:val="002540B5"/>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BBD"/>
    <w:rsid w:val="00257EAF"/>
    <w:rsid w:val="00257EC6"/>
    <w:rsid w:val="00257ED6"/>
    <w:rsid w:val="002601B4"/>
    <w:rsid w:val="00260201"/>
    <w:rsid w:val="0026037B"/>
    <w:rsid w:val="002604FD"/>
    <w:rsid w:val="002605E4"/>
    <w:rsid w:val="00260C7F"/>
    <w:rsid w:val="00260CD6"/>
    <w:rsid w:val="0026110D"/>
    <w:rsid w:val="002615F1"/>
    <w:rsid w:val="00261A56"/>
    <w:rsid w:val="00261B80"/>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9A3"/>
    <w:rsid w:val="00276AEA"/>
    <w:rsid w:val="00276B43"/>
    <w:rsid w:val="00276B8D"/>
    <w:rsid w:val="00276DA3"/>
    <w:rsid w:val="00276E70"/>
    <w:rsid w:val="00277058"/>
    <w:rsid w:val="0027711C"/>
    <w:rsid w:val="00277147"/>
    <w:rsid w:val="002771C6"/>
    <w:rsid w:val="002772BA"/>
    <w:rsid w:val="00277401"/>
    <w:rsid w:val="0027742A"/>
    <w:rsid w:val="002775CA"/>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F4A"/>
    <w:rsid w:val="00283031"/>
    <w:rsid w:val="002832A6"/>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359"/>
    <w:rsid w:val="002923D5"/>
    <w:rsid w:val="00292ACA"/>
    <w:rsid w:val="00292C09"/>
    <w:rsid w:val="00292D49"/>
    <w:rsid w:val="00292E74"/>
    <w:rsid w:val="00293012"/>
    <w:rsid w:val="00293497"/>
    <w:rsid w:val="00293919"/>
    <w:rsid w:val="002939AF"/>
    <w:rsid w:val="00293BA4"/>
    <w:rsid w:val="00293BCF"/>
    <w:rsid w:val="00293D57"/>
    <w:rsid w:val="00293F96"/>
    <w:rsid w:val="0029467E"/>
    <w:rsid w:val="00294B02"/>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847"/>
    <w:rsid w:val="002A4DA4"/>
    <w:rsid w:val="002A524C"/>
    <w:rsid w:val="002A5749"/>
    <w:rsid w:val="002A5B18"/>
    <w:rsid w:val="002A5D23"/>
    <w:rsid w:val="002A5D36"/>
    <w:rsid w:val="002A5EC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AE7"/>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B"/>
    <w:rsid w:val="002E3DDA"/>
    <w:rsid w:val="002E421F"/>
    <w:rsid w:val="002E4257"/>
    <w:rsid w:val="002E4721"/>
    <w:rsid w:val="002E4723"/>
    <w:rsid w:val="002E4E06"/>
    <w:rsid w:val="002E4F75"/>
    <w:rsid w:val="002E51A3"/>
    <w:rsid w:val="002E54A1"/>
    <w:rsid w:val="002E5586"/>
    <w:rsid w:val="002E5875"/>
    <w:rsid w:val="002E58BE"/>
    <w:rsid w:val="002E59B7"/>
    <w:rsid w:val="002E6163"/>
    <w:rsid w:val="002E61AA"/>
    <w:rsid w:val="002E622F"/>
    <w:rsid w:val="002E62DD"/>
    <w:rsid w:val="002E6383"/>
    <w:rsid w:val="002E6675"/>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13D7"/>
    <w:rsid w:val="003114A8"/>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40A8"/>
    <w:rsid w:val="003141FD"/>
    <w:rsid w:val="00314235"/>
    <w:rsid w:val="00314291"/>
    <w:rsid w:val="0031494D"/>
    <w:rsid w:val="0031495F"/>
    <w:rsid w:val="00314AAF"/>
    <w:rsid w:val="00314D15"/>
    <w:rsid w:val="00314D31"/>
    <w:rsid w:val="00315055"/>
    <w:rsid w:val="0031524C"/>
    <w:rsid w:val="003152F2"/>
    <w:rsid w:val="0031572F"/>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E72"/>
    <w:rsid w:val="003213AC"/>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16A"/>
    <w:rsid w:val="003301B9"/>
    <w:rsid w:val="003301C3"/>
    <w:rsid w:val="00330B18"/>
    <w:rsid w:val="00330D71"/>
    <w:rsid w:val="003315DC"/>
    <w:rsid w:val="00331758"/>
    <w:rsid w:val="00331C1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79B"/>
    <w:rsid w:val="00341A17"/>
    <w:rsid w:val="00341A8B"/>
    <w:rsid w:val="00341CFB"/>
    <w:rsid w:val="00341E81"/>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51F"/>
    <w:rsid w:val="00362BEA"/>
    <w:rsid w:val="00362D7C"/>
    <w:rsid w:val="00362DBD"/>
    <w:rsid w:val="00362F4E"/>
    <w:rsid w:val="00362F81"/>
    <w:rsid w:val="0036303C"/>
    <w:rsid w:val="00363098"/>
    <w:rsid w:val="0036320F"/>
    <w:rsid w:val="00363307"/>
    <w:rsid w:val="0036371D"/>
    <w:rsid w:val="00363886"/>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CB"/>
    <w:rsid w:val="0037249A"/>
    <w:rsid w:val="003725BC"/>
    <w:rsid w:val="003729BC"/>
    <w:rsid w:val="00372A01"/>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0DC8"/>
    <w:rsid w:val="0038130C"/>
    <w:rsid w:val="003818E3"/>
    <w:rsid w:val="00381AF0"/>
    <w:rsid w:val="00381F0C"/>
    <w:rsid w:val="00382135"/>
    <w:rsid w:val="003822BF"/>
    <w:rsid w:val="003823AA"/>
    <w:rsid w:val="0038240E"/>
    <w:rsid w:val="00382746"/>
    <w:rsid w:val="003827DA"/>
    <w:rsid w:val="0038296E"/>
    <w:rsid w:val="003829B4"/>
    <w:rsid w:val="00382B44"/>
    <w:rsid w:val="00382C3E"/>
    <w:rsid w:val="00382C85"/>
    <w:rsid w:val="00382E18"/>
    <w:rsid w:val="00382F72"/>
    <w:rsid w:val="003834F9"/>
    <w:rsid w:val="0038369C"/>
    <w:rsid w:val="00383D1B"/>
    <w:rsid w:val="00383D65"/>
    <w:rsid w:val="00383D69"/>
    <w:rsid w:val="00383E08"/>
    <w:rsid w:val="00384368"/>
    <w:rsid w:val="003844D1"/>
    <w:rsid w:val="00384595"/>
    <w:rsid w:val="00384959"/>
    <w:rsid w:val="00384B20"/>
    <w:rsid w:val="00384BD4"/>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FB"/>
    <w:rsid w:val="003A03C1"/>
    <w:rsid w:val="003A0486"/>
    <w:rsid w:val="003A057E"/>
    <w:rsid w:val="003A067E"/>
    <w:rsid w:val="003A0AB9"/>
    <w:rsid w:val="003A0AD7"/>
    <w:rsid w:val="003A0D5B"/>
    <w:rsid w:val="003A0EF0"/>
    <w:rsid w:val="003A0FFF"/>
    <w:rsid w:val="003A10D5"/>
    <w:rsid w:val="003A1113"/>
    <w:rsid w:val="003A1194"/>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CF2"/>
    <w:rsid w:val="003B2F25"/>
    <w:rsid w:val="003B3002"/>
    <w:rsid w:val="003B30AB"/>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233"/>
    <w:rsid w:val="003C43A6"/>
    <w:rsid w:val="003C43D1"/>
    <w:rsid w:val="003C4515"/>
    <w:rsid w:val="003C4840"/>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DEC"/>
    <w:rsid w:val="003D5FE3"/>
    <w:rsid w:val="003D63C0"/>
    <w:rsid w:val="003D6498"/>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AC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548"/>
    <w:rsid w:val="00412715"/>
    <w:rsid w:val="00412768"/>
    <w:rsid w:val="00412CAE"/>
    <w:rsid w:val="0041333F"/>
    <w:rsid w:val="00413352"/>
    <w:rsid w:val="0041350D"/>
    <w:rsid w:val="00413546"/>
    <w:rsid w:val="00413562"/>
    <w:rsid w:val="004137C5"/>
    <w:rsid w:val="00413AD8"/>
    <w:rsid w:val="00413CEA"/>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8B4"/>
    <w:rsid w:val="00417A97"/>
    <w:rsid w:val="00417CB1"/>
    <w:rsid w:val="00417E6C"/>
    <w:rsid w:val="00417F67"/>
    <w:rsid w:val="004201A9"/>
    <w:rsid w:val="00420342"/>
    <w:rsid w:val="0042035E"/>
    <w:rsid w:val="0042059F"/>
    <w:rsid w:val="0042075F"/>
    <w:rsid w:val="00420950"/>
    <w:rsid w:val="00420A3C"/>
    <w:rsid w:val="00420A7F"/>
    <w:rsid w:val="00420C49"/>
    <w:rsid w:val="00420DA9"/>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E2"/>
    <w:rsid w:val="004241FD"/>
    <w:rsid w:val="004244C4"/>
    <w:rsid w:val="00424855"/>
    <w:rsid w:val="00424975"/>
    <w:rsid w:val="00424A5B"/>
    <w:rsid w:val="00424BC4"/>
    <w:rsid w:val="00424E92"/>
    <w:rsid w:val="004250B7"/>
    <w:rsid w:val="0042512C"/>
    <w:rsid w:val="00425318"/>
    <w:rsid w:val="00425693"/>
    <w:rsid w:val="004257F4"/>
    <w:rsid w:val="00425A07"/>
    <w:rsid w:val="00425A93"/>
    <w:rsid w:val="00425AF3"/>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4B0"/>
    <w:rsid w:val="004365B7"/>
    <w:rsid w:val="0043666B"/>
    <w:rsid w:val="004369BA"/>
    <w:rsid w:val="00436B53"/>
    <w:rsid w:val="00436BFB"/>
    <w:rsid w:val="00437070"/>
    <w:rsid w:val="004370F8"/>
    <w:rsid w:val="004376DC"/>
    <w:rsid w:val="0043770F"/>
    <w:rsid w:val="0043793E"/>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636"/>
    <w:rsid w:val="0044365F"/>
    <w:rsid w:val="0044383B"/>
    <w:rsid w:val="00443B3F"/>
    <w:rsid w:val="00443B9B"/>
    <w:rsid w:val="00443BD1"/>
    <w:rsid w:val="0044440B"/>
    <w:rsid w:val="0044472F"/>
    <w:rsid w:val="00444783"/>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E7C"/>
    <w:rsid w:val="00463F8B"/>
    <w:rsid w:val="00463F8F"/>
    <w:rsid w:val="00463FFE"/>
    <w:rsid w:val="004640D7"/>
    <w:rsid w:val="0046415A"/>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47F"/>
    <w:rsid w:val="00476816"/>
    <w:rsid w:val="00476822"/>
    <w:rsid w:val="004768A1"/>
    <w:rsid w:val="004769D3"/>
    <w:rsid w:val="004769D5"/>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1DB"/>
    <w:rsid w:val="00493278"/>
    <w:rsid w:val="0049334B"/>
    <w:rsid w:val="004933AD"/>
    <w:rsid w:val="004936C0"/>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86A"/>
    <w:rsid w:val="004A78F8"/>
    <w:rsid w:val="004B00A9"/>
    <w:rsid w:val="004B0420"/>
    <w:rsid w:val="004B0461"/>
    <w:rsid w:val="004B0495"/>
    <w:rsid w:val="004B0575"/>
    <w:rsid w:val="004B07E2"/>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50E"/>
    <w:rsid w:val="004B3630"/>
    <w:rsid w:val="004B39DB"/>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211"/>
    <w:rsid w:val="004C72E1"/>
    <w:rsid w:val="004C7D3A"/>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D9"/>
    <w:rsid w:val="005104C5"/>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9B6"/>
    <w:rsid w:val="00516B04"/>
    <w:rsid w:val="00516F93"/>
    <w:rsid w:val="00517139"/>
    <w:rsid w:val="0051713F"/>
    <w:rsid w:val="00517299"/>
    <w:rsid w:val="00517441"/>
    <w:rsid w:val="005176F7"/>
    <w:rsid w:val="005177DB"/>
    <w:rsid w:val="00517871"/>
    <w:rsid w:val="005178F0"/>
    <w:rsid w:val="00517A3D"/>
    <w:rsid w:val="00517A74"/>
    <w:rsid w:val="00517EE4"/>
    <w:rsid w:val="00517F52"/>
    <w:rsid w:val="0052017B"/>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707"/>
    <w:rsid w:val="00570896"/>
    <w:rsid w:val="005708B3"/>
    <w:rsid w:val="00571152"/>
    <w:rsid w:val="005715E8"/>
    <w:rsid w:val="005717D2"/>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6B"/>
    <w:rsid w:val="00574C88"/>
    <w:rsid w:val="00574F21"/>
    <w:rsid w:val="00575315"/>
    <w:rsid w:val="00575378"/>
    <w:rsid w:val="00575506"/>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61D"/>
    <w:rsid w:val="005839EF"/>
    <w:rsid w:val="00583E24"/>
    <w:rsid w:val="00584267"/>
    <w:rsid w:val="00584368"/>
    <w:rsid w:val="005845B8"/>
    <w:rsid w:val="005845EF"/>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05A"/>
    <w:rsid w:val="00594208"/>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F44"/>
    <w:rsid w:val="005A2F45"/>
    <w:rsid w:val="005A2F85"/>
    <w:rsid w:val="005A307E"/>
    <w:rsid w:val="005A30B5"/>
    <w:rsid w:val="005A36BC"/>
    <w:rsid w:val="005A37E5"/>
    <w:rsid w:val="005A3933"/>
    <w:rsid w:val="005A3B89"/>
    <w:rsid w:val="005A3DBA"/>
    <w:rsid w:val="005A3EAD"/>
    <w:rsid w:val="005A3EC6"/>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0E7"/>
    <w:rsid w:val="005B02E6"/>
    <w:rsid w:val="005B03D8"/>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7074"/>
    <w:rsid w:val="005B71B7"/>
    <w:rsid w:val="005B7328"/>
    <w:rsid w:val="005B752A"/>
    <w:rsid w:val="005B752E"/>
    <w:rsid w:val="005B7BBC"/>
    <w:rsid w:val="005C0398"/>
    <w:rsid w:val="005C04CD"/>
    <w:rsid w:val="005C0C8D"/>
    <w:rsid w:val="005C0D6F"/>
    <w:rsid w:val="005C0E2C"/>
    <w:rsid w:val="005C0F0C"/>
    <w:rsid w:val="005C11B0"/>
    <w:rsid w:val="005C129A"/>
    <w:rsid w:val="005C17B9"/>
    <w:rsid w:val="005C1913"/>
    <w:rsid w:val="005C1B09"/>
    <w:rsid w:val="005C1E5C"/>
    <w:rsid w:val="005C1E93"/>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117"/>
    <w:rsid w:val="005D7261"/>
    <w:rsid w:val="005D72C9"/>
    <w:rsid w:val="005D770B"/>
    <w:rsid w:val="005D7A07"/>
    <w:rsid w:val="005D7C2A"/>
    <w:rsid w:val="005D7CC7"/>
    <w:rsid w:val="005D7DA9"/>
    <w:rsid w:val="005D7DAC"/>
    <w:rsid w:val="005E00A6"/>
    <w:rsid w:val="005E019B"/>
    <w:rsid w:val="005E0B26"/>
    <w:rsid w:val="005E1590"/>
    <w:rsid w:val="005E1749"/>
    <w:rsid w:val="005E1848"/>
    <w:rsid w:val="005E1921"/>
    <w:rsid w:val="005E1C8A"/>
    <w:rsid w:val="005E1DA5"/>
    <w:rsid w:val="005E202B"/>
    <w:rsid w:val="005E222A"/>
    <w:rsid w:val="005E23B5"/>
    <w:rsid w:val="005E23E1"/>
    <w:rsid w:val="005E291A"/>
    <w:rsid w:val="005E2B37"/>
    <w:rsid w:val="005E33C3"/>
    <w:rsid w:val="005E3679"/>
    <w:rsid w:val="005E38EB"/>
    <w:rsid w:val="005E3A8C"/>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D4"/>
    <w:rsid w:val="005F699D"/>
    <w:rsid w:val="005F6C2C"/>
    <w:rsid w:val="005F6E40"/>
    <w:rsid w:val="005F6EFA"/>
    <w:rsid w:val="005F7011"/>
    <w:rsid w:val="005F70F0"/>
    <w:rsid w:val="005F71A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74C4"/>
    <w:rsid w:val="00617613"/>
    <w:rsid w:val="0061776F"/>
    <w:rsid w:val="00617B36"/>
    <w:rsid w:val="00620093"/>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114"/>
    <w:rsid w:val="00623180"/>
    <w:rsid w:val="0062330E"/>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78B"/>
    <w:rsid w:val="006448CC"/>
    <w:rsid w:val="00644CBB"/>
    <w:rsid w:val="00644D6E"/>
    <w:rsid w:val="00644EBD"/>
    <w:rsid w:val="00645218"/>
    <w:rsid w:val="0064573F"/>
    <w:rsid w:val="00645AE4"/>
    <w:rsid w:val="006463DB"/>
    <w:rsid w:val="006464DA"/>
    <w:rsid w:val="006465F8"/>
    <w:rsid w:val="0064695D"/>
    <w:rsid w:val="00646A70"/>
    <w:rsid w:val="00646C62"/>
    <w:rsid w:val="00646DDB"/>
    <w:rsid w:val="00646DFA"/>
    <w:rsid w:val="00646E0D"/>
    <w:rsid w:val="00646F0D"/>
    <w:rsid w:val="00646F40"/>
    <w:rsid w:val="0064725E"/>
    <w:rsid w:val="0064736E"/>
    <w:rsid w:val="006473D3"/>
    <w:rsid w:val="00647402"/>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B0F"/>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25D"/>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DA"/>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4FD1"/>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548"/>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9B4"/>
    <w:rsid w:val="006D2A8E"/>
    <w:rsid w:val="006D2B4E"/>
    <w:rsid w:val="006D2EF2"/>
    <w:rsid w:val="006D3042"/>
    <w:rsid w:val="006D30DF"/>
    <w:rsid w:val="006D342A"/>
    <w:rsid w:val="006D34DF"/>
    <w:rsid w:val="006D38A7"/>
    <w:rsid w:val="006D3A97"/>
    <w:rsid w:val="006D3B23"/>
    <w:rsid w:val="006D3BF5"/>
    <w:rsid w:val="006D3CA6"/>
    <w:rsid w:val="006D42C5"/>
    <w:rsid w:val="006D455A"/>
    <w:rsid w:val="006D4588"/>
    <w:rsid w:val="006D476E"/>
    <w:rsid w:val="006D4A83"/>
    <w:rsid w:val="006D4DD2"/>
    <w:rsid w:val="006D4E72"/>
    <w:rsid w:val="006D4E86"/>
    <w:rsid w:val="006D5150"/>
    <w:rsid w:val="006D5889"/>
    <w:rsid w:val="006D5DE2"/>
    <w:rsid w:val="006D5EB1"/>
    <w:rsid w:val="006D6063"/>
    <w:rsid w:val="006D60F1"/>
    <w:rsid w:val="006D6246"/>
    <w:rsid w:val="006D6267"/>
    <w:rsid w:val="006D62A6"/>
    <w:rsid w:val="006D659B"/>
    <w:rsid w:val="006D688A"/>
    <w:rsid w:val="006D68CD"/>
    <w:rsid w:val="006D697D"/>
    <w:rsid w:val="006D6AEF"/>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D7C8A"/>
    <w:rsid w:val="006D7E46"/>
    <w:rsid w:val="006E0388"/>
    <w:rsid w:val="006E03F6"/>
    <w:rsid w:val="006E0413"/>
    <w:rsid w:val="006E056A"/>
    <w:rsid w:val="006E05F2"/>
    <w:rsid w:val="006E080B"/>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A67"/>
    <w:rsid w:val="00703B32"/>
    <w:rsid w:val="00703C88"/>
    <w:rsid w:val="00703D1C"/>
    <w:rsid w:val="00703FA5"/>
    <w:rsid w:val="00704004"/>
    <w:rsid w:val="007040DA"/>
    <w:rsid w:val="00704330"/>
    <w:rsid w:val="0070435F"/>
    <w:rsid w:val="00704407"/>
    <w:rsid w:val="007049F8"/>
    <w:rsid w:val="00704A5A"/>
    <w:rsid w:val="00704D75"/>
    <w:rsid w:val="00704FDF"/>
    <w:rsid w:val="007052A4"/>
    <w:rsid w:val="0070538F"/>
    <w:rsid w:val="00705549"/>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139"/>
    <w:rsid w:val="007123E6"/>
    <w:rsid w:val="00712646"/>
    <w:rsid w:val="0071286D"/>
    <w:rsid w:val="00712958"/>
    <w:rsid w:val="00712B26"/>
    <w:rsid w:val="00712C92"/>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725"/>
    <w:rsid w:val="00721779"/>
    <w:rsid w:val="00721C43"/>
    <w:rsid w:val="00721C65"/>
    <w:rsid w:val="0072231C"/>
    <w:rsid w:val="0072236A"/>
    <w:rsid w:val="00722838"/>
    <w:rsid w:val="00722864"/>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C3C"/>
    <w:rsid w:val="00731D06"/>
    <w:rsid w:val="00731D9B"/>
    <w:rsid w:val="00731EF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6E9"/>
    <w:rsid w:val="0074088B"/>
    <w:rsid w:val="00740A2B"/>
    <w:rsid w:val="00740A8B"/>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A77"/>
    <w:rsid w:val="00753AC1"/>
    <w:rsid w:val="00753B72"/>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57AF7"/>
    <w:rsid w:val="00760008"/>
    <w:rsid w:val="007600FB"/>
    <w:rsid w:val="00760258"/>
    <w:rsid w:val="007602C9"/>
    <w:rsid w:val="00760816"/>
    <w:rsid w:val="00760C0D"/>
    <w:rsid w:val="00760FB1"/>
    <w:rsid w:val="0076128B"/>
    <w:rsid w:val="007612CA"/>
    <w:rsid w:val="00761924"/>
    <w:rsid w:val="00761A15"/>
    <w:rsid w:val="00761A4D"/>
    <w:rsid w:val="00761ADD"/>
    <w:rsid w:val="00761DFA"/>
    <w:rsid w:val="00761E2D"/>
    <w:rsid w:val="00761EA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8D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42"/>
    <w:rsid w:val="00781AEB"/>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654"/>
    <w:rsid w:val="007C4864"/>
    <w:rsid w:val="007C49D2"/>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D33"/>
    <w:rsid w:val="00804F05"/>
    <w:rsid w:val="008052FD"/>
    <w:rsid w:val="00805538"/>
    <w:rsid w:val="00805763"/>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D77"/>
    <w:rsid w:val="00817EEC"/>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92"/>
    <w:rsid w:val="008260AB"/>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300"/>
    <w:rsid w:val="00830623"/>
    <w:rsid w:val="0083090B"/>
    <w:rsid w:val="00830A8F"/>
    <w:rsid w:val="00830C2B"/>
    <w:rsid w:val="0083123C"/>
    <w:rsid w:val="008312B0"/>
    <w:rsid w:val="008313E5"/>
    <w:rsid w:val="00831774"/>
    <w:rsid w:val="0083183F"/>
    <w:rsid w:val="00831A3C"/>
    <w:rsid w:val="00831B3D"/>
    <w:rsid w:val="00831BD9"/>
    <w:rsid w:val="00831D99"/>
    <w:rsid w:val="00831FA9"/>
    <w:rsid w:val="008323B0"/>
    <w:rsid w:val="008324E0"/>
    <w:rsid w:val="008326FC"/>
    <w:rsid w:val="00832890"/>
    <w:rsid w:val="0083290A"/>
    <w:rsid w:val="00832F7A"/>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C1B"/>
    <w:rsid w:val="00843FB9"/>
    <w:rsid w:val="0084415C"/>
    <w:rsid w:val="00844428"/>
    <w:rsid w:val="0084476C"/>
    <w:rsid w:val="00844A39"/>
    <w:rsid w:val="0084509D"/>
    <w:rsid w:val="0084534E"/>
    <w:rsid w:val="00845604"/>
    <w:rsid w:val="00845C18"/>
    <w:rsid w:val="00845D51"/>
    <w:rsid w:val="00845D5A"/>
    <w:rsid w:val="008462D7"/>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45"/>
    <w:rsid w:val="008564A8"/>
    <w:rsid w:val="00856753"/>
    <w:rsid w:val="008568E5"/>
    <w:rsid w:val="00856A89"/>
    <w:rsid w:val="0085742E"/>
    <w:rsid w:val="00857749"/>
    <w:rsid w:val="00857882"/>
    <w:rsid w:val="00857889"/>
    <w:rsid w:val="0085793E"/>
    <w:rsid w:val="00857AF5"/>
    <w:rsid w:val="008600D4"/>
    <w:rsid w:val="00860211"/>
    <w:rsid w:val="00860418"/>
    <w:rsid w:val="008604D4"/>
    <w:rsid w:val="00860614"/>
    <w:rsid w:val="0086081D"/>
    <w:rsid w:val="00860AE9"/>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7CF"/>
    <w:rsid w:val="008727D4"/>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275"/>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4B5"/>
    <w:rsid w:val="008D7582"/>
    <w:rsid w:val="008D7609"/>
    <w:rsid w:val="008D765C"/>
    <w:rsid w:val="008D7A32"/>
    <w:rsid w:val="008D7B67"/>
    <w:rsid w:val="008D7BAB"/>
    <w:rsid w:val="008D7D28"/>
    <w:rsid w:val="008E06D4"/>
    <w:rsid w:val="008E07AB"/>
    <w:rsid w:val="008E07E6"/>
    <w:rsid w:val="008E0855"/>
    <w:rsid w:val="008E099B"/>
    <w:rsid w:val="008E0A61"/>
    <w:rsid w:val="008E0FBB"/>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292"/>
    <w:rsid w:val="008E3B5B"/>
    <w:rsid w:val="008E3C89"/>
    <w:rsid w:val="008E3CA1"/>
    <w:rsid w:val="008E3CEB"/>
    <w:rsid w:val="008E3CF9"/>
    <w:rsid w:val="008E3D68"/>
    <w:rsid w:val="008E4046"/>
    <w:rsid w:val="008E41CA"/>
    <w:rsid w:val="008E4234"/>
    <w:rsid w:val="008E4366"/>
    <w:rsid w:val="008E43BE"/>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545"/>
    <w:rsid w:val="008F0102"/>
    <w:rsid w:val="008F01F5"/>
    <w:rsid w:val="008F0795"/>
    <w:rsid w:val="008F07C6"/>
    <w:rsid w:val="008F084E"/>
    <w:rsid w:val="008F08B0"/>
    <w:rsid w:val="008F0F1F"/>
    <w:rsid w:val="008F0FEA"/>
    <w:rsid w:val="008F115D"/>
    <w:rsid w:val="008F13B1"/>
    <w:rsid w:val="008F13F7"/>
    <w:rsid w:val="008F1714"/>
    <w:rsid w:val="008F179C"/>
    <w:rsid w:val="008F1957"/>
    <w:rsid w:val="008F19F6"/>
    <w:rsid w:val="008F1D28"/>
    <w:rsid w:val="008F2218"/>
    <w:rsid w:val="008F22A6"/>
    <w:rsid w:val="008F2342"/>
    <w:rsid w:val="008F23EF"/>
    <w:rsid w:val="008F245D"/>
    <w:rsid w:val="008F24D9"/>
    <w:rsid w:val="008F2700"/>
    <w:rsid w:val="008F2982"/>
    <w:rsid w:val="008F298A"/>
    <w:rsid w:val="008F2A75"/>
    <w:rsid w:val="008F2DCE"/>
    <w:rsid w:val="008F2F30"/>
    <w:rsid w:val="008F334F"/>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81D"/>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5BA"/>
    <w:rsid w:val="009245BB"/>
    <w:rsid w:val="00924790"/>
    <w:rsid w:val="00924837"/>
    <w:rsid w:val="00924A63"/>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253B"/>
    <w:rsid w:val="009328E3"/>
    <w:rsid w:val="00932B27"/>
    <w:rsid w:val="00932B6D"/>
    <w:rsid w:val="00932D38"/>
    <w:rsid w:val="00932D76"/>
    <w:rsid w:val="00932EB3"/>
    <w:rsid w:val="00932F41"/>
    <w:rsid w:val="00933004"/>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A0D"/>
    <w:rsid w:val="00943170"/>
    <w:rsid w:val="009431E8"/>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8A6"/>
    <w:rsid w:val="009469D8"/>
    <w:rsid w:val="00946AA1"/>
    <w:rsid w:val="00946BDB"/>
    <w:rsid w:val="00946CCD"/>
    <w:rsid w:val="00946DF8"/>
    <w:rsid w:val="00947531"/>
    <w:rsid w:val="0094774C"/>
    <w:rsid w:val="00947C7A"/>
    <w:rsid w:val="00950054"/>
    <w:rsid w:val="009500EF"/>
    <w:rsid w:val="009503F9"/>
    <w:rsid w:val="0095068D"/>
    <w:rsid w:val="00950706"/>
    <w:rsid w:val="009508D2"/>
    <w:rsid w:val="00950AAC"/>
    <w:rsid w:val="00950AB4"/>
    <w:rsid w:val="00951531"/>
    <w:rsid w:val="00951758"/>
    <w:rsid w:val="009517B8"/>
    <w:rsid w:val="009519F3"/>
    <w:rsid w:val="00951A27"/>
    <w:rsid w:val="00951D82"/>
    <w:rsid w:val="00951DE6"/>
    <w:rsid w:val="00952277"/>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C13"/>
    <w:rsid w:val="00955DA2"/>
    <w:rsid w:val="00955EE1"/>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93"/>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A2D"/>
    <w:rsid w:val="00966D41"/>
    <w:rsid w:val="0096713B"/>
    <w:rsid w:val="0096720F"/>
    <w:rsid w:val="00967210"/>
    <w:rsid w:val="009672D3"/>
    <w:rsid w:val="00967513"/>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EB"/>
    <w:rsid w:val="0098446D"/>
    <w:rsid w:val="009846CB"/>
    <w:rsid w:val="00984798"/>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5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E5D"/>
    <w:rsid w:val="009A021D"/>
    <w:rsid w:val="009A0512"/>
    <w:rsid w:val="009A0D3B"/>
    <w:rsid w:val="009A0F97"/>
    <w:rsid w:val="009A120B"/>
    <w:rsid w:val="009A133D"/>
    <w:rsid w:val="009A139E"/>
    <w:rsid w:val="009A13B3"/>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96E"/>
    <w:rsid w:val="009A4BFB"/>
    <w:rsid w:val="009A4C5A"/>
    <w:rsid w:val="009A4C6B"/>
    <w:rsid w:val="009A4D1D"/>
    <w:rsid w:val="009A5244"/>
    <w:rsid w:val="009A534F"/>
    <w:rsid w:val="009A5429"/>
    <w:rsid w:val="009A5677"/>
    <w:rsid w:val="009A585D"/>
    <w:rsid w:val="009A59E9"/>
    <w:rsid w:val="009A5D2A"/>
    <w:rsid w:val="009A5E2B"/>
    <w:rsid w:val="009A62D2"/>
    <w:rsid w:val="009A6737"/>
    <w:rsid w:val="009A6B12"/>
    <w:rsid w:val="009A6E3E"/>
    <w:rsid w:val="009A715B"/>
    <w:rsid w:val="009A720E"/>
    <w:rsid w:val="009A72D1"/>
    <w:rsid w:val="009A73D5"/>
    <w:rsid w:val="009A76CA"/>
    <w:rsid w:val="009A7727"/>
    <w:rsid w:val="009A78B4"/>
    <w:rsid w:val="009A7D7B"/>
    <w:rsid w:val="009A7E5E"/>
    <w:rsid w:val="009B0014"/>
    <w:rsid w:val="009B0059"/>
    <w:rsid w:val="009B017F"/>
    <w:rsid w:val="009B03C2"/>
    <w:rsid w:val="009B04AB"/>
    <w:rsid w:val="009B091A"/>
    <w:rsid w:val="009B0A64"/>
    <w:rsid w:val="009B0AD7"/>
    <w:rsid w:val="009B0BE2"/>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E42"/>
    <w:rsid w:val="009C3097"/>
    <w:rsid w:val="009C32A3"/>
    <w:rsid w:val="009C3486"/>
    <w:rsid w:val="009C3875"/>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C7"/>
    <w:rsid w:val="009E1ACA"/>
    <w:rsid w:val="009E1B56"/>
    <w:rsid w:val="009E1DFD"/>
    <w:rsid w:val="009E1E0B"/>
    <w:rsid w:val="009E1E2C"/>
    <w:rsid w:val="009E2533"/>
    <w:rsid w:val="009E25AA"/>
    <w:rsid w:val="009E267A"/>
    <w:rsid w:val="009E2709"/>
    <w:rsid w:val="009E271E"/>
    <w:rsid w:val="009E28FB"/>
    <w:rsid w:val="009E302B"/>
    <w:rsid w:val="009E3533"/>
    <w:rsid w:val="009E398D"/>
    <w:rsid w:val="009E39AA"/>
    <w:rsid w:val="009E4A6A"/>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72"/>
    <w:rsid w:val="009E7EC0"/>
    <w:rsid w:val="009F0011"/>
    <w:rsid w:val="009F062E"/>
    <w:rsid w:val="009F066D"/>
    <w:rsid w:val="009F06A9"/>
    <w:rsid w:val="009F0D6F"/>
    <w:rsid w:val="009F0FFD"/>
    <w:rsid w:val="009F1428"/>
    <w:rsid w:val="009F152C"/>
    <w:rsid w:val="009F178C"/>
    <w:rsid w:val="009F19FC"/>
    <w:rsid w:val="009F1AAB"/>
    <w:rsid w:val="009F1B6E"/>
    <w:rsid w:val="009F1E22"/>
    <w:rsid w:val="009F2076"/>
    <w:rsid w:val="009F2295"/>
    <w:rsid w:val="009F2467"/>
    <w:rsid w:val="009F297A"/>
    <w:rsid w:val="009F2B85"/>
    <w:rsid w:val="009F302A"/>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DF8"/>
    <w:rsid w:val="009F6E76"/>
    <w:rsid w:val="009F7088"/>
    <w:rsid w:val="009F727D"/>
    <w:rsid w:val="009F736A"/>
    <w:rsid w:val="009F761D"/>
    <w:rsid w:val="009F7866"/>
    <w:rsid w:val="009F7902"/>
    <w:rsid w:val="00A00029"/>
    <w:rsid w:val="00A000E8"/>
    <w:rsid w:val="00A00524"/>
    <w:rsid w:val="00A00581"/>
    <w:rsid w:val="00A0083F"/>
    <w:rsid w:val="00A008A5"/>
    <w:rsid w:val="00A0092F"/>
    <w:rsid w:val="00A00AFF"/>
    <w:rsid w:val="00A00E80"/>
    <w:rsid w:val="00A00E99"/>
    <w:rsid w:val="00A00F3E"/>
    <w:rsid w:val="00A01053"/>
    <w:rsid w:val="00A011A7"/>
    <w:rsid w:val="00A011E9"/>
    <w:rsid w:val="00A011FF"/>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AC6"/>
    <w:rsid w:val="00A060B4"/>
    <w:rsid w:val="00A060EB"/>
    <w:rsid w:val="00A0636B"/>
    <w:rsid w:val="00A06CF7"/>
    <w:rsid w:val="00A06D47"/>
    <w:rsid w:val="00A06D88"/>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8D0"/>
    <w:rsid w:val="00A15A0C"/>
    <w:rsid w:val="00A15BD6"/>
    <w:rsid w:val="00A15D2E"/>
    <w:rsid w:val="00A15D94"/>
    <w:rsid w:val="00A15E30"/>
    <w:rsid w:val="00A15F56"/>
    <w:rsid w:val="00A15FD3"/>
    <w:rsid w:val="00A16AFB"/>
    <w:rsid w:val="00A16B6B"/>
    <w:rsid w:val="00A16BD2"/>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6E"/>
    <w:rsid w:val="00A50BEE"/>
    <w:rsid w:val="00A50C46"/>
    <w:rsid w:val="00A50F5C"/>
    <w:rsid w:val="00A50FC2"/>
    <w:rsid w:val="00A514E9"/>
    <w:rsid w:val="00A5162C"/>
    <w:rsid w:val="00A51DA9"/>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3F08"/>
    <w:rsid w:val="00A64055"/>
    <w:rsid w:val="00A64171"/>
    <w:rsid w:val="00A6455B"/>
    <w:rsid w:val="00A64582"/>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90D"/>
    <w:rsid w:val="00A67C35"/>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E77"/>
    <w:rsid w:val="00AA3F07"/>
    <w:rsid w:val="00AA4003"/>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1678"/>
    <w:rsid w:val="00AB16D4"/>
    <w:rsid w:val="00AB17A8"/>
    <w:rsid w:val="00AB1967"/>
    <w:rsid w:val="00AB1FCB"/>
    <w:rsid w:val="00AB26B5"/>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20E6"/>
    <w:rsid w:val="00AC210F"/>
    <w:rsid w:val="00AC23F5"/>
    <w:rsid w:val="00AC2748"/>
    <w:rsid w:val="00AC2CC1"/>
    <w:rsid w:val="00AC2D3F"/>
    <w:rsid w:val="00AC2DD6"/>
    <w:rsid w:val="00AC2E89"/>
    <w:rsid w:val="00AC2F2D"/>
    <w:rsid w:val="00AC31D1"/>
    <w:rsid w:val="00AC33F1"/>
    <w:rsid w:val="00AC3717"/>
    <w:rsid w:val="00AC39D0"/>
    <w:rsid w:val="00AC3A68"/>
    <w:rsid w:val="00AC3B16"/>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209C"/>
    <w:rsid w:val="00AD235D"/>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5DD1"/>
    <w:rsid w:val="00AD600F"/>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298"/>
    <w:rsid w:val="00AE038C"/>
    <w:rsid w:val="00AE047F"/>
    <w:rsid w:val="00AE075D"/>
    <w:rsid w:val="00AE08B3"/>
    <w:rsid w:val="00AE0918"/>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41EF"/>
    <w:rsid w:val="00AE4703"/>
    <w:rsid w:val="00AE4BF3"/>
    <w:rsid w:val="00AE4FE2"/>
    <w:rsid w:val="00AE516D"/>
    <w:rsid w:val="00AE517E"/>
    <w:rsid w:val="00AE5246"/>
    <w:rsid w:val="00AE5292"/>
    <w:rsid w:val="00AE52B4"/>
    <w:rsid w:val="00AE56A2"/>
    <w:rsid w:val="00AE56C7"/>
    <w:rsid w:val="00AE586E"/>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959"/>
    <w:rsid w:val="00B00B19"/>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246F"/>
    <w:rsid w:val="00B12729"/>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EA4"/>
    <w:rsid w:val="00B1504B"/>
    <w:rsid w:val="00B150C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C66"/>
    <w:rsid w:val="00B23D98"/>
    <w:rsid w:val="00B23DCC"/>
    <w:rsid w:val="00B23F89"/>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9A8"/>
    <w:rsid w:val="00B27C91"/>
    <w:rsid w:val="00B27E12"/>
    <w:rsid w:val="00B30180"/>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768"/>
    <w:rsid w:val="00B34929"/>
    <w:rsid w:val="00B34B78"/>
    <w:rsid w:val="00B34BD6"/>
    <w:rsid w:val="00B34D6A"/>
    <w:rsid w:val="00B34F23"/>
    <w:rsid w:val="00B34F3A"/>
    <w:rsid w:val="00B35083"/>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796"/>
    <w:rsid w:val="00B56AF7"/>
    <w:rsid w:val="00B56B9B"/>
    <w:rsid w:val="00B56B9D"/>
    <w:rsid w:val="00B56F47"/>
    <w:rsid w:val="00B57039"/>
    <w:rsid w:val="00B574D6"/>
    <w:rsid w:val="00B574DA"/>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32AA"/>
    <w:rsid w:val="00B63385"/>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5BBA"/>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DB6"/>
    <w:rsid w:val="00B81F79"/>
    <w:rsid w:val="00B81FBD"/>
    <w:rsid w:val="00B8224B"/>
    <w:rsid w:val="00B8252D"/>
    <w:rsid w:val="00B8275D"/>
    <w:rsid w:val="00B8278C"/>
    <w:rsid w:val="00B827B3"/>
    <w:rsid w:val="00B827BF"/>
    <w:rsid w:val="00B82949"/>
    <w:rsid w:val="00B8298E"/>
    <w:rsid w:val="00B82A42"/>
    <w:rsid w:val="00B82D59"/>
    <w:rsid w:val="00B82DCD"/>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AFC"/>
    <w:rsid w:val="00B84C82"/>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BE"/>
    <w:rsid w:val="00BA20CC"/>
    <w:rsid w:val="00BA23F6"/>
    <w:rsid w:val="00BA242D"/>
    <w:rsid w:val="00BA246A"/>
    <w:rsid w:val="00BA27FC"/>
    <w:rsid w:val="00BA3271"/>
    <w:rsid w:val="00BA3A40"/>
    <w:rsid w:val="00BA3FED"/>
    <w:rsid w:val="00BA401F"/>
    <w:rsid w:val="00BA424C"/>
    <w:rsid w:val="00BA43C9"/>
    <w:rsid w:val="00BA48DE"/>
    <w:rsid w:val="00BA4931"/>
    <w:rsid w:val="00BA4950"/>
    <w:rsid w:val="00BA4A43"/>
    <w:rsid w:val="00BA4AC6"/>
    <w:rsid w:val="00BA4CD6"/>
    <w:rsid w:val="00BA4CFB"/>
    <w:rsid w:val="00BA4D1B"/>
    <w:rsid w:val="00BA5729"/>
    <w:rsid w:val="00BA578E"/>
    <w:rsid w:val="00BA5CD2"/>
    <w:rsid w:val="00BA5CF4"/>
    <w:rsid w:val="00BA5DA3"/>
    <w:rsid w:val="00BA5E0C"/>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46D"/>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E4"/>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7DF"/>
    <w:rsid w:val="00BC6C1B"/>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4D"/>
    <w:rsid w:val="00BF34E7"/>
    <w:rsid w:val="00BF3777"/>
    <w:rsid w:val="00BF3914"/>
    <w:rsid w:val="00BF3A01"/>
    <w:rsid w:val="00BF3BF6"/>
    <w:rsid w:val="00BF3EC6"/>
    <w:rsid w:val="00BF48F4"/>
    <w:rsid w:val="00BF497A"/>
    <w:rsid w:val="00BF4B98"/>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D9"/>
    <w:rsid w:val="00BF6AB5"/>
    <w:rsid w:val="00BF6B12"/>
    <w:rsid w:val="00BF6B85"/>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526"/>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91"/>
    <w:rsid w:val="00C051D9"/>
    <w:rsid w:val="00C0525D"/>
    <w:rsid w:val="00C05451"/>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12DF"/>
    <w:rsid w:val="00C1166D"/>
    <w:rsid w:val="00C1195F"/>
    <w:rsid w:val="00C119A8"/>
    <w:rsid w:val="00C119EF"/>
    <w:rsid w:val="00C11AAC"/>
    <w:rsid w:val="00C11D8F"/>
    <w:rsid w:val="00C11E99"/>
    <w:rsid w:val="00C11EE1"/>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76E9"/>
    <w:rsid w:val="00C178E6"/>
    <w:rsid w:val="00C179EB"/>
    <w:rsid w:val="00C17EA5"/>
    <w:rsid w:val="00C17FC3"/>
    <w:rsid w:val="00C2012B"/>
    <w:rsid w:val="00C203E8"/>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2D"/>
    <w:rsid w:val="00C25EFB"/>
    <w:rsid w:val="00C26018"/>
    <w:rsid w:val="00C267F3"/>
    <w:rsid w:val="00C2684E"/>
    <w:rsid w:val="00C26B1C"/>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707C"/>
    <w:rsid w:val="00C572B3"/>
    <w:rsid w:val="00C57632"/>
    <w:rsid w:val="00C576D9"/>
    <w:rsid w:val="00C5776B"/>
    <w:rsid w:val="00C5797D"/>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A2C"/>
    <w:rsid w:val="00C65BFD"/>
    <w:rsid w:val="00C65E23"/>
    <w:rsid w:val="00C65EA3"/>
    <w:rsid w:val="00C65FCA"/>
    <w:rsid w:val="00C6609F"/>
    <w:rsid w:val="00C6633B"/>
    <w:rsid w:val="00C667C4"/>
    <w:rsid w:val="00C6681D"/>
    <w:rsid w:val="00C66B29"/>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CEC"/>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97FC4"/>
    <w:rsid w:val="00CA03BA"/>
    <w:rsid w:val="00CA043C"/>
    <w:rsid w:val="00CA057D"/>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620A"/>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1767"/>
    <w:rsid w:val="00CE1B9A"/>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C9C"/>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219"/>
    <w:rsid w:val="00CF44C8"/>
    <w:rsid w:val="00CF4656"/>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D36"/>
    <w:rsid w:val="00D10D3B"/>
    <w:rsid w:val="00D10DD2"/>
    <w:rsid w:val="00D10EEB"/>
    <w:rsid w:val="00D10FBC"/>
    <w:rsid w:val="00D111D2"/>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04"/>
    <w:rsid w:val="00D46C89"/>
    <w:rsid w:val="00D47101"/>
    <w:rsid w:val="00D47755"/>
    <w:rsid w:val="00D4791C"/>
    <w:rsid w:val="00D479F7"/>
    <w:rsid w:val="00D47B6E"/>
    <w:rsid w:val="00D47D59"/>
    <w:rsid w:val="00D47DCD"/>
    <w:rsid w:val="00D47F5F"/>
    <w:rsid w:val="00D5044A"/>
    <w:rsid w:val="00D50805"/>
    <w:rsid w:val="00D50820"/>
    <w:rsid w:val="00D509E9"/>
    <w:rsid w:val="00D50E0F"/>
    <w:rsid w:val="00D50E2C"/>
    <w:rsid w:val="00D50F79"/>
    <w:rsid w:val="00D510E8"/>
    <w:rsid w:val="00D512E5"/>
    <w:rsid w:val="00D513FC"/>
    <w:rsid w:val="00D51E5C"/>
    <w:rsid w:val="00D5201B"/>
    <w:rsid w:val="00D520B1"/>
    <w:rsid w:val="00D52174"/>
    <w:rsid w:val="00D522C6"/>
    <w:rsid w:val="00D522EC"/>
    <w:rsid w:val="00D5240E"/>
    <w:rsid w:val="00D52643"/>
    <w:rsid w:val="00D5269C"/>
    <w:rsid w:val="00D52B21"/>
    <w:rsid w:val="00D52EC1"/>
    <w:rsid w:val="00D5311C"/>
    <w:rsid w:val="00D533C3"/>
    <w:rsid w:val="00D534A9"/>
    <w:rsid w:val="00D53605"/>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D0"/>
    <w:rsid w:val="00D71BB0"/>
    <w:rsid w:val="00D71C4C"/>
    <w:rsid w:val="00D71D1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41A8"/>
    <w:rsid w:val="00D8469F"/>
    <w:rsid w:val="00D846E7"/>
    <w:rsid w:val="00D8485A"/>
    <w:rsid w:val="00D84AB7"/>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FA"/>
    <w:rsid w:val="00D870D2"/>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D0E"/>
    <w:rsid w:val="00DA5D33"/>
    <w:rsid w:val="00DA5E8D"/>
    <w:rsid w:val="00DA6059"/>
    <w:rsid w:val="00DA609E"/>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F48"/>
    <w:rsid w:val="00DB21EB"/>
    <w:rsid w:val="00DB2247"/>
    <w:rsid w:val="00DB243C"/>
    <w:rsid w:val="00DB25EC"/>
    <w:rsid w:val="00DB2686"/>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F05C8"/>
    <w:rsid w:val="00DF0768"/>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92"/>
    <w:rsid w:val="00DF41CC"/>
    <w:rsid w:val="00DF430A"/>
    <w:rsid w:val="00DF45C8"/>
    <w:rsid w:val="00DF4B52"/>
    <w:rsid w:val="00DF4C6D"/>
    <w:rsid w:val="00DF4E1B"/>
    <w:rsid w:val="00DF5018"/>
    <w:rsid w:val="00DF52B2"/>
    <w:rsid w:val="00DF53CC"/>
    <w:rsid w:val="00DF53D0"/>
    <w:rsid w:val="00DF5519"/>
    <w:rsid w:val="00DF554B"/>
    <w:rsid w:val="00DF58A8"/>
    <w:rsid w:val="00DF5B46"/>
    <w:rsid w:val="00DF5BD7"/>
    <w:rsid w:val="00DF64CA"/>
    <w:rsid w:val="00DF659E"/>
    <w:rsid w:val="00DF6C9D"/>
    <w:rsid w:val="00DF6E5D"/>
    <w:rsid w:val="00DF70EF"/>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5C3"/>
    <w:rsid w:val="00E048FF"/>
    <w:rsid w:val="00E04AB7"/>
    <w:rsid w:val="00E05064"/>
    <w:rsid w:val="00E050EF"/>
    <w:rsid w:val="00E05400"/>
    <w:rsid w:val="00E0556C"/>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56D"/>
    <w:rsid w:val="00E10788"/>
    <w:rsid w:val="00E109C4"/>
    <w:rsid w:val="00E10C6A"/>
    <w:rsid w:val="00E10D28"/>
    <w:rsid w:val="00E10F98"/>
    <w:rsid w:val="00E110A4"/>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D8"/>
    <w:rsid w:val="00E13A86"/>
    <w:rsid w:val="00E13C9E"/>
    <w:rsid w:val="00E13DFD"/>
    <w:rsid w:val="00E13E06"/>
    <w:rsid w:val="00E140C2"/>
    <w:rsid w:val="00E14237"/>
    <w:rsid w:val="00E1428C"/>
    <w:rsid w:val="00E14756"/>
    <w:rsid w:val="00E14C91"/>
    <w:rsid w:val="00E14F41"/>
    <w:rsid w:val="00E1562D"/>
    <w:rsid w:val="00E1598D"/>
    <w:rsid w:val="00E159AC"/>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2052"/>
    <w:rsid w:val="00E222A0"/>
    <w:rsid w:val="00E222FD"/>
    <w:rsid w:val="00E225C4"/>
    <w:rsid w:val="00E22624"/>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A9B"/>
    <w:rsid w:val="00E54E0A"/>
    <w:rsid w:val="00E55056"/>
    <w:rsid w:val="00E55079"/>
    <w:rsid w:val="00E556E9"/>
    <w:rsid w:val="00E557A0"/>
    <w:rsid w:val="00E557B2"/>
    <w:rsid w:val="00E5589A"/>
    <w:rsid w:val="00E55AA5"/>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3CC"/>
    <w:rsid w:val="00E673DD"/>
    <w:rsid w:val="00E674AE"/>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6C"/>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8CF"/>
    <w:rsid w:val="00E769E0"/>
    <w:rsid w:val="00E76A29"/>
    <w:rsid w:val="00E77248"/>
    <w:rsid w:val="00E77435"/>
    <w:rsid w:val="00E774EA"/>
    <w:rsid w:val="00E77521"/>
    <w:rsid w:val="00E77601"/>
    <w:rsid w:val="00E776BC"/>
    <w:rsid w:val="00E777D8"/>
    <w:rsid w:val="00E77821"/>
    <w:rsid w:val="00E77A94"/>
    <w:rsid w:val="00E77AF5"/>
    <w:rsid w:val="00E77D78"/>
    <w:rsid w:val="00E803F4"/>
    <w:rsid w:val="00E80409"/>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E62"/>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F8C"/>
    <w:rsid w:val="00EA3110"/>
    <w:rsid w:val="00EA32C4"/>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6B2"/>
    <w:rsid w:val="00EA67F5"/>
    <w:rsid w:val="00EA6D06"/>
    <w:rsid w:val="00EA736E"/>
    <w:rsid w:val="00EA7648"/>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1C04"/>
    <w:rsid w:val="00F020E4"/>
    <w:rsid w:val="00F02245"/>
    <w:rsid w:val="00F025AA"/>
    <w:rsid w:val="00F026AE"/>
    <w:rsid w:val="00F02AB2"/>
    <w:rsid w:val="00F02B09"/>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4D8"/>
    <w:rsid w:val="00F0559B"/>
    <w:rsid w:val="00F0561B"/>
    <w:rsid w:val="00F05755"/>
    <w:rsid w:val="00F05789"/>
    <w:rsid w:val="00F05BA9"/>
    <w:rsid w:val="00F06199"/>
    <w:rsid w:val="00F06919"/>
    <w:rsid w:val="00F06A73"/>
    <w:rsid w:val="00F06B95"/>
    <w:rsid w:val="00F06C2C"/>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55"/>
    <w:rsid w:val="00F352F9"/>
    <w:rsid w:val="00F353BF"/>
    <w:rsid w:val="00F356B2"/>
    <w:rsid w:val="00F3575A"/>
    <w:rsid w:val="00F35BDB"/>
    <w:rsid w:val="00F35E57"/>
    <w:rsid w:val="00F3609A"/>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72"/>
    <w:rsid w:val="00F44214"/>
    <w:rsid w:val="00F44521"/>
    <w:rsid w:val="00F445DC"/>
    <w:rsid w:val="00F445FB"/>
    <w:rsid w:val="00F44818"/>
    <w:rsid w:val="00F44C27"/>
    <w:rsid w:val="00F44CD6"/>
    <w:rsid w:val="00F44D4F"/>
    <w:rsid w:val="00F4528E"/>
    <w:rsid w:val="00F452C3"/>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ED4"/>
    <w:rsid w:val="00F66FB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3AD"/>
    <w:rsid w:val="00F92A28"/>
    <w:rsid w:val="00F92B4C"/>
    <w:rsid w:val="00F92CDA"/>
    <w:rsid w:val="00F92E24"/>
    <w:rsid w:val="00F934CB"/>
    <w:rsid w:val="00F93541"/>
    <w:rsid w:val="00F9354E"/>
    <w:rsid w:val="00F936A7"/>
    <w:rsid w:val="00F9389D"/>
    <w:rsid w:val="00F939D0"/>
    <w:rsid w:val="00F93C7F"/>
    <w:rsid w:val="00F9410B"/>
    <w:rsid w:val="00F94214"/>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9E0"/>
    <w:rsid w:val="00FB2ADA"/>
    <w:rsid w:val="00FB2DA9"/>
    <w:rsid w:val="00FB2F46"/>
    <w:rsid w:val="00FB330B"/>
    <w:rsid w:val="00FB35F4"/>
    <w:rsid w:val="00FB36A0"/>
    <w:rsid w:val="00FB3B9C"/>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D68"/>
    <w:rsid w:val="00FC0E38"/>
    <w:rsid w:val="00FC12B0"/>
    <w:rsid w:val="00FC16BF"/>
    <w:rsid w:val="00FC1858"/>
    <w:rsid w:val="00FC1900"/>
    <w:rsid w:val="00FC1937"/>
    <w:rsid w:val="00FC1A78"/>
    <w:rsid w:val="00FC1C90"/>
    <w:rsid w:val="00FC1CC8"/>
    <w:rsid w:val="00FC1F5E"/>
    <w:rsid w:val="00FC1F95"/>
    <w:rsid w:val="00FC20E9"/>
    <w:rsid w:val="00FC217D"/>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63"/>
    <w:rsid w:val="00FC7844"/>
    <w:rsid w:val="00FC7D4D"/>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72"/>
    <w:rsid w:val="00FD56D4"/>
    <w:rsid w:val="00FD5982"/>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636"/>
    <w:rsid w:val="00FF765F"/>
    <w:rsid w:val="00FF7989"/>
    <w:rsid w:val="00FF7D03"/>
    <w:rsid w:val="015C0B4E"/>
    <w:rsid w:val="018407B3"/>
    <w:rsid w:val="021E574E"/>
    <w:rsid w:val="031E67C0"/>
    <w:rsid w:val="03D472D2"/>
    <w:rsid w:val="04BC3145"/>
    <w:rsid w:val="05414350"/>
    <w:rsid w:val="05737123"/>
    <w:rsid w:val="0659586C"/>
    <w:rsid w:val="07F639C8"/>
    <w:rsid w:val="08D00067"/>
    <w:rsid w:val="095A2027"/>
    <w:rsid w:val="0B660C1A"/>
    <w:rsid w:val="0BC375EF"/>
    <w:rsid w:val="0C042C14"/>
    <w:rsid w:val="0C584B01"/>
    <w:rsid w:val="0C6B3366"/>
    <w:rsid w:val="0CCD0CBE"/>
    <w:rsid w:val="0D4437B1"/>
    <w:rsid w:val="0E675F4F"/>
    <w:rsid w:val="0F614B4B"/>
    <w:rsid w:val="0FA605E4"/>
    <w:rsid w:val="0FBD50BE"/>
    <w:rsid w:val="0FC90073"/>
    <w:rsid w:val="1025513D"/>
    <w:rsid w:val="105C7186"/>
    <w:rsid w:val="11765524"/>
    <w:rsid w:val="11F171DD"/>
    <w:rsid w:val="12BF3379"/>
    <w:rsid w:val="138C6520"/>
    <w:rsid w:val="14951E1C"/>
    <w:rsid w:val="14DB04C0"/>
    <w:rsid w:val="15E92769"/>
    <w:rsid w:val="173043EC"/>
    <w:rsid w:val="17F93E0B"/>
    <w:rsid w:val="181E2C72"/>
    <w:rsid w:val="189936EA"/>
    <w:rsid w:val="18EC3FB4"/>
    <w:rsid w:val="18F41B50"/>
    <w:rsid w:val="1B813443"/>
    <w:rsid w:val="1BB74BE3"/>
    <w:rsid w:val="1C455CA5"/>
    <w:rsid w:val="1CC0569C"/>
    <w:rsid w:val="1CCC06EF"/>
    <w:rsid w:val="1CD06430"/>
    <w:rsid w:val="1D2C69D2"/>
    <w:rsid w:val="1E594203"/>
    <w:rsid w:val="1EE94166"/>
    <w:rsid w:val="1F307C25"/>
    <w:rsid w:val="1F88624C"/>
    <w:rsid w:val="1F890B18"/>
    <w:rsid w:val="20095398"/>
    <w:rsid w:val="202738D5"/>
    <w:rsid w:val="20790727"/>
    <w:rsid w:val="20992FDD"/>
    <w:rsid w:val="21C222A1"/>
    <w:rsid w:val="21E36C06"/>
    <w:rsid w:val="231B021F"/>
    <w:rsid w:val="239E00B4"/>
    <w:rsid w:val="23B42696"/>
    <w:rsid w:val="246C2A48"/>
    <w:rsid w:val="24AD279C"/>
    <w:rsid w:val="251E74A4"/>
    <w:rsid w:val="258A5714"/>
    <w:rsid w:val="259729AF"/>
    <w:rsid w:val="25A9613A"/>
    <w:rsid w:val="26F471BF"/>
    <w:rsid w:val="27205283"/>
    <w:rsid w:val="274C5407"/>
    <w:rsid w:val="27843CE5"/>
    <w:rsid w:val="28C055AB"/>
    <w:rsid w:val="2A120B2B"/>
    <w:rsid w:val="2C026598"/>
    <w:rsid w:val="2C351815"/>
    <w:rsid w:val="2C40711F"/>
    <w:rsid w:val="2C962AAF"/>
    <w:rsid w:val="2CE15203"/>
    <w:rsid w:val="2DD17478"/>
    <w:rsid w:val="2E434A6A"/>
    <w:rsid w:val="2E8F2D8A"/>
    <w:rsid w:val="2EE74AB9"/>
    <w:rsid w:val="2F206C8F"/>
    <w:rsid w:val="2F544C9F"/>
    <w:rsid w:val="2F8135BA"/>
    <w:rsid w:val="2F813C45"/>
    <w:rsid w:val="2F912134"/>
    <w:rsid w:val="30137F7E"/>
    <w:rsid w:val="31E646CE"/>
    <w:rsid w:val="32142838"/>
    <w:rsid w:val="32354F6B"/>
    <w:rsid w:val="328119CD"/>
    <w:rsid w:val="32EB653A"/>
    <w:rsid w:val="35422798"/>
    <w:rsid w:val="35521C81"/>
    <w:rsid w:val="35957DBF"/>
    <w:rsid w:val="36097FA2"/>
    <w:rsid w:val="367774C5"/>
    <w:rsid w:val="37B87D95"/>
    <w:rsid w:val="38657957"/>
    <w:rsid w:val="38F80D91"/>
    <w:rsid w:val="393B376F"/>
    <w:rsid w:val="39716CDB"/>
    <w:rsid w:val="39C70AE8"/>
    <w:rsid w:val="3A3E2202"/>
    <w:rsid w:val="3BCB6780"/>
    <w:rsid w:val="3C4A41E3"/>
    <w:rsid w:val="3D8F1598"/>
    <w:rsid w:val="3D956BAE"/>
    <w:rsid w:val="3E1A51F3"/>
    <w:rsid w:val="3E4B3711"/>
    <w:rsid w:val="3EA07DDD"/>
    <w:rsid w:val="3EAA1FA0"/>
    <w:rsid w:val="3F10792C"/>
    <w:rsid w:val="3FF5F3AE"/>
    <w:rsid w:val="3FF97C90"/>
    <w:rsid w:val="3FFAF037"/>
    <w:rsid w:val="407C216D"/>
    <w:rsid w:val="41141929"/>
    <w:rsid w:val="429E4757"/>
    <w:rsid w:val="42CD0A98"/>
    <w:rsid w:val="430420E0"/>
    <w:rsid w:val="431A0C09"/>
    <w:rsid w:val="43405188"/>
    <w:rsid w:val="43622277"/>
    <w:rsid w:val="43E16EB3"/>
    <w:rsid w:val="440103D3"/>
    <w:rsid w:val="450A1C47"/>
    <w:rsid w:val="451F3201"/>
    <w:rsid w:val="46685A76"/>
    <w:rsid w:val="46770DD1"/>
    <w:rsid w:val="4677B9E9"/>
    <w:rsid w:val="46A047CA"/>
    <w:rsid w:val="472E43D9"/>
    <w:rsid w:val="479779C7"/>
    <w:rsid w:val="480E2158"/>
    <w:rsid w:val="48D1681A"/>
    <w:rsid w:val="48D37A5B"/>
    <w:rsid w:val="49E70782"/>
    <w:rsid w:val="4B65373A"/>
    <w:rsid w:val="4B825F6B"/>
    <w:rsid w:val="4D00163A"/>
    <w:rsid w:val="4D186B5A"/>
    <w:rsid w:val="4E233D62"/>
    <w:rsid w:val="4EAB059E"/>
    <w:rsid w:val="4EBB3F9B"/>
    <w:rsid w:val="4F0F5BE3"/>
    <w:rsid w:val="4F3D1985"/>
    <w:rsid w:val="4FA275F8"/>
    <w:rsid w:val="4FAC67CD"/>
    <w:rsid w:val="508B5BEF"/>
    <w:rsid w:val="50FE454A"/>
    <w:rsid w:val="51053241"/>
    <w:rsid w:val="52422029"/>
    <w:rsid w:val="534A63FA"/>
    <w:rsid w:val="535215B6"/>
    <w:rsid w:val="538419AF"/>
    <w:rsid w:val="54C34932"/>
    <w:rsid w:val="55040901"/>
    <w:rsid w:val="5537599E"/>
    <w:rsid w:val="55D30964"/>
    <w:rsid w:val="56447097"/>
    <w:rsid w:val="56DF05DE"/>
    <w:rsid w:val="577B0AAE"/>
    <w:rsid w:val="57FC6189"/>
    <w:rsid w:val="5906675A"/>
    <w:rsid w:val="59D95C1D"/>
    <w:rsid w:val="59E20F76"/>
    <w:rsid w:val="5A747787"/>
    <w:rsid w:val="5BA27FD2"/>
    <w:rsid w:val="5BBE156E"/>
    <w:rsid w:val="5BD20B76"/>
    <w:rsid w:val="5CDD3707"/>
    <w:rsid w:val="5CF60894"/>
    <w:rsid w:val="5D3A352A"/>
    <w:rsid w:val="5F073306"/>
    <w:rsid w:val="5F5F73B9"/>
    <w:rsid w:val="604E7E90"/>
    <w:rsid w:val="616C7AA2"/>
    <w:rsid w:val="61C176C2"/>
    <w:rsid w:val="6313057E"/>
    <w:rsid w:val="638255C6"/>
    <w:rsid w:val="648D1ADE"/>
    <w:rsid w:val="64C86FBA"/>
    <w:rsid w:val="64CA3E7E"/>
    <w:rsid w:val="64EB0A4F"/>
    <w:rsid w:val="650B3A66"/>
    <w:rsid w:val="65560E0F"/>
    <w:rsid w:val="655C540A"/>
    <w:rsid w:val="65C07C91"/>
    <w:rsid w:val="661E4C47"/>
    <w:rsid w:val="665E591B"/>
    <w:rsid w:val="66FFFF9D"/>
    <w:rsid w:val="672F2C19"/>
    <w:rsid w:val="678216A2"/>
    <w:rsid w:val="67B98EF0"/>
    <w:rsid w:val="6838144E"/>
    <w:rsid w:val="68525F02"/>
    <w:rsid w:val="68AA7398"/>
    <w:rsid w:val="69721EB0"/>
    <w:rsid w:val="6BE50451"/>
    <w:rsid w:val="6C427CC2"/>
    <w:rsid w:val="6D0E1AC4"/>
    <w:rsid w:val="6DAD5695"/>
    <w:rsid w:val="6E9E738B"/>
    <w:rsid w:val="6EB81E4D"/>
    <w:rsid w:val="6EBC31C7"/>
    <w:rsid w:val="6FAD74D8"/>
    <w:rsid w:val="711C351B"/>
    <w:rsid w:val="71FF7844"/>
    <w:rsid w:val="74234E42"/>
    <w:rsid w:val="742C597A"/>
    <w:rsid w:val="74B1259F"/>
    <w:rsid w:val="74B567A6"/>
    <w:rsid w:val="74C8008A"/>
    <w:rsid w:val="74E67556"/>
    <w:rsid w:val="75702E96"/>
    <w:rsid w:val="757C0194"/>
    <w:rsid w:val="76602F2E"/>
    <w:rsid w:val="7682346D"/>
    <w:rsid w:val="76B4739E"/>
    <w:rsid w:val="775A6197"/>
    <w:rsid w:val="777C4360"/>
    <w:rsid w:val="787879DF"/>
    <w:rsid w:val="789A3768"/>
    <w:rsid w:val="79334EF2"/>
    <w:rsid w:val="799A287B"/>
    <w:rsid w:val="7AF10BC1"/>
    <w:rsid w:val="7BDBD3D3"/>
    <w:rsid w:val="7C59640A"/>
    <w:rsid w:val="7D2F54CB"/>
    <w:rsid w:val="7ECD2929"/>
    <w:rsid w:val="7EFD4B74"/>
    <w:rsid w:val="7F121E48"/>
    <w:rsid w:val="7F255E73"/>
    <w:rsid w:val="7F5232A8"/>
    <w:rsid w:val="7FD2726D"/>
    <w:rsid w:val="7FFA3789"/>
    <w:rsid w:val="BA7C5E41"/>
    <w:rsid w:val="BBBD1F96"/>
    <w:rsid w:val="BD59C1B4"/>
    <w:rsid w:val="BFFA60B1"/>
    <w:rsid w:val="CFBF8B16"/>
    <w:rsid w:val="D3F2B045"/>
    <w:rsid w:val="DBF40199"/>
    <w:rsid w:val="DF7AD8D6"/>
    <w:rsid w:val="EE7BAE3D"/>
    <w:rsid w:val="F3EFEC6E"/>
    <w:rsid w:val="F97DCF23"/>
    <w:rsid w:val="FB7F52A8"/>
    <w:rsid w:val="FBD56EF3"/>
    <w:rsid w:val="FBFEC5F3"/>
    <w:rsid w:val="FEFF0A83"/>
    <w:rsid w:val="FFD3BEA2"/>
    <w:rsid w:val="FFFE7D5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6"/>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57"/>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link w:val="59"/>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link w:val="60"/>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6">
    <w:name w:val="heading 5"/>
    <w:basedOn w:val="1"/>
    <w:next w:val="1"/>
    <w:link w:val="61"/>
    <w:qFormat/>
    <w:uiPriority w:val="0"/>
    <w:pPr>
      <w:keepNext/>
      <w:keepLines/>
      <w:adjustRightInd w:val="0"/>
      <w:spacing w:before="280" w:after="290" w:line="376" w:lineRule="atLeast"/>
      <w:textAlignment w:val="baseline"/>
      <w:outlineLvl w:val="4"/>
    </w:pPr>
    <w:rPr>
      <w:b/>
      <w:kern w:val="0"/>
      <w:sz w:val="28"/>
      <w:szCs w:val="20"/>
    </w:rPr>
  </w:style>
  <w:style w:type="paragraph" w:styleId="7">
    <w:name w:val="heading 6"/>
    <w:basedOn w:val="1"/>
    <w:next w:val="1"/>
    <w:link w:val="62"/>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8">
    <w:name w:val="heading 7"/>
    <w:basedOn w:val="1"/>
    <w:next w:val="1"/>
    <w:link w:val="63"/>
    <w:qFormat/>
    <w:uiPriority w:val="0"/>
    <w:pPr>
      <w:keepNext/>
      <w:keepLines/>
      <w:adjustRightInd w:val="0"/>
      <w:spacing w:before="240" w:after="64" w:line="320" w:lineRule="atLeast"/>
      <w:textAlignment w:val="baseline"/>
      <w:outlineLvl w:val="6"/>
    </w:pPr>
    <w:rPr>
      <w:b/>
      <w:kern w:val="0"/>
      <w:sz w:val="24"/>
      <w:szCs w:val="20"/>
    </w:rPr>
  </w:style>
  <w:style w:type="paragraph" w:styleId="9">
    <w:name w:val="heading 8"/>
    <w:basedOn w:val="1"/>
    <w:next w:val="1"/>
    <w:link w:val="64"/>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65"/>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7">
    <w:name w:val="Default Paragraph Font"/>
    <w:unhideWhenUsed/>
    <w:qFormat/>
    <w:uiPriority w:val="1"/>
  </w:style>
  <w:style w:type="table" w:default="1" w:styleId="44">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Normal Indent"/>
    <w:basedOn w:val="1"/>
    <w:next w:val="1"/>
    <w:link w:val="58"/>
    <w:qFormat/>
    <w:uiPriority w:val="0"/>
    <w:pPr>
      <w:autoSpaceDE w:val="0"/>
      <w:autoSpaceDN w:val="0"/>
      <w:adjustRightInd w:val="0"/>
      <w:ind w:firstLine="420"/>
      <w:jc w:val="left"/>
    </w:pPr>
    <w:rPr>
      <w:rFonts w:ascii="宋体"/>
      <w:sz w:val="24"/>
    </w:r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66"/>
    <w:qFormat/>
    <w:uiPriority w:val="0"/>
    <w:pPr>
      <w:shd w:val="clear" w:color="auto" w:fill="000080"/>
    </w:pPr>
  </w:style>
  <w:style w:type="paragraph" w:styleId="15">
    <w:name w:val="annotation text"/>
    <w:basedOn w:val="1"/>
    <w:link w:val="67"/>
    <w:qFormat/>
    <w:uiPriority w:val="99"/>
    <w:pPr>
      <w:jc w:val="left"/>
    </w:pPr>
  </w:style>
  <w:style w:type="paragraph" w:styleId="16">
    <w:name w:val="Body Text 3"/>
    <w:basedOn w:val="1"/>
    <w:link w:val="68"/>
    <w:qFormat/>
    <w:uiPriority w:val="0"/>
    <w:pPr>
      <w:spacing w:after="120"/>
    </w:pPr>
    <w:rPr>
      <w:sz w:val="16"/>
      <w:szCs w:val="16"/>
    </w:rPr>
  </w:style>
  <w:style w:type="paragraph" w:styleId="17">
    <w:name w:val="Body Text"/>
    <w:basedOn w:val="1"/>
    <w:link w:val="69"/>
    <w:qFormat/>
    <w:uiPriority w:val="0"/>
    <w:pPr>
      <w:tabs>
        <w:tab w:val="left" w:pos="567"/>
      </w:tabs>
      <w:spacing w:before="120" w:line="22" w:lineRule="atLeast"/>
    </w:pPr>
    <w:rPr>
      <w:rFonts w:ascii="宋体" w:hAnsi="宋体"/>
      <w:sz w:val="24"/>
    </w:rPr>
  </w:style>
  <w:style w:type="paragraph" w:styleId="18">
    <w:name w:val="Body Text Indent"/>
    <w:basedOn w:val="1"/>
    <w:next w:val="19"/>
    <w:link w:val="70"/>
    <w:qFormat/>
    <w:uiPriority w:val="0"/>
    <w:pPr>
      <w:spacing w:line="360" w:lineRule="auto"/>
      <w:ind w:firstLine="570"/>
    </w:pPr>
    <w:rPr>
      <w:sz w:val="24"/>
    </w:rPr>
  </w:style>
  <w:style w:type="paragraph" w:styleId="19">
    <w:name w:val="envelope return"/>
    <w:basedOn w:val="1"/>
    <w:qFormat/>
    <w:uiPriority w:val="0"/>
    <w:pPr>
      <w:snapToGrid w:val="0"/>
    </w:pPr>
    <w:rPr>
      <w:rFonts w:ascii="Arial" w:hAnsi="Arial"/>
    </w:rPr>
  </w:style>
  <w:style w:type="paragraph" w:styleId="20">
    <w:name w:val="List 2"/>
    <w:basedOn w:val="1"/>
    <w:qFormat/>
    <w:uiPriority w:val="0"/>
    <w:pPr>
      <w:ind w:left="100" w:leftChars="200" w:hanging="200" w:hangingChars="200"/>
    </w:pPr>
  </w:style>
  <w:style w:type="paragraph" w:styleId="21">
    <w:name w:val="Block Text"/>
    <w:basedOn w:val="1"/>
    <w:qFormat/>
    <w:uiPriority w:val="0"/>
    <w:pPr>
      <w:widowControl/>
      <w:ind w:left="480" w:right="-341" w:firstLine="513"/>
    </w:pPr>
    <w:rPr>
      <w:kern w:val="0"/>
      <w:sz w:val="24"/>
      <w:szCs w:val="20"/>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71"/>
    <w:qFormat/>
    <w:uiPriority w:val="0"/>
    <w:rPr>
      <w:rFonts w:hint="eastAsia" w:ascii="宋体" w:hAnsi="Courier New"/>
      <w:szCs w:val="20"/>
    </w:rPr>
  </w:style>
  <w:style w:type="paragraph" w:styleId="25">
    <w:name w:val="toc 8"/>
    <w:basedOn w:val="1"/>
    <w:next w:val="1"/>
    <w:qFormat/>
    <w:uiPriority w:val="0"/>
    <w:pPr>
      <w:ind w:left="2940" w:leftChars="1400"/>
    </w:pPr>
  </w:style>
  <w:style w:type="paragraph" w:styleId="26">
    <w:name w:val="Date"/>
    <w:basedOn w:val="1"/>
    <w:next w:val="1"/>
    <w:link w:val="72"/>
    <w:qFormat/>
    <w:uiPriority w:val="0"/>
    <w:pPr>
      <w:ind w:left="100" w:leftChars="2500"/>
    </w:pPr>
    <w:rPr>
      <w:rFonts w:ascii="仿宋_GB2312" w:hAnsi="宋体" w:eastAsia="仿宋_GB2312"/>
      <w:color w:val="000000"/>
      <w:sz w:val="24"/>
    </w:rPr>
  </w:style>
  <w:style w:type="paragraph" w:styleId="27">
    <w:name w:val="Body Text Indent 2"/>
    <w:basedOn w:val="1"/>
    <w:link w:val="73"/>
    <w:qFormat/>
    <w:uiPriority w:val="0"/>
    <w:pPr>
      <w:ind w:firstLine="480" w:firstLineChars="200"/>
    </w:pPr>
    <w:rPr>
      <w:rFonts w:ascii="仿宋_GB2312" w:eastAsia="仿宋_GB2312"/>
      <w:sz w:val="24"/>
    </w:rPr>
  </w:style>
  <w:style w:type="paragraph" w:styleId="28">
    <w:name w:val="Balloon Text"/>
    <w:basedOn w:val="1"/>
    <w:link w:val="74"/>
    <w:qFormat/>
    <w:uiPriority w:val="0"/>
    <w:rPr>
      <w:sz w:val="18"/>
      <w:szCs w:val="18"/>
    </w:rPr>
  </w:style>
  <w:style w:type="paragraph" w:styleId="29">
    <w:name w:val="footer"/>
    <w:basedOn w:val="1"/>
    <w:link w:val="75"/>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0">
    <w:name w:val="header"/>
    <w:basedOn w:val="1"/>
    <w:link w:val="76"/>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2">
    <w:name w:val="toc 4"/>
    <w:basedOn w:val="1"/>
    <w:next w:val="1"/>
    <w:qFormat/>
    <w:uiPriority w:val="0"/>
    <w:pPr>
      <w:ind w:left="1260" w:leftChars="600"/>
    </w:pPr>
  </w:style>
  <w:style w:type="paragraph" w:styleId="33">
    <w:name w:val="toc 6"/>
    <w:basedOn w:val="1"/>
    <w:next w:val="1"/>
    <w:qFormat/>
    <w:uiPriority w:val="0"/>
    <w:pPr>
      <w:ind w:left="2100" w:leftChars="1000"/>
    </w:pPr>
  </w:style>
  <w:style w:type="paragraph" w:styleId="34">
    <w:name w:val="Body Text Indent 3"/>
    <w:basedOn w:val="1"/>
    <w:link w:val="77"/>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5">
    <w:name w:val="toc 2"/>
    <w:basedOn w:val="1"/>
    <w:next w:val="1"/>
    <w:qFormat/>
    <w:uiPriority w:val="39"/>
    <w:pPr>
      <w:tabs>
        <w:tab w:val="right" w:leader="dot" w:pos="8937"/>
      </w:tabs>
      <w:spacing w:line="312" w:lineRule="auto"/>
      <w:ind w:left="420" w:leftChars="200"/>
    </w:pPr>
  </w:style>
  <w:style w:type="paragraph" w:styleId="36">
    <w:name w:val="toc 9"/>
    <w:basedOn w:val="1"/>
    <w:next w:val="1"/>
    <w:qFormat/>
    <w:uiPriority w:val="0"/>
    <w:pPr>
      <w:ind w:left="3360" w:leftChars="1600"/>
    </w:pPr>
  </w:style>
  <w:style w:type="paragraph" w:styleId="37">
    <w:name w:val="Message Header"/>
    <w:basedOn w:val="1"/>
    <w:next w:val="17"/>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sz w:val="24"/>
    </w:rPr>
  </w:style>
  <w:style w:type="paragraph" w:styleId="38">
    <w:name w:val="HTML Preformatted"/>
    <w:basedOn w:val="1"/>
    <w:link w:val="7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0">
    <w:name w:val="index 1"/>
    <w:basedOn w:val="1"/>
    <w:next w:val="1"/>
    <w:qFormat/>
    <w:uiPriority w:val="0"/>
    <w:rPr>
      <w:szCs w:val="20"/>
    </w:rPr>
  </w:style>
  <w:style w:type="paragraph" w:styleId="41">
    <w:name w:val="Title"/>
    <w:basedOn w:val="1"/>
    <w:link w:val="79"/>
    <w:qFormat/>
    <w:uiPriority w:val="0"/>
    <w:pPr>
      <w:jc w:val="center"/>
      <w:outlineLvl w:val="0"/>
    </w:pPr>
    <w:rPr>
      <w:b/>
      <w:sz w:val="32"/>
      <w:szCs w:val="20"/>
    </w:rPr>
  </w:style>
  <w:style w:type="paragraph" w:styleId="42">
    <w:name w:val="annotation subject"/>
    <w:basedOn w:val="15"/>
    <w:next w:val="15"/>
    <w:link w:val="80"/>
    <w:qFormat/>
    <w:uiPriority w:val="0"/>
    <w:rPr>
      <w:b/>
      <w:bCs/>
    </w:rPr>
  </w:style>
  <w:style w:type="paragraph" w:styleId="43">
    <w:name w:val="Body Text First Indent 2"/>
    <w:basedOn w:val="18"/>
    <w:next w:val="1"/>
    <w:link w:val="82"/>
    <w:qFormat/>
    <w:uiPriority w:val="0"/>
    <w:pPr>
      <w:spacing w:after="120" w:line="480" w:lineRule="exact"/>
      <w:ind w:left="420" w:leftChars="200" w:firstLine="420" w:firstLineChars="200"/>
    </w:pPr>
    <w:rPr>
      <w:szCs w:val="20"/>
    </w:rPr>
  </w:style>
  <w:style w:type="table" w:styleId="45">
    <w:name w:val="Table Grid"/>
    <w:basedOn w:val="44"/>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6">
    <w:name w:val="Medium Grid 1 Accent 2"/>
    <w:basedOn w:val="44"/>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8">
    <w:name w:val="Strong"/>
    <w:qFormat/>
    <w:uiPriority w:val="0"/>
    <w:rPr>
      <w:b/>
      <w:bCs/>
    </w:rPr>
  </w:style>
  <w:style w:type="character" w:styleId="49">
    <w:name w:val="page number"/>
    <w:basedOn w:val="47"/>
    <w:qFormat/>
    <w:uiPriority w:val="0"/>
  </w:style>
  <w:style w:type="character" w:styleId="50">
    <w:name w:val="FollowedHyperlink"/>
    <w:qFormat/>
    <w:uiPriority w:val="0"/>
    <w:rPr>
      <w:color w:val="800080"/>
      <w:u w:val="single"/>
    </w:rPr>
  </w:style>
  <w:style w:type="character" w:styleId="51">
    <w:name w:val="Emphasis"/>
    <w:qFormat/>
    <w:uiPriority w:val="0"/>
    <w:rPr>
      <w:color w:val="CC0033"/>
    </w:rPr>
  </w:style>
  <w:style w:type="character" w:styleId="52">
    <w:name w:val="Hyperlink"/>
    <w:qFormat/>
    <w:uiPriority w:val="99"/>
    <w:rPr>
      <w:color w:val="0000FF"/>
      <w:u w:val="single"/>
    </w:rPr>
  </w:style>
  <w:style w:type="character" w:styleId="53">
    <w:name w:val="annotation reference"/>
    <w:qFormat/>
    <w:uiPriority w:val="99"/>
    <w:rPr>
      <w:sz w:val="21"/>
      <w:szCs w:val="21"/>
    </w:rPr>
  </w:style>
  <w:style w:type="character" w:styleId="54">
    <w:name w:val="HTML Cite"/>
    <w:qFormat/>
    <w:uiPriority w:val="0"/>
    <w:rPr>
      <w:i/>
      <w:iCs/>
    </w:rPr>
  </w:style>
  <w:style w:type="paragraph" w:customStyle="1" w:styleId="55">
    <w:name w:val="样式 10 磅13"/>
    <w:qFormat/>
    <w:uiPriority w:val="0"/>
    <w:pPr>
      <w:widowControl w:val="0"/>
      <w:jc w:val="both"/>
    </w:pPr>
    <w:rPr>
      <w:rFonts w:ascii="Calibri" w:hAnsi="Calibri" w:eastAsia="宋体" w:cs="Times New Roman"/>
      <w:kern w:val="2"/>
      <w:sz w:val="21"/>
      <w:szCs w:val="24"/>
      <w:lang w:val="en-US" w:eastAsia="zh-CN" w:bidi="ar-SA"/>
    </w:rPr>
  </w:style>
  <w:style w:type="character" w:customStyle="1" w:styleId="56">
    <w:name w:val="标题 1 字符"/>
    <w:basedOn w:val="47"/>
    <w:link w:val="2"/>
    <w:qFormat/>
    <w:uiPriority w:val="0"/>
    <w:rPr>
      <w:rFonts w:ascii="宋体"/>
      <w:b/>
      <w:kern w:val="44"/>
      <w:sz w:val="32"/>
    </w:rPr>
  </w:style>
  <w:style w:type="character" w:customStyle="1" w:styleId="57">
    <w:name w:val="标题 2 字符"/>
    <w:link w:val="3"/>
    <w:qFormat/>
    <w:uiPriority w:val="0"/>
    <w:rPr>
      <w:rFonts w:ascii="Arial" w:hAnsi="Arial" w:eastAsia="黑体"/>
      <w:b/>
      <w:sz w:val="30"/>
      <w:lang w:val="en-US" w:eastAsia="zh-CN" w:bidi="ar-SA"/>
    </w:rPr>
  </w:style>
  <w:style w:type="character" w:customStyle="1" w:styleId="58">
    <w:name w:val="正文缩进 字符"/>
    <w:link w:val="12"/>
    <w:qFormat/>
    <w:uiPriority w:val="0"/>
    <w:rPr>
      <w:rFonts w:ascii="宋体" w:eastAsia="宋体"/>
      <w:kern w:val="2"/>
      <w:sz w:val="24"/>
      <w:szCs w:val="24"/>
      <w:lang w:val="en-US" w:eastAsia="zh-CN" w:bidi="ar-SA"/>
    </w:rPr>
  </w:style>
  <w:style w:type="character" w:customStyle="1" w:styleId="59">
    <w:name w:val="标题 3 字符"/>
    <w:link w:val="4"/>
    <w:qFormat/>
    <w:uiPriority w:val="0"/>
    <w:rPr>
      <w:rFonts w:ascii="宋体" w:eastAsia="宋体"/>
      <w:b/>
      <w:sz w:val="24"/>
      <w:u w:val="single"/>
      <w:lang w:val="en-US" w:eastAsia="zh-CN" w:bidi="ar-SA"/>
    </w:rPr>
  </w:style>
  <w:style w:type="character" w:customStyle="1" w:styleId="60">
    <w:name w:val="标题 4 字符"/>
    <w:basedOn w:val="47"/>
    <w:link w:val="5"/>
    <w:qFormat/>
    <w:uiPriority w:val="0"/>
    <w:rPr>
      <w:rFonts w:ascii="Arial" w:hAnsi="Arial" w:eastAsia="黑体"/>
      <w:b/>
      <w:sz w:val="28"/>
    </w:rPr>
  </w:style>
  <w:style w:type="character" w:customStyle="1" w:styleId="61">
    <w:name w:val="标题 5 字符"/>
    <w:basedOn w:val="47"/>
    <w:link w:val="6"/>
    <w:qFormat/>
    <w:uiPriority w:val="0"/>
    <w:rPr>
      <w:b/>
      <w:sz w:val="28"/>
    </w:rPr>
  </w:style>
  <w:style w:type="character" w:customStyle="1" w:styleId="62">
    <w:name w:val="标题 6 字符"/>
    <w:basedOn w:val="47"/>
    <w:link w:val="7"/>
    <w:qFormat/>
    <w:uiPriority w:val="0"/>
    <w:rPr>
      <w:rFonts w:ascii="Arial" w:hAnsi="Arial" w:eastAsia="黑体"/>
      <w:b/>
      <w:sz w:val="24"/>
    </w:rPr>
  </w:style>
  <w:style w:type="character" w:customStyle="1" w:styleId="63">
    <w:name w:val="标题 7 字符"/>
    <w:basedOn w:val="47"/>
    <w:link w:val="8"/>
    <w:qFormat/>
    <w:uiPriority w:val="0"/>
    <w:rPr>
      <w:b/>
      <w:sz w:val="24"/>
    </w:rPr>
  </w:style>
  <w:style w:type="character" w:customStyle="1" w:styleId="64">
    <w:name w:val="标题 8 字符"/>
    <w:basedOn w:val="47"/>
    <w:link w:val="9"/>
    <w:qFormat/>
    <w:uiPriority w:val="0"/>
    <w:rPr>
      <w:rFonts w:ascii="Arial" w:hAnsi="Arial" w:eastAsia="黑体"/>
      <w:sz w:val="24"/>
    </w:rPr>
  </w:style>
  <w:style w:type="character" w:customStyle="1" w:styleId="65">
    <w:name w:val="标题 9 字符"/>
    <w:basedOn w:val="47"/>
    <w:link w:val="10"/>
    <w:qFormat/>
    <w:uiPriority w:val="0"/>
    <w:rPr>
      <w:rFonts w:ascii="Arial" w:hAnsi="Arial" w:eastAsia="黑体"/>
      <w:sz w:val="21"/>
    </w:rPr>
  </w:style>
  <w:style w:type="character" w:customStyle="1" w:styleId="66">
    <w:name w:val="文档结构图 字符"/>
    <w:basedOn w:val="47"/>
    <w:link w:val="14"/>
    <w:qFormat/>
    <w:uiPriority w:val="0"/>
    <w:rPr>
      <w:kern w:val="2"/>
      <w:sz w:val="21"/>
      <w:szCs w:val="24"/>
      <w:shd w:val="clear" w:color="auto" w:fill="000080"/>
    </w:rPr>
  </w:style>
  <w:style w:type="character" w:customStyle="1" w:styleId="67">
    <w:name w:val="批注文字 字符1"/>
    <w:link w:val="15"/>
    <w:qFormat/>
    <w:uiPriority w:val="99"/>
    <w:rPr>
      <w:kern w:val="2"/>
      <w:sz w:val="21"/>
      <w:szCs w:val="24"/>
    </w:rPr>
  </w:style>
  <w:style w:type="character" w:customStyle="1" w:styleId="68">
    <w:name w:val="正文文本 3 字符"/>
    <w:basedOn w:val="47"/>
    <w:link w:val="16"/>
    <w:qFormat/>
    <w:uiPriority w:val="0"/>
    <w:rPr>
      <w:kern w:val="2"/>
      <w:sz w:val="16"/>
      <w:szCs w:val="16"/>
    </w:rPr>
  </w:style>
  <w:style w:type="character" w:customStyle="1" w:styleId="69">
    <w:name w:val="正文文本 字符"/>
    <w:basedOn w:val="47"/>
    <w:link w:val="17"/>
    <w:qFormat/>
    <w:uiPriority w:val="0"/>
    <w:rPr>
      <w:rFonts w:ascii="宋体" w:hAnsi="宋体"/>
      <w:kern w:val="2"/>
      <w:sz w:val="24"/>
      <w:szCs w:val="24"/>
    </w:rPr>
  </w:style>
  <w:style w:type="character" w:customStyle="1" w:styleId="70">
    <w:name w:val="正文文本缩进 字符"/>
    <w:link w:val="18"/>
    <w:qFormat/>
    <w:uiPriority w:val="0"/>
    <w:rPr>
      <w:rFonts w:eastAsia="宋体"/>
      <w:kern w:val="2"/>
      <w:sz w:val="24"/>
      <w:szCs w:val="24"/>
      <w:lang w:val="en-US" w:eastAsia="zh-CN" w:bidi="ar-SA"/>
    </w:rPr>
  </w:style>
  <w:style w:type="character" w:customStyle="1" w:styleId="71">
    <w:name w:val="纯文本 字符2"/>
    <w:basedOn w:val="47"/>
    <w:link w:val="24"/>
    <w:qFormat/>
    <w:uiPriority w:val="0"/>
    <w:rPr>
      <w:rFonts w:hint="eastAsia" w:ascii="宋体" w:hAnsi="Courier New" w:eastAsia="宋体" w:cs="宋体"/>
      <w:kern w:val="2"/>
      <w:sz w:val="21"/>
    </w:rPr>
  </w:style>
  <w:style w:type="character" w:customStyle="1" w:styleId="72">
    <w:name w:val="日期 字符"/>
    <w:basedOn w:val="47"/>
    <w:link w:val="26"/>
    <w:qFormat/>
    <w:uiPriority w:val="0"/>
    <w:rPr>
      <w:rFonts w:ascii="仿宋_GB2312" w:hAnsi="宋体" w:eastAsia="仿宋_GB2312"/>
      <w:color w:val="000000"/>
      <w:kern w:val="2"/>
      <w:sz w:val="24"/>
      <w:szCs w:val="24"/>
    </w:rPr>
  </w:style>
  <w:style w:type="character" w:customStyle="1" w:styleId="73">
    <w:name w:val="正文文本缩进 2 字符"/>
    <w:basedOn w:val="47"/>
    <w:link w:val="27"/>
    <w:qFormat/>
    <w:uiPriority w:val="0"/>
    <w:rPr>
      <w:rFonts w:ascii="仿宋_GB2312" w:eastAsia="仿宋_GB2312"/>
      <w:kern w:val="2"/>
      <w:sz w:val="24"/>
      <w:szCs w:val="24"/>
    </w:rPr>
  </w:style>
  <w:style w:type="character" w:customStyle="1" w:styleId="74">
    <w:name w:val="批注框文本 字符"/>
    <w:basedOn w:val="47"/>
    <w:link w:val="28"/>
    <w:qFormat/>
    <w:uiPriority w:val="0"/>
    <w:rPr>
      <w:kern w:val="2"/>
      <w:sz w:val="18"/>
      <w:szCs w:val="18"/>
    </w:rPr>
  </w:style>
  <w:style w:type="character" w:customStyle="1" w:styleId="75">
    <w:name w:val="页脚 字符"/>
    <w:link w:val="29"/>
    <w:qFormat/>
    <w:uiPriority w:val="99"/>
    <w:rPr>
      <w:rFonts w:ascii="宋体" w:eastAsia="宋体"/>
      <w:sz w:val="18"/>
      <w:lang w:val="en-US" w:eastAsia="zh-CN" w:bidi="ar-SA"/>
    </w:rPr>
  </w:style>
  <w:style w:type="character" w:customStyle="1" w:styleId="76">
    <w:name w:val="页眉 字符"/>
    <w:link w:val="30"/>
    <w:qFormat/>
    <w:uiPriority w:val="99"/>
    <w:rPr>
      <w:rFonts w:eastAsia="宋体"/>
      <w:kern w:val="2"/>
      <w:sz w:val="18"/>
      <w:szCs w:val="18"/>
      <w:lang w:val="en-US" w:eastAsia="zh-CN" w:bidi="ar-SA"/>
    </w:rPr>
  </w:style>
  <w:style w:type="character" w:customStyle="1" w:styleId="77">
    <w:name w:val="正文文本缩进 3 字符"/>
    <w:basedOn w:val="47"/>
    <w:link w:val="34"/>
    <w:qFormat/>
    <w:uiPriority w:val="0"/>
    <w:rPr>
      <w:rFonts w:ascii="宋体"/>
      <w:sz w:val="24"/>
    </w:rPr>
  </w:style>
  <w:style w:type="character" w:customStyle="1" w:styleId="78">
    <w:name w:val="HTML 预设格式 字符"/>
    <w:basedOn w:val="47"/>
    <w:link w:val="38"/>
    <w:qFormat/>
    <w:uiPriority w:val="0"/>
    <w:rPr>
      <w:rFonts w:ascii="宋体" w:hAnsi="宋体" w:cs="宋体"/>
      <w:sz w:val="24"/>
      <w:szCs w:val="24"/>
    </w:rPr>
  </w:style>
  <w:style w:type="character" w:customStyle="1" w:styleId="79">
    <w:name w:val="标题 字符"/>
    <w:link w:val="41"/>
    <w:qFormat/>
    <w:uiPriority w:val="0"/>
    <w:rPr>
      <w:b/>
      <w:kern w:val="2"/>
      <w:sz w:val="32"/>
    </w:rPr>
  </w:style>
  <w:style w:type="character" w:customStyle="1" w:styleId="80">
    <w:name w:val="批注主题 字符"/>
    <w:basedOn w:val="81"/>
    <w:link w:val="42"/>
    <w:qFormat/>
    <w:uiPriority w:val="0"/>
    <w:rPr>
      <w:rFonts w:ascii="Times New Roman" w:hAnsi="Times New Roman" w:eastAsia="宋体" w:cs="Times New Roman"/>
      <w:b/>
      <w:bCs/>
      <w:kern w:val="2"/>
      <w:sz w:val="21"/>
      <w:szCs w:val="24"/>
      <w:lang w:val="en-US" w:eastAsia="zh-CN" w:bidi="ar-SA"/>
    </w:rPr>
  </w:style>
  <w:style w:type="character" w:customStyle="1" w:styleId="81">
    <w:name w:val="批注文字 字符"/>
    <w:qFormat/>
    <w:uiPriority w:val="99"/>
    <w:rPr>
      <w:rFonts w:ascii="Times New Roman" w:hAnsi="Times New Roman" w:eastAsia="宋体" w:cs="Times New Roman"/>
      <w:sz w:val="24"/>
      <w:lang w:val="en-US" w:eastAsia="zh-CN" w:bidi="ar-SA"/>
    </w:rPr>
  </w:style>
  <w:style w:type="character" w:customStyle="1" w:styleId="82">
    <w:name w:val="正文首行缩进 2 字符"/>
    <w:basedOn w:val="70"/>
    <w:link w:val="43"/>
    <w:qFormat/>
    <w:uiPriority w:val="0"/>
    <w:rPr>
      <w:rFonts w:eastAsia="宋体"/>
      <w:kern w:val="2"/>
      <w:sz w:val="24"/>
      <w:szCs w:val="24"/>
      <w:lang w:val="en-US" w:eastAsia="zh-CN" w:bidi="ar-SA"/>
    </w:rPr>
  </w:style>
  <w:style w:type="character" w:customStyle="1" w:styleId="83">
    <w:name w:val="c21"/>
    <w:qFormat/>
    <w:uiPriority w:val="0"/>
    <w:rPr>
      <w:rFonts w:hint="default" w:ascii="ˎ̥" w:hAnsi="ˎ̥"/>
      <w:color w:val="000000"/>
      <w:sz w:val="20"/>
      <w:szCs w:val="20"/>
      <w:u w:val="none"/>
    </w:rPr>
  </w:style>
  <w:style w:type="character" w:customStyle="1" w:styleId="84">
    <w:name w:val="title4"/>
    <w:qFormat/>
    <w:uiPriority w:val="0"/>
    <w:rPr>
      <w:b/>
      <w:bCs/>
      <w:color w:val="1D87B3"/>
      <w:sz w:val="15"/>
      <w:szCs w:val="15"/>
    </w:rPr>
  </w:style>
  <w:style w:type="character" w:customStyle="1" w:styleId="85">
    <w:name w:val="标题 2 Char Char"/>
    <w:qFormat/>
    <w:uiPriority w:val="0"/>
    <w:rPr>
      <w:rFonts w:ascii="Arial" w:hAnsi="Arial" w:eastAsia="黑体"/>
      <w:b/>
      <w:bCs/>
      <w:kern w:val="2"/>
      <w:sz w:val="32"/>
      <w:szCs w:val="32"/>
      <w:lang w:val="en-US" w:eastAsia="zh-CN" w:bidi="ar-SA"/>
    </w:rPr>
  </w:style>
  <w:style w:type="character" w:customStyle="1" w:styleId="86">
    <w:name w:val="black1"/>
    <w:qFormat/>
    <w:uiPriority w:val="0"/>
    <w:rPr>
      <w:color w:val="000000"/>
    </w:rPr>
  </w:style>
  <w:style w:type="character" w:customStyle="1" w:styleId="87">
    <w:name w:val="street-address"/>
    <w:basedOn w:val="47"/>
    <w:qFormat/>
    <w:uiPriority w:val="0"/>
  </w:style>
  <w:style w:type="character" w:customStyle="1" w:styleId="88">
    <w:name w:val="locality"/>
    <w:basedOn w:val="47"/>
    <w:qFormat/>
    <w:uiPriority w:val="0"/>
  </w:style>
  <w:style w:type="character" w:customStyle="1" w:styleId="89">
    <w:name w:val="正文文本缩进 Char1"/>
    <w:link w:val="90"/>
    <w:qFormat/>
    <w:uiPriority w:val="0"/>
    <w:rPr>
      <w:rFonts w:ascii="宋体" w:hAnsi="宋体" w:eastAsia="宋体"/>
      <w:sz w:val="24"/>
      <w:szCs w:val="24"/>
      <w:lang w:bidi="ar-SA"/>
    </w:rPr>
  </w:style>
  <w:style w:type="paragraph" w:customStyle="1" w:styleId="90">
    <w:name w:val="正文文本缩进1"/>
    <w:basedOn w:val="1"/>
    <w:link w:val="89"/>
    <w:qFormat/>
    <w:uiPriority w:val="0"/>
    <w:pPr>
      <w:spacing w:line="480" w:lineRule="exact"/>
      <w:ind w:firstLine="480" w:firstLineChars="200"/>
    </w:pPr>
    <w:rPr>
      <w:rFonts w:ascii="宋体" w:hAnsi="宋体"/>
      <w:kern w:val="0"/>
      <w:sz w:val="24"/>
    </w:rPr>
  </w:style>
  <w:style w:type="character" w:customStyle="1" w:styleId="91">
    <w:name w:val="Char Char11"/>
    <w:qFormat/>
    <w:uiPriority w:val="0"/>
    <w:rPr>
      <w:rFonts w:ascii="宋体" w:eastAsia="宋体"/>
      <w:b/>
      <w:sz w:val="24"/>
      <w:u w:val="single"/>
      <w:lang w:val="en-US" w:eastAsia="zh-CN" w:bidi="ar-SA"/>
    </w:rPr>
  </w:style>
  <w:style w:type="character" w:customStyle="1" w:styleId="92">
    <w:name w:val="txt"/>
    <w:basedOn w:val="47"/>
    <w:qFormat/>
    <w:uiPriority w:val="0"/>
  </w:style>
  <w:style w:type="character" w:customStyle="1" w:styleId="93">
    <w:name w:val="正文缩进 Char Char"/>
    <w:link w:val="94"/>
    <w:qFormat/>
    <w:uiPriority w:val="0"/>
    <w:rPr>
      <w:rFonts w:ascii="宋体" w:eastAsia="宋体"/>
      <w:snapToGrid w:val="0"/>
      <w:color w:val="000000"/>
      <w:kern w:val="28"/>
      <w:sz w:val="28"/>
      <w:lang w:bidi="ar-SA"/>
    </w:rPr>
  </w:style>
  <w:style w:type="paragraph" w:customStyle="1" w:styleId="94">
    <w:name w:val="正文缩进1"/>
    <w:basedOn w:val="1"/>
    <w:link w:val="93"/>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95">
    <w:name w:val="普通文字1 Char1"/>
    <w:qFormat/>
    <w:uiPriority w:val="0"/>
    <w:rPr>
      <w:rFonts w:ascii="宋体" w:hAnsi="Courier New" w:eastAsia="宋体"/>
      <w:kern w:val="2"/>
      <w:sz w:val="21"/>
      <w:lang w:val="en-US" w:eastAsia="zh-CN" w:bidi="ar-SA"/>
    </w:rPr>
  </w:style>
  <w:style w:type="character" w:customStyle="1" w:styleId="96">
    <w:name w:val="chanpin1"/>
    <w:qFormat/>
    <w:uiPriority w:val="0"/>
    <w:rPr>
      <w:rFonts w:hint="default" w:ascii="ˎ̥" w:hAnsi="ˎ̥"/>
      <w:color w:val="000000"/>
      <w:sz w:val="20"/>
      <w:szCs w:val="20"/>
      <w:u w:val="none"/>
    </w:rPr>
  </w:style>
  <w:style w:type="character" w:customStyle="1" w:styleId="97">
    <w:name w:val="列出段落 字符"/>
    <w:link w:val="98"/>
    <w:qFormat/>
    <w:uiPriority w:val="34"/>
    <w:rPr>
      <w:rFonts w:ascii="Calibri" w:hAnsi="Calibri" w:eastAsia="宋体"/>
      <w:kern w:val="2"/>
      <w:sz w:val="21"/>
      <w:szCs w:val="22"/>
      <w:lang w:val="en-US" w:eastAsia="zh-CN" w:bidi="ar-SA"/>
    </w:rPr>
  </w:style>
  <w:style w:type="paragraph" w:styleId="98">
    <w:name w:val="List Paragraph"/>
    <w:basedOn w:val="1"/>
    <w:link w:val="97"/>
    <w:qFormat/>
    <w:uiPriority w:val="34"/>
    <w:pPr>
      <w:ind w:firstLine="420" w:firstLineChars="200"/>
    </w:pPr>
    <w:rPr>
      <w:rFonts w:ascii="Calibri" w:hAnsi="Calibri"/>
      <w:szCs w:val="22"/>
    </w:rPr>
  </w:style>
  <w:style w:type="character" w:customStyle="1" w:styleId="99">
    <w:name w:val="标题 3 Char Char"/>
    <w:qFormat/>
    <w:uiPriority w:val="0"/>
    <w:rPr>
      <w:rFonts w:eastAsia="宋体"/>
      <w:b/>
      <w:bCs/>
      <w:kern w:val="2"/>
      <w:sz w:val="32"/>
      <w:szCs w:val="32"/>
      <w:lang w:val="en-US" w:eastAsia="zh-CN" w:bidi="ar-SA"/>
    </w:rPr>
  </w:style>
  <w:style w:type="character" w:customStyle="1" w:styleId="100">
    <w:name w:val="段1 Char"/>
    <w:qFormat/>
    <w:uiPriority w:val="0"/>
    <w:rPr>
      <w:rFonts w:ascii="宋体" w:eastAsia="宋体"/>
      <w:sz w:val="24"/>
      <w:lang w:val="en-US" w:eastAsia="zh-CN" w:bidi="ar-SA"/>
    </w:rPr>
  </w:style>
  <w:style w:type="character" w:customStyle="1" w:styleId="101">
    <w:name w:val="chanpin拷贝"/>
    <w:basedOn w:val="47"/>
    <w:qFormat/>
    <w:uiPriority w:val="0"/>
  </w:style>
  <w:style w:type="character" w:customStyle="1" w:styleId="102">
    <w:name w:val="纯文本 Char1"/>
    <w:qFormat/>
    <w:uiPriority w:val="0"/>
    <w:rPr>
      <w:rFonts w:ascii="宋体" w:hAnsi="Courier New" w:eastAsia="宋体"/>
      <w:kern w:val="2"/>
      <w:sz w:val="21"/>
      <w:lang w:val="en-US" w:eastAsia="zh-CN" w:bidi="ar-SA"/>
    </w:rPr>
  </w:style>
  <w:style w:type="character" w:customStyle="1" w:styleId="103">
    <w:name w:val="apple-style-span"/>
    <w:qFormat/>
    <w:uiPriority w:val="0"/>
    <w:rPr>
      <w:rFonts w:cs="Times New Roman"/>
    </w:rPr>
  </w:style>
  <w:style w:type="paragraph" w:customStyle="1" w:styleId="104">
    <w:name w:val="二级条标题"/>
    <w:basedOn w:val="105"/>
    <w:next w:val="1"/>
    <w:qFormat/>
    <w:uiPriority w:val="0"/>
    <w:pPr>
      <w:numPr>
        <w:ilvl w:val="0"/>
        <w:numId w:val="0"/>
      </w:numPr>
      <w:tabs>
        <w:tab w:val="left" w:pos="360"/>
        <w:tab w:val="left" w:pos="840"/>
      </w:tabs>
      <w:ind w:hanging="840"/>
      <w:outlineLvl w:val="2"/>
    </w:pPr>
    <w:rPr>
      <w:rFonts w:ascii="宋体" w:eastAsia="宋体"/>
      <w:b w:val="0"/>
    </w:rPr>
  </w:style>
  <w:style w:type="paragraph" w:customStyle="1" w:styleId="105">
    <w:name w:val="一级条标题"/>
    <w:basedOn w:val="106"/>
    <w:next w:val="1"/>
    <w:qFormat/>
    <w:uiPriority w:val="0"/>
    <w:pPr>
      <w:numPr>
        <w:ilvl w:val="1"/>
      </w:numPr>
      <w:tabs>
        <w:tab w:val="left" w:pos="360"/>
        <w:tab w:val="left" w:pos="840"/>
      </w:tabs>
      <w:ind w:left="0" w:hanging="840"/>
      <w:outlineLvl w:val="1"/>
    </w:pPr>
  </w:style>
  <w:style w:type="paragraph" w:customStyle="1" w:styleId="106">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07">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08">
    <w:name w:val="字元 字元"/>
    <w:basedOn w:val="1"/>
    <w:qFormat/>
    <w:uiPriority w:val="0"/>
    <w:rPr>
      <w:rFonts w:ascii="Tahoma" w:hAnsi="Tahoma"/>
      <w:sz w:val="24"/>
      <w:szCs w:val="20"/>
    </w:rPr>
  </w:style>
  <w:style w:type="paragraph" w:customStyle="1" w:styleId="109">
    <w:name w:val="Char3 Char Char Char"/>
    <w:basedOn w:val="1"/>
    <w:qFormat/>
    <w:uiPriority w:val="0"/>
    <w:rPr>
      <w:rFonts w:ascii="Tahoma" w:hAnsi="Tahoma"/>
      <w:sz w:val="24"/>
      <w:szCs w:val="20"/>
    </w:rPr>
  </w:style>
  <w:style w:type="paragraph" w:customStyle="1" w:styleId="110">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11">
    <w:name w:val="项目编号2"/>
    <w:basedOn w:val="112"/>
    <w:qFormat/>
    <w:uiPriority w:val="0"/>
    <w:pPr>
      <w:numPr>
        <w:numId w:val="2"/>
      </w:numPr>
    </w:pPr>
  </w:style>
  <w:style w:type="paragraph" w:customStyle="1" w:styleId="112">
    <w:name w:val="项目编号1"/>
    <w:basedOn w:val="1"/>
    <w:qFormat/>
    <w:uiPriority w:val="0"/>
    <w:pPr>
      <w:numPr>
        <w:ilvl w:val="0"/>
        <w:numId w:val="3"/>
      </w:numPr>
      <w:spacing w:before="100" w:beforeAutospacing="1" w:after="100" w:afterAutospacing="1" w:line="360" w:lineRule="auto"/>
    </w:pPr>
    <w:rPr>
      <w:sz w:val="24"/>
    </w:rPr>
  </w:style>
  <w:style w:type="paragraph" w:customStyle="1" w:styleId="113">
    <w:name w:val="图中文字"/>
    <w:basedOn w:val="1"/>
    <w:qFormat/>
    <w:uiPriority w:val="0"/>
    <w:pPr>
      <w:adjustRightInd w:val="0"/>
      <w:snapToGrid w:val="0"/>
      <w:spacing w:line="0" w:lineRule="atLeast"/>
      <w:jc w:val="center"/>
    </w:pPr>
    <w:rPr>
      <w:sz w:val="24"/>
      <w:szCs w:val="20"/>
    </w:rPr>
  </w:style>
  <w:style w:type="paragraph" w:customStyle="1" w:styleId="114">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1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16">
    <w:name w:val="Char2"/>
    <w:basedOn w:val="1"/>
    <w:qFormat/>
    <w:uiPriority w:val="0"/>
    <w:rPr>
      <w:rFonts w:ascii="Tahoma" w:hAnsi="Tahoma"/>
      <w:sz w:val="24"/>
      <w:szCs w:val="20"/>
    </w:rPr>
  </w:style>
  <w:style w:type="paragraph" w:customStyle="1" w:styleId="117">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8">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9">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20">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1">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122">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23">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24">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25">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26">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27">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28">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9">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30">
    <w:name w:val="font8"/>
    <w:basedOn w:val="1"/>
    <w:qFormat/>
    <w:uiPriority w:val="0"/>
    <w:pPr>
      <w:widowControl/>
      <w:spacing w:before="100" w:beforeAutospacing="1" w:after="100" w:afterAutospacing="1"/>
      <w:jc w:val="left"/>
    </w:pPr>
    <w:rPr>
      <w:kern w:val="0"/>
      <w:sz w:val="36"/>
      <w:szCs w:val="36"/>
    </w:rPr>
  </w:style>
  <w:style w:type="paragraph" w:customStyle="1" w:styleId="131">
    <w:name w:val="Char"/>
    <w:basedOn w:val="1"/>
    <w:qFormat/>
    <w:uiPriority w:val="0"/>
    <w:pPr>
      <w:tabs>
        <w:tab w:val="left" w:pos="360"/>
      </w:tabs>
    </w:pPr>
    <w:rPr>
      <w:sz w:val="24"/>
    </w:rPr>
  </w:style>
  <w:style w:type="paragraph" w:customStyle="1" w:styleId="132">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33">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34">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5">
    <w:name w:val="Char Char1"/>
    <w:basedOn w:val="14"/>
    <w:qFormat/>
    <w:uiPriority w:val="0"/>
    <w:rPr>
      <w:rFonts w:ascii="Tahoma" w:hAnsi="Tahoma"/>
      <w:sz w:val="24"/>
    </w:rPr>
  </w:style>
  <w:style w:type="paragraph" w:customStyle="1" w:styleId="13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3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8">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9">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40">
    <w:name w:val="Char1 Char Char Char1"/>
    <w:basedOn w:val="1"/>
    <w:qFormat/>
    <w:uiPriority w:val="0"/>
    <w:rPr>
      <w:rFonts w:ascii="Tahoma" w:hAnsi="Tahoma" w:cs="仿宋_GB2312"/>
      <w:sz w:val="24"/>
      <w:szCs w:val="28"/>
    </w:rPr>
  </w:style>
  <w:style w:type="paragraph" w:customStyle="1" w:styleId="141">
    <w:name w:val="四级条标题"/>
    <w:basedOn w:val="142"/>
    <w:next w:val="1"/>
    <w:qFormat/>
    <w:uiPriority w:val="0"/>
    <w:pPr>
      <w:numPr>
        <w:ilvl w:val="4"/>
      </w:numPr>
      <w:tabs>
        <w:tab w:val="left" w:pos="360"/>
        <w:tab w:val="left" w:pos="840"/>
      </w:tabs>
      <w:ind w:left="0" w:hanging="840"/>
      <w:outlineLvl w:val="4"/>
    </w:pPr>
  </w:style>
  <w:style w:type="paragraph" w:customStyle="1" w:styleId="142">
    <w:name w:val="三级条标题"/>
    <w:basedOn w:val="104"/>
    <w:next w:val="1"/>
    <w:qFormat/>
    <w:uiPriority w:val="0"/>
    <w:pPr>
      <w:numPr>
        <w:ilvl w:val="3"/>
        <w:numId w:val="1"/>
      </w:numPr>
      <w:ind w:left="0" w:hanging="840"/>
      <w:outlineLvl w:val="3"/>
    </w:pPr>
  </w:style>
  <w:style w:type="paragraph" w:customStyle="1" w:styleId="143">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44">
    <w:name w:val="样式 标题 2 + 宋体 五号 行距: 单倍行距"/>
    <w:basedOn w:val="3"/>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45">
    <w:name w:val="List Paragraph1"/>
    <w:basedOn w:val="1"/>
    <w:qFormat/>
    <w:uiPriority w:val="0"/>
    <w:pPr>
      <w:ind w:firstLine="420" w:firstLineChars="200"/>
    </w:pPr>
    <w:rPr>
      <w:rFonts w:ascii="Calibri" w:hAnsi="Calibri"/>
      <w:szCs w:val="22"/>
    </w:rPr>
  </w:style>
  <w:style w:type="paragraph" w:customStyle="1" w:styleId="146">
    <w:name w:val="项目符号1"/>
    <w:basedOn w:val="147"/>
    <w:qFormat/>
    <w:uiPriority w:val="0"/>
    <w:pPr>
      <w:ind w:left="-25" w:firstLine="0"/>
    </w:pPr>
  </w:style>
  <w:style w:type="paragraph" w:customStyle="1" w:styleId="147">
    <w:name w:val="正文文本样式"/>
    <w:basedOn w:val="1"/>
    <w:qFormat/>
    <w:uiPriority w:val="0"/>
    <w:pPr>
      <w:spacing w:line="360" w:lineRule="auto"/>
      <w:ind w:firstLine="482"/>
    </w:pPr>
    <w:rPr>
      <w:rFonts w:cs="宋体"/>
      <w:sz w:val="24"/>
      <w:szCs w:val="20"/>
    </w:rPr>
  </w:style>
  <w:style w:type="paragraph" w:customStyle="1" w:styleId="148">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49">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50">
    <w:name w:val="五级条标题"/>
    <w:basedOn w:val="141"/>
    <w:next w:val="1"/>
    <w:qFormat/>
    <w:uiPriority w:val="0"/>
    <w:pPr>
      <w:numPr>
        <w:ilvl w:val="5"/>
      </w:numPr>
      <w:ind w:left="0" w:hanging="840"/>
      <w:outlineLvl w:val="5"/>
    </w:pPr>
  </w:style>
  <w:style w:type="paragraph" w:customStyle="1" w:styleId="151">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52">
    <w:name w:val="文档正文"/>
    <w:basedOn w:val="1"/>
    <w:qFormat/>
    <w:uiPriority w:val="0"/>
    <w:pPr>
      <w:snapToGrid w:val="0"/>
      <w:spacing w:before="120" w:after="120" w:line="180" w:lineRule="auto"/>
    </w:pPr>
    <w:rPr>
      <w:rFonts w:ascii="Arial" w:hAnsi="Arial"/>
      <w:szCs w:val="20"/>
    </w:rPr>
  </w:style>
  <w:style w:type="paragraph" w:customStyle="1" w:styleId="153">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54">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55">
    <w:name w:val="Char Char Char1 Char"/>
    <w:basedOn w:val="1"/>
    <w:qFormat/>
    <w:uiPriority w:val="0"/>
    <w:rPr>
      <w:rFonts w:ascii="Tahoma" w:hAnsi="Tahoma"/>
      <w:sz w:val="24"/>
      <w:szCs w:val="20"/>
    </w:rPr>
  </w:style>
  <w:style w:type="paragraph" w:customStyle="1" w:styleId="156">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57">
    <w:name w:val="1名"/>
    <w:basedOn w:val="1"/>
    <w:qFormat/>
    <w:uiPriority w:val="0"/>
    <w:pPr>
      <w:numPr>
        <w:ilvl w:val="0"/>
        <w:numId w:val="5"/>
      </w:numPr>
      <w:spacing w:before="120"/>
    </w:pPr>
    <w:rPr>
      <w:rFonts w:ascii="宋体"/>
      <w:sz w:val="28"/>
      <w:szCs w:val="20"/>
    </w:rPr>
  </w:style>
  <w:style w:type="paragraph" w:customStyle="1" w:styleId="158">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59">
    <w:name w:val="Char Char Char1 Char1"/>
    <w:basedOn w:val="1"/>
    <w:qFormat/>
    <w:uiPriority w:val="0"/>
    <w:rPr>
      <w:rFonts w:ascii="Tahoma" w:hAnsi="Tahoma"/>
      <w:sz w:val="24"/>
      <w:szCs w:val="20"/>
    </w:rPr>
  </w:style>
  <w:style w:type="paragraph" w:customStyle="1" w:styleId="160">
    <w:name w:val="Char Char Char Char Char Char Char Char Char Char"/>
    <w:basedOn w:val="1"/>
    <w:qFormat/>
    <w:uiPriority w:val="0"/>
  </w:style>
  <w:style w:type="paragraph" w:customStyle="1" w:styleId="161">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62">
    <w:name w:val="Char1"/>
    <w:basedOn w:val="1"/>
    <w:qFormat/>
    <w:uiPriority w:val="0"/>
    <w:pPr>
      <w:tabs>
        <w:tab w:val="left" w:pos="360"/>
      </w:tabs>
    </w:pPr>
    <w:rPr>
      <w:sz w:val="24"/>
    </w:rPr>
  </w:style>
  <w:style w:type="paragraph" w:customStyle="1" w:styleId="163">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6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65">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66">
    <w:name w:val="默认段落字体 Para Char Char Char Char"/>
    <w:basedOn w:val="1"/>
    <w:qFormat/>
    <w:uiPriority w:val="0"/>
    <w:rPr>
      <w:rFonts w:ascii="Arial" w:hAnsi="Arial" w:cs="Arial"/>
      <w:szCs w:val="21"/>
    </w:rPr>
  </w:style>
  <w:style w:type="paragraph" w:customStyle="1" w:styleId="167">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6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69">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70">
    <w:name w:val="Char Char Char"/>
    <w:basedOn w:val="1"/>
    <w:qFormat/>
    <w:uiPriority w:val="0"/>
    <w:rPr>
      <w:rFonts w:ascii="Tahoma" w:hAnsi="Tahoma"/>
      <w:sz w:val="24"/>
      <w:szCs w:val="20"/>
    </w:rPr>
  </w:style>
  <w:style w:type="paragraph" w:customStyle="1" w:styleId="171">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72">
    <w:name w:val="缺省文本"/>
    <w:basedOn w:val="1"/>
    <w:qFormat/>
    <w:uiPriority w:val="0"/>
    <w:pPr>
      <w:autoSpaceDE w:val="0"/>
      <w:autoSpaceDN w:val="0"/>
      <w:adjustRightInd w:val="0"/>
      <w:jc w:val="left"/>
    </w:pPr>
    <w:rPr>
      <w:kern w:val="0"/>
      <w:sz w:val="24"/>
    </w:rPr>
  </w:style>
  <w:style w:type="paragraph" w:customStyle="1" w:styleId="173">
    <w:name w:val="Char Char Char1"/>
    <w:basedOn w:val="1"/>
    <w:qFormat/>
    <w:uiPriority w:val="0"/>
    <w:rPr>
      <w:rFonts w:ascii="Tahoma" w:hAnsi="Tahoma"/>
      <w:sz w:val="24"/>
      <w:szCs w:val="20"/>
    </w:rPr>
  </w:style>
  <w:style w:type="paragraph" w:customStyle="1" w:styleId="174">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75">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76">
    <w:name w:val="样式2"/>
    <w:basedOn w:val="40"/>
    <w:qFormat/>
    <w:uiPriority w:val="0"/>
    <w:pPr>
      <w:spacing w:line="360" w:lineRule="auto"/>
      <w:jc w:val="center"/>
    </w:pPr>
    <w:rPr>
      <w:sz w:val="24"/>
    </w:rPr>
  </w:style>
  <w:style w:type="paragraph" w:customStyle="1" w:styleId="17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79">
    <w:name w:val="正文 + 楷体_GB2312"/>
    <w:basedOn w:val="1"/>
    <w:qFormat/>
    <w:uiPriority w:val="0"/>
    <w:pPr>
      <w:widowControl/>
      <w:jc w:val="left"/>
    </w:pPr>
    <w:rPr>
      <w:rFonts w:ascii="楷体_GB2312" w:eastAsia="楷体_GB2312" w:cs="Arial"/>
      <w:kern w:val="0"/>
      <w:sz w:val="24"/>
    </w:rPr>
  </w:style>
  <w:style w:type="paragraph" w:customStyle="1" w:styleId="180">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81">
    <w:name w:val="1 Char Char Char Char"/>
    <w:basedOn w:val="1"/>
    <w:qFormat/>
    <w:uiPriority w:val="0"/>
    <w:rPr>
      <w:rFonts w:ascii="Tahoma" w:hAnsi="Tahoma"/>
      <w:sz w:val="24"/>
      <w:szCs w:val="20"/>
    </w:rPr>
  </w:style>
  <w:style w:type="paragraph" w:customStyle="1" w:styleId="182">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83">
    <w:name w:val="列出段落1"/>
    <w:basedOn w:val="1"/>
    <w:qFormat/>
    <w:uiPriority w:val="0"/>
    <w:pPr>
      <w:ind w:firstLine="420" w:firstLineChars="200"/>
    </w:pPr>
    <w:rPr>
      <w:rFonts w:ascii="Calibri" w:hAnsi="Calibri"/>
      <w:szCs w:val="22"/>
    </w:rPr>
  </w:style>
  <w:style w:type="paragraph" w:customStyle="1" w:styleId="184">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85">
    <w:name w:val="字元 字元1"/>
    <w:basedOn w:val="1"/>
    <w:qFormat/>
    <w:uiPriority w:val="0"/>
    <w:rPr>
      <w:rFonts w:ascii="Tahoma" w:hAnsi="Tahoma"/>
      <w:sz w:val="24"/>
      <w:szCs w:val="20"/>
    </w:rPr>
  </w:style>
  <w:style w:type="paragraph" w:customStyle="1" w:styleId="186">
    <w:name w:val="_Style 160"/>
    <w:qFormat/>
    <w:uiPriority w:val="0"/>
    <w:rPr>
      <w:rFonts w:ascii="Times New Roman" w:hAnsi="Times New Roman" w:eastAsia="宋体" w:cs="Times New Roman"/>
      <w:kern w:val="2"/>
      <w:sz w:val="21"/>
      <w:szCs w:val="24"/>
      <w:lang w:val="en-US" w:eastAsia="zh-CN" w:bidi="ar-SA"/>
    </w:rPr>
  </w:style>
  <w:style w:type="paragraph" w:customStyle="1" w:styleId="187">
    <w:name w:val="项目编号3"/>
    <w:basedOn w:val="147"/>
    <w:qFormat/>
    <w:uiPriority w:val="0"/>
    <w:pPr>
      <w:numPr>
        <w:ilvl w:val="0"/>
        <w:numId w:val="6"/>
      </w:numPr>
    </w:pPr>
  </w:style>
  <w:style w:type="paragraph" w:customStyle="1" w:styleId="188">
    <w:name w:val="Char21"/>
    <w:basedOn w:val="1"/>
    <w:qFormat/>
    <w:uiPriority w:val="0"/>
    <w:rPr>
      <w:rFonts w:ascii="Tahoma" w:hAnsi="Tahoma"/>
      <w:sz w:val="24"/>
      <w:szCs w:val="20"/>
    </w:rPr>
  </w:style>
  <w:style w:type="paragraph" w:customStyle="1" w:styleId="189">
    <w:name w:val="表格文字"/>
    <w:basedOn w:val="18"/>
    <w:qFormat/>
    <w:uiPriority w:val="0"/>
    <w:pPr>
      <w:spacing w:before="20" w:after="20" w:line="240" w:lineRule="auto"/>
      <w:ind w:firstLine="0"/>
    </w:pPr>
    <w:rPr>
      <w:rFonts w:ascii="Century Gothic" w:hAnsi="Century Gothic"/>
      <w:sz w:val="20"/>
      <w:szCs w:val="20"/>
    </w:rPr>
  </w:style>
  <w:style w:type="paragraph" w:customStyle="1" w:styleId="190">
    <w:name w:val="Char Char Char Char Char Char Char Char Char Char1"/>
    <w:basedOn w:val="1"/>
    <w:qFormat/>
    <w:uiPriority w:val="0"/>
    <w:rPr>
      <w:rFonts w:ascii="宋体" w:hAnsi="宋体" w:cs="Courier New"/>
      <w:sz w:val="32"/>
      <w:szCs w:val="32"/>
    </w:rPr>
  </w:style>
  <w:style w:type="paragraph" w:customStyle="1" w:styleId="191">
    <w:name w:val="正文文本样式 加粗"/>
    <w:basedOn w:val="147"/>
    <w:qFormat/>
    <w:uiPriority w:val="0"/>
    <w:rPr>
      <w:b/>
    </w:rPr>
  </w:style>
  <w:style w:type="paragraph" w:customStyle="1" w:styleId="192">
    <w:name w:val="Char2 Char Char Char Char Char Char"/>
    <w:basedOn w:val="1"/>
    <w:qFormat/>
    <w:uiPriority w:val="0"/>
    <w:pPr>
      <w:widowControl/>
      <w:spacing w:line="400" w:lineRule="exact"/>
      <w:jc w:val="center"/>
    </w:pPr>
  </w:style>
  <w:style w:type="paragraph" w:customStyle="1" w:styleId="193">
    <w:name w:val="Char Char4"/>
    <w:basedOn w:val="1"/>
    <w:qFormat/>
    <w:uiPriority w:val="0"/>
    <w:pPr>
      <w:widowControl/>
      <w:spacing w:line="400" w:lineRule="exact"/>
      <w:jc w:val="center"/>
    </w:pPr>
  </w:style>
  <w:style w:type="paragraph" w:customStyle="1" w:styleId="194">
    <w:name w:val="Char3 Char Char Char1"/>
    <w:basedOn w:val="1"/>
    <w:qFormat/>
    <w:uiPriority w:val="0"/>
    <w:rPr>
      <w:rFonts w:ascii="Tahoma" w:hAnsi="Tahoma"/>
      <w:sz w:val="24"/>
      <w:szCs w:val="20"/>
    </w:rPr>
  </w:style>
  <w:style w:type="paragraph" w:styleId="195">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6">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97">
    <w:name w:val="中等深浅网格 1 - 强调文字颜色 2 Char"/>
    <w:link w:val="198"/>
    <w:qFormat/>
    <w:uiPriority w:val="0"/>
    <w:rPr>
      <w:kern w:val="2"/>
      <w:sz w:val="21"/>
      <w:szCs w:val="24"/>
      <w:lang w:val="zh-CN" w:eastAsia="zh-CN"/>
    </w:rPr>
  </w:style>
  <w:style w:type="paragraph" w:customStyle="1" w:styleId="198">
    <w:name w:val="1"/>
    <w:link w:val="197"/>
    <w:qFormat/>
    <w:uiPriority w:val="0"/>
    <w:rPr>
      <w:rFonts w:ascii="Times New Roman" w:hAnsi="Times New Roman" w:eastAsia="宋体" w:cs="Times New Roman"/>
      <w:kern w:val="2"/>
      <w:sz w:val="21"/>
      <w:szCs w:val="24"/>
      <w:lang w:val="zh-CN" w:eastAsia="zh-CN" w:bidi="ar-SA"/>
    </w:rPr>
  </w:style>
  <w:style w:type="paragraph" w:customStyle="1" w:styleId="199">
    <w:name w:val="图文"/>
    <w:basedOn w:val="1"/>
    <w:qFormat/>
    <w:uiPriority w:val="0"/>
    <w:pPr>
      <w:adjustRightInd w:val="0"/>
      <w:snapToGrid w:val="0"/>
      <w:spacing w:after="50" w:line="360" w:lineRule="auto"/>
    </w:pPr>
    <w:rPr>
      <w:sz w:val="24"/>
    </w:rPr>
  </w:style>
  <w:style w:type="paragraph" w:customStyle="1" w:styleId="200">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201">
    <w:name w:val="正文表格"/>
    <w:basedOn w:val="1"/>
    <w:link w:val="202"/>
    <w:qFormat/>
    <w:uiPriority w:val="0"/>
    <w:pPr>
      <w:adjustRightInd w:val="0"/>
      <w:snapToGrid w:val="0"/>
      <w:jc w:val="left"/>
    </w:pPr>
    <w:rPr>
      <w:rFonts w:ascii="宋体" w:hAnsi="宋体"/>
      <w:color w:val="000000"/>
      <w:szCs w:val="21"/>
    </w:rPr>
  </w:style>
  <w:style w:type="character" w:customStyle="1" w:styleId="202">
    <w:name w:val="正文表格 Char"/>
    <w:link w:val="201"/>
    <w:qFormat/>
    <w:uiPriority w:val="0"/>
    <w:rPr>
      <w:rFonts w:ascii="宋体" w:hAnsi="宋体"/>
      <w:color w:val="000000"/>
      <w:kern w:val="2"/>
      <w:sz w:val="21"/>
      <w:szCs w:val="21"/>
    </w:rPr>
  </w:style>
  <w:style w:type="paragraph" w:customStyle="1" w:styleId="203">
    <w:name w:val="正文重点"/>
    <w:basedOn w:val="1"/>
    <w:link w:val="204"/>
    <w:qFormat/>
    <w:uiPriority w:val="0"/>
    <w:pPr>
      <w:adjustRightInd w:val="0"/>
      <w:spacing w:line="360" w:lineRule="auto"/>
      <w:ind w:firstLine="482" w:firstLineChars="200"/>
      <w:jc w:val="left"/>
      <w:textAlignment w:val="baseline"/>
    </w:pPr>
    <w:rPr>
      <w:b/>
      <w:kern w:val="0"/>
      <w:sz w:val="24"/>
      <w:szCs w:val="20"/>
    </w:rPr>
  </w:style>
  <w:style w:type="character" w:customStyle="1" w:styleId="204">
    <w:name w:val="正文重点 Char"/>
    <w:link w:val="203"/>
    <w:qFormat/>
    <w:uiPriority w:val="0"/>
    <w:rPr>
      <w:b/>
      <w:sz w:val="24"/>
    </w:rPr>
  </w:style>
  <w:style w:type="paragraph" w:customStyle="1" w:styleId="205">
    <w:name w:val="标题1-附件"/>
    <w:basedOn w:val="2"/>
    <w:qFormat/>
    <w:uiPriority w:val="0"/>
    <w:pPr>
      <w:jc w:val="left"/>
    </w:pPr>
    <w:rPr>
      <w:sz w:val="24"/>
      <w:szCs w:val="24"/>
    </w:rPr>
  </w:style>
  <w:style w:type="paragraph" w:customStyle="1" w:styleId="206">
    <w:name w:val="正文小标题"/>
    <w:basedOn w:val="1"/>
    <w:next w:val="12"/>
    <w:link w:val="207"/>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207">
    <w:name w:val="正文小标题 Char"/>
    <w:link w:val="206"/>
    <w:qFormat/>
    <w:uiPriority w:val="0"/>
    <w:rPr>
      <w:rFonts w:ascii="宋体" w:hAnsi="宋体"/>
      <w:b/>
      <w:i/>
      <w:color w:val="FF0000"/>
      <w:kern w:val="2"/>
      <w:sz w:val="24"/>
    </w:rPr>
  </w:style>
  <w:style w:type="paragraph" w:customStyle="1" w:styleId="208">
    <w:name w:val="正文大标题"/>
    <w:basedOn w:val="206"/>
    <w:next w:val="12"/>
    <w:link w:val="209"/>
    <w:qFormat/>
    <w:uiPriority w:val="0"/>
    <w:pPr>
      <w:jc w:val="center"/>
    </w:pPr>
    <w:rPr>
      <w:i w:val="0"/>
      <w:color w:val="000000"/>
      <w:sz w:val="28"/>
      <w:szCs w:val="21"/>
    </w:rPr>
  </w:style>
  <w:style w:type="character" w:customStyle="1" w:styleId="209">
    <w:name w:val="正文大标题 Char"/>
    <w:link w:val="208"/>
    <w:qFormat/>
    <w:uiPriority w:val="0"/>
    <w:rPr>
      <w:rFonts w:ascii="宋体" w:hAnsi="宋体"/>
      <w:b/>
      <w:color w:val="000000"/>
      <w:kern w:val="2"/>
      <w:sz w:val="28"/>
      <w:szCs w:val="21"/>
    </w:rPr>
  </w:style>
  <w:style w:type="paragraph" w:customStyle="1" w:styleId="210">
    <w:name w:val="注释"/>
    <w:basedOn w:val="1"/>
    <w:link w:val="211"/>
    <w:qFormat/>
    <w:uiPriority w:val="0"/>
    <w:pPr>
      <w:adjustRightInd w:val="0"/>
      <w:snapToGrid w:val="0"/>
      <w:ind w:left="420" w:hanging="420" w:hangingChars="200"/>
      <w:jc w:val="left"/>
    </w:pPr>
    <w:rPr>
      <w:rFonts w:ascii="宋体" w:hAnsi="宋体"/>
      <w:szCs w:val="21"/>
    </w:rPr>
  </w:style>
  <w:style w:type="character" w:customStyle="1" w:styleId="211">
    <w:name w:val="注释 Char"/>
    <w:link w:val="210"/>
    <w:qFormat/>
    <w:uiPriority w:val="0"/>
    <w:rPr>
      <w:rFonts w:ascii="宋体" w:hAnsi="宋体"/>
      <w:kern w:val="2"/>
      <w:sz w:val="21"/>
      <w:szCs w:val="21"/>
    </w:rPr>
  </w:style>
  <w:style w:type="paragraph" w:customStyle="1" w:styleId="212">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213">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214">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215">
    <w:name w:val="纯文本 字符"/>
    <w:qFormat/>
    <w:uiPriority w:val="99"/>
    <w:rPr>
      <w:rFonts w:ascii="宋体" w:hAnsi="Courier New" w:eastAsia="宋体" w:cs="Times New Roman"/>
      <w:kern w:val="2"/>
      <w:sz w:val="21"/>
      <w:szCs w:val="21"/>
      <w:lang w:val="en-US" w:eastAsia="zh-CN" w:bidi="ar-SA"/>
    </w:rPr>
  </w:style>
  <w:style w:type="paragraph" w:customStyle="1" w:styleId="216">
    <w:name w:val="表格1"/>
    <w:basedOn w:val="1"/>
    <w:qFormat/>
    <w:uiPriority w:val="0"/>
    <w:pPr>
      <w:ind w:firstLine="480" w:firstLineChars="200"/>
      <w:jc w:val="center"/>
    </w:pPr>
    <w:rPr>
      <w:sz w:val="24"/>
      <w:szCs w:val="20"/>
    </w:rPr>
  </w:style>
  <w:style w:type="character" w:customStyle="1" w:styleId="217">
    <w:name w:val="纯文本 字符1"/>
    <w:qFormat/>
    <w:uiPriority w:val="0"/>
    <w:rPr>
      <w:rFonts w:ascii="宋体" w:hAnsi="Courier New"/>
    </w:rPr>
  </w:style>
  <w:style w:type="character" w:customStyle="1" w:styleId="218">
    <w:name w:val="bjh-p"/>
    <w:qFormat/>
    <w:uiPriority w:val="0"/>
  </w:style>
  <w:style w:type="paragraph" w:customStyle="1" w:styleId="219">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220">
    <w:name w:val="正文格式 Char"/>
    <w:link w:val="221"/>
    <w:qFormat/>
    <w:uiPriority w:val="0"/>
    <w:rPr>
      <w:rFonts w:ascii="宋体" w:hAnsi="宋体"/>
      <w:sz w:val="24"/>
      <w:szCs w:val="24"/>
      <w:lang w:val="en-GB"/>
    </w:rPr>
  </w:style>
  <w:style w:type="paragraph" w:customStyle="1" w:styleId="221">
    <w:name w:val="正文格式"/>
    <w:basedOn w:val="1"/>
    <w:link w:val="220"/>
    <w:qFormat/>
    <w:uiPriority w:val="0"/>
    <w:pPr>
      <w:spacing w:beforeLines="50" w:line="360" w:lineRule="auto"/>
      <w:ind w:firstLine="480" w:firstLineChars="200"/>
    </w:pPr>
    <w:rPr>
      <w:rFonts w:ascii="宋体" w:hAnsi="宋体"/>
      <w:kern w:val="0"/>
      <w:sz w:val="24"/>
      <w:lang w:val="en-GB"/>
    </w:rPr>
  </w:style>
  <w:style w:type="character" w:customStyle="1" w:styleId="222">
    <w:name w:val="标题 3 Char"/>
    <w:qFormat/>
    <w:uiPriority w:val="0"/>
    <w:rPr>
      <w:rFonts w:ascii="宋体" w:eastAsia="宋体"/>
      <w:b/>
      <w:sz w:val="24"/>
      <w:u w:val="single"/>
      <w:lang w:val="en-US" w:eastAsia="zh-CN" w:bidi="ar-SA"/>
    </w:rPr>
  </w:style>
  <w:style w:type="character" w:customStyle="1" w:styleId="223">
    <w:name w:val="正文缩进 Char"/>
    <w:qFormat/>
    <w:uiPriority w:val="0"/>
    <w:rPr>
      <w:rFonts w:ascii="宋体" w:eastAsia="宋体"/>
      <w:kern w:val="2"/>
      <w:sz w:val="24"/>
      <w:szCs w:val="24"/>
      <w:lang w:val="en-US" w:eastAsia="zh-CN" w:bidi="ar-SA"/>
    </w:rPr>
  </w:style>
  <w:style w:type="character" w:customStyle="1" w:styleId="224">
    <w:name w:val="Char Char111"/>
    <w:qFormat/>
    <w:uiPriority w:val="0"/>
    <w:rPr>
      <w:rFonts w:ascii="宋体" w:eastAsia="宋体"/>
      <w:b/>
      <w:sz w:val="24"/>
      <w:u w:val="single"/>
      <w:lang w:val="en-US" w:eastAsia="zh-CN" w:bidi="ar-SA"/>
    </w:rPr>
  </w:style>
  <w:style w:type="character" w:customStyle="1" w:styleId="225">
    <w:name w:val="正文文本缩进 Char"/>
    <w:qFormat/>
    <w:uiPriority w:val="0"/>
    <w:rPr>
      <w:rFonts w:eastAsia="宋体"/>
      <w:kern w:val="2"/>
      <w:sz w:val="24"/>
      <w:szCs w:val="24"/>
      <w:lang w:val="en-US" w:eastAsia="zh-CN" w:bidi="ar-SA"/>
    </w:rPr>
  </w:style>
  <w:style w:type="character" w:customStyle="1" w:styleId="226">
    <w:name w:val="列出段落 Char"/>
    <w:qFormat/>
    <w:uiPriority w:val="0"/>
    <w:rPr>
      <w:rFonts w:ascii="Calibri" w:hAnsi="Calibri" w:eastAsia="宋体"/>
      <w:kern w:val="2"/>
      <w:sz w:val="21"/>
      <w:szCs w:val="22"/>
      <w:lang w:val="en-US" w:eastAsia="zh-CN" w:bidi="ar-SA"/>
    </w:rPr>
  </w:style>
  <w:style w:type="character" w:customStyle="1" w:styleId="227">
    <w:name w:val="页眉 Char"/>
    <w:qFormat/>
    <w:uiPriority w:val="0"/>
    <w:rPr>
      <w:rFonts w:eastAsia="宋体"/>
      <w:kern w:val="2"/>
      <w:sz w:val="18"/>
      <w:szCs w:val="18"/>
      <w:lang w:val="en-US" w:eastAsia="zh-CN" w:bidi="ar-SA"/>
    </w:rPr>
  </w:style>
  <w:style w:type="character" w:customStyle="1" w:styleId="228">
    <w:name w:val="标题 2 Char"/>
    <w:qFormat/>
    <w:uiPriority w:val="0"/>
    <w:rPr>
      <w:rFonts w:ascii="Arial" w:hAnsi="Arial" w:eastAsia="黑体"/>
      <w:b/>
      <w:sz w:val="30"/>
      <w:lang w:val="en-US" w:eastAsia="zh-CN" w:bidi="ar-SA"/>
    </w:rPr>
  </w:style>
  <w:style w:type="paragraph" w:customStyle="1" w:styleId="229">
    <w:name w:val="字元 字元2"/>
    <w:basedOn w:val="1"/>
    <w:qFormat/>
    <w:uiPriority w:val="0"/>
    <w:rPr>
      <w:rFonts w:ascii="Tahoma" w:hAnsi="Tahoma"/>
      <w:sz w:val="24"/>
      <w:szCs w:val="20"/>
    </w:rPr>
  </w:style>
  <w:style w:type="paragraph" w:customStyle="1" w:styleId="230">
    <w:name w:val="Char3 Char Char Char2"/>
    <w:basedOn w:val="1"/>
    <w:qFormat/>
    <w:uiPriority w:val="0"/>
    <w:rPr>
      <w:rFonts w:ascii="Tahoma" w:hAnsi="Tahoma"/>
      <w:sz w:val="24"/>
      <w:szCs w:val="20"/>
    </w:rPr>
  </w:style>
  <w:style w:type="paragraph" w:customStyle="1" w:styleId="231">
    <w:name w:val="正文文本缩进2"/>
    <w:basedOn w:val="1"/>
    <w:qFormat/>
    <w:uiPriority w:val="0"/>
    <w:pPr>
      <w:spacing w:line="480" w:lineRule="exact"/>
      <w:ind w:firstLine="480" w:firstLineChars="200"/>
    </w:pPr>
    <w:rPr>
      <w:rFonts w:ascii="宋体" w:hAnsi="宋体"/>
      <w:kern w:val="0"/>
      <w:sz w:val="24"/>
      <w:lang w:val="zh-CN" w:eastAsia="zh-CN"/>
    </w:rPr>
  </w:style>
  <w:style w:type="paragraph" w:customStyle="1" w:styleId="232">
    <w:name w:val="Char3"/>
    <w:basedOn w:val="1"/>
    <w:qFormat/>
    <w:uiPriority w:val="0"/>
    <w:pPr>
      <w:tabs>
        <w:tab w:val="left" w:pos="360"/>
      </w:tabs>
    </w:pPr>
    <w:rPr>
      <w:sz w:val="24"/>
    </w:rPr>
  </w:style>
  <w:style w:type="paragraph" w:customStyle="1" w:styleId="233">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34">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5">
    <w:name w:val="列出段落2"/>
    <w:basedOn w:val="1"/>
    <w:qFormat/>
    <w:uiPriority w:val="0"/>
    <w:pPr>
      <w:ind w:firstLine="420" w:firstLineChars="200"/>
    </w:pPr>
    <w:rPr>
      <w:rFonts w:ascii="Calibri" w:hAnsi="Calibri"/>
      <w:szCs w:val="22"/>
    </w:rPr>
  </w:style>
  <w:style w:type="paragraph" w:customStyle="1" w:styleId="236">
    <w:name w:val="Char Char Char1 Char2"/>
    <w:basedOn w:val="1"/>
    <w:qFormat/>
    <w:uiPriority w:val="0"/>
    <w:rPr>
      <w:rFonts w:ascii="Tahoma" w:hAnsi="Tahoma"/>
      <w:sz w:val="24"/>
      <w:szCs w:val="20"/>
    </w:rPr>
  </w:style>
  <w:style w:type="paragraph" w:customStyle="1" w:styleId="237">
    <w:name w:val="Char Char Char2"/>
    <w:basedOn w:val="1"/>
    <w:qFormat/>
    <w:uiPriority w:val="0"/>
    <w:rPr>
      <w:rFonts w:ascii="Tahoma" w:hAnsi="Tahoma"/>
      <w:sz w:val="24"/>
      <w:szCs w:val="20"/>
    </w:rPr>
  </w:style>
  <w:style w:type="paragraph" w:customStyle="1" w:styleId="238">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39">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eastAsia="zh-CN"/>
    </w:rPr>
  </w:style>
  <w:style w:type="paragraph" w:customStyle="1" w:styleId="240">
    <w:name w:val="Revision"/>
    <w:qFormat/>
    <w:uiPriority w:val="0"/>
    <w:rPr>
      <w:rFonts w:ascii="Times New Roman" w:hAnsi="Times New Roman" w:eastAsia="宋体" w:cs="Times New Roman"/>
      <w:kern w:val="2"/>
      <w:sz w:val="21"/>
      <w:szCs w:val="24"/>
      <w:lang w:val="en-US" w:eastAsia="zh-CN" w:bidi="ar-SA"/>
    </w:rPr>
  </w:style>
  <w:style w:type="paragraph" w:customStyle="1" w:styleId="241">
    <w:name w:val="Char22"/>
    <w:basedOn w:val="1"/>
    <w:qFormat/>
    <w:uiPriority w:val="0"/>
    <w:rPr>
      <w:rFonts w:ascii="Tahoma" w:hAnsi="Tahoma"/>
      <w:sz w:val="24"/>
      <w:szCs w:val="20"/>
    </w:rPr>
  </w:style>
  <w:style w:type="paragraph" w:customStyle="1" w:styleId="242">
    <w:name w:val="Char Char Char Char Char Char Char Char Char Char2"/>
    <w:basedOn w:val="1"/>
    <w:qFormat/>
    <w:uiPriority w:val="0"/>
    <w:rPr>
      <w:rFonts w:ascii="宋体" w:hAnsi="宋体" w:cs="Courier New"/>
      <w:sz w:val="32"/>
      <w:szCs w:val="32"/>
    </w:rPr>
  </w:style>
  <w:style w:type="paragraph" w:customStyle="1" w:styleId="243">
    <w:name w:val="Char2 Char Char Char Char Char Char1"/>
    <w:basedOn w:val="1"/>
    <w:qFormat/>
    <w:uiPriority w:val="0"/>
    <w:pPr>
      <w:widowControl/>
      <w:spacing w:line="400" w:lineRule="exact"/>
      <w:jc w:val="center"/>
    </w:pPr>
  </w:style>
  <w:style w:type="character" w:customStyle="1" w:styleId="244">
    <w:name w:val="页脚 Char"/>
    <w:qFormat/>
    <w:uiPriority w:val="0"/>
    <w:rPr>
      <w:rFonts w:ascii="宋体" w:eastAsia="宋体"/>
      <w:sz w:val="18"/>
      <w:lang w:val="en-US" w:eastAsia="zh-CN" w:bidi="ar-SA"/>
    </w:rPr>
  </w:style>
  <w:style w:type="paragraph" w:customStyle="1" w:styleId="245">
    <w:name w:val="Char Char41"/>
    <w:basedOn w:val="1"/>
    <w:qFormat/>
    <w:uiPriority w:val="0"/>
    <w:pPr>
      <w:widowControl/>
      <w:spacing w:line="400" w:lineRule="exact"/>
      <w:jc w:val="center"/>
    </w:pPr>
  </w:style>
  <w:style w:type="character" w:customStyle="1" w:styleId="246">
    <w:name w:val="批注文字 Char"/>
    <w:qFormat/>
    <w:uiPriority w:val="99"/>
    <w:rPr>
      <w:kern w:val="2"/>
      <w:sz w:val="21"/>
      <w:szCs w:val="24"/>
    </w:rPr>
  </w:style>
  <w:style w:type="character" w:customStyle="1" w:styleId="247">
    <w:name w:val="标题 Char"/>
    <w:qFormat/>
    <w:uiPriority w:val="0"/>
    <w:rPr>
      <w:b/>
      <w:kern w:val="2"/>
      <w:sz w:val="32"/>
    </w:rPr>
  </w:style>
  <w:style w:type="paragraph" w:customStyle="1" w:styleId="248">
    <w:name w:val="图例"/>
    <w:basedOn w:val="1"/>
    <w:qFormat/>
    <w:uiPriority w:val="0"/>
    <w:pPr>
      <w:spacing w:before="120" w:after="120" w:line="360" w:lineRule="auto"/>
      <w:jc w:val="center"/>
    </w:pPr>
    <w:rPr>
      <w:rFonts w:eastAsia="仿宋_GB2312"/>
      <w:b/>
      <w:sz w:val="24"/>
      <w:szCs w:val="20"/>
    </w:rPr>
  </w:style>
  <w:style w:type="paragraph" w:customStyle="1" w:styleId="249">
    <w:name w:val="Table Paragraph"/>
    <w:basedOn w:val="1"/>
    <w:qFormat/>
    <w:uiPriority w:val="1"/>
    <w:pPr>
      <w:autoSpaceDE w:val="0"/>
      <w:autoSpaceDN w:val="0"/>
      <w:jc w:val="left"/>
    </w:pPr>
    <w:rPr>
      <w:rFonts w:ascii="宋体" w:hAnsi="宋体" w:cs="宋体"/>
      <w:kern w:val="0"/>
      <w:sz w:val="22"/>
      <w:szCs w:val="22"/>
      <w:lang w:eastAsia="en-US"/>
    </w:rPr>
  </w:style>
  <w:style w:type="table" w:customStyle="1" w:styleId="250">
    <w:name w:val="Table Normal"/>
    <w:semiHidden/>
    <w:qFormat/>
    <w:uiPriority w:val="2"/>
    <w:pPr>
      <w:widowControl w:val="0"/>
      <w:autoSpaceDE w:val="0"/>
      <w:autoSpaceDN w:val="0"/>
    </w:pPr>
    <w:rPr>
      <w:rFonts w:ascii="Calibri" w:hAnsi="Calibri" w:eastAsia="宋体" w:cs="Times New Roman"/>
      <w:sz w:val="22"/>
      <w:szCs w:val="22"/>
      <w:lang w:eastAsia="en-US"/>
    </w:rPr>
    <w:tblPr>
      <w:tblCellMar>
        <w:top w:w="0" w:type="dxa"/>
        <w:left w:w="0" w:type="dxa"/>
        <w:bottom w:w="0" w:type="dxa"/>
        <w:right w:w="0" w:type="dxa"/>
      </w:tblCellMar>
    </w:tblPr>
  </w:style>
  <w:style w:type="paragraph" w:customStyle="1" w:styleId="251">
    <w:name w:val="Table Text"/>
    <w:basedOn w:val="1"/>
    <w:semiHidden/>
    <w:qFormat/>
    <w:uiPriority w:val="0"/>
    <w:rPr>
      <w:rFonts w:ascii="Arial" w:hAnsi="Arial" w:eastAsia="Arial" w:cs="Arial"/>
      <w:sz w:val="21"/>
      <w:szCs w:val="21"/>
      <w:lang w:val="en-US" w:eastAsia="en-US" w:bidi="ar-SA"/>
    </w:rPr>
  </w:style>
  <w:style w:type="character" w:customStyle="1" w:styleId="252">
    <w:name w:val="font11"/>
    <w:basedOn w:val="47"/>
    <w:qFormat/>
    <w:uiPriority w:val="0"/>
    <w:rPr>
      <w:rFonts w:hint="eastAsia" w:ascii="宋体" w:hAnsi="宋体" w:eastAsia="宋体" w:cs="宋体"/>
      <w:b/>
      <w:color w:val="000000"/>
      <w:sz w:val="22"/>
      <w:szCs w:val="22"/>
      <w:u w:val="none"/>
    </w:rPr>
  </w:style>
  <w:style w:type="character" w:customStyle="1" w:styleId="253">
    <w:name w:val="font21"/>
    <w:basedOn w:val="47"/>
    <w:qFormat/>
    <w:uiPriority w:val="0"/>
    <w:rPr>
      <w:rFonts w:hint="eastAsia" w:ascii="宋体" w:hAnsi="宋体" w:eastAsia="宋体" w:cs="宋体"/>
      <w:color w:val="000000"/>
      <w:sz w:val="22"/>
      <w:szCs w:val="22"/>
      <w:u w:val="none"/>
    </w:rPr>
  </w:style>
  <w:style w:type="paragraph" w:customStyle="1" w:styleId="254">
    <w:name w:val="Main Title"/>
    <w:next w:val="1"/>
    <w:qFormat/>
    <w:uiPriority w:val="0"/>
    <w:pPr>
      <w:adjustRightInd w:val="0"/>
      <w:snapToGrid w:val="0"/>
      <w:spacing w:after="120" w:afterLines="50" w:line="360" w:lineRule="auto"/>
      <w:jc w:val="center"/>
    </w:pPr>
    <w:rPr>
      <w:rFonts w:ascii="黑体" w:hAnsi="黑体" w:eastAsia="黑体" w:cs="Times New Roman"/>
      <w:b/>
      <w:kern w:val="2"/>
      <w:sz w:val="36"/>
      <w:szCs w:val="22"/>
      <w:lang w:val="zh-CN" w:eastAsia="zh-CN" w:bidi="ar-SA"/>
    </w:rPr>
  </w:style>
  <w:style w:type="paragraph" w:customStyle="1" w:styleId="255">
    <w:name w:val="TOC 标题2"/>
    <w:next w:val="1"/>
    <w:qFormat/>
    <w:uiPriority w:val="0"/>
    <w:pPr>
      <w:keepNext/>
      <w:keepLines/>
      <w:widowControl w:val="0"/>
      <w:adjustRightInd/>
      <w:snapToGrid/>
      <w:spacing w:before="260" w:after="260" w:line="413" w:lineRule="auto"/>
      <w:jc w:val="center"/>
      <w:outlineLvl w:val="0"/>
    </w:pPr>
    <w:rPr>
      <w:rFonts w:ascii="宋体" w:hAnsi="宋体" w:eastAsia="宋体" w:cs="Times New Roman"/>
      <w:b/>
      <w:bCs/>
      <w:kern w:val="44"/>
      <w:sz w:val="36"/>
      <w:szCs w:val="44"/>
      <w:lang w:val="zh-CN" w:eastAsia="zh-CN" w:bidi="ar-SA"/>
    </w:rPr>
  </w:style>
  <w:style w:type="paragraph" w:customStyle="1" w:styleId="256">
    <w:name w:val="协议书标题2"/>
    <w:next w:val="1"/>
    <w:qFormat/>
    <w:uiPriority w:val="0"/>
    <w:pPr>
      <w:keepNext w:val="0"/>
      <w:keepLines w:val="0"/>
      <w:numPr>
        <w:ilvl w:val="0"/>
        <w:numId w:val="8"/>
      </w:numPr>
      <w:tabs>
        <w:tab w:val="left" w:pos="567"/>
      </w:tabs>
      <w:wordWrap w:val="0"/>
      <w:topLinePunct/>
      <w:adjustRightInd w:val="0"/>
      <w:snapToGrid w:val="0"/>
      <w:spacing w:after="120" w:afterLines="50" w:line="360" w:lineRule="auto"/>
      <w:ind w:firstLine="0" w:firstLineChars="0"/>
      <w:jc w:val="left"/>
      <w:outlineLvl w:val="1"/>
    </w:pPr>
    <w:rPr>
      <w:rFonts w:ascii="宋体" w:hAnsi="宋体" w:eastAsia="宋体" w:cs="Times New Roman"/>
      <w:b/>
      <w:sz w:val="24"/>
      <w:lang w:val="en-US" w:eastAsia="zh-CN" w:bidi="ar-SA"/>
    </w:rPr>
  </w:style>
  <w:style w:type="paragraph" w:customStyle="1" w:styleId="257">
    <w:name w:val="tabl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258">
    <w:name w:val="通用标题2"/>
    <w:next w:val="1"/>
    <w:qFormat/>
    <w:uiPriority w:val="0"/>
    <w:pPr>
      <w:keepNext w:val="0"/>
      <w:keepLines w:val="0"/>
      <w:numPr>
        <w:ilvl w:val="0"/>
        <w:numId w:val="9"/>
      </w:numPr>
      <w:tabs>
        <w:tab w:val="left" w:pos="993"/>
      </w:tabs>
      <w:wordWrap w:val="0"/>
      <w:topLinePunct/>
      <w:adjustRightInd w:val="0"/>
      <w:snapToGrid w:val="0"/>
      <w:spacing w:after="120" w:afterLines="50" w:line="360" w:lineRule="auto"/>
      <w:ind w:firstLine="480" w:firstLineChars="0"/>
      <w:jc w:val="both"/>
      <w:outlineLvl w:val="1"/>
    </w:pPr>
    <w:rPr>
      <w:rFonts w:ascii="黑体" w:hAnsi="黑体" w:eastAsia="黑体" w:cs="Times New Roman"/>
      <w:b/>
      <w:sz w:val="28"/>
      <w:lang w:val="en-US" w:eastAsia="zh-CN" w:bidi="ar-SA"/>
    </w:rPr>
  </w:style>
  <w:style w:type="paragraph" w:customStyle="1" w:styleId="259">
    <w:name w:val="通用标题3"/>
    <w:next w:val="1"/>
    <w:qFormat/>
    <w:uiPriority w:val="0"/>
    <w:pPr>
      <w:widowControl w:val="0"/>
      <w:numPr>
        <w:ilvl w:val="1"/>
        <w:numId w:val="10"/>
      </w:numPr>
      <w:tabs>
        <w:tab w:val="left" w:pos="851"/>
      </w:tabs>
      <w:adjustRightInd w:val="0"/>
      <w:snapToGrid w:val="0"/>
      <w:spacing w:after="120" w:afterLines="50" w:line="360" w:lineRule="auto"/>
      <w:jc w:val="both"/>
      <w:outlineLvl w:val="2"/>
    </w:pPr>
    <w:rPr>
      <w:rFonts w:ascii="黑体" w:hAnsi="黑体" w:eastAsia="黑体" w:cs="Times New Roman"/>
      <w:b/>
      <w:kern w:val="2"/>
      <w:sz w:val="24"/>
      <w:szCs w:val="24"/>
      <w:lang w:val="en-US" w:eastAsia="zh-CN" w:bidi="ar-SA"/>
    </w:rPr>
  </w:style>
  <w:style w:type="paragraph" w:customStyle="1" w:styleId="260">
    <w:name w:val="通用标题4"/>
    <w:next w:val="1"/>
    <w:qFormat/>
    <w:uiPriority w:val="0"/>
    <w:pPr>
      <w:numPr>
        <w:ilvl w:val="2"/>
        <w:numId w:val="10"/>
      </w:numPr>
      <w:tabs>
        <w:tab w:val="left" w:pos="851"/>
      </w:tabs>
      <w:adjustRightInd w:val="0"/>
      <w:snapToGrid w:val="0"/>
      <w:spacing w:after="120" w:afterLines="50" w:line="360" w:lineRule="auto"/>
      <w:jc w:val="both"/>
      <w:outlineLvl w:val="3"/>
    </w:pPr>
    <w:rPr>
      <w:rFonts w:ascii="宋体" w:hAnsi="宋体" w:eastAsia="宋体" w:cs="Times New Roman"/>
      <w:kern w:val="2"/>
      <w:sz w:val="24"/>
      <w:szCs w:val="21"/>
      <w:lang w:val="en-US" w:eastAsia="zh-CN" w:bidi="ar-SA"/>
    </w:rPr>
  </w:style>
  <w:style w:type="paragraph" w:customStyle="1" w:styleId="261">
    <w:name w:val="通用标题5"/>
    <w:qFormat/>
    <w:uiPriority w:val="0"/>
    <w:pPr>
      <w:widowControl w:val="0"/>
      <w:numPr>
        <w:ilvl w:val="3"/>
        <w:numId w:val="10"/>
      </w:numPr>
      <w:tabs>
        <w:tab w:val="left" w:pos="1134"/>
      </w:tabs>
      <w:autoSpaceDE w:val="0"/>
      <w:autoSpaceDN w:val="0"/>
      <w:adjustRightInd w:val="0"/>
      <w:snapToGrid w:val="0"/>
      <w:spacing w:after="120" w:afterLines="50" w:line="360" w:lineRule="auto"/>
      <w:jc w:val="both"/>
    </w:pPr>
    <w:rPr>
      <w:rFonts w:ascii="宋体" w:hAnsi="宋体" w:eastAsia="宋体" w:cs="Times New Roman"/>
      <w:kern w:val="2"/>
      <w:sz w:val="24"/>
      <w:szCs w:val="21"/>
      <w:lang w:val="en-US" w:eastAsia="zh-CN" w:bidi="ar-SA"/>
    </w:rPr>
  </w:style>
  <w:style w:type="paragraph" w:customStyle="1" w:styleId="262">
    <w:name w:val="通用标题6"/>
    <w:qFormat/>
    <w:uiPriority w:val="0"/>
    <w:pPr>
      <w:numPr>
        <w:ilvl w:val="4"/>
        <w:numId w:val="11"/>
      </w:numPr>
      <w:tabs>
        <w:tab w:val="left" w:pos="993"/>
      </w:tabs>
      <w:wordWrap/>
      <w:topLinePunct w:val="0"/>
      <w:adjustRightInd w:val="0"/>
      <w:snapToGrid w:val="0"/>
      <w:spacing w:after="120" w:afterLines="50" w:line="360" w:lineRule="auto"/>
      <w:ind w:firstLine="0" w:firstLineChars="0"/>
      <w:jc w:val="both"/>
    </w:pPr>
    <w:rPr>
      <w:rFonts w:ascii="宋体" w:hAnsi="宋体" w:eastAsia="宋体" w:cs="Times New Roman"/>
      <w:sz w:val="24"/>
      <w:lang w:val="en-US" w:eastAsia="zh-CN" w:bidi="ar-SA"/>
    </w:rPr>
  </w:style>
  <w:style w:type="paragraph" w:customStyle="1" w:styleId="263">
    <w:name w:val="专用标题2"/>
    <w:next w:val="1"/>
    <w:qFormat/>
    <w:uiPriority w:val="0"/>
    <w:pPr>
      <w:keepNext w:val="0"/>
      <w:keepLines w:val="0"/>
      <w:tabs>
        <w:tab w:val="left" w:pos="993"/>
      </w:tabs>
      <w:wordWrap/>
      <w:topLinePunct w:val="0"/>
      <w:adjustRightInd w:val="0"/>
      <w:snapToGrid w:val="0"/>
      <w:spacing w:after="120" w:afterLines="50" w:line="360" w:lineRule="auto"/>
      <w:ind w:firstLine="0" w:firstLineChars="0"/>
      <w:jc w:val="both"/>
      <w:outlineLvl w:val="1"/>
    </w:pPr>
    <w:rPr>
      <w:rFonts w:ascii="宋体" w:hAnsi="宋体" w:eastAsia="宋体" w:cs="Times"/>
      <w:b/>
      <w:sz w:val="28"/>
      <w:lang w:val="en-US" w:eastAsia="zh-CN" w:bidi="ar-SA"/>
    </w:rPr>
  </w:style>
  <w:style w:type="paragraph" w:customStyle="1" w:styleId="264">
    <w:name w:val="正文段落格式"/>
    <w:qFormat/>
    <w:uiPriority w:val="0"/>
    <w:pPr>
      <w:widowControl w:val="0"/>
      <w:spacing w:line="240" w:lineRule="auto"/>
      <w:ind w:firstLine="200" w:firstLineChars="200"/>
      <w:jc w:val="left"/>
    </w:pPr>
    <w:rPr>
      <w:rFonts w:ascii="Times New Roman" w:hAnsi="Times New Roman" w:eastAsia="仿宋" w:cs="Times New Roman"/>
      <w:kern w:val="2"/>
      <w:sz w:val="32"/>
      <w:szCs w:val="20"/>
      <w:lang w:val="en-US" w:eastAsia="zh-CN" w:bidi="ar-SA"/>
    </w:rPr>
  </w:style>
  <w:style w:type="paragraph" w:customStyle="1" w:styleId="265">
    <w:name w:val="样式 首行缩进:  2 字符"/>
    <w:qFormat/>
    <w:uiPriority w:val="0"/>
    <w:pPr>
      <w:widowControl w:val="0"/>
      <w:spacing w:line="560" w:lineRule="exact"/>
      <w:ind w:firstLine="200" w:firstLineChars="200"/>
      <w:jc w:val="both"/>
    </w:pPr>
    <w:rPr>
      <w:rFonts w:ascii="Times New Roman" w:hAnsi="Times New Roman" w:eastAsia="仿宋" w:cs="宋体"/>
      <w:kern w:val="2"/>
      <w:sz w:val="32"/>
      <w:szCs w:val="20"/>
      <w:lang w:val="en-US" w:eastAsia="zh-CN" w:bidi="ar-SA"/>
    </w:rPr>
  </w:style>
  <w:style w:type="paragraph" w:customStyle="1" w:styleId="266">
    <w:name w:val="表名格式"/>
    <w:qFormat/>
    <w:uiPriority w:val="0"/>
    <w:pPr>
      <w:widowControl w:val="0"/>
      <w:snapToGrid w:val="0"/>
      <w:spacing w:line="560" w:lineRule="exact"/>
      <w:ind w:firstLine="200" w:firstLineChars="200"/>
      <w:jc w:val="center"/>
    </w:pPr>
    <w:rPr>
      <w:rFonts w:ascii="Times New Roman" w:hAnsi="Times New Roman" w:eastAsia="仿宋" w:cs="宋体"/>
      <w:b/>
      <w:kern w:val="2"/>
      <w:sz w:val="21"/>
      <w:szCs w:val="21"/>
      <w:lang w:val="en-US" w:eastAsia="zh-CN" w:bidi="ar-SA"/>
    </w:rPr>
  </w:style>
  <w:style w:type="paragraph" w:customStyle="1" w:styleId="267">
    <w:name w:val="表格文字图表文字"/>
    <w:qFormat/>
    <w:uiPriority w:val="0"/>
    <w:pPr>
      <w:widowControl w:val="0"/>
      <w:snapToGrid w:val="0"/>
      <w:spacing w:line="560" w:lineRule="exact"/>
      <w:ind w:firstLine="200" w:firstLineChars="200"/>
      <w:jc w:val="center"/>
    </w:pPr>
    <w:rPr>
      <w:rFonts w:ascii="Times New Roman" w:hAnsi="Times New Roman" w:eastAsia="仿宋" w:cs="宋体"/>
      <w:kern w:val="2"/>
      <w:sz w:val="21"/>
      <w:szCs w:val="20"/>
      <w:lang w:val="en-US" w:eastAsia="zh-CN" w:bidi="ar-SA"/>
    </w:rPr>
  </w:style>
  <w:style w:type="paragraph" w:customStyle="1" w:styleId="268">
    <w:name w:val="表格文字格式"/>
    <w:qFormat/>
    <w:uiPriority w:val="99"/>
    <w:pPr>
      <w:widowControl w:val="0"/>
      <w:snapToGrid w:val="0"/>
      <w:spacing w:line="560" w:lineRule="exact"/>
      <w:ind w:firstLine="200" w:firstLineChars="200"/>
      <w:jc w:val="center"/>
    </w:pPr>
    <w:rPr>
      <w:rFonts w:ascii="Times New Roman" w:hAnsi="Times New Roman" w:eastAsia="仿宋" w:cs="宋体"/>
      <w:kern w:val="2"/>
      <w:sz w:val="21"/>
      <w:szCs w:val="20"/>
      <w:lang w:val="en-US" w:eastAsia="zh-CN" w:bidi="ar-SA"/>
    </w:rPr>
  </w:style>
  <w:style w:type="paragraph" w:customStyle="1" w:styleId="269">
    <w:name w:val="图表名"/>
    <w:qFormat/>
    <w:uiPriority w:val="99"/>
    <w:pPr>
      <w:widowControl w:val="0"/>
      <w:adjustRightInd w:val="0"/>
      <w:snapToGrid w:val="0"/>
      <w:spacing w:beforeLines="50" w:afterLines="50" w:line="300" w:lineRule="auto"/>
      <w:ind w:firstLine="200" w:firstLineChars="200"/>
      <w:jc w:val="center"/>
    </w:pPr>
    <w:rPr>
      <w:rFonts w:ascii="Times New Roman" w:hAnsi="Times New Roman" w:eastAsia="仿宋" w:cs="宋体"/>
      <w:bCs/>
      <w:spacing w:val="10"/>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15.png"/><Relationship Id="rId57" Type="http://schemas.openxmlformats.org/officeDocument/2006/relationships/image" Target="media/image14.png"/><Relationship Id="rId56" Type="http://schemas.openxmlformats.org/officeDocument/2006/relationships/image" Target="media/image13.png"/><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jpeg"/><Relationship Id="rId50" Type="http://schemas.openxmlformats.org/officeDocument/2006/relationships/image" Target="media/image7.jpeg"/><Relationship Id="rId5" Type="http://schemas.openxmlformats.org/officeDocument/2006/relationships/footer" Target="footer1.xml"/><Relationship Id="rId49" Type="http://schemas.openxmlformats.org/officeDocument/2006/relationships/image" Target="media/image6.jpeg"/><Relationship Id="rId48" Type="http://schemas.openxmlformats.org/officeDocument/2006/relationships/image" Target="media/image5.jpeg"/><Relationship Id="rId47" Type="http://schemas.openxmlformats.org/officeDocument/2006/relationships/image" Target="media/image4.jpe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23.xml"/><Relationship Id="rId41" Type="http://schemas.openxmlformats.org/officeDocument/2006/relationships/header" Target="header17.xml"/><Relationship Id="rId40" Type="http://schemas.openxmlformats.org/officeDocument/2006/relationships/footer" Target="footer22.xml"/><Relationship Id="rId4" Type="http://schemas.openxmlformats.org/officeDocument/2006/relationships/header" Target="header2.xml"/><Relationship Id="rId39" Type="http://schemas.openxmlformats.org/officeDocument/2006/relationships/header" Target="header16.xml"/><Relationship Id="rId38" Type="http://schemas.openxmlformats.org/officeDocument/2006/relationships/header" Target="header15.xml"/><Relationship Id="rId37" Type="http://schemas.openxmlformats.org/officeDocument/2006/relationships/footer" Target="footer21.xml"/><Relationship Id="rId36" Type="http://schemas.openxmlformats.org/officeDocument/2006/relationships/footer" Target="footer20.xml"/><Relationship Id="rId35" Type="http://schemas.openxmlformats.org/officeDocument/2006/relationships/header" Target="header14.xml"/><Relationship Id="rId34" Type="http://schemas.openxmlformats.org/officeDocument/2006/relationships/header" Target="header13.xml"/><Relationship Id="rId33" Type="http://schemas.openxmlformats.org/officeDocument/2006/relationships/footer" Target="footer19.xml"/><Relationship Id="rId32" Type="http://schemas.openxmlformats.org/officeDocument/2006/relationships/footer" Target="footer18.xml"/><Relationship Id="rId31" Type="http://schemas.openxmlformats.org/officeDocument/2006/relationships/header" Target="header12.xml"/><Relationship Id="rId30" Type="http://schemas.openxmlformats.org/officeDocument/2006/relationships/header" Target="header11.xml"/><Relationship Id="rId3" Type="http://schemas.openxmlformats.org/officeDocument/2006/relationships/header" Target="header1.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header" Target="header10.xml"/><Relationship Id="rId25" Type="http://schemas.openxmlformats.org/officeDocument/2006/relationships/header" Target="header9.xml"/><Relationship Id="rId24" Type="http://schemas.openxmlformats.org/officeDocument/2006/relationships/header" Target="header8.xml"/><Relationship Id="rId23" Type="http://schemas.openxmlformats.org/officeDocument/2006/relationships/header" Target="header7.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176</Pages>
  <Words>112883</Words>
  <Characters>119953</Characters>
  <Lines>1</Lines>
  <Paragraphs>1</Paragraphs>
  <TotalTime>33</TotalTime>
  <ScaleCrop>false</ScaleCrop>
  <LinksUpToDate>false</LinksUpToDate>
  <CharactersWithSpaces>125448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2022-03-30T10:53:00Z</dcterms:created>
  <dc:creator>Yin Hao</dc:creator>
  <cp:lastModifiedBy>安川</cp:lastModifiedBy>
  <cp:lastPrinted>2025-02-21T01:35:00Z</cp:lastPrinted>
  <dcterms:modified xsi:type="dcterms:W3CDTF">2025-09-26T03:27:06Z</dcterms:modified>
  <dc:title>02年杜范本稿</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8C379C17A080474D8CF32D7C684CDD15_13</vt:lpwstr>
  </property>
  <property fmtid="{D5CDD505-2E9C-101B-9397-08002B2CF9AE}" pid="4" name="KSOTemplateDocerSaveRecord">
    <vt:lpwstr>eyJoZGlkIjoiYmY4ZWU1YTAzODE2YmYzM2YyNzcxMmM2ODgyNDU0ODAiLCJ1c2VySWQiOiIxNjQyOTY0NjYzIn0=</vt:lpwstr>
  </property>
</Properties>
</file>