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BJJQ-2025-1266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北京市涉外安全风险防范服务项目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6CF1E12D">
      <w:pPr>
        <w:spacing w:line="360" w:lineRule="auto"/>
        <w:ind w:left="1999" w:leftChars="266" w:hanging="1440" w:hangingChars="600"/>
        <w:jc w:val="left"/>
        <w:rPr>
          <w:rFonts w:hint="default" w:ascii="Times New Roman" w:hAnsi="Times New Roman" w:eastAsia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01包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中科软科技股份有限公司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  <w:t>（91110108101966816T）</w:t>
      </w:r>
    </w:p>
    <w:p w14:paraId="65C58B6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北京市海淀区中关村新科祥园甲6号楼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交金额：</w:t>
      </w:r>
    </w:p>
    <w:p w14:paraId="2653DBC1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贰佰肆拾玖万伍仟元整</w:t>
      </w:r>
    </w:p>
    <w:p w14:paraId="499474B4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人民币小写：￥2,495,000.00 </w:t>
      </w:r>
    </w:p>
    <w:p w14:paraId="15DBC9C4">
      <w:pPr>
        <w:spacing w:line="360" w:lineRule="auto"/>
        <w:ind w:left="1999" w:leftChars="266" w:hanging="1440" w:hangingChars="600"/>
        <w:jc w:val="left"/>
        <w:rPr>
          <w:rFonts w:hint="default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 xml:space="preserve">成交供应商得分：87.02 </w:t>
      </w:r>
    </w:p>
    <w:p w14:paraId="2390A592">
      <w:pPr>
        <w:spacing w:line="360" w:lineRule="auto"/>
        <w:ind w:left="1999" w:leftChars="266" w:hanging="1440" w:hangingChars="600"/>
        <w:jc w:val="left"/>
        <w:rPr>
          <w:rFonts w:hint="default" w:ascii="Times New Roman" w:hAnsi="Times New Roman" w:eastAsia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02包</w:t>
      </w:r>
    </w:p>
    <w:p w14:paraId="21480280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供应商名称：中杰安保集团有限公司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</w:rPr>
        <w:t>（91110112MA00905G9H）</w:t>
      </w:r>
    </w:p>
    <w:p w14:paraId="2236F54A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</w:rPr>
        <w:t>供应商地址：北京市通州区张家湾镇广源西街9号320室</w:t>
      </w:r>
    </w:p>
    <w:p w14:paraId="6A9B17AA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交金额：</w:t>
      </w:r>
    </w:p>
    <w:p w14:paraId="2FFE9BDB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肆拾肆万伍仟叁佰陆拾元整</w:t>
      </w:r>
    </w:p>
    <w:p w14:paraId="2808C5CB">
      <w:pPr>
        <w:spacing w:line="360" w:lineRule="auto"/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人民币小写：￥445,360.00  </w:t>
      </w:r>
    </w:p>
    <w:p w14:paraId="49AAD087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 xml:space="preserve">成交供应商得分：89.67  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北京市涉外安全风险防范服务项目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  <w:bookmarkStart w:id="2" w:name="_GoBack"/>
      <w:bookmarkEnd w:id="2"/>
    </w:p>
    <w:p w14:paraId="4335B484">
      <w:pPr>
        <w:spacing w:line="360" w:lineRule="auto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李成伦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马艳华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方书涛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3.364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收费标准详见磋商文件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其中01包2.696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万元，其中02包0.668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万元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BJJQ-2025-1266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0470BD8">
      <w:pPr>
        <w:spacing w:line="360" w:lineRule="auto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hint="eastAsia" w:ascii="Times New Roman" w:hAnsi="Times New Roman" w:eastAsia="宋体"/>
          <w:sz w:val="24"/>
        </w:rPr>
        <w:t>1.采购人信息</w:t>
      </w:r>
    </w:p>
    <w:p w14:paraId="5A6EF18B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名    称：北京市人民政府外事办公室 </w:t>
      </w:r>
    </w:p>
    <w:p w14:paraId="36FCE29D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址：北京市通州区运河东大街57号</w:t>
      </w:r>
    </w:p>
    <w:p w14:paraId="1A443AF0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联系方式：010-55574150</w:t>
      </w:r>
    </w:p>
    <w:p w14:paraId="0E921578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2.采购代理机构信息</w:t>
      </w:r>
    </w:p>
    <w:p w14:paraId="77067F4D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26C5044B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 3号楼9层</w:t>
      </w:r>
    </w:p>
    <w:p w14:paraId="330F4433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联系方式：010-65170699、65173108</w:t>
      </w:r>
    </w:p>
    <w:p w14:paraId="1AC52456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3.项目联系方式</w:t>
      </w:r>
    </w:p>
    <w:p w14:paraId="13960B38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项目联系人：雷天宠、孙银萍</w:t>
      </w:r>
    </w:p>
    <w:p w14:paraId="5BA20EA4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采购文件</w:t>
      </w:r>
    </w:p>
    <w:p w14:paraId="34934AF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2.02包中小企业声明函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D4BAF"/>
    <w:rsid w:val="00FF7D1A"/>
    <w:rsid w:val="04A24CDA"/>
    <w:rsid w:val="04F95927"/>
    <w:rsid w:val="05C42C3E"/>
    <w:rsid w:val="07D653C6"/>
    <w:rsid w:val="09A7081A"/>
    <w:rsid w:val="0CCE6862"/>
    <w:rsid w:val="0E1F2F42"/>
    <w:rsid w:val="11F501BE"/>
    <w:rsid w:val="18735819"/>
    <w:rsid w:val="19CF1150"/>
    <w:rsid w:val="1C8B111C"/>
    <w:rsid w:val="1D4D28E0"/>
    <w:rsid w:val="1E023067"/>
    <w:rsid w:val="215761DF"/>
    <w:rsid w:val="2421450C"/>
    <w:rsid w:val="250626F6"/>
    <w:rsid w:val="27A65BFC"/>
    <w:rsid w:val="290E41A6"/>
    <w:rsid w:val="29D5218B"/>
    <w:rsid w:val="29FB0865"/>
    <w:rsid w:val="2A2E641A"/>
    <w:rsid w:val="2AEF3F32"/>
    <w:rsid w:val="2BC053BA"/>
    <w:rsid w:val="311241F9"/>
    <w:rsid w:val="32DF67DF"/>
    <w:rsid w:val="345D7336"/>
    <w:rsid w:val="34922C11"/>
    <w:rsid w:val="35455CAA"/>
    <w:rsid w:val="365113D3"/>
    <w:rsid w:val="3655124B"/>
    <w:rsid w:val="37F93C8A"/>
    <w:rsid w:val="38486DD2"/>
    <w:rsid w:val="3A0E27DB"/>
    <w:rsid w:val="3A13350C"/>
    <w:rsid w:val="3B071680"/>
    <w:rsid w:val="3E6C2BB1"/>
    <w:rsid w:val="40347EC8"/>
    <w:rsid w:val="41962165"/>
    <w:rsid w:val="45751B56"/>
    <w:rsid w:val="457C737D"/>
    <w:rsid w:val="459E22AD"/>
    <w:rsid w:val="47BE50CF"/>
    <w:rsid w:val="4B2077D3"/>
    <w:rsid w:val="4BE07CBB"/>
    <w:rsid w:val="4E7A2BCF"/>
    <w:rsid w:val="4EB70B7E"/>
    <w:rsid w:val="4F1E452A"/>
    <w:rsid w:val="55187ACF"/>
    <w:rsid w:val="55F87F75"/>
    <w:rsid w:val="58A121EF"/>
    <w:rsid w:val="5C743713"/>
    <w:rsid w:val="5D4B6E32"/>
    <w:rsid w:val="62C86514"/>
    <w:rsid w:val="667F49E4"/>
    <w:rsid w:val="66894F0B"/>
    <w:rsid w:val="6718785A"/>
    <w:rsid w:val="67FC3A20"/>
    <w:rsid w:val="69B70BEA"/>
    <w:rsid w:val="6A4219D9"/>
    <w:rsid w:val="6ADB2195"/>
    <w:rsid w:val="6CB87DDC"/>
    <w:rsid w:val="6CF36A4E"/>
    <w:rsid w:val="6D053B08"/>
    <w:rsid w:val="6EBC5389"/>
    <w:rsid w:val="72AE12BE"/>
    <w:rsid w:val="735F4E0A"/>
    <w:rsid w:val="737A7BA3"/>
    <w:rsid w:val="74DF73DB"/>
    <w:rsid w:val="76ED7D94"/>
    <w:rsid w:val="7AB66EC6"/>
    <w:rsid w:val="7AE17CE9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696</Characters>
  <Lines>4</Lines>
  <Paragraphs>1</Paragraphs>
  <TotalTime>0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DELL</cp:lastModifiedBy>
  <dcterms:modified xsi:type="dcterms:W3CDTF">2026-01-06T04:15:54Z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eyJoZGlkIjoiMTNhNTljY2Y2Zjc3MDk1MTk0NmY3YzRlYzFlMmQzMzkifQ==</vt:lpwstr>
  </property>
</Properties>
</file>