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CE4DB45">
      <w:pPr>
        <w:spacing w:line="360" w:lineRule="auto"/>
        <w:ind w:firstLine="300" w:firstLineChars="50"/>
        <w:rPr>
          <w:rFonts w:hint="eastAsia"/>
          <w:sz w:val="60"/>
          <w:szCs w:val="60"/>
        </w:rPr>
      </w:pPr>
    </w:p>
    <w:p w14:paraId="44603B6E">
      <w:pPr>
        <w:spacing w:line="360" w:lineRule="auto"/>
        <w:ind w:firstLine="300" w:firstLineChars="50"/>
        <w:rPr>
          <w:rFonts w:hint="eastAsia"/>
          <w:sz w:val="60"/>
          <w:szCs w:val="60"/>
        </w:rPr>
      </w:pPr>
    </w:p>
    <w:p w14:paraId="2D77A5DD">
      <w:pPr>
        <w:jc w:val="center"/>
        <w:rPr>
          <w:b/>
          <w:bCs/>
          <w:sz w:val="60"/>
          <w:szCs w:val="60"/>
        </w:rPr>
      </w:pPr>
    </w:p>
    <w:p w14:paraId="450ED931">
      <w:pPr>
        <w:jc w:val="center"/>
        <w:rPr>
          <w:b/>
          <w:bCs/>
          <w:sz w:val="60"/>
          <w:szCs w:val="60"/>
        </w:rPr>
      </w:pPr>
      <w:r>
        <w:rPr>
          <w:b/>
          <w:bCs/>
          <w:sz w:val="60"/>
          <w:szCs w:val="60"/>
        </w:rPr>
        <w:t>北京市政府采购项目</w:t>
      </w:r>
    </w:p>
    <w:p w14:paraId="357ABCCE">
      <w:pPr>
        <w:jc w:val="center"/>
        <w:rPr>
          <w:rFonts w:ascii="宋体" w:hAnsi="宋体"/>
          <w:b/>
          <w:bCs/>
          <w:sz w:val="60"/>
          <w:szCs w:val="60"/>
        </w:rPr>
      </w:pPr>
      <w:r>
        <w:rPr>
          <w:b/>
          <w:bCs/>
          <w:sz w:val="60"/>
          <w:szCs w:val="60"/>
        </w:rPr>
        <w:t>竞争性磋商文件</w:t>
      </w:r>
    </w:p>
    <w:p w14:paraId="45F9DDFC">
      <w:pPr>
        <w:spacing w:line="360" w:lineRule="auto"/>
        <w:jc w:val="center"/>
        <w:rPr>
          <w:rFonts w:ascii="宋体" w:hAnsi="宋体"/>
          <w:b/>
          <w:bCs/>
          <w:sz w:val="60"/>
          <w:szCs w:val="60"/>
        </w:rPr>
      </w:pPr>
    </w:p>
    <w:p w14:paraId="2FC18295">
      <w:pPr>
        <w:spacing w:line="360" w:lineRule="auto"/>
        <w:jc w:val="center"/>
        <w:rPr>
          <w:rFonts w:ascii="宋体" w:hAnsi="宋体"/>
          <w:b/>
          <w:bCs/>
          <w:sz w:val="60"/>
          <w:szCs w:val="60"/>
        </w:rPr>
      </w:pPr>
    </w:p>
    <w:p w14:paraId="3CF9B069">
      <w:pPr>
        <w:spacing w:line="360" w:lineRule="auto"/>
        <w:jc w:val="center"/>
        <w:rPr>
          <w:rFonts w:ascii="宋体" w:hAnsi="宋体"/>
          <w:b/>
          <w:bCs/>
          <w:sz w:val="60"/>
          <w:szCs w:val="60"/>
        </w:rPr>
      </w:pPr>
    </w:p>
    <w:p w14:paraId="4846D662">
      <w:pPr>
        <w:tabs>
          <w:tab w:val="left" w:pos="5609"/>
        </w:tabs>
        <w:spacing w:line="360" w:lineRule="auto"/>
        <w:ind w:left="2832" w:leftChars="444" w:hanging="1900" w:hangingChars="528"/>
        <w:jc w:val="left"/>
        <w:rPr>
          <w:bCs/>
          <w:sz w:val="36"/>
          <w:szCs w:val="36"/>
        </w:rPr>
      </w:pPr>
    </w:p>
    <w:p w14:paraId="3019751A">
      <w:pPr>
        <w:tabs>
          <w:tab w:val="left" w:pos="5609"/>
        </w:tabs>
        <w:spacing w:line="360" w:lineRule="auto"/>
        <w:ind w:left="2832" w:leftChars="444" w:hanging="1900" w:hangingChars="528"/>
        <w:jc w:val="left"/>
        <w:rPr>
          <w:bCs/>
          <w:sz w:val="36"/>
          <w:szCs w:val="36"/>
        </w:rPr>
      </w:pPr>
      <w:r>
        <w:rPr>
          <w:bCs/>
          <w:sz w:val="36"/>
          <w:szCs w:val="36"/>
        </w:rPr>
        <w:t>项目名称：</w:t>
      </w:r>
      <w:r>
        <w:rPr>
          <w:rFonts w:hint="eastAsia"/>
          <w:bCs/>
          <w:sz w:val="36"/>
          <w:szCs w:val="36"/>
        </w:rPr>
        <w:t>永定河休闲森林公园运行维护项目—园区微型消防站服务采购项目</w:t>
      </w:r>
    </w:p>
    <w:p w14:paraId="0B050B7A">
      <w:pPr>
        <w:tabs>
          <w:tab w:val="left" w:pos="3240"/>
          <w:tab w:val="left" w:pos="3420"/>
        </w:tabs>
        <w:spacing w:line="360" w:lineRule="auto"/>
        <w:ind w:left="2832" w:leftChars="444" w:hanging="1900" w:hangingChars="528"/>
        <w:jc w:val="left"/>
        <w:rPr>
          <w:rFonts w:hint="eastAsia"/>
          <w:bCs/>
          <w:sz w:val="36"/>
          <w:szCs w:val="36"/>
        </w:rPr>
      </w:pPr>
      <w:r>
        <w:rPr>
          <w:bCs/>
          <w:sz w:val="36"/>
          <w:szCs w:val="36"/>
        </w:rPr>
        <w:t>项目编号：</w:t>
      </w:r>
      <w:r>
        <w:rPr>
          <w:rFonts w:hint="eastAsia"/>
          <w:bCs/>
          <w:sz w:val="36"/>
          <w:szCs w:val="36"/>
        </w:rPr>
        <w:t>11000025210200156986-XM001</w:t>
      </w:r>
    </w:p>
    <w:p w14:paraId="35C02A16">
      <w:pPr>
        <w:tabs>
          <w:tab w:val="left" w:pos="3240"/>
          <w:tab w:val="left" w:pos="3420"/>
        </w:tabs>
        <w:spacing w:line="360" w:lineRule="auto"/>
        <w:ind w:left="2832" w:leftChars="444" w:hanging="1900" w:hangingChars="528"/>
        <w:jc w:val="left"/>
        <w:rPr>
          <w:rFonts w:hint="eastAsia"/>
          <w:bCs/>
          <w:sz w:val="36"/>
          <w:szCs w:val="36"/>
        </w:rPr>
      </w:pPr>
      <w:r>
        <w:rPr>
          <w:bCs/>
          <w:sz w:val="36"/>
          <w:szCs w:val="36"/>
        </w:rPr>
        <w:t>采 购 人：</w:t>
      </w:r>
      <w:r>
        <w:rPr>
          <w:rFonts w:hint="eastAsia"/>
          <w:bCs/>
          <w:sz w:val="36"/>
          <w:szCs w:val="36"/>
        </w:rPr>
        <w:t>北京市永定河休闲森林公园管理处</w:t>
      </w:r>
    </w:p>
    <w:p w14:paraId="5F6AD76E">
      <w:pPr>
        <w:tabs>
          <w:tab w:val="left" w:pos="3240"/>
          <w:tab w:val="left" w:pos="3420"/>
        </w:tabs>
        <w:spacing w:line="360" w:lineRule="auto"/>
        <w:ind w:left="2832" w:leftChars="444" w:hanging="1900" w:hangingChars="528"/>
        <w:jc w:val="left"/>
        <w:rPr>
          <w:rFonts w:hint="eastAsia"/>
          <w:bCs/>
          <w:sz w:val="36"/>
          <w:szCs w:val="36"/>
        </w:rPr>
      </w:pPr>
      <w:r>
        <w:rPr>
          <w:rFonts w:hint="eastAsia"/>
          <w:bCs/>
          <w:sz w:val="36"/>
          <w:szCs w:val="36"/>
        </w:rPr>
        <w:t>采购</w:t>
      </w:r>
      <w:r>
        <w:rPr>
          <w:bCs/>
          <w:sz w:val="36"/>
          <w:szCs w:val="36"/>
        </w:rPr>
        <w:t>代理机构：</w:t>
      </w:r>
      <w:r>
        <w:rPr>
          <w:rFonts w:hint="eastAsia"/>
          <w:bCs/>
          <w:sz w:val="36"/>
          <w:szCs w:val="36"/>
        </w:rPr>
        <w:t>中瑞博信项目管理集团有限公司</w:t>
      </w:r>
    </w:p>
    <w:p w14:paraId="3A393334">
      <w:pPr>
        <w:pStyle w:val="231"/>
        <w:spacing w:line="360" w:lineRule="auto"/>
        <w:rPr>
          <w:rFonts w:ascii="Times New Roman" w:hAnsi="Times New Roman" w:cs="Times New Roman"/>
          <w:color w:val="auto"/>
          <w:sz w:val="32"/>
          <w:szCs w:val="32"/>
        </w:rPr>
      </w:pPr>
    </w:p>
    <w:p w14:paraId="5B9BD028">
      <w:pPr>
        <w:widowControl/>
        <w:jc w:val="left"/>
        <w:rPr>
          <w:color w:val="000000"/>
          <w:kern w:val="0"/>
          <w:sz w:val="24"/>
        </w:rPr>
      </w:pPr>
      <w:r>
        <w:br w:type="page"/>
      </w:r>
    </w:p>
    <w:p w14:paraId="6A66F313">
      <w:pPr>
        <w:pStyle w:val="231"/>
        <w:spacing w:line="360" w:lineRule="auto"/>
        <w:rPr>
          <w:rFonts w:ascii="Times New Roman" w:hAnsi="Times New Roman" w:cs="Times New Roman"/>
        </w:rPr>
      </w:pPr>
    </w:p>
    <w:p w14:paraId="6A703EB2">
      <w:pPr>
        <w:spacing w:line="360" w:lineRule="auto"/>
        <w:jc w:val="center"/>
        <w:outlineLvl w:val="0"/>
        <w:rPr>
          <w:b/>
          <w:sz w:val="36"/>
          <w:szCs w:val="36"/>
        </w:rPr>
      </w:pPr>
      <w:bookmarkStart w:id="0" w:name="_Toc207110986"/>
      <w:r>
        <w:rPr>
          <w:rFonts w:hint="eastAsia"/>
          <w:b/>
          <w:sz w:val="36"/>
          <w:szCs w:val="36"/>
        </w:rPr>
        <w:t>目</w:t>
      </w:r>
      <w:r>
        <w:rPr>
          <w:b/>
          <w:sz w:val="36"/>
          <w:szCs w:val="36"/>
        </w:rPr>
        <w:t xml:space="preserve">      </w:t>
      </w:r>
      <w:r>
        <w:rPr>
          <w:rFonts w:hint="eastAsia"/>
          <w:b/>
          <w:sz w:val="36"/>
          <w:szCs w:val="36"/>
        </w:rPr>
        <w:t>录</w:t>
      </w:r>
      <w:bookmarkEnd w:id="0"/>
    </w:p>
    <w:p w14:paraId="119FFD22"/>
    <w:p w14:paraId="5BC6A21E"/>
    <w:p w14:paraId="513BEDE3">
      <w:pPr>
        <w:rPr>
          <w:rFonts w:hint="eastAsia"/>
        </w:rPr>
      </w:pPr>
    </w:p>
    <w:p w14:paraId="1C2C54A4">
      <w:pPr>
        <w:pStyle w:val="32"/>
        <w:tabs>
          <w:tab w:val="left" w:pos="570"/>
          <w:tab w:val="clear" w:pos="1050"/>
        </w:tabs>
        <w:rPr>
          <w:rFonts w:hint="eastAsia" w:ascii="等线" w:hAnsi="等线" w:eastAsia="等线"/>
          <w:b w:val="0"/>
          <w:sz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64B35165">
      <w:pPr>
        <w:pStyle w:val="32"/>
        <w:rPr>
          <w:rStyle w:val="50"/>
        </w:rPr>
      </w:pPr>
      <w:r>
        <w:rPr>
          <w:rStyle w:val="50"/>
          <w:rFonts w:hint="eastAsia"/>
        </w:rPr>
        <w:fldChar w:fldCharType="begin"/>
      </w:r>
      <w:r>
        <w:rPr>
          <w:rStyle w:val="50"/>
          <w:rFonts w:hint="eastAsia"/>
        </w:rPr>
        <w:instrText xml:space="preserve"> </w:instrText>
      </w:r>
      <w:r>
        <w:rPr>
          <w:rFonts w:hint="eastAsia"/>
        </w:rPr>
        <w:instrText xml:space="preserve">HYPERLINK \l "_Toc207110987"</w:instrText>
      </w:r>
      <w:r>
        <w:rPr>
          <w:rStyle w:val="50"/>
          <w:rFonts w:hint="eastAsia"/>
        </w:rPr>
        <w:instrText xml:space="preserve"> </w:instrText>
      </w:r>
      <w:r>
        <w:rPr>
          <w:rStyle w:val="50"/>
          <w:rFonts w:hint="eastAsia"/>
        </w:rPr>
        <w:fldChar w:fldCharType="separate"/>
      </w:r>
      <w:r>
        <w:rPr>
          <w:rStyle w:val="50"/>
          <w:rFonts w:hint="eastAsia"/>
        </w:rPr>
        <w:t>第一章   采购邀请</w:t>
      </w:r>
      <w:r>
        <w:rPr>
          <w:rFonts w:hint="eastAsia"/>
        </w:rPr>
        <w:tab/>
      </w:r>
      <w:r>
        <w:rPr>
          <w:rFonts w:hint="eastAsia"/>
        </w:rPr>
        <w:fldChar w:fldCharType="begin"/>
      </w:r>
      <w:r>
        <w:rPr>
          <w:rFonts w:hint="eastAsia"/>
        </w:rPr>
        <w:instrText xml:space="preserve"> </w:instrText>
      </w:r>
      <w:r>
        <w:instrText xml:space="preserve">PAGEREF _Toc207110987 \h</w:instrText>
      </w:r>
      <w:r>
        <w:rPr>
          <w:rFonts w:hint="eastAsia"/>
        </w:rPr>
        <w:instrText xml:space="preserve"> </w:instrText>
      </w:r>
      <w:r>
        <w:rPr>
          <w:rFonts w:hint="eastAsia"/>
        </w:rPr>
        <w:fldChar w:fldCharType="separate"/>
      </w:r>
      <w:r>
        <w:t>1</w:t>
      </w:r>
      <w:r>
        <w:rPr>
          <w:rFonts w:hint="eastAsia"/>
        </w:rPr>
        <w:fldChar w:fldCharType="end"/>
      </w:r>
      <w:r>
        <w:rPr>
          <w:rStyle w:val="50"/>
          <w:rFonts w:hint="eastAsia"/>
        </w:rPr>
        <w:fldChar w:fldCharType="end"/>
      </w:r>
    </w:p>
    <w:p w14:paraId="2E92B6C7">
      <w:pPr>
        <w:rPr>
          <w:rFonts w:hint="eastAsia"/>
        </w:rPr>
      </w:pPr>
    </w:p>
    <w:p w14:paraId="060736E8">
      <w:pPr>
        <w:pStyle w:val="32"/>
        <w:rPr>
          <w:rStyle w:val="50"/>
        </w:rPr>
      </w:pPr>
      <w:r>
        <w:rPr>
          <w:rStyle w:val="50"/>
          <w:rFonts w:hint="eastAsia"/>
        </w:rPr>
        <w:fldChar w:fldCharType="begin"/>
      </w:r>
      <w:r>
        <w:rPr>
          <w:rStyle w:val="50"/>
          <w:rFonts w:hint="eastAsia"/>
        </w:rPr>
        <w:instrText xml:space="preserve"> </w:instrText>
      </w:r>
      <w:r>
        <w:rPr>
          <w:rFonts w:hint="eastAsia"/>
        </w:rPr>
        <w:instrText xml:space="preserve">HYPERLINK \l "_Toc207110988"</w:instrText>
      </w:r>
      <w:r>
        <w:rPr>
          <w:rStyle w:val="50"/>
          <w:rFonts w:hint="eastAsia"/>
        </w:rPr>
        <w:instrText xml:space="preserve"> </w:instrText>
      </w:r>
      <w:r>
        <w:rPr>
          <w:rStyle w:val="50"/>
          <w:rFonts w:hint="eastAsia"/>
        </w:rPr>
        <w:fldChar w:fldCharType="separate"/>
      </w:r>
      <w:r>
        <w:rPr>
          <w:rStyle w:val="50"/>
          <w:rFonts w:hint="eastAsia"/>
        </w:rPr>
        <w:t>第二章   供应商须知</w:t>
      </w:r>
      <w:r>
        <w:rPr>
          <w:rFonts w:hint="eastAsia"/>
        </w:rPr>
        <w:tab/>
      </w:r>
      <w:r>
        <w:rPr>
          <w:rFonts w:hint="eastAsia"/>
        </w:rPr>
        <w:fldChar w:fldCharType="begin"/>
      </w:r>
      <w:r>
        <w:rPr>
          <w:rFonts w:hint="eastAsia"/>
        </w:rPr>
        <w:instrText xml:space="preserve"> </w:instrText>
      </w:r>
      <w:r>
        <w:instrText xml:space="preserve">PAGEREF _Toc207110988 \h</w:instrText>
      </w:r>
      <w:r>
        <w:rPr>
          <w:rFonts w:hint="eastAsia"/>
        </w:rPr>
        <w:instrText xml:space="preserve"> </w:instrText>
      </w:r>
      <w:r>
        <w:rPr>
          <w:rFonts w:hint="eastAsia"/>
        </w:rPr>
        <w:fldChar w:fldCharType="separate"/>
      </w:r>
      <w:r>
        <w:t>4</w:t>
      </w:r>
      <w:r>
        <w:rPr>
          <w:rFonts w:hint="eastAsia"/>
        </w:rPr>
        <w:fldChar w:fldCharType="end"/>
      </w:r>
      <w:r>
        <w:rPr>
          <w:rStyle w:val="50"/>
          <w:rFonts w:hint="eastAsia"/>
        </w:rPr>
        <w:fldChar w:fldCharType="end"/>
      </w:r>
    </w:p>
    <w:p w14:paraId="2BD7DCA8">
      <w:pPr>
        <w:rPr>
          <w:rFonts w:hint="eastAsia"/>
        </w:rPr>
      </w:pPr>
    </w:p>
    <w:p w14:paraId="36C6E03C">
      <w:pPr>
        <w:pStyle w:val="32"/>
        <w:rPr>
          <w:rStyle w:val="50"/>
        </w:rPr>
      </w:pPr>
      <w:r>
        <w:rPr>
          <w:rStyle w:val="50"/>
          <w:rFonts w:hint="eastAsia"/>
        </w:rPr>
        <w:fldChar w:fldCharType="begin"/>
      </w:r>
      <w:r>
        <w:rPr>
          <w:rStyle w:val="50"/>
          <w:rFonts w:hint="eastAsia"/>
        </w:rPr>
        <w:instrText xml:space="preserve"> </w:instrText>
      </w:r>
      <w:r>
        <w:rPr>
          <w:rFonts w:hint="eastAsia"/>
        </w:rPr>
        <w:instrText xml:space="preserve">HYPERLINK \l "_Toc207110989"</w:instrText>
      </w:r>
      <w:r>
        <w:rPr>
          <w:rStyle w:val="50"/>
          <w:rFonts w:hint="eastAsia"/>
        </w:rPr>
        <w:instrText xml:space="preserve"> </w:instrText>
      </w:r>
      <w:r>
        <w:rPr>
          <w:rStyle w:val="50"/>
          <w:rFonts w:hint="eastAsia"/>
        </w:rPr>
        <w:fldChar w:fldCharType="separate"/>
      </w:r>
      <w:r>
        <w:rPr>
          <w:rStyle w:val="50"/>
          <w:rFonts w:hint="eastAsia"/>
        </w:rPr>
        <w:t>第三章   评审方法和评审标准</w:t>
      </w:r>
      <w:r>
        <w:rPr>
          <w:rFonts w:hint="eastAsia"/>
        </w:rPr>
        <w:tab/>
      </w:r>
      <w:r>
        <w:rPr>
          <w:rFonts w:hint="eastAsia"/>
        </w:rPr>
        <w:fldChar w:fldCharType="begin"/>
      </w:r>
      <w:r>
        <w:rPr>
          <w:rFonts w:hint="eastAsia"/>
        </w:rPr>
        <w:instrText xml:space="preserve"> </w:instrText>
      </w:r>
      <w:r>
        <w:instrText xml:space="preserve">PAGEREF _Toc207110989 \h</w:instrText>
      </w:r>
      <w:r>
        <w:rPr>
          <w:rFonts w:hint="eastAsia"/>
        </w:rPr>
        <w:instrText xml:space="preserve"> </w:instrText>
      </w:r>
      <w:r>
        <w:rPr>
          <w:rFonts w:hint="eastAsia"/>
        </w:rPr>
        <w:fldChar w:fldCharType="separate"/>
      </w:r>
      <w:r>
        <w:t>17</w:t>
      </w:r>
      <w:r>
        <w:rPr>
          <w:rFonts w:hint="eastAsia"/>
        </w:rPr>
        <w:fldChar w:fldCharType="end"/>
      </w:r>
      <w:r>
        <w:rPr>
          <w:rStyle w:val="50"/>
          <w:rFonts w:hint="eastAsia"/>
        </w:rPr>
        <w:fldChar w:fldCharType="end"/>
      </w:r>
    </w:p>
    <w:p w14:paraId="2EFE2214">
      <w:pPr>
        <w:rPr>
          <w:rFonts w:hint="eastAsia"/>
        </w:rPr>
      </w:pPr>
    </w:p>
    <w:p w14:paraId="37BC1EB0">
      <w:pPr>
        <w:pStyle w:val="32"/>
        <w:rPr>
          <w:rStyle w:val="50"/>
        </w:rPr>
      </w:pPr>
      <w:r>
        <w:rPr>
          <w:rStyle w:val="50"/>
          <w:rFonts w:hint="eastAsia"/>
        </w:rPr>
        <w:fldChar w:fldCharType="begin"/>
      </w:r>
      <w:r>
        <w:rPr>
          <w:rStyle w:val="50"/>
          <w:rFonts w:hint="eastAsia"/>
        </w:rPr>
        <w:instrText xml:space="preserve"> </w:instrText>
      </w:r>
      <w:r>
        <w:rPr>
          <w:rFonts w:hint="eastAsia"/>
        </w:rPr>
        <w:instrText xml:space="preserve">HYPERLINK \l "_Toc207110990"</w:instrText>
      </w:r>
      <w:r>
        <w:rPr>
          <w:rStyle w:val="50"/>
          <w:rFonts w:hint="eastAsia"/>
        </w:rPr>
        <w:instrText xml:space="preserve"> </w:instrText>
      </w:r>
      <w:r>
        <w:rPr>
          <w:rStyle w:val="50"/>
          <w:rFonts w:hint="eastAsia"/>
        </w:rPr>
        <w:fldChar w:fldCharType="separate"/>
      </w:r>
      <w:r>
        <w:rPr>
          <w:rStyle w:val="50"/>
          <w:rFonts w:hint="eastAsia"/>
          <w:bCs/>
        </w:rPr>
        <w:t>第四章  采购需求</w:t>
      </w:r>
      <w:r>
        <w:rPr>
          <w:rFonts w:hint="eastAsia"/>
        </w:rPr>
        <w:tab/>
      </w:r>
      <w:r>
        <w:rPr>
          <w:rFonts w:hint="eastAsia"/>
        </w:rPr>
        <w:fldChar w:fldCharType="begin"/>
      </w:r>
      <w:r>
        <w:rPr>
          <w:rFonts w:hint="eastAsia"/>
        </w:rPr>
        <w:instrText xml:space="preserve"> </w:instrText>
      </w:r>
      <w:r>
        <w:instrText xml:space="preserve">PAGEREF _Toc207110990 \h</w:instrText>
      </w:r>
      <w:r>
        <w:rPr>
          <w:rFonts w:hint="eastAsia"/>
        </w:rPr>
        <w:instrText xml:space="preserve"> </w:instrText>
      </w:r>
      <w:r>
        <w:rPr>
          <w:rFonts w:hint="eastAsia"/>
        </w:rPr>
        <w:fldChar w:fldCharType="separate"/>
      </w:r>
      <w:r>
        <w:t>26</w:t>
      </w:r>
      <w:r>
        <w:rPr>
          <w:rFonts w:hint="eastAsia"/>
        </w:rPr>
        <w:fldChar w:fldCharType="end"/>
      </w:r>
      <w:r>
        <w:rPr>
          <w:rStyle w:val="50"/>
          <w:rFonts w:hint="eastAsia"/>
        </w:rPr>
        <w:fldChar w:fldCharType="end"/>
      </w:r>
    </w:p>
    <w:p w14:paraId="100D519A">
      <w:pPr>
        <w:rPr>
          <w:rFonts w:hint="eastAsia"/>
        </w:rPr>
      </w:pPr>
    </w:p>
    <w:p w14:paraId="78D0FFD3">
      <w:pPr>
        <w:pStyle w:val="32"/>
        <w:rPr>
          <w:rStyle w:val="50"/>
        </w:rPr>
      </w:pPr>
      <w:r>
        <w:rPr>
          <w:rStyle w:val="50"/>
          <w:rFonts w:hint="eastAsia"/>
        </w:rPr>
        <w:fldChar w:fldCharType="begin"/>
      </w:r>
      <w:r>
        <w:rPr>
          <w:rStyle w:val="50"/>
          <w:rFonts w:hint="eastAsia"/>
        </w:rPr>
        <w:instrText xml:space="preserve"> </w:instrText>
      </w:r>
      <w:r>
        <w:rPr>
          <w:rFonts w:hint="eastAsia"/>
        </w:rPr>
        <w:instrText xml:space="preserve">HYPERLINK \l "_Toc207110991"</w:instrText>
      </w:r>
      <w:r>
        <w:rPr>
          <w:rStyle w:val="50"/>
          <w:rFonts w:hint="eastAsia"/>
        </w:rPr>
        <w:instrText xml:space="preserve"> </w:instrText>
      </w:r>
      <w:r>
        <w:rPr>
          <w:rStyle w:val="50"/>
          <w:rFonts w:hint="eastAsia"/>
        </w:rPr>
        <w:fldChar w:fldCharType="separate"/>
      </w:r>
      <w:r>
        <w:rPr>
          <w:rStyle w:val="50"/>
          <w:rFonts w:hint="eastAsia"/>
        </w:rPr>
        <w:t>第五章   合同草案条款</w:t>
      </w:r>
      <w:r>
        <w:rPr>
          <w:rFonts w:hint="eastAsia"/>
        </w:rPr>
        <w:tab/>
      </w:r>
      <w:r>
        <w:rPr>
          <w:rFonts w:hint="eastAsia"/>
        </w:rPr>
        <w:fldChar w:fldCharType="begin"/>
      </w:r>
      <w:r>
        <w:rPr>
          <w:rFonts w:hint="eastAsia"/>
        </w:rPr>
        <w:instrText xml:space="preserve"> </w:instrText>
      </w:r>
      <w:r>
        <w:instrText xml:space="preserve">PAGEREF _Toc207110991 \h</w:instrText>
      </w:r>
      <w:r>
        <w:rPr>
          <w:rFonts w:hint="eastAsia"/>
        </w:rPr>
        <w:instrText xml:space="preserve"> </w:instrText>
      </w:r>
      <w:r>
        <w:rPr>
          <w:rFonts w:hint="eastAsia"/>
        </w:rPr>
        <w:fldChar w:fldCharType="separate"/>
      </w:r>
      <w:r>
        <w:t>27</w:t>
      </w:r>
      <w:r>
        <w:rPr>
          <w:rFonts w:hint="eastAsia"/>
        </w:rPr>
        <w:fldChar w:fldCharType="end"/>
      </w:r>
      <w:r>
        <w:rPr>
          <w:rStyle w:val="50"/>
          <w:rFonts w:hint="eastAsia"/>
        </w:rPr>
        <w:fldChar w:fldCharType="end"/>
      </w:r>
    </w:p>
    <w:p w14:paraId="294BAB07">
      <w:pPr>
        <w:rPr>
          <w:rFonts w:hint="eastAsia"/>
        </w:rPr>
      </w:pPr>
    </w:p>
    <w:p w14:paraId="7BDE5A82">
      <w:pPr>
        <w:pStyle w:val="32"/>
        <w:rPr>
          <w:rFonts w:hint="eastAsia" w:ascii="等线" w:hAnsi="等线" w:eastAsia="等线"/>
          <w:b w:val="0"/>
          <w:sz w:val="22"/>
        </w:rPr>
      </w:pPr>
      <w:r>
        <w:rPr>
          <w:rStyle w:val="50"/>
          <w:rFonts w:hint="eastAsia"/>
        </w:rPr>
        <w:fldChar w:fldCharType="begin"/>
      </w:r>
      <w:r>
        <w:rPr>
          <w:rStyle w:val="50"/>
          <w:rFonts w:hint="eastAsia"/>
        </w:rPr>
        <w:instrText xml:space="preserve"> </w:instrText>
      </w:r>
      <w:r>
        <w:rPr>
          <w:rFonts w:hint="eastAsia"/>
        </w:rPr>
        <w:instrText xml:space="preserve">HYPERLINK \l "_Toc207110995"</w:instrText>
      </w:r>
      <w:r>
        <w:rPr>
          <w:rStyle w:val="50"/>
          <w:rFonts w:hint="eastAsia"/>
        </w:rPr>
        <w:instrText xml:space="preserve"> </w:instrText>
      </w:r>
      <w:r>
        <w:rPr>
          <w:rStyle w:val="50"/>
          <w:rFonts w:hint="eastAsia"/>
        </w:rPr>
        <w:fldChar w:fldCharType="separate"/>
      </w:r>
      <w:r>
        <w:rPr>
          <w:rStyle w:val="50"/>
          <w:rFonts w:hint="eastAsia"/>
        </w:rPr>
        <w:t>第六章   响应文件格式</w:t>
      </w:r>
      <w:r>
        <w:rPr>
          <w:rFonts w:hint="eastAsia"/>
        </w:rPr>
        <w:tab/>
      </w:r>
      <w:r>
        <w:rPr>
          <w:rFonts w:hint="eastAsia"/>
        </w:rPr>
        <w:fldChar w:fldCharType="begin"/>
      </w:r>
      <w:r>
        <w:rPr>
          <w:rFonts w:hint="eastAsia"/>
        </w:rPr>
        <w:instrText xml:space="preserve"> </w:instrText>
      </w:r>
      <w:r>
        <w:instrText xml:space="preserve">PAGEREF _Toc207110995 \h</w:instrText>
      </w:r>
      <w:r>
        <w:rPr>
          <w:rFonts w:hint="eastAsia"/>
        </w:rPr>
        <w:instrText xml:space="preserve"> </w:instrText>
      </w:r>
      <w:r>
        <w:rPr>
          <w:rFonts w:hint="eastAsia"/>
        </w:rPr>
        <w:fldChar w:fldCharType="separate"/>
      </w:r>
      <w:r>
        <w:t>36</w:t>
      </w:r>
      <w:r>
        <w:rPr>
          <w:rFonts w:hint="eastAsia"/>
        </w:rPr>
        <w:fldChar w:fldCharType="end"/>
      </w:r>
      <w:r>
        <w:rPr>
          <w:rStyle w:val="50"/>
          <w:rFonts w:hint="eastAsia"/>
        </w:rPr>
        <w:fldChar w:fldCharType="end"/>
      </w:r>
    </w:p>
    <w:p w14:paraId="18DB106A">
      <w:pPr>
        <w:pStyle w:val="32"/>
        <w:spacing w:line="360" w:lineRule="auto"/>
        <w:rPr>
          <w:rFonts w:ascii="Times New Roman" w:hAnsi="Times New Roman"/>
          <w:b w:val="0"/>
        </w:rPr>
      </w:pPr>
      <w:r>
        <w:rPr>
          <w:rFonts w:ascii="Times New Roman" w:hAnsi="Times New Roman"/>
          <w:b w:val="0"/>
        </w:rPr>
        <w:fldChar w:fldCharType="end"/>
      </w:r>
    </w:p>
    <w:p w14:paraId="295B8B83">
      <w:pPr>
        <w:pStyle w:val="32"/>
        <w:spacing w:line="360" w:lineRule="auto"/>
        <w:rPr>
          <w:b w:val="0"/>
          <w:sz w:val="36"/>
          <w:szCs w:val="36"/>
        </w:rPr>
      </w:pPr>
    </w:p>
    <w:p w14:paraId="3573EC88">
      <w:pPr>
        <w:spacing w:line="360" w:lineRule="auto"/>
        <w:jc w:val="center"/>
        <w:outlineLvl w:val="0"/>
        <w:rPr>
          <w:b/>
          <w:sz w:val="36"/>
          <w:szCs w:val="36"/>
        </w:rPr>
        <w:sectPr>
          <w:headerReference r:id="rId4" w:type="first"/>
          <w:headerReference r:id="rId3" w:type="default"/>
          <w:footerReference r:id="rId5" w:type="even"/>
          <w:type w:val="nextColumn"/>
          <w:pgSz w:w="11907" w:h="16840"/>
          <w:pgMar w:top="1440" w:right="1196" w:bottom="1440" w:left="1196" w:header="851" w:footer="851" w:gutter="0"/>
          <w:pgNumType w:start="1"/>
          <w:cols w:space="720" w:num="1"/>
          <w:titlePg/>
          <w:docGrid w:linePitch="462" w:charSpace="0"/>
        </w:sectPr>
      </w:pPr>
    </w:p>
    <w:p w14:paraId="0A044032">
      <w:pPr>
        <w:spacing w:line="360" w:lineRule="auto"/>
        <w:jc w:val="center"/>
        <w:outlineLvl w:val="0"/>
        <w:rPr>
          <w:b/>
          <w:sz w:val="36"/>
          <w:szCs w:val="36"/>
        </w:rPr>
      </w:pPr>
      <w:bookmarkStart w:id="1" w:name="_Toc207110987"/>
      <w:r>
        <w:rPr>
          <w:b/>
          <w:sz w:val="36"/>
          <w:szCs w:val="36"/>
        </w:rPr>
        <w:t>第一章   采购邀请</w:t>
      </w:r>
      <w:bookmarkEnd w:id="1"/>
      <w:bookmarkStart w:id="2" w:name="_Toc28359079"/>
      <w:bookmarkStart w:id="3" w:name="_Toc35393621"/>
      <w:bookmarkStart w:id="4" w:name="_Toc35393790"/>
      <w:bookmarkStart w:id="5" w:name="_Toc28359002"/>
      <w:bookmarkStart w:id="6" w:name="_Hlk24379207"/>
    </w:p>
    <w:p w14:paraId="089CF3D9">
      <w:pPr>
        <w:spacing w:line="360" w:lineRule="auto"/>
        <w:ind w:firstLine="480" w:firstLineChars="200"/>
        <w:rPr>
          <w:sz w:val="24"/>
        </w:rPr>
      </w:pPr>
    </w:p>
    <w:p w14:paraId="10785E5D">
      <w:pPr>
        <w:pStyle w:val="6"/>
        <w:spacing w:before="0" w:line="360" w:lineRule="auto"/>
        <w:jc w:val="left"/>
        <w:rPr>
          <w:rFonts w:ascii="Times New Roman" w:hAnsi="Times New Roman" w:eastAsia="宋体"/>
          <w:sz w:val="24"/>
          <w:szCs w:val="24"/>
        </w:rPr>
      </w:pPr>
      <w:r>
        <w:rPr>
          <w:rFonts w:ascii="Times New Roman" w:hAnsi="Times New Roman" w:eastAsia="宋体"/>
          <w:sz w:val="24"/>
          <w:szCs w:val="24"/>
        </w:rPr>
        <w:t>一、项目基本情况</w:t>
      </w:r>
      <w:bookmarkEnd w:id="2"/>
      <w:bookmarkEnd w:id="3"/>
      <w:bookmarkEnd w:id="4"/>
      <w:bookmarkEnd w:id="5"/>
    </w:p>
    <w:p w14:paraId="586B24C0">
      <w:pPr>
        <w:spacing w:line="360" w:lineRule="auto"/>
        <w:ind w:firstLine="480" w:firstLineChars="200"/>
        <w:rPr>
          <w:rFonts w:hint="eastAsia" w:ascii="宋体" w:hAnsi="宋体" w:cs="宋体"/>
          <w:sz w:val="24"/>
        </w:rPr>
      </w:pPr>
      <w:r>
        <w:rPr>
          <w:rFonts w:hint="eastAsia" w:ascii="宋体" w:hAnsi="宋体" w:cs="宋体"/>
          <w:sz w:val="24"/>
        </w:rPr>
        <w:t>1.项目编号：11000025210200156986-XM001</w:t>
      </w:r>
    </w:p>
    <w:p w14:paraId="2A8B8565">
      <w:pPr>
        <w:spacing w:line="360" w:lineRule="auto"/>
        <w:ind w:firstLine="480" w:firstLineChars="200"/>
        <w:rPr>
          <w:rFonts w:ascii="宋体" w:hAnsi="宋体" w:cs="宋体"/>
          <w:sz w:val="24"/>
        </w:rPr>
      </w:pPr>
      <w:r>
        <w:rPr>
          <w:rFonts w:hint="eastAsia" w:ascii="宋体" w:hAnsi="宋体" w:cs="宋体"/>
          <w:sz w:val="24"/>
        </w:rPr>
        <w:t>2.项目名称：永定河休闲森林公园运行维护项目—园区微型消防站服务采购项目</w:t>
      </w:r>
    </w:p>
    <w:p w14:paraId="7A19EE9F">
      <w:pPr>
        <w:spacing w:line="360" w:lineRule="auto"/>
        <w:ind w:firstLine="480" w:firstLineChars="200"/>
        <w:rPr>
          <w:rFonts w:hint="eastAsia" w:ascii="宋体" w:hAnsi="宋体" w:cs="宋体"/>
          <w:sz w:val="24"/>
        </w:rPr>
      </w:pPr>
      <w:r>
        <w:rPr>
          <w:rFonts w:hint="eastAsia" w:ascii="宋体" w:hAnsi="宋体" w:cs="宋体"/>
          <w:sz w:val="24"/>
        </w:rPr>
        <w:t>3.采购方式：竞争性磋商</w:t>
      </w:r>
    </w:p>
    <w:bookmarkEnd w:id="6"/>
    <w:p w14:paraId="6150F552">
      <w:pPr>
        <w:spacing w:line="360" w:lineRule="auto"/>
        <w:ind w:firstLine="480" w:firstLineChars="200"/>
        <w:rPr>
          <w:rFonts w:hint="eastAsia" w:ascii="宋体" w:hAnsi="宋体" w:cs="宋体"/>
          <w:sz w:val="24"/>
        </w:rPr>
      </w:pPr>
      <w:r>
        <w:rPr>
          <w:rFonts w:hint="eastAsia" w:ascii="宋体" w:hAnsi="宋体" w:cs="宋体"/>
          <w:sz w:val="24"/>
        </w:rPr>
        <w:t>4.项目预算金额：148.44万元   控制价：148.44万元。</w:t>
      </w:r>
    </w:p>
    <w:p w14:paraId="44A2F401">
      <w:pPr>
        <w:spacing w:line="360" w:lineRule="auto"/>
        <w:ind w:firstLine="480" w:firstLineChars="200"/>
        <w:rPr>
          <w:rFonts w:ascii="宋体" w:hAnsi="宋体" w:cs="宋体"/>
          <w:sz w:val="24"/>
        </w:rPr>
      </w:pPr>
      <w:r>
        <w:rPr>
          <w:rFonts w:hint="eastAsia" w:ascii="宋体" w:hAnsi="宋体" w:cs="宋体"/>
          <w:sz w:val="24"/>
        </w:rPr>
        <w:t>5.采购需求：全年园区微型消防站建设服务，包含微型消防站队员及建设微型消防站必需的装备及库室建设，同时对确认的目标、区域提供森防服务，做好防火、防盗、防破坏工作以及完成招标方交代的其他任务，预防和制止侵害招标方安全的行为发生。</w:t>
      </w:r>
    </w:p>
    <w:p w14:paraId="647CFA31">
      <w:pPr>
        <w:widowControl/>
        <w:spacing w:line="360" w:lineRule="auto"/>
        <w:ind w:firstLine="420" w:firstLineChars="175"/>
        <w:jc w:val="left"/>
        <w:rPr>
          <w:rFonts w:hint="eastAsia" w:ascii="宋体" w:hAnsi="宋体" w:cs="宋体"/>
          <w:sz w:val="24"/>
        </w:rPr>
      </w:pPr>
      <w:r>
        <w:rPr>
          <w:rFonts w:hint="eastAsia" w:ascii="宋体" w:hAnsi="宋体" w:cs="宋体"/>
          <w:sz w:val="24"/>
        </w:rPr>
        <w:t>6.服务期限：11个月。自2026年 2 月 1日至 2026年 12 月 31 日。</w:t>
      </w:r>
    </w:p>
    <w:p w14:paraId="783808FD">
      <w:pPr>
        <w:spacing w:line="360" w:lineRule="auto"/>
        <w:ind w:firstLine="420" w:firstLineChars="175"/>
        <w:rPr>
          <w:rFonts w:hint="eastAsia" w:ascii="宋体" w:hAnsi="宋体" w:cs="宋体"/>
          <w:sz w:val="24"/>
        </w:rPr>
      </w:pPr>
      <w:r>
        <w:rPr>
          <w:rFonts w:hint="eastAsia" w:ascii="宋体" w:hAnsi="宋体" w:cs="宋体"/>
          <w:sz w:val="24"/>
        </w:rPr>
        <w:t>7.本项目是否接受联合体：</w:t>
      </w:r>
      <w:r>
        <w:rPr>
          <w:rFonts w:hint="eastAsia" w:ascii="宋体" w:hAnsi="宋体" w:cs="宋体"/>
        </w:rPr>
        <w:t>□</w:t>
      </w:r>
      <w:r>
        <w:rPr>
          <w:rFonts w:hint="eastAsia" w:ascii="宋体" w:hAnsi="宋体" w:cs="宋体"/>
          <w:sz w:val="24"/>
        </w:rPr>
        <w:t>是  ■否。</w:t>
      </w:r>
    </w:p>
    <w:p w14:paraId="69F48A57">
      <w:pPr>
        <w:pStyle w:val="6"/>
        <w:spacing w:before="0" w:line="360" w:lineRule="auto"/>
        <w:jc w:val="left"/>
        <w:rPr>
          <w:rFonts w:hint="eastAsia" w:ascii="宋体" w:hAnsi="宋体" w:eastAsia="宋体" w:cs="宋体"/>
          <w:sz w:val="24"/>
          <w:szCs w:val="24"/>
        </w:rPr>
      </w:pPr>
      <w:bookmarkStart w:id="7" w:name="_Toc35393622"/>
      <w:bookmarkStart w:id="8" w:name="_Toc35393791"/>
      <w:bookmarkStart w:id="9" w:name="_Toc28359080"/>
      <w:bookmarkStart w:id="10" w:name="_Toc28359003"/>
      <w:r>
        <w:rPr>
          <w:rFonts w:hint="eastAsia" w:ascii="宋体" w:hAnsi="宋体" w:eastAsia="宋体" w:cs="宋体"/>
          <w:sz w:val="24"/>
          <w:szCs w:val="24"/>
        </w:rPr>
        <w:t>二、申请人的资格要求（须同时满足）</w:t>
      </w:r>
      <w:bookmarkEnd w:id="7"/>
      <w:bookmarkEnd w:id="8"/>
      <w:bookmarkEnd w:id="9"/>
      <w:bookmarkEnd w:id="10"/>
    </w:p>
    <w:p w14:paraId="0A75768A">
      <w:pPr>
        <w:spacing w:line="360" w:lineRule="auto"/>
        <w:ind w:firstLine="480" w:firstLineChars="200"/>
        <w:rPr>
          <w:rFonts w:hint="eastAsia" w:ascii="宋体" w:hAnsi="宋体" w:cs="宋体"/>
          <w:sz w:val="24"/>
        </w:rPr>
      </w:pPr>
      <w:r>
        <w:rPr>
          <w:rFonts w:hint="eastAsia" w:ascii="宋体" w:hAnsi="宋体" w:cs="宋体"/>
          <w:sz w:val="24"/>
        </w:rPr>
        <w:t>1.满足《中华人民共和国政府采购法》第二十二条规定；</w:t>
      </w:r>
    </w:p>
    <w:p w14:paraId="624F7B7D">
      <w:pPr>
        <w:spacing w:line="360" w:lineRule="auto"/>
        <w:ind w:firstLine="480" w:firstLineChars="200"/>
        <w:rPr>
          <w:rFonts w:hint="eastAsia" w:ascii="宋体" w:hAnsi="宋体" w:cs="宋体"/>
          <w:sz w:val="24"/>
        </w:rPr>
      </w:pPr>
      <w:bookmarkStart w:id="11" w:name="_Toc28359004"/>
      <w:bookmarkStart w:id="12" w:name="_Toc28359081"/>
      <w:r>
        <w:rPr>
          <w:rFonts w:hint="eastAsia" w:ascii="宋体" w:hAnsi="宋体" w:cs="宋体"/>
          <w:sz w:val="24"/>
        </w:rPr>
        <w:t>2.落实政府采购政策需满足的资格要求：</w:t>
      </w:r>
    </w:p>
    <w:p w14:paraId="1B24421B">
      <w:pPr>
        <w:spacing w:line="360" w:lineRule="auto"/>
        <w:ind w:firstLine="480" w:firstLineChars="200"/>
        <w:rPr>
          <w:rFonts w:hint="eastAsia" w:ascii="宋体" w:hAnsi="宋体" w:cs="宋体"/>
          <w:sz w:val="24"/>
        </w:rPr>
      </w:pPr>
      <w:r>
        <w:rPr>
          <w:rFonts w:hint="eastAsia" w:ascii="宋体" w:hAnsi="宋体" w:cs="宋体"/>
          <w:sz w:val="24"/>
        </w:rPr>
        <w:t>2.1 中小企业政策</w:t>
      </w:r>
    </w:p>
    <w:p w14:paraId="76410F04">
      <w:pPr>
        <w:spacing w:line="360" w:lineRule="auto"/>
        <w:ind w:firstLine="420" w:firstLineChars="200"/>
        <w:rPr>
          <w:rFonts w:hint="eastAsia" w:ascii="宋体" w:hAnsi="宋体" w:cs="宋体"/>
          <w:sz w:val="24"/>
        </w:rPr>
      </w:pPr>
      <w:r>
        <w:rPr>
          <w:rFonts w:hint="eastAsia" w:ascii="宋体" w:hAnsi="宋体" w:cs="宋体"/>
        </w:rPr>
        <w:t>□</w:t>
      </w:r>
      <w:r>
        <w:rPr>
          <w:rFonts w:hint="eastAsia" w:ascii="宋体" w:hAnsi="宋体" w:cs="宋体"/>
          <w:sz w:val="24"/>
        </w:rPr>
        <w:t>本项目不专门面向中小企业预留采购份额。</w:t>
      </w:r>
    </w:p>
    <w:p w14:paraId="0B9DAE51">
      <w:pPr>
        <w:spacing w:line="360" w:lineRule="auto"/>
        <w:ind w:firstLine="442" w:firstLineChars="200"/>
        <w:rPr>
          <w:rFonts w:hint="eastAsia" w:ascii="宋体" w:hAnsi="宋体" w:cs="宋体"/>
          <w:sz w:val="24"/>
        </w:rPr>
      </w:pPr>
      <w:r>
        <w:rPr>
          <w:rFonts w:hint="eastAsia" w:ascii="宋体" w:hAnsi="宋体" w:cs="宋体"/>
          <w:b/>
          <w:color w:val="000000"/>
          <w:sz w:val="22"/>
          <w:szCs w:val="22"/>
        </w:rPr>
        <w:t>■</w:t>
      </w:r>
      <w:r>
        <w:rPr>
          <w:rFonts w:hint="eastAsia" w:ascii="宋体" w:hAnsi="宋体" w:cs="宋体"/>
          <w:sz w:val="24"/>
        </w:rPr>
        <w:t xml:space="preserve">本项目专门面向  </w:t>
      </w:r>
      <w:r>
        <w:rPr>
          <w:rFonts w:hint="eastAsia" w:ascii="宋体" w:hAnsi="宋体" w:cs="宋体"/>
        </w:rPr>
        <w:t>□</w:t>
      </w:r>
      <w:r>
        <w:rPr>
          <w:rFonts w:hint="eastAsia" w:ascii="宋体" w:hAnsi="宋体" w:cs="宋体"/>
          <w:sz w:val="24"/>
        </w:rPr>
        <w:t xml:space="preserve">中小 </w:t>
      </w:r>
      <w:r>
        <w:rPr>
          <w:rFonts w:hint="eastAsia" w:ascii="宋体" w:hAnsi="宋体" w:cs="宋体"/>
          <w:b/>
          <w:color w:val="000000"/>
          <w:sz w:val="22"/>
          <w:szCs w:val="22"/>
        </w:rPr>
        <w:t>■</w:t>
      </w:r>
      <w:r>
        <w:rPr>
          <w:rFonts w:hint="eastAsia" w:ascii="宋体" w:hAnsi="宋体" w:cs="宋体"/>
          <w:sz w:val="24"/>
        </w:rPr>
        <w:t>小微企业  采购。即：提供的货物全部由符合政策要求的中小/小微企业制造、服务全部由符合政策要求的中小/小微企业承接。</w:t>
      </w:r>
    </w:p>
    <w:p w14:paraId="5B2C2699">
      <w:pPr>
        <w:spacing w:line="360" w:lineRule="auto"/>
        <w:ind w:firstLine="420" w:firstLineChars="200"/>
        <w:rPr>
          <w:rFonts w:hint="eastAsia" w:ascii="宋体" w:hAnsi="宋体" w:cs="宋体"/>
          <w:sz w:val="24"/>
        </w:rPr>
      </w:pPr>
      <w:r>
        <w:rPr>
          <w:rFonts w:hint="eastAsia" w:ascii="宋体" w:hAnsi="宋体" w:cs="宋体"/>
        </w:rPr>
        <w:t>□</w:t>
      </w:r>
      <w:r>
        <w:rPr>
          <w:rFonts w:hint="eastAsia" w:ascii="宋体" w:hAnsi="宋体" w:cs="宋体"/>
          <w:sz w:val="24"/>
        </w:rPr>
        <w:t>本项目预留部分采购项目预算专门面向中小企业采购。对于预留份额，提供的货物由符合政策要求的中小企业制造、服务由符合政策要求的中小企业承接。预留份额通过以下措施进行：___________。</w:t>
      </w:r>
    </w:p>
    <w:p w14:paraId="1962766B">
      <w:pPr>
        <w:spacing w:line="360" w:lineRule="auto"/>
        <w:ind w:firstLine="480" w:firstLineChars="200"/>
        <w:rPr>
          <w:rFonts w:hint="eastAsia" w:ascii="宋体" w:hAnsi="宋体" w:cs="宋体"/>
          <w:sz w:val="24"/>
        </w:rPr>
      </w:pPr>
      <w:r>
        <w:rPr>
          <w:rFonts w:hint="eastAsia" w:ascii="宋体" w:hAnsi="宋体" w:cs="宋体"/>
          <w:sz w:val="24"/>
        </w:rPr>
        <w:t>2.2 其它落实政府采购政策的资格要求（如有）：</w:t>
      </w:r>
      <w:r>
        <w:rPr>
          <w:rFonts w:hint="eastAsia" w:ascii="宋体" w:hAnsi="宋体" w:cs="宋体"/>
          <w:color w:val="000000"/>
          <w:kern w:val="0"/>
          <w:sz w:val="24"/>
          <w:lang w:bidi="ar"/>
        </w:rPr>
        <w:t>本项目不接受进口产品</w:t>
      </w:r>
      <w:r>
        <w:rPr>
          <w:rFonts w:hint="eastAsia" w:ascii="宋体" w:hAnsi="宋体" w:cs="宋体"/>
          <w:sz w:val="24"/>
        </w:rPr>
        <w:t>。</w:t>
      </w:r>
    </w:p>
    <w:p w14:paraId="583A8CC1">
      <w:pPr>
        <w:spacing w:line="360" w:lineRule="auto"/>
        <w:ind w:firstLine="480" w:firstLineChars="200"/>
        <w:rPr>
          <w:rFonts w:hint="eastAsia" w:ascii="宋体" w:hAnsi="宋体" w:cs="宋体"/>
          <w:sz w:val="24"/>
        </w:rPr>
      </w:pPr>
      <w:r>
        <w:rPr>
          <w:rFonts w:hint="eastAsia" w:ascii="宋体" w:hAnsi="宋体" w:cs="宋体"/>
          <w:sz w:val="24"/>
        </w:rPr>
        <w:t>3.本项目的特定资格要求：</w:t>
      </w:r>
    </w:p>
    <w:p w14:paraId="08B9BD2C">
      <w:pPr>
        <w:spacing w:line="360" w:lineRule="auto"/>
        <w:ind w:firstLine="480" w:firstLineChars="200"/>
        <w:rPr>
          <w:rFonts w:hint="eastAsia" w:ascii="宋体" w:hAnsi="宋体" w:cs="宋体"/>
          <w:sz w:val="24"/>
        </w:rPr>
      </w:pPr>
      <w:r>
        <w:rPr>
          <w:rFonts w:hint="eastAsia" w:ascii="宋体" w:hAnsi="宋体" w:cs="宋体"/>
          <w:sz w:val="24"/>
        </w:rPr>
        <w:t xml:space="preserve">（1）单位负责人为同一人或者存在直接控股、管理关系的不同供应商，不得同时 </w:t>
      </w:r>
    </w:p>
    <w:p w14:paraId="3996FF8B">
      <w:pPr>
        <w:spacing w:line="360" w:lineRule="auto"/>
        <w:ind w:firstLine="480" w:firstLineChars="200"/>
        <w:rPr>
          <w:rFonts w:hint="eastAsia" w:ascii="宋体" w:hAnsi="宋体" w:cs="宋体"/>
          <w:sz w:val="24"/>
        </w:rPr>
      </w:pPr>
      <w:r>
        <w:rPr>
          <w:rFonts w:hint="eastAsia" w:ascii="宋体" w:hAnsi="宋体" w:cs="宋体"/>
          <w:sz w:val="24"/>
        </w:rPr>
        <w:t>参加本项目；</w:t>
      </w:r>
    </w:p>
    <w:bookmarkEnd w:id="11"/>
    <w:bookmarkEnd w:id="12"/>
    <w:p w14:paraId="1AE4D29F">
      <w:pPr>
        <w:pStyle w:val="6"/>
        <w:widowControl/>
        <w:spacing w:before="0" w:line="360" w:lineRule="auto"/>
        <w:jc w:val="left"/>
        <w:rPr>
          <w:rFonts w:hint="eastAsia" w:ascii="宋体" w:hAnsi="宋体" w:eastAsia="宋体" w:cs="宋体"/>
          <w:sz w:val="24"/>
          <w:szCs w:val="24"/>
        </w:rPr>
      </w:pPr>
      <w:bookmarkStart w:id="13" w:name="_Toc35393792"/>
      <w:bookmarkStart w:id="14" w:name="_Toc35393623"/>
      <w:r>
        <w:rPr>
          <w:rFonts w:hint="eastAsia" w:ascii="宋体" w:hAnsi="宋体" w:eastAsia="宋体" w:cs="宋体"/>
          <w:sz w:val="24"/>
        </w:rPr>
        <w:t xml:space="preserve">  </w:t>
      </w:r>
      <w:r>
        <w:rPr>
          <w:rFonts w:hint="eastAsia" w:ascii="宋体" w:hAnsi="宋体" w:eastAsia="宋体" w:cs="宋体"/>
          <w:sz w:val="24"/>
          <w:szCs w:val="24"/>
        </w:rPr>
        <w:t>三、获取采购文件</w:t>
      </w:r>
      <w:bookmarkEnd w:id="13"/>
      <w:bookmarkEnd w:id="14"/>
    </w:p>
    <w:p w14:paraId="4745A5BD">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1.时间：</w:t>
      </w:r>
      <w:r>
        <w:rPr>
          <w:rFonts w:hint="eastAsia" w:ascii="宋体" w:hAnsi="宋体" w:cs="宋体"/>
          <w:sz w:val="24"/>
        </w:rPr>
        <w:t>2026</w:t>
      </w:r>
      <w:r>
        <w:rPr>
          <w:rFonts w:hint="eastAsia" w:ascii="宋体" w:hAnsi="宋体" w:cs="宋体"/>
          <w:sz w:val="24"/>
          <w:lang w:bidi="ar"/>
        </w:rPr>
        <w:t>年</w:t>
      </w:r>
      <w:r>
        <w:rPr>
          <w:rFonts w:hint="eastAsia" w:ascii="宋体" w:hAnsi="宋体" w:cs="宋体"/>
          <w:sz w:val="24"/>
        </w:rPr>
        <w:t>01</w:t>
      </w:r>
      <w:r>
        <w:rPr>
          <w:rFonts w:hint="eastAsia" w:ascii="宋体" w:hAnsi="宋体" w:cs="宋体"/>
          <w:sz w:val="24"/>
          <w:lang w:bidi="ar"/>
        </w:rPr>
        <w:t>月</w:t>
      </w:r>
      <w:r>
        <w:rPr>
          <w:rFonts w:hint="eastAsia" w:ascii="宋体" w:hAnsi="宋体" w:cs="宋体"/>
          <w:sz w:val="24"/>
          <w:lang w:val="en-US" w:eastAsia="zh-CN"/>
        </w:rPr>
        <w:t>12</w:t>
      </w:r>
      <w:r>
        <w:rPr>
          <w:rFonts w:hint="eastAsia" w:ascii="宋体" w:hAnsi="宋体" w:cs="宋体"/>
          <w:sz w:val="24"/>
          <w:lang w:bidi="ar"/>
        </w:rPr>
        <w:t>日至</w:t>
      </w:r>
      <w:r>
        <w:rPr>
          <w:rFonts w:hint="eastAsia" w:ascii="宋体" w:hAnsi="宋体" w:cs="宋体"/>
          <w:sz w:val="24"/>
        </w:rPr>
        <w:t>2026</w:t>
      </w:r>
      <w:r>
        <w:rPr>
          <w:rFonts w:hint="eastAsia" w:ascii="宋体" w:hAnsi="宋体" w:cs="宋体"/>
          <w:sz w:val="24"/>
          <w:lang w:bidi="ar"/>
        </w:rPr>
        <w:t>年01月1</w:t>
      </w:r>
      <w:r>
        <w:rPr>
          <w:rFonts w:hint="eastAsia" w:ascii="宋体" w:hAnsi="宋体" w:cs="宋体"/>
          <w:sz w:val="24"/>
          <w:lang w:val="en-US" w:eastAsia="zh-CN" w:bidi="ar"/>
        </w:rPr>
        <w:t>9</w:t>
      </w:r>
      <w:r>
        <w:rPr>
          <w:rFonts w:hint="eastAsia" w:ascii="宋体" w:hAnsi="宋体" w:cs="宋体"/>
          <w:sz w:val="24"/>
          <w:lang w:bidi="ar"/>
        </w:rPr>
        <w:t>日，每天上午</w:t>
      </w:r>
      <w:r>
        <w:rPr>
          <w:rFonts w:hint="eastAsia" w:ascii="宋体" w:hAnsi="宋体" w:cs="宋体"/>
          <w:sz w:val="24"/>
        </w:rPr>
        <w:t>09：00</w:t>
      </w:r>
      <w:r>
        <w:rPr>
          <w:rFonts w:hint="eastAsia" w:ascii="宋体" w:hAnsi="宋体" w:cs="宋体"/>
          <w:sz w:val="24"/>
          <w:lang w:bidi="ar"/>
        </w:rPr>
        <w:t>至</w:t>
      </w:r>
      <w:r>
        <w:rPr>
          <w:rFonts w:hint="eastAsia" w:ascii="宋体" w:hAnsi="宋体" w:cs="宋体"/>
          <w:sz w:val="24"/>
        </w:rPr>
        <w:t>12：00</w:t>
      </w:r>
      <w:r>
        <w:rPr>
          <w:rFonts w:hint="eastAsia" w:ascii="宋体" w:hAnsi="宋体" w:cs="宋体"/>
          <w:sz w:val="24"/>
          <w:lang w:bidi="ar"/>
        </w:rPr>
        <w:t>，下午</w:t>
      </w:r>
      <w:r>
        <w:rPr>
          <w:rFonts w:hint="eastAsia" w:ascii="宋体" w:hAnsi="宋体" w:cs="宋体"/>
          <w:sz w:val="24"/>
        </w:rPr>
        <w:t>12：00</w:t>
      </w:r>
      <w:r>
        <w:rPr>
          <w:rFonts w:hint="eastAsia" w:ascii="宋体" w:hAnsi="宋体" w:cs="宋体"/>
          <w:sz w:val="24"/>
          <w:lang w:bidi="ar"/>
        </w:rPr>
        <w:t>至</w:t>
      </w:r>
      <w:r>
        <w:rPr>
          <w:rFonts w:hint="eastAsia" w:ascii="宋体" w:hAnsi="宋体" w:cs="宋体"/>
          <w:sz w:val="24"/>
        </w:rPr>
        <w:t>17：00</w:t>
      </w:r>
      <w:r>
        <w:rPr>
          <w:rFonts w:hint="eastAsia" w:ascii="宋体" w:hAnsi="宋体" w:cs="宋体"/>
          <w:sz w:val="24"/>
          <w:lang w:bidi="ar"/>
        </w:rPr>
        <w:t>（北京时间，法定节假日除外）。</w:t>
      </w:r>
    </w:p>
    <w:p w14:paraId="58FD8762">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bidi="ar"/>
        </w:rPr>
        <w:t>2.地点：北京市政府采购电子交易平台</w:t>
      </w:r>
    </w:p>
    <w:p w14:paraId="4044363B">
      <w:pPr>
        <w:spacing w:line="360" w:lineRule="auto"/>
        <w:ind w:firstLine="480" w:firstLineChars="200"/>
        <w:rPr>
          <w:rFonts w:hint="eastAsia" w:ascii="宋体" w:hAnsi="宋体" w:cs="宋体"/>
          <w:sz w:val="24"/>
          <w:lang w:bidi="ar"/>
        </w:rPr>
      </w:pPr>
      <w:r>
        <w:rPr>
          <w:rFonts w:hint="eastAsia" w:ascii="宋体" w:hAnsi="宋体" w:cs="宋体"/>
          <w:sz w:val="24"/>
          <w:lang w:bidi="ar"/>
        </w:rPr>
        <w:t>3.方式：供应商使用CA数字证书或电子营业执照登录北京市政府采购电子交易平台（http://zbcg-bjzc.zhongcy.com/bjczj-portal-site/index.html#/home）获取电子版竞争性磋商文件。</w:t>
      </w:r>
    </w:p>
    <w:p w14:paraId="28C7CD1C">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lang w:bidi="ar"/>
        </w:rPr>
        <w:t>4.售价：0元。</w:t>
      </w:r>
    </w:p>
    <w:p w14:paraId="672BB883">
      <w:pPr>
        <w:tabs>
          <w:tab w:val="left" w:pos="900"/>
          <w:tab w:val="left" w:pos="1980"/>
        </w:tabs>
        <w:snapToGrid w:val="0"/>
        <w:spacing w:line="360" w:lineRule="auto"/>
        <w:ind w:left="840"/>
        <w:rPr>
          <w:sz w:val="24"/>
        </w:rPr>
      </w:pPr>
    </w:p>
    <w:p w14:paraId="26E7498A">
      <w:pPr>
        <w:pStyle w:val="6"/>
        <w:widowControl/>
        <w:spacing w:before="0" w:line="360" w:lineRule="auto"/>
        <w:jc w:val="left"/>
        <w:rPr>
          <w:rFonts w:ascii="Times New Roman" w:hAnsi="Times New Roman" w:eastAsia="宋体"/>
          <w:sz w:val="24"/>
          <w:szCs w:val="24"/>
        </w:rPr>
      </w:pPr>
      <w:bookmarkStart w:id="15" w:name="_Toc28359005"/>
      <w:bookmarkStart w:id="16" w:name="_Toc35393793"/>
      <w:bookmarkStart w:id="17" w:name="_Toc35393624"/>
      <w:bookmarkStart w:id="18" w:name="_Toc28359082"/>
      <w:r>
        <w:rPr>
          <w:rFonts w:ascii="Times New Roman" w:hAnsi="Times New Roman" w:eastAsia="宋体"/>
          <w:sz w:val="24"/>
          <w:szCs w:val="24"/>
        </w:rPr>
        <w:t>四、</w:t>
      </w:r>
      <w:bookmarkEnd w:id="15"/>
      <w:bookmarkEnd w:id="16"/>
      <w:bookmarkEnd w:id="17"/>
      <w:bookmarkEnd w:id="18"/>
      <w:r>
        <w:rPr>
          <w:rFonts w:ascii="Times New Roman" w:hAnsi="Times New Roman" w:eastAsia="宋体"/>
          <w:sz w:val="24"/>
          <w:szCs w:val="24"/>
        </w:rPr>
        <w:t>响应文件提交</w:t>
      </w:r>
    </w:p>
    <w:p w14:paraId="70C95375">
      <w:pPr>
        <w:spacing w:line="360" w:lineRule="auto"/>
        <w:ind w:firstLine="480" w:firstLineChars="200"/>
        <w:rPr>
          <w:bCs/>
          <w:sz w:val="24"/>
          <w:u w:val="single"/>
        </w:rPr>
      </w:pPr>
      <w:r>
        <w:rPr>
          <w:sz w:val="24"/>
          <w:lang w:bidi="ar"/>
        </w:rPr>
        <w:t>截止时间：</w:t>
      </w:r>
      <w:r>
        <w:rPr>
          <w:rFonts w:hint="eastAsia"/>
          <w:sz w:val="24"/>
          <w:lang w:bidi="ar"/>
        </w:rPr>
        <w:t>2026</w:t>
      </w:r>
      <w:r>
        <w:rPr>
          <w:sz w:val="24"/>
          <w:lang w:bidi="ar"/>
        </w:rPr>
        <w:t>年</w:t>
      </w:r>
      <w:r>
        <w:rPr>
          <w:rFonts w:hint="eastAsia"/>
          <w:sz w:val="24"/>
        </w:rPr>
        <w:t>01</w:t>
      </w:r>
      <w:r>
        <w:rPr>
          <w:sz w:val="24"/>
          <w:lang w:bidi="ar"/>
        </w:rPr>
        <w:t>月</w:t>
      </w:r>
      <w:r>
        <w:rPr>
          <w:rFonts w:hint="eastAsia"/>
          <w:sz w:val="24"/>
        </w:rPr>
        <w:t>2</w:t>
      </w:r>
      <w:r>
        <w:rPr>
          <w:rFonts w:hint="eastAsia"/>
          <w:sz w:val="24"/>
          <w:lang w:val="en-US" w:eastAsia="zh-CN"/>
        </w:rPr>
        <w:t>7</w:t>
      </w:r>
      <w:r>
        <w:rPr>
          <w:sz w:val="24"/>
          <w:lang w:bidi="ar"/>
        </w:rPr>
        <w:t>日</w:t>
      </w:r>
      <w:r>
        <w:rPr>
          <w:rFonts w:hint="eastAsia"/>
          <w:sz w:val="24"/>
        </w:rPr>
        <w:t>10</w:t>
      </w:r>
      <w:r>
        <w:rPr>
          <w:sz w:val="24"/>
          <w:lang w:bidi="ar"/>
        </w:rPr>
        <w:t>点</w:t>
      </w:r>
      <w:r>
        <w:rPr>
          <w:rFonts w:hint="eastAsia"/>
          <w:sz w:val="24"/>
        </w:rPr>
        <w:t>00</w:t>
      </w:r>
      <w:r>
        <w:rPr>
          <w:sz w:val="24"/>
          <w:lang w:bidi="ar"/>
        </w:rPr>
        <w:t>分</w:t>
      </w:r>
      <w:r>
        <w:rPr>
          <w:bCs/>
          <w:sz w:val="24"/>
          <w:lang w:bidi="ar"/>
        </w:rPr>
        <w:t>（北京时间）</w:t>
      </w:r>
      <w:r>
        <w:rPr>
          <w:iCs/>
          <w:sz w:val="24"/>
          <w:lang w:bidi="ar"/>
        </w:rPr>
        <w:t>。</w:t>
      </w:r>
    </w:p>
    <w:p w14:paraId="04430669">
      <w:pPr>
        <w:spacing w:line="360" w:lineRule="auto"/>
        <w:ind w:firstLine="480" w:firstLineChars="200"/>
        <w:rPr>
          <w:rFonts w:hint="eastAsia"/>
          <w:sz w:val="24"/>
          <w:lang w:bidi="ar"/>
        </w:rPr>
      </w:pPr>
      <w:r>
        <w:rPr>
          <w:sz w:val="24"/>
          <w:lang w:bidi="ar"/>
        </w:rPr>
        <w:t>地点：</w:t>
      </w:r>
      <w:r>
        <w:rPr>
          <w:rFonts w:hint="eastAsia"/>
          <w:sz w:val="24"/>
          <w:lang w:bidi="ar"/>
        </w:rPr>
        <w:t>北京市昌平区龙祥制版集团工业园2号院1号楼2-202室</w:t>
      </w:r>
    </w:p>
    <w:p w14:paraId="3CECFE2A">
      <w:pPr>
        <w:spacing w:line="360" w:lineRule="auto"/>
        <w:ind w:firstLine="480" w:firstLineChars="200"/>
        <w:rPr>
          <w:sz w:val="24"/>
          <w:lang w:val="zh-TW" w:bidi="ar"/>
        </w:rPr>
      </w:pPr>
    </w:p>
    <w:p w14:paraId="136B024C">
      <w:pPr>
        <w:pStyle w:val="6"/>
        <w:spacing w:before="0" w:line="360" w:lineRule="auto"/>
        <w:jc w:val="left"/>
        <w:rPr>
          <w:rFonts w:ascii="Times New Roman" w:hAnsi="Times New Roman" w:eastAsia="宋体"/>
          <w:sz w:val="24"/>
          <w:szCs w:val="24"/>
        </w:rPr>
      </w:pPr>
      <w:r>
        <w:rPr>
          <w:rFonts w:ascii="Times New Roman" w:hAnsi="Times New Roman" w:eastAsia="宋体"/>
          <w:sz w:val="24"/>
          <w:szCs w:val="24"/>
        </w:rPr>
        <w:t>五、开启</w:t>
      </w:r>
    </w:p>
    <w:p w14:paraId="12142ACA">
      <w:pPr>
        <w:spacing w:line="360" w:lineRule="auto"/>
        <w:ind w:firstLine="480" w:firstLineChars="200"/>
        <w:rPr>
          <w:bCs/>
          <w:sz w:val="24"/>
          <w:u w:val="single"/>
        </w:rPr>
      </w:pPr>
      <w:r>
        <w:rPr>
          <w:sz w:val="24"/>
          <w:lang w:bidi="ar"/>
        </w:rPr>
        <w:t>时间：</w:t>
      </w:r>
      <w:r>
        <w:rPr>
          <w:rFonts w:hint="eastAsia"/>
          <w:sz w:val="24"/>
          <w:lang w:bidi="ar"/>
        </w:rPr>
        <w:t>2026</w:t>
      </w:r>
      <w:r>
        <w:rPr>
          <w:sz w:val="24"/>
          <w:lang w:bidi="ar"/>
        </w:rPr>
        <w:t>年</w:t>
      </w:r>
      <w:r>
        <w:rPr>
          <w:rFonts w:hint="eastAsia"/>
          <w:sz w:val="24"/>
        </w:rPr>
        <w:t>01</w:t>
      </w:r>
      <w:r>
        <w:rPr>
          <w:sz w:val="24"/>
          <w:lang w:bidi="ar"/>
        </w:rPr>
        <w:t>月</w:t>
      </w:r>
      <w:r>
        <w:rPr>
          <w:rFonts w:hint="eastAsia"/>
          <w:sz w:val="24"/>
        </w:rPr>
        <w:t>2</w:t>
      </w:r>
      <w:r>
        <w:rPr>
          <w:rFonts w:hint="eastAsia"/>
          <w:sz w:val="24"/>
          <w:lang w:val="en-US" w:eastAsia="zh-CN"/>
        </w:rPr>
        <w:t>7</w:t>
      </w:r>
      <w:r>
        <w:rPr>
          <w:sz w:val="24"/>
          <w:lang w:bidi="ar"/>
        </w:rPr>
        <w:t>日</w:t>
      </w:r>
      <w:r>
        <w:rPr>
          <w:rFonts w:hint="eastAsia"/>
          <w:sz w:val="24"/>
        </w:rPr>
        <w:t>10</w:t>
      </w:r>
      <w:r>
        <w:rPr>
          <w:sz w:val="24"/>
          <w:lang w:bidi="ar"/>
        </w:rPr>
        <w:t>点</w:t>
      </w:r>
      <w:r>
        <w:rPr>
          <w:rFonts w:hint="eastAsia"/>
          <w:sz w:val="24"/>
        </w:rPr>
        <w:t>00</w:t>
      </w:r>
      <w:r>
        <w:rPr>
          <w:sz w:val="24"/>
          <w:lang w:bidi="ar"/>
        </w:rPr>
        <w:t>分</w:t>
      </w:r>
      <w:r>
        <w:rPr>
          <w:bCs/>
          <w:sz w:val="24"/>
          <w:lang w:bidi="ar"/>
        </w:rPr>
        <w:t>（北京时间）</w:t>
      </w:r>
      <w:r>
        <w:rPr>
          <w:iCs/>
          <w:sz w:val="24"/>
          <w:lang w:bidi="ar"/>
        </w:rPr>
        <w:t>。</w:t>
      </w:r>
    </w:p>
    <w:p w14:paraId="7839852A">
      <w:pPr>
        <w:spacing w:line="360" w:lineRule="auto"/>
        <w:ind w:firstLine="480" w:firstLineChars="200"/>
        <w:rPr>
          <w:rFonts w:hint="eastAsia"/>
          <w:sz w:val="24"/>
          <w:lang w:val="zh-TW" w:bidi="ar"/>
        </w:rPr>
      </w:pPr>
      <w:r>
        <w:rPr>
          <w:sz w:val="24"/>
          <w:lang w:bidi="ar"/>
        </w:rPr>
        <w:t>地点：</w:t>
      </w:r>
      <w:r>
        <w:rPr>
          <w:rFonts w:hint="eastAsia"/>
          <w:sz w:val="24"/>
          <w:lang w:bidi="ar"/>
        </w:rPr>
        <w:t>北京市昌平区龙祥制版集团工业园2号院1号楼2-202室</w:t>
      </w:r>
    </w:p>
    <w:p w14:paraId="544BF6E8">
      <w:pPr>
        <w:spacing w:line="360" w:lineRule="auto"/>
        <w:ind w:firstLine="480" w:firstLineChars="200"/>
        <w:rPr>
          <w:bCs/>
          <w:sz w:val="24"/>
          <w:u w:val="single"/>
        </w:rPr>
      </w:pPr>
    </w:p>
    <w:p w14:paraId="7FF17B35">
      <w:pPr>
        <w:pStyle w:val="6"/>
        <w:spacing w:before="0" w:line="360" w:lineRule="auto"/>
        <w:jc w:val="left"/>
        <w:rPr>
          <w:rFonts w:ascii="Times New Roman" w:hAnsi="Times New Roman" w:eastAsia="宋体"/>
          <w:sz w:val="24"/>
          <w:szCs w:val="24"/>
        </w:rPr>
      </w:pPr>
      <w:bookmarkStart w:id="19" w:name="_Toc28359007"/>
      <w:bookmarkStart w:id="20" w:name="_Toc35393794"/>
      <w:bookmarkStart w:id="21" w:name="_Toc28359084"/>
      <w:bookmarkStart w:id="22" w:name="_Toc35393625"/>
      <w:r>
        <w:rPr>
          <w:rFonts w:ascii="Times New Roman" w:hAnsi="Times New Roman" w:eastAsia="宋体"/>
          <w:sz w:val="24"/>
          <w:szCs w:val="24"/>
        </w:rPr>
        <w:t>六、公告期限</w:t>
      </w:r>
      <w:bookmarkEnd w:id="19"/>
      <w:bookmarkEnd w:id="20"/>
      <w:bookmarkEnd w:id="21"/>
      <w:bookmarkEnd w:id="22"/>
    </w:p>
    <w:p w14:paraId="2161A68E">
      <w:pPr>
        <w:spacing w:line="360" w:lineRule="auto"/>
        <w:ind w:firstLine="480" w:firstLineChars="200"/>
        <w:rPr>
          <w:kern w:val="0"/>
          <w:sz w:val="24"/>
        </w:rPr>
      </w:pPr>
      <w:r>
        <w:rPr>
          <w:kern w:val="0"/>
          <w:sz w:val="24"/>
        </w:rPr>
        <w:t>自本公告发布之日起</w:t>
      </w:r>
      <w:r>
        <w:rPr>
          <w:rFonts w:hint="eastAsia"/>
          <w:kern w:val="0"/>
          <w:sz w:val="24"/>
        </w:rPr>
        <w:t>5</w:t>
      </w:r>
      <w:r>
        <w:rPr>
          <w:kern w:val="0"/>
          <w:sz w:val="24"/>
        </w:rPr>
        <w:t>个工作日。</w:t>
      </w:r>
    </w:p>
    <w:p w14:paraId="491D549F">
      <w:pPr>
        <w:spacing w:line="360" w:lineRule="auto"/>
        <w:ind w:firstLine="480" w:firstLineChars="200"/>
        <w:rPr>
          <w:kern w:val="0"/>
          <w:sz w:val="24"/>
        </w:rPr>
      </w:pPr>
    </w:p>
    <w:p w14:paraId="255A4B7D">
      <w:pPr>
        <w:pStyle w:val="6"/>
        <w:spacing w:before="0" w:line="360" w:lineRule="auto"/>
        <w:jc w:val="left"/>
        <w:rPr>
          <w:rFonts w:ascii="Times New Roman" w:hAnsi="Times New Roman" w:eastAsia="宋体"/>
          <w:sz w:val="24"/>
          <w:szCs w:val="24"/>
        </w:rPr>
      </w:pPr>
      <w:bookmarkStart w:id="23" w:name="_Toc35393795"/>
      <w:bookmarkStart w:id="24" w:name="_Toc35393626"/>
      <w:r>
        <w:rPr>
          <w:rFonts w:ascii="Times New Roman" w:hAnsi="Times New Roman" w:eastAsia="宋体"/>
          <w:sz w:val="24"/>
          <w:szCs w:val="24"/>
        </w:rPr>
        <w:t>七、其他补充事宜</w:t>
      </w:r>
      <w:bookmarkEnd w:id="23"/>
      <w:bookmarkEnd w:id="24"/>
    </w:p>
    <w:p w14:paraId="3CE90E54">
      <w:pPr>
        <w:spacing w:line="360" w:lineRule="auto"/>
        <w:ind w:firstLine="480" w:firstLineChars="200"/>
        <w:rPr>
          <w:sz w:val="24"/>
          <w:lang w:bidi="ar"/>
        </w:rPr>
      </w:pPr>
      <w:r>
        <w:rPr>
          <w:sz w:val="24"/>
        </w:rPr>
        <w:t>1.项目需要落实的政府采购政策</w:t>
      </w:r>
      <w:r>
        <w:rPr>
          <w:rFonts w:hint="eastAsia"/>
          <w:sz w:val="24"/>
        </w:rPr>
        <w:t>（不适用的除外）</w:t>
      </w:r>
      <w:r>
        <w:rPr>
          <w:sz w:val="24"/>
        </w:rPr>
        <w:t>：</w:t>
      </w:r>
    </w:p>
    <w:p w14:paraId="2756A3EC">
      <w:pPr>
        <w:spacing w:line="360" w:lineRule="auto"/>
        <w:ind w:firstLine="480" w:firstLineChars="200"/>
        <w:rPr>
          <w:rFonts w:hint="eastAsia" w:ascii="宋体" w:hAnsi="宋体" w:cs="宋体"/>
          <w:color w:val="000000"/>
          <w:sz w:val="24"/>
          <w:lang w:bidi="ar"/>
        </w:rPr>
      </w:pPr>
      <w:r>
        <w:rPr>
          <w:rFonts w:hint="eastAsia" w:ascii="宋体" w:hAnsi="宋体" w:cs="宋体"/>
          <w:color w:val="000000"/>
          <w:sz w:val="24"/>
          <w:lang w:bidi="ar"/>
        </w:rPr>
        <w:t>（1）执行关于印发节能产品政府采购品目清单的通知（财库〔2019〕19号）；</w:t>
      </w:r>
    </w:p>
    <w:p w14:paraId="7B7D7891">
      <w:pPr>
        <w:spacing w:line="360" w:lineRule="auto"/>
        <w:ind w:firstLine="480" w:firstLineChars="200"/>
        <w:rPr>
          <w:rFonts w:hint="eastAsia" w:ascii="宋体" w:hAnsi="宋体" w:cs="宋体"/>
          <w:color w:val="000000"/>
          <w:sz w:val="24"/>
          <w:lang w:bidi="ar"/>
        </w:rPr>
      </w:pPr>
      <w:r>
        <w:rPr>
          <w:rFonts w:hint="eastAsia" w:ascii="宋体" w:hAnsi="宋体" w:cs="宋体"/>
          <w:color w:val="000000"/>
          <w:sz w:val="24"/>
          <w:lang w:bidi="ar"/>
        </w:rPr>
        <w:t>（2）执行关于印发环境标志产品政府采购品目清单的通知（财库〔2019〕18号）；</w:t>
      </w:r>
    </w:p>
    <w:p w14:paraId="7544EBA7">
      <w:pPr>
        <w:spacing w:line="360" w:lineRule="auto"/>
        <w:ind w:firstLine="480" w:firstLineChars="200"/>
        <w:rPr>
          <w:rFonts w:hint="eastAsia" w:ascii="宋体" w:hAnsi="宋体" w:cs="宋体"/>
          <w:color w:val="000000"/>
          <w:sz w:val="24"/>
          <w:lang w:bidi="ar"/>
        </w:rPr>
      </w:pPr>
      <w:r>
        <w:rPr>
          <w:rFonts w:hint="eastAsia" w:ascii="宋体" w:hAnsi="宋体" w:cs="宋体"/>
          <w:color w:val="000000"/>
          <w:sz w:val="24"/>
          <w:lang w:bidi="ar"/>
        </w:rPr>
        <w:t>（3）执行关于印发《政府采购促进中小企业发展管理办法》（财库[2020]46号）；</w:t>
      </w:r>
    </w:p>
    <w:p w14:paraId="6C6C4638">
      <w:pPr>
        <w:spacing w:line="360" w:lineRule="auto"/>
        <w:ind w:firstLine="480" w:firstLineChars="200"/>
        <w:rPr>
          <w:rFonts w:hint="eastAsia" w:ascii="宋体" w:hAnsi="宋体" w:cs="宋体"/>
          <w:color w:val="000000"/>
          <w:sz w:val="24"/>
          <w:lang w:bidi="ar"/>
        </w:rPr>
      </w:pPr>
      <w:r>
        <w:rPr>
          <w:rFonts w:hint="eastAsia" w:ascii="宋体" w:hAnsi="宋体" w:cs="宋体"/>
          <w:color w:val="000000"/>
          <w:sz w:val="24"/>
          <w:lang w:bidi="ar"/>
        </w:rPr>
        <w:t>（4）执行关于印发《关于进一步加大政府采购支持中小企业力度》的通知(财库(2022)19号)；</w:t>
      </w:r>
    </w:p>
    <w:p w14:paraId="4FDF2C2C">
      <w:pPr>
        <w:spacing w:line="360" w:lineRule="auto"/>
        <w:ind w:firstLine="480" w:firstLineChars="200"/>
        <w:rPr>
          <w:rFonts w:hint="eastAsia" w:ascii="宋体" w:hAnsi="宋体" w:cs="宋体"/>
          <w:color w:val="000000"/>
          <w:sz w:val="24"/>
          <w:lang w:bidi="ar"/>
        </w:rPr>
      </w:pPr>
      <w:r>
        <w:rPr>
          <w:rFonts w:hint="eastAsia" w:ascii="宋体" w:hAnsi="宋体" w:cs="宋体"/>
          <w:color w:val="000000"/>
          <w:sz w:val="24"/>
          <w:lang w:bidi="ar"/>
        </w:rPr>
        <w:t>（5）执行《财政部、司法部关于政府采购支持监狱企业发展有关问题的通知》（财库[2014]68号）；</w:t>
      </w:r>
    </w:p>
    <w:p w14:paraId="133226CA">
      <w:pPr>
        <w:spacing w:line="360" w:lineRule="auto"/>
        <w:ind w:firstLine="480" w:firstLineChars="200"/>
        <w:rPr>
          <w:rFonts w:hint="eastAsia" w:ascii="宋体" w:hAnsi="宋体" w:cs="宋体"/>
          <w:color w:val="000000"/>
          <w:sz w:val="24"/>
          <w:lang w:bidi="ar"/>
        </w:rPr>
      </w:pPr>
      <w:r>
        <w:rPr>
          <w:rFonts w:hint="eastAsia" w:ascii="宋体" w:hAnsi="宋体" w:cs="宋体"/>
          <w:color w:val="000000"/>
          <w:sz w:val="24"/>
          <w:lang w:bidi="ar"/>
        </w:rPr>
        <w:t>（6）执行《关于促进残疾人就业政府采购政策的通知》（财库〔2017〕141号）；</w:t>
      </w:r>
    </w:p>
    <w:p w14:paraId="5C205DF1">
      <w:pPr>
        <w:spacing w:line="360" w:lineRule="auto"/>
        <w:ind w:firstLine="480" w:firstLineChars="200"/>
        <w:rPr>
          <w:rFonts w:hint="eastAsia" w:ascii="宋体" w:hAnsi="宋体" w:cs="宋体"/>
          <w:color w:val="000000"/>
          <w:sz w:val="24"/>
          <w:lang w:bidi="ar"/>
        </w:rPr>
      </w:pPr>
      <w:r>
        <w:rPr>
          <w:rFonts w:hint="eastAsia" w:ascii="宋体" w:hAnsi="宋体" w:cs="宋体"/>
          <w:color w:val="000000"/>
          <w:sz w:val="24"/>
          <w:lang w:bidi="ar"/>
        </w:rPr>
        <w:t>（7）执行《财政部关于在政府采购活动中查询及使用信用记录有关问题的通知》（财库[2016]125号）；</w:t>
      </w:r>
    </w:p>
    <w:p w14:paraId="33D2CEAD">
      <w:pPr>
        <w:spacing w:line="360" w:lineRule="auto"/>
        <w:ind w:firstLine="480" w:firstLineChars="200"/>
        <w:rPr>
          <w:rFonts w:hint="eastAsia" w:ascii="宋体" w:hAnsi="宋体" w:cs="宋体"/>
          <w:color w:val="000000"/>
          <w:sz w:val="24"/>
          <w:lang w:bidi="ar"/>
        </w:rPr>
      </w:pPr>
      <w:r>
        <w:rPr>
          <w:rFonts w:hint="eastAsia" w:ascii="宋体" w:hAnsi="宋体" w:cs="宋体"/>
          <w:color w:val="000000"/>
          <w:sz w:val="24"/>
          <w:lang w:bidi="ar"/>
        </w:rPr>
        <w:t>（8）执行《财政部关于开展政府采购信用担保试点工作方案》（财库[2011]124 号）；</w:t>
      </w:r>
    </w:p>
    <w:p w14:paraId="3FC47230">
      <w:pPr>
        <w:spacing w:line="360" w:lineRule="auto"/>
        <w:ind w:firstLine="480" w:firstLineChars="200"/>
        <w:rPr>
          <w:sz w:val="24"/>
        </w:rPr>
      </w:pPr>
      <w:r>
        <w:rPr>
          <w:rFonts w:hint="eastAsia" w:ascii="宋体" w:hAnsi="宋体" w:cs="宋体"/>
          <w:color w:val="000000"/>
          <w:sz w:val="24"/>
          <w:lang w:bidi="ar"/>
        </w:rPr>
        <w:t>（9）执行</w:t>
      </w:r>
      <w:r>
        <w:rPr>
          <w:rFonts w:hint="eastAsia" w:ascii="宋体" w:hAnsi="宋体" w:cs="宋体"/>
          <w:sz w:val="24"/>
        </w:rPr>
        <w:t>关于印发《商品包装政府采购需求标准（试行）》、《快递包装政府采购需求标准（试行）》的通知（财办库[2020]123号</w:t>
      </w:r>
      <w:r>
        <w:rPr>
          <w:rFonts w:hint="eastAsia" w:ascii="宋体" w:hAnsi="宋体" w:cs="宋体"/>
          <w:color w:val="383838"/>
          <w:sz w:val="24"/>
          <w:shd w:val="clear" w:color="auto" w:fill="FFFFFF"/>
        </w:rPr>
        <w:t>）。</w:t>
      </w:r>
    </w:p>
    <w:p w14:paraId="58D5B320">
      <w:pPr>
        <w:spacing w:line="360" w:lineRule="auto"/>
        <w:ind w:firstLine="480" w:firstLineChars="200"/>
        <w:rPr>
          <w:sz w:val="24"/>
        </w:rPr>
      </w:pPr>
    </w:p>
    <w:p w14:paraId="5B90D9D5">
      <w:pPr>
        <w:pStyle w:val="6"/>
        <w:spacing w:before="0" w:line="360" w:lineRule="auto"/>
        <w:jc w:val="left"/>
        <w:rPr>
          <w:rFonts w:hint="eastAsia" w:ascii="宋体" w:hAnsi="宋体" w:eastAsia="宋体" w:cs="宋体"/>
          <w:sz w:val="24"/>
          <w:szCs w:val="24"/>
        </w:rPr>
      </w:pPr>
      <w:bookmarkStart w:id="25" w:name="_Toc28359008"/>
      <w:bookmarkStart w:id="26" w:name="_Toc35393796"/>
      <w:bookmarkStart w:id="27" w:name="_Toc28359085"/>
      <w:bookmarkStart w:id="28" w:name="_Toc35393627"/>
      <w:r>
        <w:rPr>
          <w:rFonts w:hint="eastAsia" w:ascii="宋体" w:hAnsi="宋体" w:eastAsia="宋体" w:cs="宋体"/>
          <w:sz w:val="24"/>
          <w:szCs w:val="24"/>
        </w:rPr>
        <w:t>八、对本项目提出询问，请按以下方式联系。</w:t>
      </w:r>
      <w:bookmarkEnd w:id="25"/>
      <w:bookmarkEnd w:id="26"/>
      <w:bookmarkEnd w:id="27"/>
      <w:bookmarkEnd w:id="28"/>
    </w:p>
    <w:p w14:paraId="18111AA1">
      <w:pPr>
        <w:widowControl/>
        <w:spacing w:line="360" w:lineRule="auto"/>
        <w:jc w:val="left"/>
        <w:rPr>
          <w:rFonts w:hint="eastAsia" w:ascii="宋体" w:hAnsi="宋体" w:cs="宋体"/>
          <w:b/>
          <w:sz w:val="24"/>
        </w:rPr>
      </w:pPr>
      <w:r>
        <w:rPr>
          <w:rFonts w:hint="eastAsia" w:ascii="宋体" w:hAnsi="宋体" w:cs="宋体"/>
          <w:sz w:val="24"/>
        </w:rPr>
        <w:t>　　　</w:t>
      </w:r>
      <w:r>
        <w:rPr>
          <w:rFonts w:hint="eastAsia" w:ascii="宋体" w:hAnsi="宋体" w:cs="宋体"/>
          <w:b/>
          <w:sz w:val="24"/>
        </w:rPr>
        <w:t>1.采购人信息</w:t>
      </w:r>
    </w:p>
    <w:p w14:paraId="5EA8E5B1">
      <w:pPr>
        <w:spacing w:line="360" w:lineRule="auto"/>
        <w:ind w:left="1079" w:leftChars="371" w:hanging="300" w:hangingChars="125"/>
        <w:jc w:val="left"/>
        <w:rPr>
          <w:rFonts w:hint="eastAsia" w:ascii="宋体" w:hAnsi="宋体" w:cs="宋体"/>
          <w:sz w:val="24"/>
        </w:rPr>
      </w:pPr>
      <w:bookmarkStart w:id="29" w:name="_Toc28359009"/>
      <w:bookmarkStart w:id="30" w:name="_Toc28359086"/>
      <w:r>
        <w:rPr>
          <w:rFonts w:hint="eastAsia" w:ascii="宋体" w:hAnsi="宋体" w:cs="宋体"/>
          <w:sz w:val="24"/>
        </w:rPr>
        <w:t>名    称：北京市永定河休闲森林公园管理处</w:t>
      </w:r>
    </w:p>
    <w:p w14:paraId="1B861625">
      <w:pPr>
        <w:spacing w:line="360" w:lineRule="auto"/>
        <w:ind w:left="1079" w:leftChars="371" w:hanging="300" w:hangingChars="125"/>
        <w:jc w:val="left"/>
        <w:rPr>
          <w:rFonts w:hint="eastAsia" w:ascii="宋体" w:hAnsi="宋体" w:cs="宋体"/>
          <w:sz w:val="24"/>
        </w:rPr>
      </w:pPr>
      <w:r>
        <w:rPr>
          <w:rFonts w:hint="eastAsia" w:ascii="宋体" w:hAnsi="宋体" w:cs="宋体"/>
          <w:sz w:val="24"/>
        </w:rPr>
        <w:t>地    址：北京市石景山区京原路 55 号</w:t>
      </w:r>
    </w:p>
    <w:p w14:paraId="4D63CF5C">
      <w:pPr>
        <w:spacing w:line="360" w:lineRule="auto"/>
        <w:ind w:left="1079" w:leftChars="371" w:hanging="300" w:hangingChars="125"/>
        <w:jc w:val="left"/>
        <w:rPr>
          <w:rFonts w:hint="eastAsia" w:ascii="宋体" w:hAnsi="宋体" w:cs="宋体"/>
          <w:sz w:val="24"/>
          <w:u w:val="single"/>
        </w:rPr>
      </w:pPr>
      <w:r>
        <w:rPr>
          <w:rFonts w:hint="eastAsia" w:ascii="宋体" w:hAnsi="宋体" w:cs="宋体"/>
          <w:sz w:val="24"/>
        </w:rPr>
        <w:t>联系方式：010-51786815</w:t>
      </w:r>
    </w:p>
    <w:p w14:paraId="3A17B2B4">
      <w:pPr>
        <w:spacing w:line="360" w:lineRule="auto"/>
        <w:ind w:left="1078" w:leftChars="371" w:hanging="299" w:hangingChars="124"/>
        <w:jc w:val="left"/>
        <w:rPr>
          <w:rFonts w:hint="eastAsia" w:ascii="宋体" w:hAnsi="宋体" w:cs="宋体"/>
          <w:b/>
          <w:sz w:val="24"/>
        </w:rPr>
      </w:pPr>
      <w:r>
        <w:rPr>
          <w:rFonts w:hint="eastAsia" w:ascii="宋体" w:hAnsi="宋体" w:cs="宋体"/>
          <w:b/>
          <w:sz w:val="24"/>
        </w:rPr>
        <w:t>2.采购代理机构信息</w:t>
      </w:r>
      <w:bookmarkEnd w:id="29"/>
      <w:bookmarkEnd w:id="30"/>
    </w:p>
    <w:p w14:paraId="71A063C8">
      <w:pPr>
        <w:spacing w:line="360" w:lineRule="auto"/>
        <w:ind w:left="1076" w:leftChars="371" w:hanging="297" w:hangingChars="124"/>
        <w:jc w:val="left"/>
        <w:rPr>
          <w:rFonts w:hint="eastAsia" w:ascii="宋体" w:hAnsi="宋体" w:cs="宋体"/>
          <w:sz w:val="24"/>
        </w:rPr>
      </w:pPr>
      <w:bookmarkStart w:id="31" w:name="_Toc28359010"/>
      <w:bookmarkStart w:id="32" w:name="_Toc28359087"/>
      <w:r>
        <w:rPr>
          <w:rFonts w:hint="eastAsia" w:ascii="宋体" w:hAnsi="宋体" w:cs="宋体"/>
          <w:sz w:val="24"/>
        </w:rPr>
        <w:t>名    称：中瑞博信项目管理集团有限公司</w:t>
      </w:r>
    </w:p>
    <w:p w14:paraId="7E020FB9">
      <w:pPr>
        <w:spacing w:line="360" w:lineRule="auto"/>
        <w:ind w:left="1076" w:leftChars="371" w:hanging="297" w:hangingChars="124"/>
        <w:jc w:val="left"/>
        <w:rPr>
          <w:rFonts w:hint="eastAsia" w:ascii="宋体" w:hAnsi="宋体" w:cs="宋体"/>
          <w:sz w:val="24"/>
        </w:rPr>
      </w:pPr>
      <w:r>
        <w:rPr>
          <w:rFonts w:hint="eastAsia" w:ascii="宋体" w:hAnsi="宋体" w:cs="宋体"/>
          <w:sz w:val="24"/>
        </w:rPr>
        <w:t>地    址：</w:t>
      </w:r>
      <w:r>
        <w:rPr>
          <w:rFonts w:hint="eastAsia"/>
          <w:sz w:val="24"/>
          <w:lang w:bidi="ar"/>
        </w:rPr>
        <w:t>北京市昌平区龙祥制版集团工业园2号院1号楼2-202室</w:t>
      </w:r>
    </w:p>
    <w:p w14:paraId="0EAE688E">
      <w:pPr>
        <w:spacing w:line="360" w:lineRule="auto"/>
        <w:ind w:left="1076" w:leftChars="371" w:hanging="297" w:hangingChars="124"/>
        <w:jc w:val="left"/>
        <w:rPr>
          <w:rFonts w:ascii="宋体" w:hAnsi="宋体" w:cs="宋体"/>
          <w:sz w:val="24"/>
          <w:u w:val="single"/>
        </w:rPr>
      </w:pPr>
      <w:r>
        <w:rPr>
          <w:rFonts w:hint="eastAsia" w:ascii="宋体" w:hAnsi="宋体" w:cs="宋体"/>
          <w:sz w:val="24"/>
        </w:rPr>
        <w:t>联系方式：010-80792752</w:t>
      </w:r>
    </w:p>
    <w:p w14:paraId="16B5F6BC">
      <w:pPr>
        <w:spacing w:line="360" w:lineRule="auto"/>
        <w:ind w:left="1078" w:leftChars="371" w:hanging="299" w:hangingChars="124"/>
        <w:rPr>
          <w:rFonts w:hint="eastAsia" w:ascii="宋体" w:hAnsi="宋体" w:cs="宋体"/>
          <w:b/>
          <w:sz w:val="24"/>
          <w:u w:val="single"/>
        </w:rPr>
      </w:pPr>
      <w:r>
        <w:rPr>
          <w:rFonts w:hint="eastAsia" w:ascii="宋体" w:hAnsi="宋体" w:cs="宋体"/>
          <w:b/>
          <w:sz w:val="24"/>
        </w:rPr>
        <w:t>3.项目联系方式</w:t>
      </w:r>
      <w:bookmarkEnd w:id="31"/>
      <w:bookmarkEnd w:id="32"/>
    </w:p>
    <w:p w14:paraId="70900A4B">
      <w:pPr>
        <w:pStyle w:val="25"/>
        <w:spacing w:line="360" w:lineRule="auto"/>
        <w:ind w:left="1076" w:leftChars="371" w:hanging="297" w:hangingChars="124"/>
        <w:rPr>
          <w:rFonts w:hint="default" w:hAnsi="宋体" w:cs="宋体"/>
          <w:sz w:val="24"/>
          <w:u w:val="single"/>
          <w:lang w:bidi="ar"/>
        </w:rPr>
      </w:pPr>
      <w:r>
        <w:rPr>
          <w:rFonts w:hAnsi="宋体" w:cs="宋体"/>
          <w:sz w:val="24"/>
          <w:szCs w:val="24"/>
        </w:rPr>
        <w:t>项目联系人：李经理、张工</w:t>
      </w:r>
    </w:p>
    <w:p w14:paraId="62B70223">
      <w:pPr>
        <w:spacing w:line="360" w:lineRule="auto"/>
        <w:ind w:left="1076" w:leftChars="371" w:hanging="297" w:hangingChars="124"/>
        <w:jc w:val="left"/>
        <w:rPr>
          <w:rFonts w:ascii="宋体" w:hAnsi="宋体" w:cs="宋体"/>
          <w:sz w:val="24"/>
          <w:u w:val="single"/>
        </w:rPr>
      </w:pPr>
      <w:r>
        <w:rPr>
          <w:rFonts w:hint="eastAsia" w:ascii="宋体" w:hAnsi="宋体" w:cs="宋体"/>
          <w:sz w:val="24"/>
        </w:rPr>
        <w:t>电    话：010-80792752</w:t>
      </w:r>
    </w:p>
    <w:p w14:paraId="1881E2EB">
      <w:pPr>
        <w:pStyle w:val="25"/>
        <w:spacing w:line="360" w:lineRule="auto"/>
        <w:ind w:left="1076" w:leftChars="371" w:hanging="297" w:hangingChars="124"/>
        <w:rPr>
          <w:rFonts w:hint="default" w:ascii="Times New Roman" w:hAnsi="Times New Roman"/>
          <w:sz w:val="24"/>
          <w:szCs w:val="24"/>
        </w:rPr>
      </w:pPr>
      <w:r>
        <w:rPr>
          <w:rFonts w:hint="default" w:ascii="Times New Roman" w:hAnsi="Times New Roman"/>
          <w:sz w:val="24"/>
          <w:szCs w:val="24"/>
        </w:rPr>
        <w:t xml:space="preserve"> </w:t>
      </w:r>
    </w:p>
    <w:p w14:paraId="3751B46E">
      <w:pPr>
        <w:spacing w:line="360" w:lineRule="auto"/>
        <w:jc w:val="center"/>
        <w:outlineLvl w:val="0"/>
        <w:rPr>
          <w:b/>
          <w:sz w:val="32"/>
          <w:szCs w:val="32"/>
        </w:rPr>
      </w:pPr>
      <w:r>
        <w:rPr>
          <w:sz w:val="24"/>
        </w:rPr>
        <w:br w:type="page"/>
      </w:r>
      <w:bookmarkStart w:id="33" w:name="_Toc226965856"/>
      <w:bookmarkStart w:id="34" w:name="_Toc264969275"/>
      <w:bookmarkStart w:id="35" w:name="_Toc195842950"/>
      <w:bookmarkStart w:id="36" w:name="_Toc127151777"/>
      <w:bookmarkStart w:id="37" w:name="_Toc150774783"/>
      <w:bookmarkStart w:id="38" w:name="_Toc353873938"/>
      <w:bookmarkStart w:id="39" w:name="_Toc265228423"/>
      <w:bookmarkStart w:id="40" w:name="_Toc127161488"/>
      <w:bookmarkStart w:id="41" w:name="_Toc305158854"/>
      <w:bookmarkStart w:id="42" w:name="_Toc207110988"/>
      <w:bookmarkStart w:id="43" w:name="_Toc353825548"/>
      <w:bookmarkStart w:id="44" w:name="_Toc305158928"/>
      <w:bookmarkStart w:id="45" w:name="_Toc512937850"/>
      <w:r>
        <w:rPr>
          <w:b/>
          <w:sz w:val="36"/>
          <w:szCs w:val="36"/>
        </w:rPr>
        <w:t>第二章   供应商须知</w:t>
      </w:r>
      <w:bookmarkEnd w:id="33"/>
      <w:bookmarkEnd w:id="34"/>
      <w:bookmarkEnd w:id="35"/>
      <w:bookmarkEnd w:id="36"/>
      <w:bookmarkEnd w:id="37"/>
      <w:bookmarkEnd w:id="38"/>
      <w:bookmarkEnd w:id="39"/>
      <w:bookmarkEnd w:id="40"/>
      <w:bookmarkEnd w:id="41"/>
      <w:bookmarkEnd w:id="42"/>
      <w:bookmarkEnd w:id="43"/>
      <w:bookmarkEnd w:id="44"/>
      <w:bookmarkEnd w:id="45"/>
    </w:p>
    <w:p w14:paraId="34C159C2">
      <w:pPr>
        <w:pStyle w:val="6"/>
        <w:tabs>
          <w:tab w:val="center" w:pos="4592"/>
          <w:tab w:val="left" w:pos="7860"/>
        </w:tabs>
        <w:spacing w:before="0" w:line="360" w:lineRule="auto"/>
        <w:rPr>
          <w:rFonts w:ascii="Times New Roman" w:hAnsi="Times New Roman" w:eastAsia="宋体"/>
          <w:b w:val="0"/>
          <w:sz w:val="28"/>
        </w:rPr>
      </w:pPr>
      <w:bookmarkStart w:id="46" w:name="_Toc151193833"/>
      <w:bookmarkStart w:id="47" w:name="_Toc164229360"/>
      <w:bookmarkStart w:id="48" w:name="_Toc226337215"/>
      <w:bookmarkStart w:id="49" w:name="_Toc142311021"/>
      <w:bookmarkStart w:id="50" w:name="_Toc151193617"/>
      <w:bookmarkStart w:id="51" w:name="_Toc127151519"/>
      <w:bookmarkStart w:id="52" w:name="_Toc151190146"/>
      <w:bookmarkStart w:id="53" w:name="_Toc149720812"/>
      <w:bookmarkStart w:id="54" w:name="_Toc520356144"/>
      <w:bookmarkStart w:id="55" w:name="_Toc151193907"/>
      <w:bookmarkStart w:id="56" w:name="_Toc150480757"/>
      <w:bookmarkStart w:id="57" w:name="_Toc164229214"/>
      <w:bookmarkStart w:id="58" w:name="_Toc150774724"/>
      <w:bookmarkStart w:id="59" w:name="_Toc127151720"/>
      <w:bookmarkStart w:id="60" w:name="_Toc151193689"/>
      <w:bookmarkStart w:id="61" w:name="_Toc226965792"/>
      <w:bookmarkStart w:id="62" w:name="_Toc150774619"/>
      <w:bookmarkStart w:id="63" w:name="_Toc195842884"/>
      <w:bookmarkStart w:id="64" w:name="_Toc226309763"/>
      <w:bookmarkStart w:id="65" w:name="_Toc164608788"/>
      <w:bookmarkStart w:id="66" w:name="_Toc127161433"/>
      <w:bookmarkStart w:id="67" w:name="_Toc150509270"/>
      <w:bookmarkStart w:id="68" w:name="_Toc151193761"/>
      <w:bookmarkStart w:id="69" w:name="_Toc164608633"/>
      <w:bookmarkStart w:id="70" w:name="_Toc164351613"/>
      <w:bookmarkStart w:id="71" w:name="_Toc226965709"/>
      <w:r>
        <w:rPr>
          <w:rFonts w:ascii="Times New Roman" w:hAnsi="Times New Roman" w:eastAsia="宋体"/>
          <w:sz w:val="28"/>
        </w:rPr>
        <w:t>供应商须知资料表</w:t>
      </w:r>
    </w:p>
    <w:p w14:paraId="01A29A11">
      <w:pPr>
        <w:jc w:val="center"/>
        <w:rPr>
          <w:b/>
          <w:sz w:val="28"/>
          <w:szCs w:val="28"/>
        </w:rPr>
      </w:pPr>
    </w:p>
    <w:p w14:paraId="226848E0">
      <w:pPr>
        <w:spacing w:line="360" w:lineRule="auto"/>
        <w:ind w:firstLine="480"/>
        <w:rPr>
          <w:sz w:val="24"/>
        </w:rPr>
      </w:pPr>
      <w:r>
        <w:rPr>
          <w:sz w:val="24"/>
        </w:rPr>
        <w:t>本表是对供应商须知的具体补充和修改，如有矛盾，均以本资料表为准。标记</w:t>
      </w:r>
      <w:r>
        <w:rPr>
          <w:color w:val="000000"/>
          <w:sz w:val="24"/>
        </w:rPr>
        <w:t>“</w:t>
      </w:r>
      <w:r>
        <w:rPr>
          <w:b/>
          <w:color w:val="000000"/>
          <w:sz w:val="24"/>
        </w:rPr>
        <w:t>■</w:t>
      </w:r>
      <w:r>
        <w:rPr>
          <w:color w:val="000000"/>
          <w:sz w:val="24"/>
        </w:rPr>
        <w:t>”</w:t>
      </w:r>
      <w:r>
        <w:rPr>
          <w:sz w:val="24"/>
        </w:rPr>
        <w:t>的选项意为适用于本项目，标记“</w:t>
      </w:r>
      <w:r>
        <w:t>□</w:t>
      </w:r>
      <w:r>
        <w:rPr>
          <w:sz w:val="24"/>
        </w:rPr>
        <w:t>”的选项意为不适用于本项目。</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6FD98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noWrap w:val="0"/>
            <w:vAlign w:val="center"/>
          </w:tcPr>
          <w:p w14:paraId="313C8A78">
            <w:pPr>
              <w:jc w:val="center"/>
              <w:rPr>
                <w:b/>
                <w:bCs/>
                <w:sz w:val="24"/>
              </w:rPr>
            </w:pPr>
            <w:r>
              <w:rPr>
                <w:b/>
                <w:sz w:val="24"/>
              </w:rPr>
              <w:t>条款号</w:t>
            </w:r>
          </w:p>
        </w:tc>
        <w:tc>
          <w:tcPr>
            <w:tcW w:w="1701" w:type="dxa"/>
            <w:noWrap w:val="0"/>
            <w:vAlign w:val="center"/>
          </w:tcPr>
          <w:p w14:paraId="104A5A3E">
            <w:pPr>
              <w:jc w:val="center"/>
              <w:rPr>
                <w:b/>
                <w:bCs/>
                <w:sz w:val="24"/>
              </w:rPr>
            </w:pPr>
            <w:r>
              <w:rPr>
                <w:b/>
                <w:bCs/>
                <w:sz w:val="24"/>
              </w:rPr>
              <w:t>条目</w:t>
            </w:r>
          </w:p>
        </w:tc>
        <w:tc>
          <w:tcPr>
            <w:tcW w:w="7253" w:type="dxa"/>
            <w:noWrap w:val="0"/>
            <w:vAlign w:val="center"/>
          </w:tcPr>
          <w:p w14:paraId="227C2739">
            <w:pPr>
              <w:jc w:val="center"/>
              <w:rPr>
                <w:b/>
                <w:bCs/>
                <w:sz w:val="24"/>
              </w:rPr>
            </w:pPr>
            <w:r>
              <w:rPr>
                <w:b/>
                <w:bCs/>
                <w:sz w:val="24"/>
              </w:rPr>
              <w:t>内容</w:t>
            </w:r>
          </w:p>
        </w:tc>
      </w:tr>
      <w:tr w14:paraId="66C28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7A76BEF4">
            <w:pPr>
              <w:pStyle w:val="25"/>
              <w:adjustRightInd w:val="0"/>
              <w:snapToGrid w:val="0"/>
              <w:jc w:val="center"/>
              <w:rPr>
                <w:rFonts w:hAnsi="宋体" w:cs="宋体"/>
                <w:sz w:val="24"/>
                <w:szCs w:val="24"/>
              </w:rPr>
            </w:pPr>
            <w:r>
              <w:rPr>
                <w:rFonts w:hAnsi="宋体" w:cs="宋体"/>
                <w:sz w:val="24"/>
                <w:szCs w:val="24"/>
              </w:rPr>
              <w:t>2.2</w:t>
            </w:r>
          </w:p>
        </w:tc>
        <w:tc>
          <w:tcPr>
            <w:tcW w:w="1701" w:type="dxa"/>
            <w:noWrap w:val="0"/>
            <w:vAlign w:val="center"/>
          </w:tcPr>
          <w:p w14:paraId="7B5FBC78">
            <w:pPr>
              <w:jc w:val="center"/>
              <w:rPr>
                <w:rFonts w:hint="eastAsia" w:ascii="宋体" w:hAnsi="宋体" w:cs="宋体"/>
                <w:sz w:val="24"/>
              </w:rPr>
            </w:pPr>
            <w:r>
              <w:rPr>
                <w:rFonts w:hint="eastAsia" w:ascii="宋体" w:hAnsi="宋体" w:cs="宋体"/>
                <w:sz w:val="24"/>
              </w:rPr>
              <w:t>项目属性</w:t>
            </w:r>
          </w:p>
        </w:tc>
        <w:tc>
          <w:tcPr>
            <w:tcW w:w="7253" w:type="dxa"/>
            <w:noWrap w:val="0"/>
            <w:vAlign w:val="center"/>
          </w:tcPr>
          <w:p w14:paraId="7A256A1F">
            <w:pPr>
              <w:jc w:val="left"/>
              <w:rPr>
                <w:rFonts w:hint="eastAsia" w:ascii="宋体" w:hAnsi="宋体" w:cs="宋体"/>
                <w:sz w:val="24"/>
              </w:rPr>
            </w:pPr>
            <w:r>
              <w:rPr>
                <w:rFonts w:hint="eastAsia" w:ascii="宋体" w:hAnsi="宋体" w:cs="宋体"/>
                <w:sz w:val="24"/>
              </w:rPr>
              <w:t>项目属性：</w:t>
            </w:r>
          </w:p>
          <w:p w14:paraId="5238BABD">
            <w:pPr>
              <w:jc w:val="left"/>
              <w:rPr>
                <w:rFonts w:hint="eastAsia" w:ascii="宋体" w:hAnsi="宋体" w:cs="宋体"/>
                <w:sz w:val="24"/>
              </w:rPr>
            </w:pPr>
            <w:r>
              <w:rPr>
                <w:rFonts w:hint="eastAsia" w:ascii="宋体" w:hAnsi="宋体" w:cs="宋体"/>
                <w:b/>
                <w:color w:val="000000"/>
                <w:sz w:val="24"/>
              </w:rPr>
              <w:t>■</w:t>
            </w:r>
            <w:r>
              <w:rPr>
                <w:rFonts w:hint="eastAsia" w:ascii="宋体" w:hAnsi="宋体" w:cs="宋体"/>
                <w:sz w:val="24"/>
              </w:rPr>
              <w:t>服务</w:t>
            </w:r>
          </w:p>
          <w:p w14:paraId="0F05C554">
            <w:pPr>
              <w:jc w:val="left"/>
              <w:rPr>
                <w:rFonts w:hint="eastAsia" w:ascii="宋体" w:hAnsi="宋体" w:cs="宋体"/>
                <w:sz w:val="24"/>
              </w:rPr>
            </w:pPr>
            <w:r>
              <w:rPr>
                <w:rFonts w:hint="eastAsia" w:ascii="宋体" w:hAnsi="宋体" w:cs="宋体"/>
                <w:sz w:val="24"/>
              </w:rPr>
              <w:t>□货物</w:t>
            </w:r>
          </w:p>
          <w:p w14:paraId="2A46AD3E">
            <w:pPr>
              <w:jc w:val="left"/>
              <w:rPr>
                <w:rFonts w:hint="eastAsia" w:ascii="宋体" w:hAnsi="宋体" w:cs="宋体"/>
                <w:sz w:val="24"/>
                <w:u w:val="single"/>
              </w:rPr>
            </w:pPr>
            <w:r>
              <w:rPr>
                <w:rFonts w:hint="eastAsia" w:ascii="宋体" w:hAnsi="宋体" w:cs="宋体"/>
                <w:sz w:val="24"/>
              </w:rPr>
              <w:t>□工程</w:t>
            </w:r>
          </w:p>
        </w:tc>
      </w:tr>
      <w:tr w14:paraId="084C6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6BDB37B9">
            <w:pPr>
              <w:pStyle w:val="25"/>
              <w:adjustRightInd w:val="0"/>
              <w:snapToGrid w:val="0"/>
              <w:jc w:val="center"/>
              <w:rPr>
                <w:rFonts w:hAnsi="宋体" w:cs="宋体"/>
                <w:sz w:val="24"/>
                <w:szCs w:val="24"/>
              </w:rPr>
            </w:pPr>
            <w:r>
              <w:rPr>
                <w:rFonts w:hAnsi="宋体" w:cs="宋体"/>
                <w:sz w:val="24"/>
                <w:szCs w:val="24"/>
              </w:rPr>
              <w:t>2.3</w:t>
            </w:r>
          </w:p>
        </w:tc>
        <w:tc>
          <w:tcPr>
            <w:tcW w:w="1701" w:type="dxa"/>
            <w:noWrap w:val="0"/>
            <w:vAlign w:val="center"/>
          </w:tcPr>
          <w:p w14:paraId="791F65D5">
            <w:pPr>
              <w:jc w:val="center"/>
              <w:rPr>
                <w:rFonts w:hint="eastAsia" w:ascii="宋体" w:hAnsi="宋体" w:cs="宋体"/>
                <w:sz w:val="24"/>
              </w:rPr>
            </w:pPr>
            <w:r>
              <w:rPr>
                <w:rFonts w:hint="eastAsia" w:ascii="宋体" w:hAnsi="宋体" w:cs="宋体"/>
                <w:sz w:val="24"/>
              </w:rPr>
              <w:t>科研仪器设备</w:t>
            </w:r>
          </w:p>
        </w:tc>
        <w:tc>
          <w:tcPr>
            <w:tcW w:w="7253" w:type="dxa"/>
            <w:noWrap w:val="0"/>
            <w:vAlign w:val="center"/>
          </w:tcPr>
          <w:p w14:paraId="26B162DC">
            <w:pPr>
              <w:jc w:val="left"/>
              <w:rPr>
                <w:rFonts w:hint="eastAsia" w:ascii="宋体" w:hAnsi="宋体" w:cs="宋体"/>
                <w:sz w:val="24"/>
              </w:rPr>
            </w:pPr>
            <w:r>
              <w:rPr>
                <w:rFonts w:hint="eastAsia" w:ascii="宋体" w:hAnsi="宋体" w:cs="宋体"/>
                <w:sz w:val="24"/>
              </w:rPr>
              <w:t>是否属于科研仪器设备采购项目：</w:t>
            </w:r>
          </w:p>
          <w:p w14:paraId="25EA1B64">
            <w:pPr>
              <w:jc w:val="left"/>
              <w:rPr>
                <w:rFonts w:hint="eastAsia" w:ascii="宋体" w:hAnsi="宋体" w:cs="宋体"/>
                <w:sz w:val="24"/>
              </w:rPr>
            </w:pPr>
            <w:r>
              <w:rPr>
                <w:rFonts w:hint="eastAsia" w:ascii="宋体" w:hAnsi="宋体" w:cs="宋体"/>
                <w:sz w:val="24"/>
              </w:rPr>
              <w:t>□是</w:t>
            </w:r>
          </w:p>
          <w:p w14:paraId="6C4816E4">
            <w:pPr>
              <w:jc w:val="left"/>
              <w:rPr>
                <w:rFonts w:hint="eastAsia" w:ascii="宋体" w:hAnsi="宋体" w:cs="宋体"/>
                <w:sz w:val="24"/>
              </w:rPr>
            </w:pPr>
            <w:r>
              <w:rPr>
                <w:rFonts w:hint="eastAsia" w:ascii="宋体" w:hAnsi="宋体" w:cs="宋体"/>
                <w:b/>
                <w:color w:val="000000"/>
                <w:sz w:val="24"/>
              </w:rPr>
              <w:t>■</w:t>
            </w:r>
            <w:r>
              <w:rPr>
                <w:rFonts w:hint="eastAsia" w:ascii="宋体" w:hAnsi="宋体" w:cs="宋体"/>
                <w:sz w:val="24"/>
              </w:rPr>
              <w:t>否</w:t>
            </w:r>
          </w:p>
        </w:tc>
      </w:tr>
      <w:tr w14:paraId="3537D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noWrap w:val="0"/>
            <w:vAlign w:val="center"/>
          </w:tcPr>
          <w:p w14:paraId="357D7AD3">
            <w:pPr>
              <w:pStyle w:val="25"/>
              <w:adjustRightInd w:val="0"/>
              <w:snapToGrid w:val="0"/>
              <w:jc w:val="center"/>
              <w:rPr>
                <w:rFonts w:hAnsi="宋体" w:cs="宋体"/>
                <w:sz w:val="24"/>
                <w:szCs w:val="24"/>
              </w:rPr>
            </w:pPr>
            <w:r>
              <w:rPr>
                <w:rFonts w:hAnsi="宋体" w:cs="宋体"/>
                <w:sz w:val="24"/>
                <w:szCs w:val="24"/>
              </w:rPr>
              <w:t>3.1</w:t>
            </w:r>
          </w:p>
        </w:tc>
        <w:tc>
          <w:tcPr>
            <w:tcW w:w="1701" w:type="dxa"/>
            <w:noWrap w:val="0"/>
            <w:vAlign w:val="center"/>
          </w:tcPr>
          <w:p w14:paraId="4B5AFA63">
            <w:pPr>
              <w:jc w:val="center"/>
              <w:rPr>
                <w:rFonts w:hint="eastAsia" w:ascii="宋体" w:hAnsi="宋体" w:cs="宋体"/>
                <w:sz w:val="24"/>
              </w:rPr>
            </w:pPr>
            <w:r>
              <w:rPr>
                <w:rFonts w:hint="eastAsia" w:ascii="宋体" w:hAnsi="宋体" w:cs="宋体"/>
                <w:sz w:val="24"/>
              </w:rPr>
              <w:t>现场考察</w:t>
            </w:r>
          </w:p>
        </w:tc>
        <w:tc>
          <w:tcPr>
            <w:tcW w:w="7253" w:type="dxa"/>
            <w:noWrap w:val="0"/>
            <w:vAlign w:val="center"/>
          </w:tcPr>
          <w:p w14:paraId="7B64B499">
            <w:pPr>
              <w:jc w:val="left"/>
              <w:rPr>
                <w:rFonts w:hint="eastAsia" w:ascii="宋体" w:hAnsi="宋体" w:cs="宋体"/>
                <w:sz w:val="24"/>
              </w:rPr>
            </w:pPr>
            <w:r>
              <w:rPr>
                <w:rFonts w:hint="eastAsia" w:ascii="宋体" w:hAnsi="宋体" w:cs="宋体"/>
                <w:b/>
                <w:color w:val="000000"/>
                <w:sz w:val="24"/>
              </w:rPr>
              <w:t>■</w:t>
            </w:r>
            <w:r>
              <w:rPr>
                <w:rFonts w:hint="eastAsia" w:ascii="宋体" w:hAnsi="宋体" w:cs="宋体"/>
                <w:sz w:val="24"/>
              </w:rPr>
              <w:t>不组织</w:t>
            </w:r>
          </w:p>
          <w:p w14:paraId="049F3743">
            <w:pPr>
              <w:jc w:val="left"/>
              <w:rPr>
                <w:rFonts w:hint="eastAsia" w:ascii="宋体" w:hAnsi="宋体" w:cs="宋体"/>
                <w:bCs/>
                <w:sz w:val="24"/>
              </w:rPr>
            </w:pPr>
            <w:r>
              <w:rPr>
                <w:rFonts w:hint="eastAsia" w:ascii="宋体" w:hAnsi="宋体" w:cs="宋体"/>
                <w:sz w:val="24"/>
              </w:rPr>
              <w:t>□组织，考察时间：___</w:t>
            </w:r>
            <w:r>
              <w:rPr>
                <w:rFonts w:hint="eastAsia" w:ascii="宋体" w:hAnsi="宋体" w:cs="宋体"/>
                <w:sz w:val="24"/>
                <w:lang w:bidi="ar"/>
              </w:rPr>
              <w:t>年</w:t>
            </w:r>
            <w:r>
              <w:rPr>
                <w:rFonts w:hint="eastAsia" w:ascii="宋体" w:hAnsi="宋体" w:cs="宋体"/>
                <w:sz w:val="24"/>
              </w:rPr>
              <w:t>___</w:t>
            </w:r>
            <w:r>
              <w:rPr>
                <w:rFonts w:hint="eastAsia" w:ascii="宋体" w:hAnsi="宋体" w:cs="宋体"/>
                <w:sz w:val="24"/>
                <w:lang w:bidi="ar"/>
              </w:rPr>
              <w:t>月</w:t>
            </w:r>
            <w:r>
              <w:rPr>
                <w:rFonts w:hint="eastAsia" w:ascii="宋体" w:hAnsi="宋体" w:cs="宋体"/>
                <w:sz w:val="24"/>
              </w:rPr>
              <w:t>___</w:t>
            </w:r>
            <w:r>
              <w:rPr>
                <w:rFonts w:hint="eastAsia" w:ascii="宋体" w:hAnsi="宋体" w:cs="宋体"/>
                <w:sz w:val="24"/>
                <w:lang w:bidi="ar"/>
              </w:rPr>
              <w:t>日</w:t>
            </w:r>
            <w:r>
              <w:rPr>
                <w:rFonts w:hint="eastAsia" w:ascii="宋体" w:hAnsi="宋体" w:cs="宋体"/>
                <w:sz w:val="24"/>
              </w:rPr>
              <w:t>___</w:t>
            </w:r>
            <w:r>
              <w:rPr>
                <w:rFonts w:hint="eastAsia" w:ascii="宋体" w:hAnsi="宋体" w:cs="宋体"/>
                <w:sz w:val="24"/>
                <w:lang w:bidi="ar"/>
              </w:rPr>
              <w:t>点</w:t>
            </w:r>
            <w:r>
              <w:rPr>
                <w:rFonts w:hint="eastAsia" w:ascii="宋体" w:hAnsi="宋体" w:cs="宋体"/>
                <w:sz w:val="24"/>
              </w:rPr>
              <w:t>___</w:t>
            </w:r>
            <w:r>
              <w:rPr>
                <w:rFonts w:hint="eastAsia" w:ascii="宋体" w:hAnsi="宋体" w:cs="宋体"/>
                <w:sz w:val="24"/>
                <w:lang w:bidi="ar"/>
              </w:rPr>
              <w:t>分</w:t>
            </w:r>
          </w:p>
          <w:p w14:paraId="2E9BC1AC">
            <w:pPr>
              <w:pStyle w:val="25"/>
              <w:adjustRightInd w:val="0"/>
              <w:snapToGrid w:val="0"/>
              <w:rPr>
                <w:rFonts w:hAnsi="宋体" w:cs="宋体"/>
                <w:sz w:val="24"/>
                <w:szCs w:val="24"/>
              </w:rPr>
            </w:pPr>
            <w:r>
              <w:rPr>
                <w:rFonts w:hAnsi="宋体" w:cs="宋体"/>
                <w:sz w:val="24"/>
              </w:rPr>
              <w:t>考察地点：___________。</w:t>
            </w:r>
          </w:p>
        </w:tc>
      </w:tr>
      <w:tr w14:paraId="4470C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noWrap w:val="0"/>
            <w:vAlign w:val="center"/>
          </w:tcPr>
          <w:p w14:paraId="4DA0FA1A">
            <w:pPr>
              <w:pStyle w:val="25"/>
              <w:adjustRightInd w:val="0"/>
              <w:snapToGrid w:val="0"/>
              <w:jc w:val="center"/>
              <w:rPr>
                <w:rFonts w:hAnsi="宋体" w:cs="宋体"/>
                <w:sz w:val="24"/>
                <w:szCs w:val="24"/>
              </w:rPr>
            </w:pPr>
          </w:p>
        </w:tc>
        <w:tc>
          <w:tcPr>
            <w:tcW w:w="1701" w:type="dxa"/>
            <w:noWrap w:val="0"/>
            <w:vAlign w:val="center"/>
          </w:tcPr>
          <w:p w14:paraId="40640711">
            <w:pPr>
              <w:jc w:val="center"/>
              <w:rPr>
                <w:rFonts w:hint="eastAsia" w:ascii="宋体" w:hAnsi="宋体" w:cs="宋体"/>
                <w:sz w:val="24"/>
              </w:rPr>
            </w:pPr>
            <w:r>
              <w:rPr>
                <w:rFonts w:hint="eastAsia" w:ascii="宋体" w:hAnsi="宋体" w:cs="宋体"/>
                <w:sz w:val="24"/>
              </w:rPr>
              <w:t>磋商前答疑会</w:t>
            </w:r>
          </w:p>
        </w:tc>
        <w:tc>
          <w:tcPr>
            <w:tcW w:w="7253" w:type="dxa"/>
            <w:noWrap w:val="0"/>
            <w:vAlign w:val="center"/>
          </w:tcPr>
          <w:p w14:paraId="44CAC1B9">
            <w:pPr>
              <w:jc w:val="left"/>
              <w:rPr>
                <w:rFonts w:hint="eastAsia" w:ascii="宋体" w:hAnsi="宋体" w:cs="宋体"/>
                <w:sz w:val="24"/>
              </w:rPr>
            </w:pPr>
            <w:r>
              <w:rPr>
                <w:rFonts w:hint="eastAsia" w:ascii="宋体" w:hAnsi="宋体" w:cs="宋体"/>
                <w:b/>
                <w:color w:val="000000"/>
                <w:sz w:val="24"/>
              </w:rPr>
              <w:t>■</w:t>
            </w:r>
            <w:r>
              <w:rPr>
                <w:rFonts w:hint="eastAsia" w:ascii="宋体" w:hAnsi="宋体" w:cs="宋体"/>
                <w:sz w:val="24"/>
              </w:rPr>
              <w:t>不召开</w:t>
            </w:r>
          </w:p>
          <w:p w14:paraId="20AC0962">
            <w:pPr>
              <w:jc w:val="left"/>
              <w:rPr>
                <w:rFonts w:hint="eastAsia" w:ascii="宋体" w:hAnsi="宋体" w:cs="宋体"/>
                <w:sz w:val="24"/>
              </w:rPr>
            </w:pPr>
            <w:r>
              <w:rPr>
                <w:rFonts w:hint="eastAsia" w:ascii="宋体" w:hAnsi="宋体" w:cs="宋体"/>
                <w:sz w:val="24"/>
              </w:rPr>
              <w:t>□召开，召开时间：___</w:t>
            </w:r>
            <w:r>
              <w:rPr>
                <w:rFonts w:hint="eastAsia" w:ascii="宋体" w:hAnsi="宋体" w:cs="宋体"/>
                <w:sz w:val="24"/>
                <w:lang w:bidi="ar"/>
              </w:rPr>
              <w:t>年</w:t>
            </w:r>
            <w:r>
              <w:rPr>
                <w:rFonts w:hint="eastAsia" w:ascii="宋体" w:hAnsi="宋体" w:cs="宋体"/>
                <w:sz w:val="24"/>
              </w:rPr>
              <w:t>___</w:t>
            </w:r>
            <w:r>
              <w:rPr>
                <w:rFonts w:hint="eastAsia" w:ascii="宋体" w:hAnsi="宋体" w:cs="宋体"/>
                <w:sz w:val="24"/>
                <w:lang w:bidi="ar"/>
              </w:rPr>
              <w:t>月</w:t>
            </w:r>
            <w:r>
              <w:rPr>
                <w:rFonts w:hint="eastAsia" w:ascii="宋体" w:hAnsi="宋体" w:cs="宋体"/>
                <w:sz w:val="24"/>
              </w:rPr>
              <w:t>___</w:t>
            </w:r>
            <w:r>
              <w:rPr>
                <w:rFonts w:hint="eastAsia" w:ascii="宋体" w:hAnsi="宋体" w:cs="宋体"/>
                <w:sz w:val="24"/>
                <w:lang w:bidi="ar"/>
              </w:rPr>
              <w:t>日</w:t>
            </w:r>
            <w:r>
              <w:rPr>
                <w:rFonts w:hint="eastAsia" w:ascii="宋体" w:hAnsi="宋体" w:cs="宋体"/>
                <w:sz w:val="24"/>
              </w:rPr>
              <w:t>___</w:t>
            </w:r>
            <w:r>
              <w:rPr>
                <w:rFonts w:hint="eastAsia" w:ascii="宋体" w:hAnsi="宋体" w:cs="宋体"/>
                <w:sz w:val="24"/>
                <w:lang w:bidi="ar"/>
              </w:rPr>
              <w:t>点</w:t>
            </w:r>
            <w:r>
              <w:rPr>
                <w:rFonts w:hint="eastAsia" w:ascii="宋体" w:hAnsi="宋体" w:cs="宋体"/>
                <w:sz w:val="24"/>
              </w:rPr>
              <w:t>___</w:t>
            </w:r>
            <w:r>
              <w:rPr>
                <w:rFonts w:hint="eastAsia" w:ascii="宋体" w:hAnsi="宋体" w:cs="宋体"/>
                <w:sz w:val="24"/>
                <w:lang w:bidi="ar"/>
              </w:rPr>
              <w:t>分</w:t>
            </w:r>
          </w:p>
          <w:p w14:paraId="5BD09510">
            <w:pPr>
              <w:jc w:val="left"/>
              <w:rPr>
                <w:rFonts w:hint="eastAsia" w:ascii="宋体" w:hAnsi="宋体" w:cs="宋体"/>
                <w:sz w:val="24"/>
              </w:rPr>
            </w:pPr>
            <w:r>
              <w:rPr>
                <w:rFonts w:hint="eastAsia" w:ascii="宋体" w:hAnsi="宋体" w:cs="宋体"/>
                <w:sz w:val="24"/>
              </w:rPr>
              <w:t>召开地点：___________。</w:t>
            </w:r>
          </w:p>
        </w:tc>
      </w:tr>
      <w:tr w14:paraId="4FE6A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noWrap w:val="0"/>
            <w:vAlign w:val="center"/>
          </w:tcPr>
          <w:p w14:paraId="65BA0F84">
            <w:pPr>
              <w:pStyle w:val="25"/>
              <w:adjustRightInd w:val="0"/>
              <w:snapToGrid w:val="0"/>
              <w:jc w:val="center"/>
              <w:rPr>
                <w:rFonts w:hAnsi="宋体" w:cs="宋体"/>
                <w:sz w:val="24"/>
                <w:szCs w:val="24"/>
              </w:rPr>
            </w:pPr>
            <w:r>
              <w:rPr>
                <w:rFonts w:hAnsi="宋体" w:cs="宋体"/>
                <w:sz w:val="24"/>
                <w:szCs w:val="24"/>
              </w:rPr>
              <w:t>4.2.5</w:t>
            </w:r>
          </w:p>
        </w:tc>
        <w:tc>
          <w:tcPr>
            <w:tcW w:w="1701" w:type="dxa"/>
            <w:noWrap w:val="0"/>
            <w:vAlign w:val="center"/>
          </w:tcPr>
          <w:p w14:paraId="4A9EEAF3">
            <w:pPr>
              <w:jc w:val="center"/>
              <w:rPr>
                <w:rFonts w:hint="eastAsia" w:ascii="宋体" w:hAnsi="宋体" w:cs="宋体"/>
                <w:sz w:val="24"/>
              </w:rPr>
            </w:pPr>
            <w:r>
              <w:rPr>
                <w:rFonts w:hint="eastAsia" w:ascii="宋体" w:hAnsi="宋体" w:cs="宋体"/>
                <w:sz w:val="24"/>
              </w:rPr>
              <w:t>标的所属行业</w:t>
            </w:r>
          </w:p>
        </w:tc>
        <w:tc>
          <w:tcPr>
            <w:tcW w:w="7253" w:type="dxa"/>
            <w:noWrap w:val="0"/>
            <w:vAlign w:val="center"/>
          </w:tcPr>
          <w:p w14:paraId="3DD5B927">
            <w:pPr>
              <w:jc w:val="left"/>
              <w:rPr>
                <w:rFonts w:hint="eastAsia" w:ascii="宋体" w:hAnsi="宋体" w:cs="宋体"/>
                <w:sz w:val="24"/>
              </w:rPr>
            </w:pPr>
            <w:r>
              <w:rPr>
                <w:rFonts w:hint="eastAsia" w:ascii="宋体" w:hAnsi="宋体" w:cs="宋体"/>
                <w:sz w:val="24"/>
              </w:rPr>
              <w:t>本项目采购标的对应的中小企业划分标准所属行业：</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6"/>
              <w:gridCol w:w="3521"/>
            </w:tblGrid>
            <w:tr w14:paraId="7B900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06" w:type="dxa"/>
                  <w:tcBorders>
                    <w:top w:val="single" w:color="auto" w:sz="4" w:space="0"/>
                    <w:left w:val="single" w:color="auto" w:sz="4" w:space="0"/>
                    <w:bottom w:val="single" w:color="auto" w:sz="4" w:space="0"/>
                    <w:right w:val="single" w:color="auto" w:sz="4" w:space="0"/>
                  </w:tcBorders>
                  <w:noWrap w:val="0"/>
                  <w:vAlign w:val="center"/>
                </w:tcPr>
                <w:p w14:paraId="2E435B0C">
                  <w:pPr>
                    <w:jc w:val="center"/>
                    <w:rPr>
                      <w:rFonts w:hint="eastAsia" w:ascii="宋体" w:hAnsi="宋体" w:cs="宋体"/>
                      <w:bCs/>
                      <w:sz w:val="24"/>
                    </w:rPr>
                  </w:pPr>
                  <w:r>
                    <w:rPr>
                      <w:rFonts w:hint="eastAsia" w:ascii="宋体" w:hAnsi="宋体" w:cs="宋体"/>
                      <w:bCs/>
                      <w:sz w:val="24"/>
                    </w:rPr>
                    <w:t>标的名称</w:t>
                  </w:r>
                </w:p>
              </w:tc>
              <w:tc>
                <w:tcPr>
                  <w:tcW w:w="3521" w:type="dxa"/>
                  <w:tcBorders>
                    <w:top w:val="single" w:color="auto" w:sz="4" w:space="0"/>
                    <w:left w:val="single" w:color="auto" w:sz="4" w:space="0"/>
                    <w:bottom w:val="single" w:color="auto" w:sz="4" w:space="0"/>
                    <w:right w:val="single" w:color="auto" w:sz="4" w:space="0"/>
                  </w:tcBorders>
                  <w:noWrap w:val="0"/>
                  <w:vAlign w:val="center"/>
                </w:tcPr>
                <w:p w14:paraId="6E56D730">
                  <w:pPr>
                    <w:jc w:val="center"/>
                    <w:rPr>
                      <w:rFonts w:hint="eastAsia" w:ascii="宋体" w:hAnsi="宋体" w:cs="宋体"/>
                      <w:sz w:val="24"/>
                    </w:rPr>
                  </w:pPr>
                  <w:r>
                    <w:rPr>
                      <w:rFonts w:hint="eastAsia" w:ascii="宋体" w:hAnsi="宋体" w:cs="宋体"/>
                      <w:sz w:val="24"/>
                    </w:rPr>
                    <w:t>中小企业划分标准所属行业</w:t>
                  </w:r>
                </w:p>
              </w:tc>
            </w:tr>
            <w:tr w14:paraId="438C8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06" w:type="dxa"/>
                  <w:tcBorders>
                    <w:top w:val="single" w:color="auto" w:sz="4" w:space="0"/>
                    <w:left w:val="single" w:color="auto" w:sz="4" w:space="0"/>
                    <w:bottom w:val="single" w:color="auto" w:sz="4" w:space="0"/>
                    <w:right w:val="single" w:color="auto" w:sz="4" w:space="0"/>
                  </w:tcBorders>
                  <w:noWrap w:val="0"/>
                  <w:vAlign w:val="center"/>
                </w:tcPr>
                <w:p w14:paraId="24952ECE">
                  <w:pPr>
                    <w:jc w:val="center"/>
                    <w:rPr>
                      <w:rFonts w:hint="eastAsia" w:ascii="宋体" w:hAnsi="宋体" w:cs="宋体"/>
                      <w:bCs/>
                      <w:sz w:val="24"/>
                    </w:rPr>
                  </w:pPr>
                  <w:r>
                    <w:rPr>
                      <w:rFonts w:hint="eastAsia" w:ascii="宋体" w:hAnsi="宋体" w:cs="宋体"/>
                      <w:sz w:val="24"/>
                    </w:rPr>
                    <w:t>永定河休闲森林公园运行维护项目—园区微型消防站服务采购项目</w:t>
                  </w:r>
                </w:p>
              </w:tc>
              <w:tc>
                <w:tcPr>
                  <w:tcW w:w="3521" w:type="dxa"/>
                  <w:tcBorders>
                    <w:top w:val="single" w:color="auto" w:sz="4" w:space="0"/>
                    <w:left w:val="single" w:color="auto" w:sz="4" w:space="0"/>
                    <w:bottom w:val="single" w:color="auto" w:sz="4" w:space="0"/>
                    <w:right w:val="single" w:color="auto" w:sz="4" w:space="0"/>
                  </w:tcBorders>
                  <w:noWrap w:val="0"/>
                  <w:vAlign w:val="center"/>
                </w:tcPr>
                <w:p w14:paraId="282DF39D">
                  <w:pPr>
                    <w:jc w:val="center"/>
                    <w:rPr>
                      <w:rFonts w:hint="eastAsia" w:ascii="宋体" w:hAnsi="宋体" w:cs="宋体"/>
                      <w:kern w:val="0"/>
                      <w:sz w:val="24"/>
                    </w:rPr>
                  </w:pPr>
                  <w:r>
                    <w:rPr>
                      <w:rFonts w:hint="eastAsia" w:ascii="宋体" w:hAnsi="宋体" w:cs="宋体"/>
                      <w:kern w:val="0"/>
                      <w:sz w:val="24"/>
                    </w:rPr>
                    <w:t>服务业</w:t>
                  </w:r>
                </w:p>
              </w:tc>
            </w:tr>
          </w:tbl>
          <w:p w14:paraId="50B800B1">
            <w:pPr>
              <w:jc w:val="left"/>
              <w:rPr>
                <w:rFonts w:hint="eastAsia" w:ascii="宋体" w:hAnsi="宋体" w:cs="宋体"/>
                <w:sz w:val="24"/>
              </w:rPr>
            </w:pPr>
          </w:p>
        </w:tc>
      </w:tr>
      <w:tr w14:paraId="6BA62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noWrap w:val="0"/>
            <w:vAlign w:val="center"/>
          </w:tcPr>
          <w:p w14:paraId="24122FA3">
            <w:pPr>
              <w:pStyle w:val="25"/>
              <w:adjustRightInd w:val="0"/>
              <w:snapToGrid w:val="0"/>
              <w:jc w:val="center"/>
              <w:rPr>
                <w:rFonts w:hAnsi="宋体" w:cs="宋体"/>
                <w:sz w:val="24"/>
                <w:szCs w:val="24"/>
              </w:rPr>
            </w:pPr>
            <w:r>
              <w:rPr>
                <w:rFonts w:hAnsi="宋体" w:cs="宋体"/>
                <w:sz w:val="24"/>
                <w:szCs w:val="24"/>
              </w:rPr>
              <w:t>10.2</w:t>
            </w:r>
          </w:p>
        </w:tc>
        <w:tc>
          <w:tcPr>
            <w:tcW w:w="1701" w:type="dxa"/>
            <w:noWrap w:val="0"/>
            <w:vAlign w:val="center"/>
          </w:tcPr>
          <w:p w14:paraId="697307BB">
            <w:pPr>
              <w:jc w:val="center"/>
              <w:rPr>
                <w:rFonts w:hint="eastAsia" w:ascii="宋体" w:hAnsi="宋体" w:cs="宋体"/>
                <w:sz w:val="24"/>
              </w:rPr>
            </w:pPr>
            <w:r>
              <w:rPr>
                <w:rFonts w:hint="eastAsia" w:ascii="宋体" w:hAnsi="宋体" w:cs="宋体"/>
                <w:sz w:val="24"/>
              </w:rPr>
              <w:t>报价</w:t>
            </w:r>
          </w:p>
        </w:tc>
        <w:tc>
          <w:tcPr>
            <w:tcW w:w="7253" w:type="dxa"/>
            <w:noWrap w:val="0"/>
            <w:vAlign w:val="center"/>
          </w:tcPr>
          <w:p w14:paraId="1DC74771">
            <w:pPr>
              <w:jc w:val="left"/>
              <w:rPr>
                <w:rFonts w:hint="eastAsia" w:ascii="宋体" w:hAnsi="宋体" w:cs="宋体"/>
                <w:sz w:val="24"/>
              </w:rPr>
            </w:pPr>
            <w:r>
              <w:rPr>
                <w:rFonts w:hint="eastAsia" w:ascii="宋体" w:hAnsi="宋体" w:cs="宋体"/>
                <w:sz w:val="24"/>
              </w:rPr>
              <w:t>报价的特殊规定：</w:t>
            </w:r>
          </w:p>
          <w:p w14:paraId="73A40816">
            <w:pPr>
              <w:jc w:val="left"/>
              <w:rPr>
                <w:rFonts w:hint="eastAsia" w:ascii="宋体" w:hAnsi="宋体" w:cs="宋体"/>
                <w:sz w:val="24"/>
              </w:rPr>
            </w:pPr>
            <w:r>
              <w:rPr>
                <w:rFonts w:hint="eastAsia" w:ascii="宋体" w:hAnsi="宋体" w:cs="宋体"/>
                <w:b/>
                <w:color w:val="000000"/>
                <w:sz w:val="24"/>
              </w:rPr>
              <w:t>■</w:t>
            </w:r>
            <w:r>
              <w:rPr>
                <w:rFonts w:hint="eastAsia" w:ascii="宋体" w:hAnsi="宋体" w:cs="宋体"/>
                <w:sz w:val="24"/>
              </w:rPr>
              <w:t>无</w:t>
            </w:r>
          </w:p>
          <w:p w14:paraId="05ED2E45">
            <w:pPr>
              <w:jc w:val="left"/>
              <w:rPr>
                <w:rFonts w:hint="eastAsia" w:ascii="宋体" w:hAnsi="宋体" w:cs="宋体"/>
                <w:sz w:val="24"/>
              </w:rPr>
            </w:pPr>
            <w:r>
              <w:rPr>
                <w:rFonts w:hint="eastAsia" w:ascii="宋体" w:hAnsi="宋体" w:cs="宋体"/>
                <w:sz w:val="24"/>
              </w:rPr>
              <w:t>□有，具体情形：_____/______。</w:t>
            </w:r>
          </w:p>
        </w:tc>
      </w:tr>
      <w:tr w14:paraId="24DB5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35705D7F">
            <w:pPr>
              <w:pStyle w:val="25"/>
              <w:adjustRightInd w:val="0"/>
              <w:snapToGrid w:val="0"/>
              <w:jc w:val="center"/>
              <w:rPr>
                <w:rFonts w:hAnsi="宋体" w:cs="宋体"/>
                <w:sz w:val="24"/>
                <w:szCs w:val="24"/>
              </w:rPr>
            </w:pPr>
            <w:r>
              <w:rPr>
                <w:rFonts w:hAnsi="宋体" w:cs="宋体"/>
                <w:sz w:val="24"/>
                <w:szCs w:val="24"/>
              </w:rPr>
              <w:t>11.1</w:t>
            </w:r>
          </w:p>
        </w:tc>
        <w:tc>
          <w:tcPr>
            <w:tcW w:w="1701" w:type="dxa"/>
            <w:vMerge w:val="restart"/>
            <w:noWrap w:val="0"/>
            <w:vAlign w:val="center"/>
          </w:tcPr>
          <w:p w14:paraId="1B2C2F8D">
            <w:pPr>
              <w:jc w:val="center"/>
              <w:rPr>
                <w:rFonts w:hint="eastAsia" w:ascii="宋体" w:hAnsi="宋体" w:cs="宋体"/>
                <w:sz w:val="24"/>
              </w:rPr>
            </w:pPr>
            <w:r>
              <w:rPr>
                <w:rFonts w:hint="eastAsia" w:ascii="宋体" w:hAnsi="宋体" w:cs="宋体"/>
                <w:sz w:val="24"/>
              </w:rPr>
              <w:t>磋商保证金</w:t>
            </w:r>
          </w:p>
        </w:tc>
        <w:tc>
          <w:tcPr>
            <w:tcW w:w="7253" w:type="dxa"/>
            <w:noWrap w:val="0"/>
            <w:vAlign w:val="center"/>
          </w:tcPr>
          <w:p w14:paraId="048C6676">
            <w:pPr>
              <w:pStyle w:val="25"/>
              <w:adjustRightInd w:val="0"/>
              <w:snapToGrid w:val="0"/>
              <w:rPr>
                <w:rFonts w:hint="default" w:hAnsi="宋体" w:cs="宋体"/>
                <w:sz w:val="24"/>
                <w:szCs w:val="24"/>
              </w:rPr>
            </w:pPr>
            <w:r>
              <w:rPr>
                <w:rFonts w:hAnsi="宋体" w:cs="宋体"/>
                <w:sz w:val="24"/>
                <w:szCs w:val="24"/>
              </w:rPr>
              <w:t>磋商保证金金额：本项目不适用</w:t>
            </w:r>
          </w:p>
          <w:p w14:paraId="1311CAA9">
            <w:pPr>
              <w:widowControl/>
              <w:jc w:val="left"/>
              <w:rPr>
                <w:rFonts w:hint="eastAsia" w:ascii="宋体" w:hAnsi="宋体" w:cs="宋体"/>
                <w:sz w:val="24"/>
              </w:rPr>
            </w:pPr>
            <w:r>
              <w:rPr>
                <w:rFonts w:hint="eastAsia" w:ascii="宋体" w:hAnsi="宋体" w:cs="宋体"/>
                <w:sz w:val="24"/>
              </w:rPr>
              <w:t>磋商保证金收受人信息：</w:t>
            </w:r>
          </w:p>
          <w:p w14:paraId="18886448">
            <w:pPr>
              <w:widowControl/>
              <w:jc w:val="left"/>
              <w:rPr>
                <w:rFonts w:hint="eastAsia" w:ascii="宋体" w:hAnsi="宋体" w:cs="宋体"/>
              </w:rPr>
            </w:pPr>
            <w:r>
              <w:rPr>
                <w:rFonts w:hint="eastAsia" w:ascii="宋体" w:hAnsi="宋体" w:cs="宋体"/>
                <w:color w:val="000000"/>
                <w:kern w:val="0"/>
                <w:sz w:val="24"/>
                <w:lang w:bidi="ar"/>
              </w:rPr>
              <w:t xml:space="preserve">账户名称：中瑞博信项目管理集团有限公司 </w:t>
            </w:r>
          </w:p>
          <w:p w14:paraId="740812B9">
            <w:pPr>
              <w:widowControl/>
              <w:jc w:val="left"/>
              <w:rPr>
                <w:rFonts w:hint="eastAsia" w:ascii="宋体" w:hAnsi="宋体" w:cs="宋体"/>
              </w:rPr>
            </w:pPr>
            <w:r>
              <w:rPr>
                <w:rFonts w:hint="eastAsia" w:ascii="宋体" w:hAnsi="宋体" w:cs="宋体"/>
                <w:color w:val="000000"/>
                <w:kern w:val="0"/>
                <w:sz w:val="24"/>
                <w:lang w:bidi="ar"/>
              </w:rPr>
              <w:t xml:space="preserve">开户银行：北京农商银行中关村支行 </w:t>
            </w:r>
          </w:p>
          <w:p w14:paraId="3B591D2E">
            <w:pPr>
              <w:widowControl/>
              <w:jc w:val="left"/>
              <w:rPr>
                <w:rFonts w:ascii="宋体" w:hAnsi="宋体" w:cs="宋体"/>
                <w:sz w:val="24"/>
              </w:rPr>
            </w:pPr>
            <w:r>
              <w:rPr>
                <w:rFonts w:hint="eastAsia" w:ascii="宋体" w:hAnsi="宋体" w:cs="宋体"/>
                <w:color w:val="000000"/>
                <w:kern w:val="0"/>
                <w:sz w:val="24"/>
                <w:lang w:bidi="ar"/>
              </w:rPr>
              <w:t>账号：0413000103000072664</w:t>
            </w:r>
          </w:p>
        </w:tc>
      </w:tr>
      <w:tr w14:paraId="28293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7F1A5E4B">
            <w:pPr>
              <w:pStyle w:val="25"/>
              <w:adjustRightInd w:val="0"/>
              <w:snapToGrid w:val="0"/>
              <w:jc w:val="center"/>
              <w:rPr>
                <w:rFonts w:hAnsi="宋体" w:cs="宋体"/>
                <w:sz w:val="24"/>
                <w:szCs w:val="24"/>
              </w:rPr>
            </w:pPr>
            <w:r>
              <w:rPr>
                <w:rFonts w:hAnsi="宋体" w:cs="宋体"/>
                <w:sz w:val="24"/>
                <w:szCs w:val="24"/>
              </w:rPr>
              <w:t>11.7.5</w:t>
            </w:r>
          </w:p>
        </w:tc>
        <w:tc>
          <w:tcPr>
            <w:tcW w:w="1701" w:type="dxa"/>
            <w:vMerge w:val="continue"/>
            <w:noWrap w:val="0"/>
            <w:vAlign w:val="center"/>
          </w:tcPr>
          <w:p w14:paraId="642EFFA4">
            <w:pPr>
              <w:jc w:val="center"/>
              <w:rPr>
                <w:rFonts w:hint="eastAsia" w:ascii="宋体" w:hAnsi="宋体" w:cs="宋体"/>
                <w:sz w:val="24"/>
              </w:rPr>
            </w:pPr>
          </w:p>
        </w:tc>
        <w:tc>
          <w:tcPr>
            <w:tcW w:w="7253" w:type="dxa"/>
            <w:noWrap w:val="0"/>
            <w:vAlign w:val="center"/>
          </w:tcPr>
          <w:p w14:paraId="38B9BC8E">
            <w:pPr>
              <w:jc w:val="left"/>
              <w:rPr>
                <w:rFonts w:hint="eastAsia" w:ascii="宋体" w:hAnsi="宋体" w:cs="宋体"/>
                <w:sz w:val="24"/>
              </w:rPr>
            </w:pPr>
            <w:r>
              <w:rPr>
                <w:rFonts w:hint="eastAsia" w:ascii="宋体" w:hAnsi="宋体" w:cs="宋体"/>
                <w:sz w:val="24"/>
              </w:rPr>
              <w:t>磋商保证金不予退还的其他情形：</w:t>
            </w:r>
          </w:p>
          <w:p w14:paraId="2D99733E">
            <w:pPr>
              <w:jc w:val="left"/>
              <w:rPr>
                <w:rFonts w:hint="eastAsia" w:ascii="宋体" w:hAnsi="宋体" w:cs="宋体"/>
                <w:sz w:val="24"/>
              </w:rPr>
            </w:pPr>
            <w:r>
              <w:rPr>
                <w:rFonts w:hint="eastAsia" w:ascii="宋体" w:hAnsi="宋体" w:cs="宋体"/>
                <w:sz w:val="24"/>
              </w:rPr>
              <w:t>□无</w:t>
            </w:r>
          </w:p>
          <w:p w14:paraId="21B2EF54">
            <w:pPr>
              <w:pStyle w:val="25"/>
              <w:adjustRightInd w:val="0"/>
              <w:snapToGrid w:val="0"/>
              <w:rPr>
                <w:rFonts w:hAnsi="宋体" w:cs="宋体"/>
                <w:sz w:val="24"/>
                <w:szCs w:val="24"/>
              </w:rPr>
            </w:pPr>
            <w:r>
              <w:rPr>
                <w:rFonts w:hAnsi="宋体" w:cs="宋体"/>
                <w:b/>
                <w:color w:val="000000"/>
                <w:sz w:val="24"/>
              </w:rPr>
              <w:t>■</w:t>
            </w:r>
            <w:r>
              <w:rPr>
                <w:rFonts w:hAnsi="宋体" w:cs="宋体"/>
                <w:sz w:val="24"/>
              </w:rPr>
              <w:t>有，具体情形：根据第二章供应商须知的11.7条款规定；</w:t>
            </w:r>
          </w:p>
        </w:tc>
      </w:tr>
      <w:tr w14:paraId="301C1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3FDD9742">
            <w:pPr>
              <w:pStyle w:val="25"/>
              <w:adjustRightInd w:val="0"/>
              <w:snapToGrid w:val="0"/>
              <w:jc w:val="center"/>
              <w:rPr>
                <w:rFonts w:hAnsi="宋体" w:cs="宋体"/>
                <w:sz w:val="24"/>
                <w:szCs w:val="24"/>
              </w:rPr>
            </w:pPr>
            <w:r>
              <w:rPr>
                <w:rFonts w:hAnsi="宋体" w:cs="宋体"/>
                <w:sz w:val="24"/>
                <w:szCs w:val="24"/>
              </w:rPr>
              <w:t>12.1</w:t>
            </w:r>
          </w:p>
        </w:tc>
        <w:tc>
          <w:tcPr>
            <w:tcW w:w="1701" w:type="dxa"/>
            <w:noWrap w:val="0"/>
            <w:vAlign w:val="center"/>
          </w:tcPr>
          <w:p w14:paraId="45217D96">
            <w:pPr>
              <w:jc w:val="center"/>
              <w:rPr>
                <w:rFonts w:hint="eastAsia" w:ascii="宋体" w:hAnsi="宋体" w:cs="宋体"/>
                <w:sz w:val="24"/>
              </w:rPr>
            </w:pPr>
            <w:r>
              <w:rPr>
                <w:rFonts w:hint="eastAsia" w:ascii="宋体" w:hAnsi="宋体" w:cs="宋体"/>
                <w:sz w:val="24"/>
              </w:rPr>
              <w:t>响应有效期</w:t>
            </w:r>
          </w:p>
        </w:tc>
        <w:tc>
          <w:tcPr>
            <w:tcW w:w="7253" w:type="dxa"/>
            <w:noWrap w:val="0"/>
            <w:vAlign w:val="center"/>
          </w:tcPr>
          <w:p w14:paraId="16AD689D">
            <w:pPr>
              <w:jc w:val="left"/>
              <w:rPr>
                <w:rFonts w:hint="eastAsia" w:ascii="宋体" w:hAnsi="宋体" w:cs="宋体"/>
                <w:sz w:val="24"/>
              </w:rPr>
            </w:pPr>
            <w:r>
              <w:rPr>
                <w:rFonts w:hint="eastAsia" w:ascii="宋体" w:hAnsi="宋体" w:cs="宋体"/>
                <w:sz w:val="24"/>
              </w:rPr>
              <w:t>自提交响应文件的截止之日起算90日历天。</w:t>
            </w:r>
          </w:p>
        </w:tc>
      </w:tr>
      <w:tr w14:paraId="4E2EA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48F855D0">
            <w:pPr>
              <w:pStyle w:val="25"/>
              <w:adjustRightInd w:val="0"/>
              <w:snapToGrid w:val="0"/>
              <w:jc w:val="center"/>
              <w:rPr>
                <w:rFonts w:hAnsi="宋体" w:cs="宋体"/>
                <w:sz w:val="24"/>
                <w:szCs w:val="24"/>
              </w:rPr>
            </w:pPr>
            <w:r>
              <w:rPr>
                <w:rFonts w:hAnsi="宋体" w:cs="宋体"/>
                <w:sz w:val="24"/>
                <w:szCs w:val="24"/>
              </w:rPr>
              <w:t>20.1</w:t>
            </w:r>
          </w:p>
        </w:tc>
        <w:tc>
          <w:tcPr>
            <w:tcW w:w="1701" w:type="dxa"/>
            <w:noWrap w:val="0"/>
            <w:vAlign w:val="center"/>
          </w:tcPr>
          <w:p w14:paraId="3882AD2B">
            <w:pPr>
              <w:jc w:val="center"/>
              <w:rPr>
                <w:rFonts w:hint="eastAsia" w:ascii="宋体" w:hAnsi="宋体" w:cs="宋体"/>
                <w:sz w:val="24"/>
              </w:rPr>
            </w:pPr>
            <w:r>
              <w:rPr>
                <w:rFonts w:hint="eastAsia" w:ascii="宋体" w:hAnsi="宋体" w:cs="宋体"/>
                <w:sz w:val="24"/>
              </w:rPr>
              <w:t>确定成交供应商</w:t>
            </w:r>
          </w:p>
        </w:tc>
        <w:tc>
          <w:tcPr>
            <w:tcW w:w="7253" w:type="dxa"/>
            <w:noWrap w:val="0"/>
            <w:vAlign w:val="center"/>
          </w:tcPr>
          <w:p w14:paraId="649205B2">
            <w:pPr>
              <w:pStyle w:val="25"/>
              <w:adjustRightInd w:val="0"/>
              <w:snapToGrid w:val="0"/>
              <w:rPr>
                <w:rFonts w:hAnsi="宋体" w:cs="宋体"/>
                <w:sz w:val="24"/>
              </w:rPr>
            </w:pPr>
            <w:r>
              <w:rPr>
                <w:rFonts w:hAnsi="宋体" w:cs="宋体"/>
                <w:sz w:val="24"/>
              </w:rPr>
              <w:t>采购人是否</w:t>
            </w:r>
            <w:r>
              <w:rPr>
                <w:rFonts w:hAnsi="宋体" w:cs="宋体"/>
                <w:color w:val="000000"/>
                <w:sz w:val="24"/>
              </w:rPr>
              <w:t>授权磋商小组直接确定成交供应商</w:t>
            </w:r>
            <w:r>
              <w:rPr>
                <w:rFonts w:hAnsi="宋体" w:cs="宋体"/>
                <w:sz w:val="24"/>
              </w:rPr>
              <w:t>：</w:t>
            </w:r>
          </w:p>
          <w:p w14:paraId="1849145D">
            <w:pPr>
              <w:pStyle w:val="25"/>
              <w:adjustRightInd w:val="0"/>
              <w:snapToGrid w:val="0"/>
              <w:rPr>
                <w:rFonts w:hAnsi="宋体" w:cs="宋体"/>
                <w:sz w:val="24"/>
              </w:rPr>
            </w:pPr>
            <w:r>
              <w:rPr>
                <w:rFonts w:hAnsi="宋体" w:cs="宋体"/>
                <w:b/>
                <w:color w:val="000000"/>
                <w:sz w:val="24"/>
              </w:rPr>
              <w:t>■</w:t>
            </w:r>
            <w:r>
              <w:rPr>
                <w:rFonts w:hAnsi="宋体" w:cs="宋体"/>
                <w:sz w:val="24"/>
              </w:rPr>
              <w:t>否</w:t>
            </w:r>
          </w:p>
          <w:p w14:paraId="2A532626">
            <w:pPr>
              <w:jc w:val="left"/>
              <w:rPr>
                <w:rFonts w:hint="eastAsia" w:ascii="宋体" w:hAnsi="宋体" w:cs="宋体"/>
                <w:sz w:val="24"/>
              </w:rPr>
            </w:pPr>
            <w:r>
              <w:rPr>
                <w:rFonts w:hint="eastAsia" w:ascii="宋体" w:hAnsi="宋体" w:cs="宋体"/>
                <w:sz w:val="24"/>
              </w:rPr>
              <w:t>□是</w:t>
            </w:r>
          </w:p>
          <w:p w14:paraId="114A5E24">
            <w:pPr>
              <w:widowControl/>
              <w:jc w:val="left"/>
              <w:rPr>
                <w:rFonts w:hint="eastAsia" w:ascii="宋体" w:hAnsi="宋体" w:cs="宋体"/>
                <w:u w:val="single"/>
              </w:rPr>
            </w:pPr>
            <w:r>
              <w:rPr>
                <w:rFonts w:hint="eastAsia" w:ascii="宋体" w:hAnsi="宋体" w:cs="宋体"/>
                <w:sz w:val="24"/>
              </w:rPr>
              <w:t>成交候选人并列的，按照以下方式确定成交供应商：</w:t>
            </w:r>
            <w:r>
              <w:rPr>
                <w:rFonts w:hint="eastAsia" w:ascii="宋体" w:hAnsi="宋体" w:cs="宋体"/>
                <w:color w:val="000000"/>
                <w:kern w:val="0"/>
                <w:sz w:val="24"/>
                <w:u w:val="single"/>
                <w:lang w:bidi="ar"/>
              </w:rPr>
              <w:t>按照最后报价</w:t>
            </w:r>
          </w:p>
          <w:p w14:paraId="17C6AB19">
            <w:pPr>
              <w:jc w:val="left"/>
              <w:rPr>
                <w:rFonts w:hint="eastAsia" w:ascii="宋体" w:hAnsi="宋体" w:cs="宋体"/>
                <w:sz w:val="24"/>
                <w:u w:val="single"/>
              </w:rPr>
            </w:pPr>
            <w:r>
              <w:rPr>
                <w:rFonts w:hint="eastAsia" w:ascii="宋体" w:hAnsi="宋体" w:cs="宋体"/>
                <w:sz w:val="24"/>
                <w:u w:val="single"/>
              </w:rPr>
              <w:t xml:space="preserve">由低到高的顺序推荐。评审得分且最后报价相同的，按照技术指标 </w:t>
            </w:r>
          </w:p>
          <w:p w14:paraId="2844C998">
            <w:pPr>
              <w:jc w:val="left"/>
              <w:rPr>
                <w:rFonts w:hint="eastAsia" w:ascii="宋体" w:hAnsi="宋体" w:cs="宋体"/>
                <w:sz w:val="24"/>
                <w:u w:val="single"/>
              </w:rPr>
            </w:pPr>
            <w:r>
              <w:rPr>
                <w:rFonts w:hint="eastAsia" w:ascii="宋体" w:hAnsi="宋体" w:cs="宋体"/>
                <w:sz w:val="24"/>
                <w:u w:val="single"/>
              </w:rPr>
              <w:t xml:space="preserve">优劣顺序推荐。 </w:t>
            </w:r>
          </w:p>
        </w:tc>
      </w:tr>
      <w:tr w14:paraId="00CBB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054961B8">
            <w:pPr>
              <w:pStyle w:val="25"/>
              <w:adjustRightInd w:val="0"/>
              <w:snapToGrid w:val="0"/>
              <w:jc w:val="center"/>
              <w:rPr>
                <w:rFonts w:hAnsi="宋体" w:cs="宋体"/>
                <w:sz w:val="24"/>
                <w:szCs w:val="24"/>
              </w:rPr>
            </w:pPr>
            <w:r>
              <w:rPr>
                <w:rFonts w:hAnsi="宋体" w:cs="宋体"/>
                <w:sz w:val="24"/>
                <w:szCs w:val="24"/>
              </w:rPr>
              <w:t>23.5</w:t>
            </w:r>
          </w:p>
        </w:tc>
        <w:tc>
          <w:tcPr>
            <w:tcW w:w="1701" w:type="dxa"/>
            <w:noWrap w:val="0"/>
            <w:vAlign w:val="center"/>
          </w:tcPr>
          <w:p w14:paraId="5272213C">
            <w:pPr>
              <w:jc w:val="center"/>
              <w:rPr>
                <w:sz w:val="24"/>
              </w:rPr>
            </w:pPr>
            <w:r>
              <w:rPr>
                <w:sz w:val="24"/>
              </w:rPr>
              <w:t>分包</w:t>
            </w:r>
          </w:p>
        </w:tc>
        <w:tc>
          <w:tcPr>
            <w:tcW w:w="7253" w:type="dxa"/>
            <w:noWrap w:val="0"/>
            <w:vAlign w:val="center"/>
          </w:tcPr>
          <w:p w14:paraId="1C1032AF">
            <w:pPr>
              <w:jc w:val="left"/>
              <w:rPr>
                <w:sz w:val="24"/>
              </w:rPr>
            </w:pPr>
            <w:r>
              <w:rPr>
                <w:sz w:val="24"/>
              </w:rPr>
              <w:t xml:space="preserve">本项目是否允许分包： </w:t>
            </w:r>
          </w:p>
          <w:p w14:paraId="27284211">
            <w:pPr>
              <w:jc w:val="left"/>
              <w:rPr>
                <w:sz w:val="24"/>
              </w:rPr>
            </w:pPr>
            <w:r>
              <w:rPr>
                <w:rFonts w:hint="eastAsia" w:ascii="宋体" w:hAnsi="宋体" w:cs="宋体"/>
                <w:b/>
                <w:color w:val="000000"/>
                <w:sz w:val="24"/>
              </w:rPr>
              <w:t>■</w:t>
            </w:r>
            <w:r>
              <w:rPr>
                <w:sz w:val="24"/>
              </w:rPr>
              <w:t>不允许</w:t>
            </w:r>
          </w:p>
          <w:p w14:paraId="2A86C734">
            <w:pPr>
              <w:jc w:val="left"/>
              <w:rPr>
                <w:sz w:val="24"/>
              </w:rPr>
            </w:pPr>
            <w:r>
              <w:rPr>
                <w:rFonts w:hint="eastAsia" w:ascii="宋体" w:hAnsi="宋体" w:cs="宋体"/>
                <w:sz w:val="24"/>
              </w:rPr>
              <w:t>□</w:t>
            </w:r>
            <w:r>
              <w:rPr>
                <w:sz w:val="24"/>
              </w:rPr>
              <w:t>允许，具体要求：_______。</w:t>
            </w:r>
          </w:p>
          <w:p w14:paraId="14188C64">
            <w:pPr>
              <w:jc w:val="left"/>
              <w:rPr>
                <w:sz w:val="24"/>
              </w:rPr>
            </w:pPr>
            <w:r>
              <w:rPr>
                <w:sz w:val="24"/>
              </w:rPr>
              <w:t>（1）可以分包履行的具体内容：_______；</w:t>
            </w:r>
          </w:p>
          <w:p w14:paraId="5A03A757">
            <w:pPr>
              <w:jc w:val="left"/>
              <w:rPr>
                <w:sz w:val="24"/>
              </w:rPr>
            </w:pPr>
            <w:r>
              <w:rPr>
                <w:sz w:val="24"/>
              </w:rPr>
              <w:t>（2）允许分包的金额或者比例：_______；</w:t>
            </w:r>
          </w:p>
          <w:p w14:paraId="5E8E10D6">
            <w:pPr>
              <w:jc w:val="left"/>
              <w:rPr>
                <w:sz w:val="24"/>
                <w:u w:val="single"/>
              </w:rPr>
            </w:pPr>
            <w:r>
              <w:rPr>
                <w:sz w:val="24"/>
              </w:rPr>
              <w:t>（3）其他要求：_______。</w:t>
            </w:r>
          </w:p>
        </w:tc>
      </w:tr>
      <w:tr w14:paraId="2B893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3795785C">
            <w:pPr>
              <w:pStyle w:val="25"/>
              <w:adjustRightInd w:val="0"/>
              <w:snapToGrid w:val="0"/>
              <w:jc w:val="center"/>
              <w:rPr>
                <w:rFonts w:hAnsi="宋体" w:cs="宋体"/>
                <w:sz w:val="24"/>
                <w:szCs w:val="24"/>
              </w:rPr>
            </w:pPr>
            <w:r>
              <w:rPr>
                <w:rFonts w:hAnsi="宋体" w:cs="宋体"/>
                <w:sz w:val="24"/>
                <w:szCs w:val="24"/>
              </w:rPr>
              <w:t>24.1.1</w:t>
            </w:r>
          </w:p>
        </w:tc>
        <w:tc>
          <w:tcPr>
            <w:tcW w:w="1701" w:type="dxa"/>
            <w:noWrap w:val="0"/>
            <w:vAlign w:val="center"/>
          </w:tcPr>
          <w:p w14:paraId="3882F4D6">
            <w:pPr>
              <w:jc w:val="center"/>
              <w:rPr>
                <w:sz w:val="24"/>
              </w:rPr>
            </w:pPr>
            <w:r>
              <w:rPr>
                <w:sz w:val="24"/>
              </w:rPr>
              <w:t>询问</w:t>
            </w:r>
          </w:p>
        </w:tc>
        <w:tc>
          <w:tcPr>
            <w:tcW w:w="7253" w:type="dxa"/>
            <w:noWrap w:val="0"/>
            <w:vAlign w:val="center"/>
          </w:tcPr>
          <w:p w14:paraId="5C992CEF">
            <w:pPr>
              <w:widowControl/>
              <w:wordWrap w:val="0"/>
              <w:jc w:val="left"/>
            </w:pPr>
            <w:r>
              <w:rPr>
                <w:sz w:val="24"/>
              </w:rPr>
              <w:t>询问送达形式：</w:t>
            </w:r>
            <w:r>
              <w:rPr>
                <w:rFonts w:hint="eastAsia" w:ascii="宋体" w:hAnsi="宋体" w:cs="宋体"/>
                <w:color w:val="000000"/>
                <w:kern w:val="0"/>
                <w:sz w:val="24"/>
                <w:lang w:bidi="ar"/>
              </w:rPr>
              <w:t xml:space="preserve">以书面、传真或邮件（扫描原件）的形式送至北京 </w:t>
            </w:r>
          </w:p>
          <w:p w14:paraId="26CCCBBB">
            <w:pPr>
              <w:widowControl/>
              <w:wordWrap w:val="0"/>
              <w:jc w:val="left"/>
              <w:rPr>
                <w:sz w:val="24"/>
              </w:rPr>
            </w:pPr>
            <w:r>
              <w:rPr>
                <w:rFonts w:hint="eastAsia" w:ascii="宋体" w:hAnsi="宋体" w:cs="宋体"/>
                <w:color w:val="000000"/>
                <w:kern w:val="0"/>
                <w:sz w:val="24"/>
                <w:lang w:bidi="ar"/>
              </w:rPr>
              <w:t>市昌平区龙祥制版集团工业园2号院1号楼2-202，电子邮箱：55990513@1qq.com</w:t>
            </w:r>
          </w:p>
        </w:tc>
      </w:tr>
      <w:tr w14:paraId="44AF8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28970393">
            <w:pPr>
              <w:pStyle w:val="25"/>
              <w:adjustRightInd w:val="0"/>
              <w:snapToGrid w:val="0"/>
              <w:jc w:val="center"/>
              <w:rPr>
                <w:rFonts w:hAnsi="宋体" w:cs="宋体"/>
                <w:sz w:val="24"/>
                <w:szCs w:val="24"/>
              </w:rPr>
            </w:pPr>
            <w:r>
              <w:rPr>
                <w:rFonts w:hAnsi="宋体" w:cs="宋体"/>
                <w:sz w:val="24"/>
                <w:szCs w:val="24"/>
              </w:rPr>
              <w:t>24.3</w:t>
            </w:r>
          </w:p>
        </w:tc>
        <w:tc>
          <w:tcPr>
            <w:tcW w:w="1701" w:type="dxa"/>
            <w:noWrap w:val="0"/>
            <w:vAlign w:val="center"/>
          </w:tcPr>
          <w:p w14:paraId="4083D6FF">
            <w:pPr>
              <w:jc w:val="center"/>
              <w:rPr>
                <w:sz w:val="24"/>
              </w:rPr>
            </w:pPr>
            <w:r>
              <w:rPr>
                <w:sz w:val="24"/>
              </w:rPr>
              <w:t>联系方式</w:t>
            </w:r>
          </w:p>
        </w:tc>
        <w:tc>
          <w:tcPr>
            <w:tcW w:w="7253" w:type="dxa"/>
            <w:noWrap w:val="0"/>
            <w:vAlign w:val="center"/>
          </w:tcPr>
          <w:p w14:paraId="06199CD2">
            <w:pPr>
              <w:jc w:val="left"/>
              <w:rPr>
                <w:sz w:val="24"/>
              </w:rPr>
            </w:pPr>
            <w:r>
              <w:rPr>
                <w:sz w:val="24"/>
              </w:rPr>
              <w:t>接收询问和质疑的联系方式</w:t>
            </w:r>
          </w:p>
          <w:p w14:paraId="38D05E7E">
            <w:pPr>
              <w:jc w:val="left"/>
              <w:rPr>
                <w:sz w:val="24"/>
              </w:rPr>
            </w:pPr>
            <w:r>
              <w:rPr>
                <w:sz w:val="24"/>
              </w:rPr>
              <w:t>联系部门：</w:t>
            </w:r>
            <w:r>
              <w:rPr>
                <w:rFonts w:hint="eastAsia"/>
                <w:sz w:val="24"/>
              </w:rPr>
              <w:t>业务部</w:t>
            </w:r>
            <w:r>
              <w:rPr>
                <w:sz w:val="24"/>
              </w:rPr>
              <w:t>；</w:t>
            </w:r>
          </w:p>
          <w:p w14:paraId="1C91473B">
            <w:pPr>
              <w:jc w:val="left"/>
              <w:rPr>
                <w:sz w:val="24"/>
              </w:rPr>
            </w:pPr>
            <w:r>
              <w:rPr>
                <w:rFonts w:hint="eastAsia"/>
                <w:sz w:val="24"/>
              </w:rPr>
              <w:t>联系人：</w:t>
            </w:r>
            <w:r>
              <w:rPr>
                <w:rFonts w:hint="eastAsia" w:ascii="宋体" w:hAnsi="宋体" w:cs="宋体"/>
                <w:sz w:val="24"/>
              </w:rPr>
              <w:t>李经理、张工</w:t>
            </w:r>
          </w:p>
          <w:p w14:paraId="7D5C9103">
            <w:pPr>
              <w:jc w:val="left"/>
              <w:rPr>
                <w:sz w:val="24"/>
              </w:rPr>
            </w:pPr>
            <w:r>
              <w:rPr>
                <w:sz w:val="24"/>
              </w:rPr>
              <w:t>联系电话：</w:t>
            </w:r>
            <w:r>
              <w:rPr>
                <w:rFonts w:hint="eastAsia" w:ascii="宋体" w:hAnsi="宋体" w:cs="宋体"/>
                <w:sz w:val="24"/>
              </w:rPr>
              <w:t>010-80792752</w:t>
            </w:r>
            <w:r>
              <w:rPr>
                <w:sz w:val="24"/>
              </w:rPr>
              <w:t>；</w:t>
            </w:r>
          </w:p>
          <w:p w14:paraId="4BEC47C5">
            <w:pPr>
              <w:widowControl/>
              <w:wordWrap w:val="0"/>
              <w:jc w:val="left"/>
              <w:rPr>
                <w:rFonts w:hint="eastAsia"/>
                <w:sz w:val="24"/>
              </w:rPr>
            </w:pPr>
            <w:r>
              <w:rPr>
                <w:sz w:val="24"/>
              </w:rPr>
              <w:t>通讯地址：</w:t>
            </w:r>
            <w:r>
              <w:rPr>
                <w:rFonts w:hint="eastAsia" w:ascii="宋体" w:hAnsi="宋体" w:cs="宋体"/>
                <w:color w:val="000000"/>
                <w:kern w:val="0"/>
                <w:sz w:val="24"/>
                <w:lang w:bidi="ar"/>
              </w:rPr>
              <w:t xml:space="preserve">北京市昌平区龙祥制版集团工业园2号院1号楼2-202 </w:t>
            </w:r>
          </w:p>
        </w:tc>
      </w:tr>
      <w:tr w14:paraId="17121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7987E032">
            <w:pPr>
              <w:pStyle w:val="25"/>
              <w:adjustRightInd w:val="0"/>
              <w:snapToGrid w:val="0"/>
              <w:jc w:val="center"/>
              <w:rPr>
                <w:rFonts w:hAnsi="宋体" w:cs="宋体"/>
                <w:sz w:val="24"/>
                <w:szCs w:val="24"/>
              </w:rPr>
            </w:pPr>
            <w:r>
              <w:rPr>
                <w:rFonts w:hAnsi="宋体" w:cs="宋体"/>
                <w:sz w:val="24"/>
                <w:szCs w:val="24"/>
              </w:rPr>
              <w:t>25</w:t>
            </w:r>
          </w:p>
        </w:tc>
        <w:tc>
          <w:tcPr>
            <w:tcW w:w="1701" w:type="dxa"/>
            <w:noWrap w:val="0"/>
            <w:vAlign w:val="center"/>
          </w:tcPr>
          <w:p w14:paraId="1971B277">
            <w:pPr>
              <w:jc w:val="center"/>
              <w:rPr>
                <w:sz w:val="24"/>
              </w:rPr>
            </w:pPr>
            <w:r>
              <w:rPr>
                <w:sz w:val="24"/>
              </w:rPr>
              <w:t>代理费</w:t>
            </w:r>
          </w:p>
        </w:tc>
        <w:tc>
          <w:tcPr>
            <w:tcW w:w="7253" w:type="dxa"/>
            <w:noWrap w:val="0"/>
            <w:vAlign w:val="center"/>
          </w:tcPr>
          <w:p w14:paraId="0D84532C">
            <w:pPr>
              <w:jc w:val="left"/>
              <w:rPr>
                <w:sz w:val="24"/>
              </w:rPr>
            </w:pPr>
            <w:r>
              <w:rPr>
                <w:sz w:val="24"/>
              </w:rPr>
              <w:t>收费对象：</w:t>
            </w:r>
          </w:p>
          <w:p w14:paraId="05B0646D">
            <w:pPr>
              <w:jc w:val="left"/>
              <w:rPr>
                <w:sz w:val="24"/>
              </w:rPr>
            </w:pPr>
            <w:r>
              <w:rPr>
                <w:rFonts w:hint="eastAsia" w:ascii="宋体" w:hAnsi="宋体" w:cs="宋体"/>
                <w:b/>
                <w:color w:val="000000"/>
                <w:sz w:val="24"/>
              </w:rPr>
              <w:t>■</w:t>
            </w:r>
            <w:r>
              <w:rPr>
                <w:sz w:val="24"/>
              </w:rPr>
              <w:t>采购人</w:t>
            </w:r>
          </w:p>
          <w:p w14:paraId="31A0CC9A">
            <w:pPr>
              <w:jc w:val="left"/>
              <w:rPr>
                <w:sz w:val="24"/>
              </w:rPr>
            </w:pPr>
            <w:r>
              <w:rPr>
                <w:rFonts w:hint="eastAsia" w:ascii="宋体" w:hAnsi="宋体" w:cs="宋体"/>
                <w:sz w:val="24"/>
              </w:rPr>
              <w:t>□</w:t>
            </w:r>
            <w:r>
              <w:rPr>
                <w:sz w:val="24"/>
              </w:rPr>
              <w:t>成交供应商</w:t>
            </w:r>
          </w:p>
          <w:p w14:paraId="23144A5C">
            <w:pPr>
              <w:widowControl/>
              <w:jc w:val="left"/>
              <w:rPr>
                <w:sz w:val="24"/>
              </w:rPr>
            </w:pPr>
            <w:r>
              <w:rPr>
                <w:sz w:val="24"/>
              </w:rPr>
              <w:t>收费标准：</w:t>
            </w:r>
            <w:r>
              <w:rPr>
                <w:rFonts w:hint="eastAsia" w:ascii="宋体" w:hAnsi="宋体" w:cs="宋体"/>
                <w:sz w:val="24"/>
              </w:rPr>
              <w:t>按照固定金额收取；</w:t>
            </w:r>
          </w:p>
        </w:tc>
      </w:tr>
    </w:tbl>
    <w:p w14:paraId="6495B6DF">
      <w:pPr>
        <w:tabs>
          <w:tab w:val="left" w:pos="5580"/>
        </w:tabs>
        <w:adjustRightInd w:val="0"/>
        <w:spacing w:line="360" w:lineRule="auto"/>
        <w:jc w:val="distribute"/>
        <w:rPr>
          <w:sz w:val="24"/>
        </w:rPr>
        <w:sectPr>
          <w:footerReference r:id="rId7" w:type="first"/>
          <w:footerReference r:id="rId6" w:type="default"/>
          <w:pgSz w:w="11907" w:h="16840"/>
          <w:pgMar w:top="1440" w:right="1196" w:bottom="1440" w:left="1196" w:header="851" w:footer="851" w:gutter="0"/>
          <w:pgNumType w:start="1"/>
          <w:cols w:space="720" w:num="1"/>
          <w:titlePg/>
          <w:docGrid w:linePitch="462" w:charSpace="0"/>
        </w:sectPr>
      </w:pPr>
    </w:p>
    <w:p w14:paraId="7C7BEABF">
      <w:pPr>
        <w:spacing w:before="240" w:beforeLines="100" w:after="240" w:afterLines="100"/>
        <w:jc w:val="center"/>
        <w:rPr>
          <w:b/>
          <w:sz w:val="28"/>
          <w:szCs w:val="28"/>
        </w:rPr>
      </w:pPr>
      <w:r>
        <w:rPr>
          <w:b/>
          <w:sz w:val="28"/>
          <w:szCs w:val="28"/>
        </w:rPr>
        <w:t>供应商须知</w:t>
      </w:r>
    </w:p>
    <w:p w14:paraId="643ACFF0">
      <w:pPr>
        <w:pStyle w:val="6"/>
        <w:tabs>
          <w:tab w:val="center" w:pos="4592"/>
          <w:tab w:val="left" w:pos="7860"/>
        </w:tabs>
        <w:spacing w:before="0" w:line="360" w:lineRule="auto"/>
        <w:jc w:val="left"/>
        <w:rPr>
          <w:rFonts w:ascii="Times New Roman" w:hAnsi="Times New Roman" w:eastAsia="宋体"/>
          <w:sz w:val="28"/>
        </w:rPr>
      </w:pPr>
      <w:bookmarkStart w:id="72" w:name="_Toc520356143"/>
      <w:bookmarkStart w:id="73" w:name="_Toc127151518"/>
      <w:r>
        <w:rPr>
          <w:rFonts w:ascii="Times New Roman" w:hAnsi="Times New Roman" w:eastAsia="宋体"/>
          <w:sz w:val="28"/>
        </w:rPr>
        <w:tab/>
      </w:r>
      <w:bookmarkStart w:id="74" w:name="_Toc150774723"/>
      <w:bookmarkStart w:id="75" w:name="_Toc150774618"/>
      <w:bookmarkStart w:id="76" w:name="_Toc305158786"/>
      <w:bookmarkStart w:id="77" w:name="_Toc151193616"/>
      <w:bookmarkStart w:id="78" w:name="_Toc150509269"/>
      <w:bookmarkStart w:id="79" w:name="_Toc142311020"/>
      <w:bookmarkStart w:id="80" w:name="_Toc151193906"/>
      <w:bookmarkStart w:id="81" w:name="_Toc151193760"/>
      <w:bookmarkStart w:id="82" w:name="_Toc150480756"/>
      <w:bookmarkStart w:id="83" w:name="_Toc264969208"/>
      <w:bookmarkStart w:id="84" w:name="_Toc305158860"/>
      <w:bookmarkStart w:id="85" w:name="_Toc151193832"/>
      <w:bookmarkStart w:id="86" w:name="_Toc151193688"/>
      <w:bookmarkStart w:id="87" w:name="_Toc226337214"/>
      <w:bookmarkStart w:id="88" w:name="_Toc226309762"/>
      <w:bookmarkStart w:id="89" w:name="_Toc151190145"/>
      <w:bookmarkStart w:id="90" w:name="_Toc265228356"/>
      <w:bookmarkStart w:id="91" w:name="_Toc226965791"/>
      <w:bookmarkStart w:id="92" w:name="_Toc195842883"/>
      <w:bookmarkStart w:id="93" w:name="_Toc226965708"/>
      <w:r>
        <w:rPr>
          <w:rFonts w:ascii="Times New Roman" w:hAnsi="Times New Roman" w:eastAsia="宋体"/>
          <w:sz w:val="28"/>
        </w:rPr>
        <w:t>一   说  明</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Pr>
          <w:rFonts w:ascii="Times New Roman" w:hAnsi="Times New Roman" w:eastAsia="宋体"/>
          <w:sz w:val="28"/>
        </w:rPr>
        <w:tab/>
      </w:r>
    </w:p>
    <w:p w14:paraId="3E0FFBFA">
      <w:pPr>
        <w:snapToGrid w:val="0"/>
        <w:spacing w:line="360" w:lineRule="auto"/>
        <w:outlineLvl w:val="1"/>
        <w:rPr>
          <w:sz w:val="24"/>
        </w:rPr>
      </w:pPr>
      <w:bookmarkStart w:id="94" w:name="_Toc265228357"/>
      <w:bookmarkStart w:id="95" w:name="_Toc305158787"/>
      <w:bookmarkStart w:id="96" w:name="_Toc264969209"/>
      <w:bookmarkStart w:id="97" w:name="_Toc305158861"/>
      <w:r>
        <w:rPr>
          <w:sz w:val="24"/>
        </w:rPr>
        <w:t>采购人、采购代理机构、供应商</w:t>
      </w:r>
      <w:bookmarkEnd w:id="94"/>
      <w:bookmarkEnd w:id="95"/>
      <w:bookmarkEnd w:id="96"/>
      <w:bookmarkEnd w:id="97"/>
      <w:r>
        <w:rPr>
          <w:sz w:val="24"/>
        </w:rPr>
        <w:t>、联合体</w:t>
      </w:r>
    </w:p>
    <w:p w14:paraId="182A04C0">
      <w:pPr>
        <w:tabs>
          <w:tab w:val="left" w:pos="1080"/>
          <w:tab w:val="left" w:pos="2014"/>
          <w:tab w:val="left" w:pos="5521"/>
        </w:tabs>
        <w:snapToGrid w:val="0"/>
        <w:spacing w:line="360" w:lineRule="auto"/>
        <w:rPr>
          <w:sz w:val="24"/>
        </w:rPr>
      </w:pPr>
      <w:r>
        <w:rPr>
          <w:sz w:val="24"/>
        </w:rPr>
        <w:t>采购人、采购代理机构：指依法进行政府采购的国家机关、事业单位、团体组织，及其委托的采购代理机构。本项目采购人、采购代理机构见第一章《采购邀请》。</w:t>
      </w:r>
    </w:p>
    <w:p w14:paraId="7102DB46">
      <w:pPr>
        <w:tabs>
          <w:tab w:val="left" w:pos="1080"/>
          <w:tab w:val="left" w:pos="2014"/>
          <w:tab w:val="left" w:pos="5521"/>
        </w:tabs>
        <w:snapToGrid w:val="0"/>
        <w:spacing w:line="360" w:lineRule="auto"/>
        <w:rPr>
          <w:sz w:val="24"/>
        </w:rPr>
      </w:pPr>
      <w:r>
        <w:rPr>
          <w:sz w:val="24"/>
        </w:rPr>
        <w:t>供应商（也称“申请人”）：指向采购人提供货物、工程或者服务的法人、其他组织或者自然人。</w:t>
      </w:r>
    </w:p>
    <w:p w14:paraId="67FF9395">
      <w:pPr>
        <w:tabs>
          <w:tab w:val="left" w:pos="1080"/>
          <w:tab w:val="left" w:pos="2014"/>
          <w:tab w:val="left" w:pos="5521"/>
        </w:tabs>
        <w:snapToGrid w:val="0"/>
        <w:spacing w:line="360" w:lineRule="auto"/>
        <w:rPr>
          <w:sz w:val="24"/>
        </w:rPr>
      </w:pPr>
      <w:r>
        <w:rPr>
          <w:sz w:val="24"/>
        </w:rPr>
        <w:t>联合体：指两个以上的自然人、法人或者其他组织组成一个联合体，以一个供应商的身份共同参加政府采购。</w:t>
      </w:r>
    </w:p>
    <w:p w14:paraId="28E31689">
      <w:pPr>
        <w:snapToGrid w:val="0"/>
        <w:spacing w:line="360" w:lineRule="auto"/>
        <w:outlineLvl w:val="1"/>
        <w:rPr>
          <w:sz w:val="24"/>
        </w:rPr>
      </w:pPr>
      <w:bookmarkStart w:id="98" w:name="_Toc226337216"/>
      <w:bookmarkStart w:id="99" w:name="_Toc305158788"/>
      <w:bookmarkStart w:id="100" w:name="_Toc127161434"/>
      <w:bookmarkStart w:id="101" w:name="_Toc150509271"/>
      <w:bookmarkStart w:id="102" w:name="_Toc127151520"/>
      <w:bookmarkStart w:id="103" w:name="_Toc149720813"/>
      <w:bookmarkStart w:id="104" w:name="_Toc150774725"/>
      <w:bookmarkStart w:id="105" w:name="_Toc226309764"/>
      <w:bookmarkStart w:id="106" w:name="_Toc151193908"/>
      <w:bookmarkStart w:id="107" w:name="_Toc164608789"/>
      <w:bookmarkStart w:id="108" w:name="_Toc265228358"/>
      <w:bookmarkStart w:id="109" w:name="_Toc150774620"/>
      <w:bookmarkStart w:id="110" w:name="_Toc142311022"/>
      <w:bookmarkStart w:id="111" w:name="_Toc164351614"/>
      <w:bookmarkStart w:id="112" w:name="_Toc226965710"/>
      <w:bookmarkStart w:id="113" w:name="_Toc164229361"/>
      <w:bookmarkStart w:id="114" w:name="_Toc150480758"/>
      <w:bookmarkStart w:id="115" w:name="_Toc151193690"/>
      <w:bookmarkStart w:id="116" w:name="_Toc264969210"/>
      <w:bookmarkStart w:id="117" w:name="_Toc151190147"/>
      <w:bookmarkStart w:id="118" w:name="_Toc151193618"/>
      <w:bookmarkStart w:id="119" w:name="_Toc151193762"/>
      <w:bookmarkStart w:id="120" w:name="_Toc305158862"/>
      <w:bookmarkStart w:id="121" w:name="_Toc164229215"/>
      <w:bookmarkStart w:id="122" w:name="_Toc164608634"/>
      <w:bookmarkStart w:id="123" w:name="_Toc127151721"/>
      <w:bookmarkStart w:id="124" w:name="_Toc226965793"/>
      <w:bookmarkStart w:id="125" w:name="_Toc195842885"/>
      <w:bookmarkStart w:id="126" w:name="_Toc151193834"/>
      <w:r>
        <w:rPr>
          <w:sz w:val="24"/>
        </w:rPr>
        <w:t>资金来源</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Pr>
          <w:sz w:val="24"/>
        </w:rPr>
        <w:t>、项目属性、科研仪器设备采购</w:t>
      </w:r>
    </w:p>
    <w:p w14:paraId="655242C6">
      <w:pPr>
        <w:tabs>
          <w:tab w:val="left" w:pos="1080"/>
          <w:tab w:val="left" w:pos="2014"/>
        </w:tabs>
        <w:snapToGrid w:val="0"/>
        <w:spacing w:line="360" w:lineRule="auto"/>
        <w:rPr>
          <w:sz w:val="24"/>
        </w:rPr>
      </w:pPr>
      <w:r>
        <w:rPr>
          <w:sz w:val="24"/>
        </w:rPr>
        <w:t>资金来源为</w:t>
      </w:r>
      <w:r>
        <w:rPr>
          <w:rFonts w:hint="eastAsia"/>
          <w:sz w:val="24"/>
        </w:rPr>
        <w:t>工会经费</w:t>
      </w:r>
      <w:r>
        <w:rPr>
          <w:sz w:val="24"/>
        </w:rPr>
        <w:t>。</w:t>
      </w:r>
    </w:p>
    <w:p w14:paraId="33D478F2">
      <w:pPr>
        <w:tabs>
          <w:tab w:val="left" w:pos="1080"/>
          <w:tab w:val="left" w:pos="2014"/>
        </w:tabs>
        <w:snapToGrid w:val="0"/>
        <w:spacing w:line="360" w:lineRule="auto"/>
        <w:rPr>
          <w:sz w:val="24"/>
        </w:rPr>
      </w:pPr>
      <w:r>
        <w:rPr>
          <w:sz w:val="24"/>
        </w:rPr>
        <w:t>项目属性见《供应商须知资料表》。</w:t>
      </w:r>
    </w:p>
    <w:p w14:paraId="0A2DDFD4">
      <w:pPr>
        <w:tabs>
          <w:tab w:val="left" w:pos="1080"/>
          <w:tab w:val="left" w:pos="2014"/>
        </w:tabs>
        <w:snapToGrid w:val="0"/>
        <w:spacing w:line="360" w:lineRule="auto"/>
        <w:rPr>
          <w:sz w:val="24"/>
        </w:rPr>
      </w:pPr>
      <w:r>
        <w:rPr>
          <w:sz w:val="24"/>
        </w:rPr>
        <w:t>是否属于科研仪器设备采购见《供应商须知资料表》。</w:t>
      </w:r>
    </w:p>
    <w:p w14:paraId="6C47CF6E">
      <w:pPr>
        <w:snapToGrid w:val="0"/>
        <w:spacing w:line="360" w:lineRule="auto"/>
        <w:outlineLvl w:val="1"/>
        <w:rPr>
          <w:sz w:val="24"/>
        </w:rPr>
      </w:pPr>
      <w:r>
        <w:rPr>
          <w:sz w:val="24"/>
        </w:rPr>
        <w:t>现场考察、磋商前答疑会</w:t>
      </w:r>
    </w:p>
    <w:p w14:paraId="01E08AC1">
      <w:pPr>
        <w:tabs>
          <w:tab w:val="left" w:pos="1080"/>
          <w:tab w:val="left" w:pos="2014"/>
        </w:tabs>
        <w:snapToGrid w:val="0"/>
        <w:spacing w:line="360" w:lineRule="auto"/>
        <w:rPr>
          <w:sz w:val="28"/>
        </w:rPr>
      </w:pPr>
      <w:r>
        <w:rPr>
          <w:sz w:val="24"/>
        </w:rPr>
        <w:t>若《供应商须知资料表》中规定了组织现场考察、召开磋商前答疑会，则供应商应按要求在规定的时间和地点参加。</w:t>
      </w:r>
      <w:bookmarkStart w:id="127" w:name="_Toc226965795"/>
      <w:bookmarkStart w:id="128" w:name="_Toc150509273"/>
      <w:bookmarkStart w:id="129" w:name="_Toc305158864"/>
      <w:bookmarkStart w:id="130" w:name="_Toc151193836"/>
      <w:bookmarkStart w:id="131" w:name="_Toc305158790"/>
      <w:bookmarkStart w:id="132" w:name="_Toc151193764"/>
      <w:bookmarkStart w:id="133" w:name="_Toc264969212"/>
      <w:bookmarkStart w:id="134" w:name="_Toc150480760"/>
      <w:bookmarkStart w:id="135" w:name="_Toc151193620"/>
      <w:bookmarkStart w:id="136" w:name="_Toc150774727"/>
      <w:bookmarkStart w:id="137" w:name="_Toc142311024"/>
      <w:bookmarkStart w:id="138" w:name="_Toc195842887"/>
      <w:bookmarkStart w:id="139" w:name="_Toc127151522"/>
      <w:bookmarkStart w:id="140" w:name="_Toc151193692"/>
      <w:bookmarkStart w:id="141" w:name="_Toc520356146"/>
      <w:bookmarkStart w:id="142" w:name="_Toc226965712"/>
      <w:bookmarkStart w:id="143" w:name="_Toc226337218"/>
      <w:bookmarkStart w:id="144" w:name="_Toc151190149"/>
      <w:bookmarkStart w:id="145" w:name="_Toc151193910"/>
      <w:bookmarkStart w:id="146" w:name="_Toc265228360"/>
      <w:bookmarkStart w:id="147" w:name="_Toc226309766"/>
      <w:bookmarkStart w:id="148" w:name="_Toc150774622"/>
    </w:p>
    <w:p w14:paraId="64C606A3">
      <w:pPr>
        <w:tabs>
          <w:tab w:val="left" w:pos="1080"/>
          <w:tab w:val="left" w:pos="2014"/>
        </w:tabs>
        <w:snapToGrid w:val="0"/>
        <w:spacing w:line="360" w:lineRule="auto"/>
        <w:rPr>
          <w:sz w:val="24"/>
        </w:rPr>
      </w:pPr>
      <w:r>
        <w:rPr>
          <w:sz w:val="24"/>
        </w:rPr>
        <w:t>由于未参加现场考察或磋商前答疑会而导致对项目实际情况不了解，影响响应文件编制、报价准确性、综合因素响应不全面等问题的，由供应商自行承担不利评审后果。</w:t>
      </w:r>
    </w:p>
    <w:p w14:paraId="1326FB28">
      <w:pPr>
        <w:snapToGrid w:val="0"/>
        <w:spacing w:line="360" w:lineRule="auto"/>
        <w:outlineLvl w:val="1"/>
        <w:rPr>
          <w:sz w:val="24"/>
        </w:rPr>
      </w:pPr>
      <w:r>
        <w:rPr>
          <w:sz w:val="24"/>
        </w:rPr>
        <w:t>政府采购政策（包括但不限于下列具体政策要求）</w:t>
      </w:r>
    </w:p>
    <w:p w14:paraId="2AD0FD45">
      <w:pPr>
        <w:tabs>
          <w:tab w:val="left" w:pos="1080"/>
          <w:tab w:val="left" w:pos="2014"/>
        </w:tabs>
        <w:snapToGrid w:val="0"/>
        <w:spacing w:line="360" w:lineRule="auto"/>
        <w:rPr>
          <w:sz w:val="24"/>
        </w:rPr>
      </w:pPr>
      <w:r>
        <w:rPr>
          <w:rFonts w:hint="eastAsia"/>
          <w:sz w:val="24"/>
        </w:rPr>
        <w:t>采购本国货物、工程和服务</w:t>
      </w:r>
    </w:p>
    <w:p w14:paraId="675E0D8E">
      <w:pPr>
        <w:tabs>
          <w:tab w:val="left" w:pos="2014"/>
        </w:tabs>
        <w:snapToGrid w:val="0"/>
        <w:spacing w:line="360" w:lineRule="auto"/>
        <w:rPr>
          <w:sz w:val="24"/>
        </w:rPr>
      </w:pPr>
      <w:r>
        <w:rPr>
          <w:rFonts w:hint="eastAsia"/>
          <w:sz w:val="24"/>
        </w:rPr>
        <w:t>政府采购应当采购本国货物、工程和服务。但有</w:t>
      </w:r>
      <w:r>
        <w:rPr>
          <w:sz w:val="24"/>
        </w:rPr>
        <w:t>《</w:t>
      </w:r>
      <w:r>
        <w:rPr>
          <w:rFonts w:hint="eastAsia"/>
          <w:sz w:val="24"/>
        </w:rPr>
        <w:t>中华人民共和国政府采购法</w:t>
      </w:r>
      <w:r>
        <w:rPr>
          <w:sz w:val="24"/>
        </w:rPr>
        <w:t>》</w:t>
      </w:r>
      <w:r>
        <w:rPr>
          <w:rFonts w:hint="eastAsia"/>
          <w:sz w:val="24"/>
        </w:rPr>
        <w:t>第十条规定情形的除外。</w:t>
      </w:r>
    </w:p>
    <w:p w14:paraId="0C1040FC">
      <w:pPr>
        <w:tabs>
          <w:tab w:val="left" w:pos="2014"/>
        </w:tabs>
        <w:snapToGrid w:val="0"/>
        <w:spacing w:line="360" w:lineRule="auto"/>
        <w:rPr>
          <w:sz w:val="24"/>
        </w:rPr>
      </w:pPr>
      <w:r>
        <w:rPr>
          <w:rFonts w:hint="eastAsia"/>
          <w:sz w:val="24"/>
        </w:rPr>
        <w:t>本项目如接收非本国货物、工程、服务参与投标，则具体要求见第四章</w:t>
      </w:r>
      <w:r>
        <w:rPr>
          <w:sz w:val="24"/>
        </w:rPr>
        <w:t>《</w:t>
      </w:r>
      <w:r>
        <w:rPr>
          <w:rFonts w:hint="eastAsia"/>
          <w:sz w:val="24"/>
        </w:rPr>
        <w:t>采购需求</w:t>
      </w:r>
      <w:r>
        <w:rPr>
          <w:sz w:val="24"/>
        </w:rPr>
        <w:t>》</w:t>
      </w:r>
      <w:r>
        <w:rPr>
          <w:rFonts w:hint="eastAsia"/>
          <w:sz w:val="24"/>
        </w:rPr>
        <w:t>。</w:t>
      </w:r>
    </w:p>
    <w:p w14:paraId="4DD9CBB9">
      <w:pPr>
        <w:tabs>
          <w:tab w:val="left" w:pos="2014"/>
        </w:tabs>
        <w:snapToGrid w:val="0"/>
        <w:spacing w:line="360" w:lineRule="auto"/>
        <w:rPr>
          <w:sz w:val="24"/>
        </w:rPr>
      </w:pPr>
      <w:r>
        <w:rPr>
          <w:rFonts w:hint="eastAsia"/>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2DE39F73">
      <w:pPr>
        <w:tabs>
          <w:tab w:val="left" w:pos="1080"/>
          <w:tab w:val="left" w:pos="2014"/>
        </w:tabs>
        <w:snapToGrid w:val="0"/>
        <w:spacing w:line="360" w:lineRule="auto"/>
        <w:rPr>
          <w:sz w:val="24"/>
        </w:rPr>
      </w:pPr>
      <w:r>
        <w:rPr>
          <w:sz w:val="24"/>
        </w:rPr>
        <w:t>中小企业、监狱企业及残疾人福利性单位</w:t>
      </w:r>
    </w:p>
    <w:p w14:paraId="3C35CE8A">
      <w:pPr>
        <w:snapToGrid w:val="0"/>
        <w:spacing w:line="360" w:lineRule="auto"/>
        <w:rPr>
          <w:sz w:val="24"/>
        </w:rPr>
      </w:pPr>
      <w:r>
        <w:rPr>
          <w:sz w:val="24"/>
        </w:rPr>
        <w:t>中小企业定义：</w:t>
      </w:r>
    </w:p>
    <w:p w14:paraId="4FC31E4B">
      <w:pPr>
        <w:tabs>
          <w:tab w:val="left" w:pos="1980"/>
          <w:tab w:val="left" w:pos="2035"/>
          <w:tab w:val="left" w:pos="2885"/>
          <w:tab w:val="left" w:pos="2977"/>
        </w:tabs>
        <w:snapToGrid w:val="0"/>
        <w:spacing w:line="360" w:lineRule="auto"/>
        <w:ind w:left="2704" w:leftChars="945" w:hanging="720" w:hangingChars="300"/>
        <w:rPr>
          <w:color w:val="000000"/>
          <w:sz w:val="24"/>
        </w:rPr>
      </w:pPr>
      <w:r>
        <w:rPr>
          <w:rFonts w:hint="eastAsia"/>
          <w:color w:val="000000"/>
          <w:sz w:val="24"/>
        </w:rPr>
        <w:t>4.2.1.1</w:t>
      </w:r>
      <w:r>
        <w:rPr>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w:t>
      </w:r>
      <w:r>
        <w:rPr>
          <w:rFonts w:hint="eastAsia"/>
          <w:color w:val="000000"/>
          <w:sz w:val="24"/>
        </w:rPr>
        <w:t>关于进一步加大政府采购支持中小企业力度通知</w:t>
      </w:r>
      <w:r>
        <w:rPr>
          <w:color w:val="000000"/>
          <w:sz w:val="24"/>
        </w:rPr>
        <w:t>》（财库〔2020〕19号）</w:t>
      </w:r>
      <w:r>
        <w:rPr>
          <w:rFonts w:hint="eastAsia"/>
          <w:color w:val="000000"/>
          <w:sz w:val="24"/>
        </w:rPr>
        <w:t>、</w:t>
      </w:r>
      <w:r>
        <w:rPr>
          <w:color w:val="000000"/>
          <w:sz w:val="24"/>
        </w:rPr>
        <w:t>《政府采购促进中小企业发展管理办法</w:t>
      </w:r>
      <w:bookmarkStart w:id="149" w:name="_Hlk159500545"/>
      <w:r>
        <w:rPr>
          <w:color w:val="000000"/>
          <w:sz w:val="24"/>
        </w:rPr>
        <w:t>》</w:t>
      </w:r>
      <w:bookmarkEnd w:id="149"/>
      <w:r>
        <w:rPr>
          <w:color w:val="000000"/>
          <w:sz w:val="24"/>
        </w:rPr>
        <w:t>（财库〔2020〕46号）、《关于印发中小企业划型标准规定的通知》（工信部联企业〔2011〕300 号）。</w:t>
      </w:r>
    </w:p>
    <w:p w14:paraId="1B0659CF">
      <w:pPr>
        <w:tabs>
          <w:tab w:val="left" w:pos="1980"/>
          <w:tab w:val="left" w:pos="2035"/>
          <w:tab w:val="left" w:pos="2885"/>
          <w:tab w:val="left" w:pos="2977"/>
        </w:tabs>
        <w:snapToGrid w:val="0"/>
        <w:spacing w:line="360" w:lineRule="auto"/>
        <w:ind w:left="2704" w:leftChars="945" w:hanging="720" w:hangingChars="300"/>
        <w:rPr>
          <w:color w:val="000000"/>
          <w:sz w:val="24"/>
        </w:rPr>
      </w:pPr>
      <w:r>
        <w:rPr>
          <w:rFonts w:hint="eastAsia"/>
          <w:sz w:val="24"/>
        </w:rPr>
        <w:t>4.2.1.2</w:t>
      </w:r>
      <w:r>
        <w:rPr>
          <w:sz w:val="24"/>
        </w:rPr>
        <w:t>供应商提供的货物、工程或者服务符合下列情形的，享受中小企业扶持政策：</w:t>
      </w:r>
    </w:p>
    <w:p w14:paraId="223B8F02">
      <w:pPr>
        <w:tabs>
          <w:tab w:val="left" w:pos="1980"/>
        </w:tabs>
        <w:snapToGrid w:val="0"/>
        <w:spacing w:line="360" w:lineRule="auto"/>
        <w:ind w:left="2835" w:leftChars="1350"/>
        <w:rPr>
          <w:color w:val="000000"/>
          <w:sz w:val="24"/>
        </w:rPr>
      </w:pPr>
      <w:r>
        <w:rPr>
          <w:color w:val="000000"/>
          <w:sz w:val="24"/>
        </w:rPr>
        <w:t>（1）在货物采购项目中，货物由中小企业制造，即货物由中小企业生产且使用该中小企业商号或者注册商标；</w:t>
      </w:r>
    </w:p>
    <w:p w14:paraId="62612C20">
      <w:pPr>
        <w:tabs>
          <w:tab w:val="left" w:pos="1980"/>
        </w:tabs>
        <w:snapToGrid w:val="0"/>
        <w:spacing w:line="360" w:lineRule="auto"/>
        <w:ind w:left="2835" w:leftChars="1350"/>
        <w:rPr>
          <w:color w:val="000000"/>
          <w:sz w:val="24"/>
        </w:rPr>
      </w:pPr>
      <w:r>
        <w:rPr>
          <w:color w:val="000000"/>
          <w:sz w:val="24"/>
        </w:rPr>
        <w:t>（2）在工程采购项目中，工程由中小企业承建，即工程施工单位为中小企业；</w:t>
      </w:r>
    </w:p>
    <w:p w14:paraId="3FD7DFE6">
      <w:pPr>
        <w:tabs>
          <w:tab w:val="left" w:pos="1980"/>
        </w:tabs>
        <w:snapToGrid w:val="0"/>
        <w:spacing w:line="360" w:lineRule="auto"/>
        <w:ind w:left="2835" w:leftChars="1350"/>
        <w:rPr>
          <w:color w:val="000000"/>
          <w:sz w:val="24"/>
        </w:rPr>
      </w:pPr>
      <w:r>
        <w:rPr>
          <w:color w:val="000000"/>
          <w:sz w:val="24"/>
        </w:rPr>
        <w:t>（3）在服务采购项目中，服务由中小企业承接，即提供服务的人员为中小企业依照《中华人民共和国劳动合同法》订立劳动合同的从业人员。</w:t>
      </w:r>
    </w:p>
    <w:p w14:paraId="7B17A70D">
      <w:pPr>
        <w:tabs>
          <w:tab w:val="left" w:pos="1980"/>
          <w:tab w:val="left" w:pos="2035"/>
          <w:tab w:val="left" w:pos="2885"/>
          <w:tab w:val="left" w:pos="2977"/>
        </w:tabs>
        <w:snapToGrid w:val="0"/>
        <w:spacing w:line="360" w:lineRule="auto"/>
        <w:ind w:left="2704" w:leftChars="945" w:hanging="720" w:hangingChars="300"/>
        <w:rPr>
          <w:sz w:val="24"/>
        </w:rPr>
      </w:pPr>
      <w:r>
        <w:rPr>
          <w:rFonts w:hint="eastAsia"/>
          <w:sz w:val="24"/>
        </w:rPr>
        <w:t>4.2.1.3</w:t>
      </w:r>
      <w:r>
        <w:rPr>
          <w:sz w:val="24"/>
        </w:rPr>
        <w:t>在货物采购项目中，供应商提供的货物既有中小企业制造货物，也有大型企业制造货物的，不享受中小企业扶持政策。</w:t>
      </w:r>
    </w:p>
    <w:p w14:paraId="3A4D1869">
      <w:pPr>
        <w:tabs>
          <w:tab w:val="left" w:pos="1980"/>
          <w:tab w:val="left" w:pos="2035"/>
          <w:tab w:val="left" w:pos="2885"/>
          <w:tab w:val="left" w:pos="2977"/>
        </w:tabs>
        <w:snapToGrid w:val="0"/>
        <w:spacing w:line="360" w:lineRule="auto"/>
        <w:ind w:left="2704" w:leftChars="945" w:hanging="720" w:hangingChars="300"/>
        <w:rPr>
          <w:sz w:val="24"/>
        </w:rPr>
      </w:pPr>
      <w:r>
        <w:rPr>
          <w:rFonts w:hint="eastAsia"/>
          <w:color w:val="000000"/>
          <w:sz w:val="24"/>
        </w:rPr>
        <w:t>4.2.1.4</w:t>
      </w:r>
      <w:r>
        <w:rPr>
          <w:color w:val="000000"/>
          <w:sz w:val="24"/>
        </w:rPr>
        <w:t>以联合体形式参加政府采购活动，联合体各方均为中小企业的，联合体视同中小企业。其中，联合体各方均为小微企业的，联合体视同小微企业。</w:t>
      </w:r>
    </w:p>
    <w:p w14:paraId="5FBD3CAC">
      <w:pPr>
        <w:snapToGrid w:val="0"/>
        <w:spacing w:line="360" w:lineRule="auto"/>
        <w:rPr>
          <w:sz w:val="24"/>
        </w:rPr>
      </w:pPr>
      <w:r>
        <w:rPr>
          <w:rFonts w:hint="eastAsia"/>
          <w:sz w:val="24"/>
        </w:rPr>
        <w:t>在政府采购活动中，</w:t>
      </w:r>
      <w:r>
        <w:rPr>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147510C">
      <w:pPr>
        <w:snapToGrid w:val="0"/>
        <w:spacing w:line="360" w:lineRule="auto"/>
        <w:rPr>
          <w:vanish/>
          <w:color w:val="000000"/>
          <w:sz w:val="24"/>
        </w:rPr>
      </w:pPr>
      <w:r>
        <w:rPr>
          <w:sz w:val="24"/>
        </w:rPr>
        <w:t>残疾人福利单位定义：享受政府采购支持政策的残疾人福利性单位应当同时满足以下条件：</w:t>
      </w:r>
    </w:p>
    <w:p w14:paraId="13B9C74F">
      <w:pPr>
        <w:tabs>
          <w:tab w:val="left" w:pos="1980"/>
          <w:tab w:val="left" w:pos="2035"/>
          <w:tab w:val="left" w:pos="2885"/>
          <w:tab w:val="left" w:pos="2977"/>
        </w:tabs>
        <w:snapToGrid w:val="0"/>
        <w:spacing w:line="360" w:lineRule="auto"/>
        <w:ind w:left="2704" w:leftChars="945" w:hanging="720" w:hangingChars="300"/>
        <w:rPr>
          <w:color w:val="000000"/>
          <w:sz w:val="24"/>
        </w:rPr>
      </w:pPr>
      <w:r>
        <w:rPr>
          <w:rFonts w:hint="eastAsia"/>
          <w:color w:val="000000"/>
          <w:sz w:val="24"/>
        </w:rPr>
        <w:t>4.2.3.1</w:t>
      </w:r>
      <w:r>
        <w:rPr>
          <w:color w:val="000000"/>
          <w:sz w:val="24"/>
        </w:rPr>
        <w:t>安置的残疾人占本单位在职职工人数的比例不低于25%（含25%），并且安置的残疾人人数不少于10 人（含10 人）；</w:t>
      </w:r>
    </w:p>
    <w:p w14:paraId="5DA93525">
      <w:pPr>
        <w:tabs>
          <w:tab w:val="left" w:pos="1980"/>
          <w:tab w:val="left" w:pos="2035"/>
          <w:tab w:val="left" w:pos="2885"/>
          <w:tab w:val="left" w:pos="2977"/>
        </w:tabs>
        <w:snapToGrid w:val="0"/>
        <w:spacing w:line="360" w:lineRule="auto"/>
        <w:ind w:left="2704" w:leftChars="945" w:hanging="720" w:hangingChars="300"/>
        <w:rPr>
          <w:color w:val="000000"/>
          <w:sz w:val="24"/>
        </w:rPr>
      </w:pPr>
      <w:r>
        <w:rPr>
          <w:rFonts w:hint="eastAsia"/>
          <w:sz w:val="24"/>
        </w:rPr>
        <w:t>4.2.3.2</w:t>
      </w:r>
      <w:r>
        <w:rPr>
          <w:sz w:val="24"/>
        </w:rPr>
        <w:t>依法与安置的每位残疾人签订了一年以上（含一年）的劳动合同或服务协议；</w:t>
      </w:r>
    </w:p>
    <w:p w14:paraId="32D75044">
      <w:pPr>
        <w:tabs>
          <w:tab w:val="left" w:pos="1980"/>
          <w:tab w:val="left" w:pos="2035"/>
          <w:tab w:val="left" w:pos="2885"/>
          <w:tab w:val="left" w:pos="2977"/>
        </w:tabs>
        <w:snapToGrid w:val="0"/>
        <w:spacing w:line="360" w:lineRule="auto"/>
        <w:ind w:left="2704" w:leftChars="945" w:hanging="720" w:hangingChars="300"/>
        <w:rPr>
          <w:color w:val="000000"/>
          <w:sz w:val="24"/>
        </w:rPr>
      </w:pPr>
      <w:r>
        <w:rPr>
          <w:rFonts w:hint="eastAsia"/>
          <w:sz w:val="24"/>
        </w:rPr>
        <w:t>4.2.3.3</w:t>
      </w:r>
      <w:r>
        <w:rPr>
          <w:sz w:val="24"/>
        </w:rPr>
        <w:t>为安置的每位残疾人按月足额缴纳了基本养老保险、基本医疗保险、失业保险、工伤保险和生育保险等社会保险费；</w:t>
      </w:r>
    </w:p>
    <w:p w14:paraId="6098B64B">
      <w:pPr>
        <w:tabs>
          <w:tab w:val="left" w:pos="1980"/>
          <w:tab w:val="left" w:pos="2035"/>
          <w:tab w:val="left" w:pos="2885"/>
          <w:tab w:val="left" w:pos="2977"/>
        </w:tabs>
        <w:snapToGrid w:val="0"/>
        <w:spacing w:line="360" w:lineRule="auto"/>
        <w:ind w:left="2704" w:leftChars="945" w:hanging="720" w:hangingChars="300"/>
        <w:rPr>
          <w:color w:val="000000"/>
          <w:sz w:val="24"/>
        </w:rPr>
      </w:pPr>
      <w:r>
        <w:rPr>
          <w:rFonts w:hint="eastAsia"/>
          <w:sz w:val="24"/>
        </w:rPr>
        <w:t>4.2.3.4</w:t>
      </w:r>
      <w:r>
        <w:rPr>
          <w:sz w:val="24"/>
        </w:rPr>
        <w:t>通过银行等金融机构向安置的每位残疾人，按月支付了不低于单位所在区县适用的经省级人民政府批准的月最低工资标准的工资；</w:t>
      </w:r>
    </w:p>
    <w:p w14:paraId="7F30C49C">
      <w:pPr>
        <w:tabs>
          <w:tab w:val="left" w:pos="1980"/>
          <w:tab w:val="left" w:pos="2035"/>
          <w:tab w:val="left" w:pos="2885"/>
          <w:tab w:val="left" w:pos="2977"/>
        </w:tabs>
        <w:snapToGrid w:val="0"/>
        <w:spacing w:line="360" w:lineRule="auto"/>
        <w:ind w:left="2704" w:leftChars="945" w:hanging="720" w:hangingChars="300"/>
        <w:rPr>
          <w:color w:val="000000"/>
          <w:sz w:val="24"/>
        </w:rPr>
      </w:pPr>
      <w:r>
        <w:rPr>
          <w:rFonts w:hint="eastAsia"/>
          <w:sz w:val="24"/>
        </w:rPr>
        <w:t>4.2.3.5</w:t>
      </w:r>
      <w:r>
        <w:rPr>
          <w:sz w:val="24"/>
        </w:rPr>
        <w:t>提供本单位制造的货物、承担的工程或者服务（以下简称产品），或者提供其他残疾人福利性单位制造的货物（不包括使用非残疾人福利性单位注册商标的货物）；</w:t>
      </w:r>
    </w:p>
    <w:p w14:paraId="1ABC6E35">
      <w:pPr>
        <w:tabs>
          <w:tab w:val="left" w:pos="1980"/>
          <w:tab w:val="left" w:pos="2035"/>
          <w:tab w:val="left" w:pos="2885"/>
          <w:tab w:val="left" w:pos="2977"/>
        </w:tabs>
        <w:snapToGrid w:val="0"/>
        <w:spacing w:line="360" w:lineRule="auto"/>
        <w:ind w:left="2704" w:leftChars="945" w:hanging="720" w:hangingChars="300"/>
        <w:rPr>
          <w:color w:val="000000"/>
          <w:sz w:val="24"/>
        </w:rPr>
      </w:pPr>
      <w:r>
        <w:rPr>
          <w:rFonts w:hint="eastAsia"/>
          <w:sz w:val="24"/>
        </w:rPr>
        <w:t>4.2.3.6</w:t>
      </w: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1CE81820">
      <w:pPr>
        <w:snapToGrid w:val="0"/>
        <w:spacing w:line="360" w:lineRule="auto"/>
        <w:rPr>
          <w:sz w:val="24"/>
        </w:rPr>
      </w:pPr>
      <w:r>
        <w:rPr>
          <w:sz w:val="24"/>
        </w:rPr>
        <w:t>本项目是否专门面向中小企业预留采购份额见第一章《采购邀请》。</w:t>
      </w:r>
    </w:p>
    <w:p w14:paraId="64472541">
      <w:pPr>
        <w:snapToGrid w:val="0"/>
        <w:spacing w:line="360" w:lineRule="auto"/>
        <w:rPr>
          <w:sz w:val="24"/>
        </w:rPr>
      </w:pPr>
      <w:r>
        <w:rPr>
          <w:sz w:val="24"/>
        </w:rPr>
        <w:t>采购标的对应的中小企业划分标准所属行业见《供应商须知资料表》。</w:t>
      </w:r>
    </w:p>
    <w:p w14:paraId="4CB8C614">
      <w:pPr>
        <w:snapToGrid w:val="0"/>
        <w:spacing w:line="360" w:lineRule="auto"/>
        <w:rPr>
          <w:sz w:val="24"/>
        </w:rPr>
      </w:pPr>
      <w:r>
        <w:rPr>
          <w:sz w:val="24"/>
        </w:rPr>
        <w:t>小微企业价格评审优惠的政策调整：见第三章《评审方法和评审标准》。</w:t>
      </w:r>
    </w:p>
    <w:p w14:paraId="0AEA524E">
      <w:pPr>
        <w:tabs>
          <w:tab w:val="left" w:pos="1080"/>
          <w:tab w:val="left" w:pos="2014"/>
        </w:tabs>
        <w:snapToGrid w:val="0"/>
        <w:spacing w:line="360" w:lineRule="auto"/>
        <w:rPr>
          <w:sz w:val="24"/>
        </w:rPr>
      </w:pPr>
      <w:r>
        <w:rPr>
          <w:sz w:val="24"/>
        </w:rPr>
        <w:t>政府采购节能产品、环境标志产品</w:t>
      </w:r>
    </w:p>
    <w:p w14:paraId="00F0FE6B">
      <w:p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EA0C50D">
      <w:p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1513383C">
      <w:pPr>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r>
        <w:rPr>
          <w:kern w:val="0"/>
          <w:sz w:val="24"/>
        </w:rPr>
        <w:t>否则</w:t>
      </w:r>
      <w:r>
        <w:rPr>
          <w:b/>
          <w:kern w:val="0"/>
          <w:sz w:val="24"/>
        </w:rPr>
        <w:t>响应无效</w:t>
      </w:r>
      <w:r>
        <w:rPr>
          <w:sz w:val="24"/>
        </w:rPr>
        <w:t>；</w:t>
      </w:r>
    </w:p>
    <w:p w14:paraId="03619613">
      <w:pPr>
        <w:snapToGrid w:val="0"/>
        <w:spacing w:line="360" w:lineRule="auto"/>
        <w:rPr>
          <w:sz w:val="24"/>
        </w:rPr>
      </w:pPr>
      <w:r>
        <w:rPr>
          <w:sz w:val="24"/>
        </w:rPr>
        <w:t>非政府强制采购的节能产品或环境标志产品，依据品目清单和认证证书实施政府优先采购。优先采购的具体规定见第三章《评审方法和评审标准》（如涉及）。</w:t>
      </w:r>
    </w:p>
    <w:p w14:paraId="391B5139">
      <w:pPr>
        <w:tabs>
          <w:tab w:val="left" w:pos="1080"/>
          <w:tab w:val="left" w:pos="2014"/>
        </w:tabs>
        <w:snapToGrid w:val="0"/>
        <w:spacing w:line="360" w:lineRule="auto"/>
        <w:rPr>
          <w:sz w:val="24"/>
        </w:rPr>
      </w:pPr>
      <w:r>
        <w:rPr>
          <w:sz w:val="24"/>
        </w:rPr>
        <w:t>正版软件</w:t>
      </w:r>
    </w:p>
    <w:p w14:paraId="1A378A40">
      <w:pPr>
        <w:snapToGrid w:val="0"/>
        <w:spacing w:line="360" w:lineRule="auto"/>
        <w:rPr>
          <w:sz w:val="24"/>
        </w:rPr>
      </w:pPr>
      <w:r>
        <w:rPr>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w:t>
      </w:r>
      <w:r>
        <w:rPr>
          <w:kern w:val="0"/>
          <w:sz w:val="24"/>
        </w:rPr>
        <w:t>否则</w:t>
      </w:r>
      <w:r>
        <w:rPr>
          <w:b/>
          <w:kern w:val="0"/>
          <w:sz w:val="24"/>
        </w:rPr>
        <w:t>响应无效</w:t>
      </w:r>
      <w:r>
        <w:rPr>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79FCD019">
      <w:p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481A7408">
      <w:pPr>
        <w:tabs>
          <w:tab w:val="left" w:pos="1080"/>
          <w:tab w:val="left" w:pos="2014"/>
        </w:tabs>
        <w:snapToGrid w:val="0"/>
        <w:spacing w:line="360" w:lineRule="auto"/>
        <w:rPr>
          <w:sz w:val="24"/>
        </w:rPr>
      </w:pPr>
      <w:r>
        <w:rPr>
          <w:rFonts w:hint="eastAsia"/>
          <w:sz w:val="24"/>
        </w:rPr>
        <w:t>网络安全专用产品</w:t>
      </w:r>
    </w:p>
    <w:p w14:paraId="17D77599">
      <w:pPr>
        <w:snapToGrid w:val="0"/>
        <w:spacing w:line="360" w:lineRule="auto"/>
        <w:rPr>
          <w:sz w:val="24"/>
        </w:rPr>
      </w:pPr>
      <w:r>
        <w:rPr>
          <w:rFonts w:hint="eastAsia"/>
          <w:sz w:val="24"/>
        </w:rPr>
        <w:t>所投产品属于列入《网络关键设备和网络安全专用产品目录》的网络安全专用产品，应当在因家互联网信息办公室会同工业和信息化部、公安部、国家认证认可监督管理委员会统一公布和更新的符合要求的网络关键设备和网络安全专用产品清单中。</w:t>
      </w:r>
    </w:p>
    <w:p w14:paraId="53CA6F52">
      <w:pPr>
        <w:tabs>
          <w:tab w:val="left" w:pos="1080"/>
          <w:tab w:val="left" w:pos="2014"/>
        </w:tabs>
        <w:snapToGrid w:val="0"/>
        <w:spacing w:line="360" w:lineRule="auto"/>
        <w:rPr>
          <w:sz w:val="24"/>
        </w:rPr>
      </w:pPr>
      <w:r>
        <w:rPr>
          <w:sz w:val="24"/>
        </w:rPr>
        <w:t>推广使用低挥发性有机化合物（VOCs）</w:t>
      </w:r>
    </w:p>
    <w:p w14:paraId="6CCE31EB">
      <w:pPr>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kern w:val="0"/>
          <w:sz w:val="24"/>
        </w:rPr>
        <w:t>否则</w:t>
      </w:r>
      <w:r>
        <w:rPr>
          <w:b/>
          <w:kern w:val="0"/>
          <w:sz w:val="24"/>
        </w:rPr>
        <w:t>响应无效</w:t>
      </w:r>
      <w:r>
        <w:rPr>
          <w:sz w:val="24"/>
        </w:rPr>
        <w:t>；属于推荐性标准的，优先采购，具体见第三章《评审方法和评审标准》。</w:t>
      </w:r>
    </w:p>
    <w:p w14:paraId="737693C3">
      <w:pPr>
        <w:tabs>
          <w:tab w:val="left" w:pos="1080"/>
          <w:tab w:val="left" w:pos="2014"/>
        </w:tabs>
        <w:snapToGrid w:val="0"/>
        <w:spacing w:line="360" w:lineRule="auto"/>
        <w:rPr>
          <w:sz w:val="24"/>
        </w:rPr>
      </w:pPr>
      <w:r>
        <w:rPr>
          <w:rFonts w:hint="eastAsia"/>
          <w:sz w:val="24"/>
        </w:rPr>
        <w:t>采购需求标准</w:t>
      </w:r>
    </w:p>
    <w:p w14:paraId="488E0A3B">
      <w:pPr>
        <w:snapToGrid w:val="0"/>
        <w:spacing w:line="360" w:lineRule="auto"/>
        <w:rPr>
          <w:sz w:val="24"/>
        </w:rPr>
      </w:pPr>
      <w:r>
        <w:rPr>
          <w:sz w:val="24"/>
        </w:rPr>
        <w:t>商品包装、快递包装政府采购需求标准(试行)</w:t>
      </w:r>
    </w:p>
    <w:p w14:paraId="739853E1">
      <w:pPr>
        <w:snapToGrid w:val="0"/>
        <w:spacing w:line="360" w:lineRule="auto"/>
        <w:ind w:left="2037" w:leftChars="970"/>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6575420B">
      <w:pPr>
        <w:snapToGrid w:val="0"/>
        <w:spacing w:line="360" w:lineRule="auto"/>
        <w:rPr>
          <w:sz w:val="24"/>
        </w:rPr>
      </w:pPr>
      <w:r>
        <w:rPr>
          <w:sz w:val="24"/>
        </w:rPr>
        <w:t>绿色数据中心政府采购需求标准(试行)</w:t>
      </w:r>
    </w:p>
    <w:p w14:paraId="6CEC9E5A">
      <w:pPr>
        <w:snapToGrid w:val="0"/>
        <w:spacing w:line="360" w:lineRule="auto"/>
        <w:ind w:left="2037" w:leftChars="970"/>
        <w:rPr>
          <w:sz w:val="24"/>
        </w:rPr>
      </w:pPr>
      <w:r>
        <w:rPr>
          <w:sz w:val="24"/>
        </w:rPr>
        <w:t>为加快数据中心绿色转型，根据财政部生态环境部 工业和信息化部关于印发《绿色数据中心政府采购需求标准(试行)》的通知(财库(2023)7号)，本项目如涉及绿色数据中心，则具体要求见第四章《采购需求》。</w:t>
      </w:r>
    </w:p>
    <w:p w14:paraId="42A07BB6">
      <w:pPr>
        <w:snapToGrid w:val="0"/>
        <w:spacing w:line="360" w:lineRule="auto"/>
        <w:outlineLvl w:val="1"/>
        <w:rPr>
          <w:sz w:val="24"/>
        </w:rPr>
      </w:pPr>
      <w:r>
        <w:rPr>
          <w:sz w:val="24"/>
        </w:rPr>
        <w:t>响应费用</w:t>
      </w:r>
    </w:p>
    <w:p w14:paraId="0F45B571">
      <w:pPr>
        <w:tabs>
          <w:tab w:val="left" w:pos="1080"/>
          <w:tab w:val="left" w:pos="2014"/>
        </w:tabs>
        <w:snapToGrid w:val="0"/>
        <w:spacing w:line="360" w:lineRule="auto"/>
        <w:rPr>
          <w:sz w:val="24"/>
        </w:rPr>
      </w:pPr>
      <w:r>
        <w:rPr>
          <w:sz w:val="24"/>
        </w:rPr>
        <w:t>供应商应自行承担所有与准备和参加磋商有关的费用，无论磋商的结果如何，采购人或采购代理机构在任何情况下均无承担这些费用的义务和责任。</w:t>
      </w:r>
    </w:p>
    <w:p w14:paraId="545CBB34">
      <w:pPr>
        <w:tabs>
          <w:tab w:val="left" w:pos="1080"/>
        </w:tabs>
        <w:snapToGrid w:val="0"/>
        <w:spacing w:line="360" w:lineRule="auto"/>
        <w:ind w:left="1080"/>
        <w:rPr>
          <w:sz w:val="28"/>
        </w:rPr>
      </w:pPr>
      <w:bookmarkStart w:id="150" w:name="_1.8_计量单位"/>
      <w:bookmarkEnd w:id="150"/>
    </w:p>
    <w:p w14:paraId="695C2E29">
      <w:pPr>
        <w:pStyle w:val="6"/>
        <w:spacing w:before="0" w:line="360" w:lineRule="auto"/>
        <w:rPr>
          <w:rFonts w:ascii="Times New Roman" w:hAnsi="Times New Roman" w:eastAsia="宋体"/>
          <w:sz w:val="28"/>
        </w:rPr>
      </w:pPr>
      <w:r>
        <w:rPr>
          <w:rFonts w:ascii="Times New Roman" w:hAnsi="Times New Roman" w:eastAsia="宋体"/>
          <w:sz w:val="28"/>
        </w:rPr>
        <w:t>二   竞争性磋商文件</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7F7B0D22">
      <w:pPr>
        <w:snapToGrid w:val="0"/>
        <w:spacing w:line="360" w:lineRule="auto"/>
        <w:outlineLvl w:val="1"/>
        <w:rPr>
          <w:sz w:val="24"/>
        </w:rPr>
      </w:pPr>
      <w:bookmarkStart w:id="151" w:name="_Toc151193621"/>
      <w:bookmarkStart w:id="152" w:name="_Toc150509274"/>
      <w:bookmarkStart w:id="153" w:name="_Toc149720816"/>
      <w:bookmarkStart w:id="154" w:name="_Toc151193911"/>
      <w:bookmarkStart w:id="155" w:name="_Toc127151724"/>
      <w:bookmarkStart w:id="156" w:name="_Toc151193837"/>
      <w:bookmarkStart w:id="157" w:name="_Toc226965713"/>
      <w:bookmarkStart w:id="158" w:name="_Toc265228361"/>
      <w:bookmarkStart w:id="159" w:name="_Toc305158791"/>
      <w:bookmarkStart w:id="160" w:name="_Toc226309767"/>
      <w:bookmarkStart w:id="161" w:name="_Toc150774728"/>
      <w:bookmarkStart w:id="162" w:name="_Toc164608637"/>
      <w:bookmarkStart w:id="163" w:name="_Toc150480761"/>
      <w:bookmarkStart w:id="164" w:name="_Toc164351617"/>
      <w:bookmarkStart w:id="165" w:name="_Toc164229218"/>
      <w:bookmarkStart w:id="166" w:name="_Toc226337219"/>
      <w:bookmarkStart w:id="167" w:name="_Toc142311025"/>
      <w:bookmarkStart w:id="168" w:name="_Toc151190150"/>
      <w:bookmarkStart w:id="169" w:name="_Toc150774623"/>
      <w:bookmarkStart w:id="170" w:name="_Toc520356147"/>
      <w:bookmarkStart w:id="171" w:name="_Toc151193765"/>
      <w:bookmarkStart w:id="172" w:name="_Toc151193693"/>
      <w:bookmarkStart w:id="173" w:name="_Toc226965796"/>
      <w:bookmarkStart w:id="174" w:name="_Toc164229364"/>
      <w:bookmarkStart w:id="175" w:name="_Toc164608792"/>
      <w:bookmarkStart w:id="176" w:name="_Toc264969213"/>
      <w:bookmarkStart w:id="177" w:name="_Toc127151523"/>
      <w:bookmarkStart w:id="178" w:name="_Toc127161437"/>
      <w:bookmarkStart w:id="179" w:name="_Toc195842888"/>
      <w:bookmarkStart w:id="180" w:name="_Toc305158865"/>
      <w:r>
        <w:rPr>
          <w:sz w:val="24"/>
        </w:rPr>
        <w:t>竞争性磋商文件构</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Pr>
          <w:sz w:val="24"/>
        </w:rPr>
        <w:t>成</w:t>
      </w:r>
    </w:p>
    <w:p w14:paraId="53421D56">
      <w:pPr>
        <w:tabs>
          <w:tab w:val="left" w:pos="1080"/>
          <w:tab w:val="left" w:pos="2014"/>
        </w:tabs>
        <w:snapToGrid w:val="0"/>
        <w:spacing w:line="360" w:lineRule="auto"/>
        <w:rPr>
          <w:sz w:val="24"/>
        </w:rPr>
      </w:pPr>
      <w:r>
        <w:rPr>
          <w:sz w:val="24"/>
        </w:rPr>
        <w:t>竞争性磋商文件包括以下部分：</w:t>
      </w:r>
    </w:p>
    <w:p w14:paraId="76C670D6">
      <w:pPr>
        <w:tabs>
          <w:tab w:val="left" w:pos="1980"/>
          <w:tab w:val="left" w:pos="2520"/>
          <w:tab w:val="left" w:pos="4941"/>
        </w:tabs>
        <w:snapToGrid w:val="0"/>
        <w:spacing w:line="360" w:lineRule="auto"/>
        <w:rPr>
          <w:sz w:val="24"/>
        </w:rPr>
      </w:pPr>
      <w:r>
        <w:rPr>
          <w:sz w:val="24"/>
        </w:rPr>
        <w:t>采购邀请</w:t>
      </w:r>
    </w:p>
    <w:p w14:paraId="7CED904B">
      <w:pPr>
        <w:tabs>
          <w:tab w:val="left" w:pos="1980"/>
          <w:tab w:val="left" w:pos="2520"/>
          <w:tab w:val="left" w:pos="4941"/>
        </w:tabs>
        <w:snapToGrid w:val="0"/>
        <w:spacing w:line="360" w:lineRule="auto"/>
        <w:rPr>
          <w:sz w:val="24"/>
        </w:rPr>
      </w:pPr>
      <w:r>
        <w:rPr>
          <w:sz w:val="24"/>
        </w:rPr>
        <w:t>供应商须知</w:t>
      </w:r>
    </w:p>
    <w:p w14:paraId="49E80361">
      <w:pPr>
        <w:tabs>
          <w:tab w:val="left" w:pos="1980"/>
          <w:tab w:val="left" w:pos="2520"/>
          <w:tab w:val="left" w:pos="4941"/>
        </w:tabs>
        <w:snapToGrid w:val="0"/>
        <w:spacing w:line="360" w:lineRule="auto"/>
        <w:rPr>
          <w:sz w:val="24"/>
        </w:rPr>
      </w:pPr>
      <w:r>
        <w:rPr>
          <w:sz w:val="24"/>
        </w:rPr>
        <w:t>评审方法和评审标准</w:t>
      </w:r>
    </w:p>
    <w:p w14:paraId="73FCFB51">
      <w:pPr>
        <w:tabs>
          <w:tab w:val="left" w:pos="1980"/>
          <w:tab w:val="left" w:pos="2520"/>
          <w:tab w:val="left" w:pos="4941"/>
        </w:tabs>
        <w:snapToGrid w:val="0"/>
        <w:spacing w:line="360" w:lineRule="auto"/>
        <w:rPr>
          <w:sz w:val="24"/>
        </w:rPr>
      </w:pPr>
      <w:r>
        <w:rPr>
          <w:sz w:val="24"/>
        </w:rPr>
        <w:t>采购需求</w:t>
      </w:r>
    </w:p>
    <w:p w14:paraId="498F74EC">
      <w:pPr>
        <w:tabs>
          <w:tab w:val="left" w:pos="1980"/>
          <w:tab w:val="left" w:pos="2520"/>
          <w:tab w:val="left" w:pos="4941"/>
        </w:tabs>
        <w:snapToGrid w:val="0"/>
        <w:spacing w:line="360" w:lineRule="auto"/>
        <w:rPr>
          <w:sz w:val="24"/>
        </w:rPr>
      </w:pPr>
      <w:r>
        <w:rPr>
          <w:sz w:val="24"/>
        </w:rPr>
        <w:t>合同草案条款</w:t>
      </w:r>
    </w:p>
    <w:p w14:paraId="44290582">
      <w:pPr>
        <w:tabs>
          <w:tab w:val="left" w:pos="1980"/>
          <w:tab w:val="left" w:pos="2520"/>
          <w:tab w:val="left" w:pos="4941"/>
        </w:tabs>
        <w:snapToGrid w:val="0"/>
        <w:spacing w:line="360" w:lineRule="auto"/>
        <w:rPr>
          <w:sz w:val="24"/>
        </w:rPr>
      </w:pPr>
      <w:r>
        <w:rPr>
          <w:sz w:val="24"/>
        </w:rPr>
        <w:t>响应文件格式</w:t>
      </w:r>
    </w:p>
    <w:p w14:paraId="5E5307B3">
      <w:pPr>
        <w:tabs>
          <w:tab w:val="left" w:pos="1080"/>
          <w:tab w:val="left" w:pos="2014"/>
        </w:tabs>
        <w:snapToGrid w:val="0"/>
        <w:spacing w:line="360" w:lineRule="auto"/>
        <w:rPr>
          <w:sz w:val="24"/>
        </w:rPr>
      </w:pPr>
      <w:r>
        <w:rPr>
          <w:sz w:val="24"/>
        </w:rPr>
        <w:t>供应商应认真阅读竞争性磋商文件的全部内容。供应商应按照竞争性磋商文件要求提交响应文件并保证所提供的全部资料的真实性，并对竞争性磋商文件做出实质性响应，否则</w:t>
      </w:r>
      <w:r>
        <w:rPr>
          <w:b/>
          <w:sz w:val="24"/>
        </w:rPr>
        <w:t>响应无效</w:t>
      </w:r>
      <w:r>
        <w:rPr>
          <w:sz w:val="24"/>
        </w:rPr>
        <w:t>。</w:t>
      </w:r>
    </w:p>
    <w:p w14:paraId="7AFDD8A3">
      <w:pPr>
        <w:tabs>
          <w:tab w:val="left" w:pos="1080"/>
          <w:tab w:val="left" w:pos="2014"/>
        </w:tabs>
        <w:snapToGrid w:val="0"/>
        <w:spacing w:line="360" w:lineRule="auto"/>
        <w:outlineLvl w:val="1"/>
        <w:rPr>
          <w:sz w:val="24"/>
        </w:rPr>
      </w:pPr>
      <w:r>
        <w:rPr>
          <w:sz w:val="24"/>
        </w:rPr>
        <w:t>对竞争性磋商文件的澄清或修改</w:t>
      </w:r>
    </w:p>
    <w:p w14:paraId="6BC05F83">
      <w:pPr>
        <w:tabs>
          <w:tab w:val="left" w:pos="1080"/>
          <w:tab w:val="left" w:pos="1561"/>
          <w:tab w:val="left" w:pos="2014"/>
        </w:tabs>
        <w:snapToGrid w:val="0"/>
        <w:spacing w:line="360" w:lineRule="auto"/>
        <w:rPr>
          <w:sz w:val="24"/>
        </w:rPr>
      </w:pPr>
      <w:r>
        <w:rPr>
          <w:sz w:val="24"/>
        </w:rPr>
        <w:t>采购人或采购代理机构对已发出的竞争性磋商文件进行必要澄清或者修改的，</w:t>
      </w:r>
      <w:r>
        <w:rPr>
          <w:rFonts w:hint="eastAsia"/>
          <w:sz w:val="24"/>
        </w:rPr>
        <w:t>将</w:t>
      </w:r>
      <w:r>
        <w:rPr>
          <w:sz w:val="24"/>
        </w:rPr>
        <w:t>以书面形式通知所有获取竞争性磋商文件的潜在供应商。</w:t>
      </w:r>
      <w:r>
        <w:rPr>
          <w:rFonts w:hint="eastAsia"/>
          <w:sz w:val="24"/>
        </w:rPr>
        <w:t>采用公告方式邀请供应商参与的，还将</w:t>
      </w:r>
      <w:r>
        <w:rPr>
          <w:sz w:val="24"/>
        </w:rPr>
        <w:t>在原公告发布媒体上发布更正公告</w:t>
      </w:r>
      <w:r>
        <w:rPr>
          <w:rFonts w:hint="eastAsia"/>
          <w:sz w:val="24"/>
        </w:rPr>
        <w:t>。</w:t>
      </w:r>
    </w:p>
    <w:p w14:paraId="5829495D">
      <w:pPr>
        <w:tabs>
          <w:tab w:val="left" w:pos="1080"/>
          <w:tab w:val="left" w:pos="1561"/>
          <w:tab w:val="left" w:pos="2014"/>
        </w:tabs>
        <w:snapToGrid w:val="0"/>
        <w:spacing w:line="360" w:lineRule="auto"/>
        <w:rPr>
          <w:sz w:val="24"/>
        </w:rPr>
      </w:pPr>
      <w:r>
        <w:rPr>
          <w:sz w:val="24"/>
        </w:rPr>
        <w:t>上述书面通知，按照获取竞争性磋商文件的潜在供应商提供的联系方式发出，因提供的信息有误导致通知延迟或无法通知的，采购人或采购代理机构不承担责任。</w:t>
      </w:r>
    </w:p>
    <w:p w14:paraId="03546DD5">
      <w:pPr>
        <w:tabs>
          <w:tab w:val="left" w:pos="1080"/>
          <w:tab w:val="left" w:pos="1561"/>
          <w:tab w:val="left" w:pos="2014"/>
        </w:tabs>
        <w:snapToGrid w:val="0"/>
        <w:spacing w:line="360" w:lineRule="auto"/>
        <w:rPr>
          <w:sz w:val="24"/>
        </w:rPr>
      </w:pPr>
      <w:r>
        <w:rPr>
          <w:sz w:val="24"/>
        </w:rPr>
        <w:t>澄清或者修改的内容为竞争性磋商文件的组成部分，并对所有获取竞争性磋商文件的潜在供应商具有约束力。澄清或者修改的内容可能影响响应文件编制的，将在提交首次响应文件截止之日3个工作日前；不足上述时间的，将顺延提交响应文件的截止时间。</w:t>
      </w:r>
    </w:p>
    <w:p w14:paraId="592FE459">
      <w:pPr>
        <w:tabs>
          <w:tab w:val="left" w:pos="1080"/>
          <w:tab w:val="left" w:pos="1561"/>
        </w:tabs>
        <w:snapToGrid w:val="0"/>
        <w:spacing w:line="360" w:lineRule="auto"/>
        <w:ind w:left="1080"/>
        <w:rPr>
          <w:sz w:val="28"/>
        </w:rPr>
      </w:pPr>
      <w:bookmarkStart w:id="181" w:name="_Toc516367020"/>
      <w:bookmarkStart w:id="182" w:name="_Toc305158794"/>
      <w:bookmarkStart w:id="183" w:name="_Toc151193914"/>
      <w:bookmarkStart w:id="184" w:name="_Toc226965799"/>
      <w:bookmarkStart w:id="185" w:name="_Toc226965716"/>
      <w:bookmarkStart w:id="186" w:name="_Toc142311028"/>
      <w:bookmarkStart w:id="187" w:name="_Toc520356150"/>
      <w:bookmarkStart w:id="188" w:name="_Toc195842891"/>
      <w:bookmarkStart w:id="189" w:name="_Toc150509277"/>
      <w:bookmarkStart w:id="190" w:name="_Toc151190153"/>
      <w:bookmarkStart w:id="191" w:name="_Toc127151526"/>
      <w:bookmarkStart w:id="192" w:name="_Toc226337222"/>
      <w:bookmarkStart w:id="193" w:name="_Toc151193624"/>
      <w:bookmarkStart w:id="194" w:name="_Toc264969216"/>
      <w:bookmarkStart w:id="195" w:name="_Toc150480764"/>
      <w:bookmarkStart w:id="196" w:name="_Toc151193768"/>
      <w:bookmarkStart w:id="197" w:name="_Toc226309770"/>
      <w:bookmarkStart w:id="198" w:name="_Toc151193840"/>
      <w:bookmarkStart w:id="199" w:name="_Toc150774626"/>
      <w:bookmarkStart w:id="200" w:name="_Toc305158868"/>
      <w:bookmarkStart w:id="201" w:name="_Toc150774731"/>
      <w:bookmarkStart w:id="202" w:name="_Toc265228364"/>
      <w:bookmarkStart w:id="203" w:name="_Toc151193696"/>
    </w:p>
    <w:p w14:paraId="7A4A75E1">
      <w:pPr>
        <w:pStyle w:val="6"/>
        <w:spacing w:before="0" w:line="360" w:lineRule="auto"/>
        <w:rPr>
          <w:rFonts w:ascii="Times New Roman" w:hAnsi="Times New Roman" w:eastAsia="宋体"/>
          <w:sz w:val="28"/>
        </w:rPr>
      </w:pPr>
      <w:r>
        <w:rPr>
          <w:rFonts w:ascii="Times New Roman" w:hAnsi="Times New Roman" w:eastAsia="宋体"/>
          <w:sz w:val="28"/>
        </w:rPr>
        <w:t>三   响应文件</w:t>
      </w:r>
      <w:bookmarkEnd w:id="181"/>
      <w:r>
        <w:rPr>
          <w:rFonts w:ascii="Times New Roman" w:hAnsi="Times New Roman" w:eastAsia="宋体"/>
          <w:sz w:val="28"/>
        </w:rPr>
        <w:t>的编制</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27C0C894">
      <w:pPr>
        <w:snapToGrid w:val="0"/>
        <w:spacing w:line="360" w:lineRule="auto"/>
        <w:outlineLvl w:val="1"/>
        <w:rPr>
          <w:sz w:val="24"/>
        </w:rPr>
      </w:pPr>
      <w:bookmarkStart w:id="204" w:name="_Toc305158795"/>
      <w:bookmarkStart w:id="205" w:name="_Toc151193915"/>
      <w:bookmarkStart w:id="206" w:name="_Toc142311029"/>
      <w:bookmarkStart w:id="207" w:name="_Toc150774627"/>
      <w:bookmarkStart w:id="208" w:name="_Toc226965717"/>
      <w:bookmarkStart w:id="209" w:name="_Toc226309771"/>
      <w:bookmarkStart w:id="210" w:name="_Toc164229222"/>
      <w:bookmarkStart w:id="211" w:name="_Toc226337223"/>
      <w:bookmarkStart w:id="212" w:name="_Toc265228365"/>
      <w:bookmarkStart w:id="213" w:name="_Toc226965800"/>
      <w:bookmarkStart w:id="214" w:name="_Toc164608796"/>
      <w:bookmarkStart w:id="215" w:name="_Toc127151527"/>
      <w:bookmarkStart w:id="216" w:name="_Toc149720820"/>
      <w:bookmarkStart w:id="217" w:name="_Toc520356151"/>
      <w:bookmarkStart w:id="218" w:name="_Toc195842892"/>
      <w:bookmarkStart w:id="219" w:name="_Toc150774732"/>
      <w:bookmarkStart w:id="220" w:name="_Toc127151728"/>
      <w:bookmarkStart w:id="221" w:name="_Toc151193841"/>
      <w:bookmarkStart w:id="222" w:name="_Toc151193769"/>
      <w:bookmarkStart w:id="223" w:name="_Toc164229368"/>
      <w:bookmarkStart w:id="224" w:name="_Toc164351621"/>
      <w:bookmarkStart w:id="225" w:name="_Toc516367021"/>
      <w:bookmarkStart w:id="226" w:name="_Toc151193697"/>
      <w:bookmarkStart w:id="227" w:name="_Toc127161441"/>
      <w:bookmarkStart w:id="228" w:name="_Toc150509278"/>
      <w:bookmarkStart w:id="229" w:name="_Toc164608641"/>
      <w:bookmarkStart w:id="230" w:name="_Toc305158869"/>
      <w:bookmarkStart w:id="231" w:name="_Toc150480765"/>
      <w:bookmarkStart w:id="232" w:name="_Toc264969217"/>
      <w:bookmarkStart w:id="233" w:name="_Toc151193625"/>
      <w:bookmarkStart w:id="234" w:name="_Toc151190154"/>
      <w:r>
        <w:rPr>
          <w:sz w:val="24"/>
        </w:rPr>
        <w:t>响应范围、竞争性磋商文件中计量单位的使用</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Pr>
          <w:sz w:val="24"/>
        </w:rPr>
        <w:t>及磋商语言</w:t>
      </w:r>
    </w:p>
    <w:p w14:paraId="2644FD14">
      <w:pPr>
        <w:tabs>
          <w:tab w:val="left" w:pos="1080"/>
          <w:tab w:val="left" w:pos="2014"/>
        </w:tabs>
        <w:snapToGrid w:val="0"/>
        <w:spacing w:line="360" w:lineRule="auto"/>
        <w:rPr>
          <w:sz w:val="24"/>
        </w:rPr>
      </w:pPr>
      <w:r>
        <w:rPr>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b/>
          <w:sz w:val="24"/>
        </w:rPr>
        <w:t>响应无效</w:t>
      </w:r>
      <w:r>
        <w:rPr>
          <w:sz w:val="24"/>
        </w:rPr>
        <w:t>。</w:t>
      </w:r>
    </w:p>
    <w:p w14:paraId="4426B3EF">
      <w:pPr>
        <w:tabs>
          <w:tab w:val="left" w:pos="1080"/>
          <w:tab w:val="left" w:pos="2014"/>
        </w:tabs>
        <w:snapToGrid w:val="0"/>
        <w:spacing w:line="360" w:lineRule="auto"/>
        <w:rPr>
          <w:sz w:val="24"/>
        </w:rPr>
      </w:pPr>
      <w:r>
        <w:rPr>
          <w:sz w:val="24"/>
        </w:rPr>
        <w:t>除竞争性磋商文件有特殊要求外，本项目磋商所使用的计量单位，应采用中华人民共和国法定计量单位。</w:t>
      </w:r>
    </w:p>
    <w:p w14:paraId="17F6226B">
      <w:pPr>
        <w:tabs>
          <w:tab w:val="left" w:pos="1080"/>
          <w:tab w:val="left" w:pos="2014"/>
        </w:tabs>
        <w:snapToGrid w:val="0"/>
        <w:spacing w:line="360" w:lineRule="auto"/>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5707902E">
      <w:pPr>
        <w:snapToGrid w:val="0"/>
        <w:spacing w:line="360" w:lineRule="auto"/>
        <w:outlineLvl w:val="1"/>
        <w:rPr>
          <w:sz w:val="24"/>
        </w:rPr>
      </w:pPr>
      <w:bookmarkStart w:id="235" w:name="_Ref467306195"/>
      <w:bookmarkStart w:id="236" w:name="_Ref467306676"/>
      <w:bookmarkStart w:id="237" w:name="_Toc516367022"/>
      <w:bookmarkStart w:id="238" w:name="_Toc150509279"/>
      <w:bookmarkStart w:id="239" w:name="_Toc127161442"/>
      <w:bookmarkStart w:id="240" w:name="_Toc142311030"/>
      <w:bookmarkStart w:id="241" w:name="_Toc164351622"/>
      <w:bookmarkStart w:id="242" w:name="_Toc520356152"/>
      <w:bookmarkStart w:id="243" w:name="_Toc127151528"/>
      <w:bookmarkStart w:id="244" w:name="_Toc151193916"/>
      <w:bookmarkStart w:id="245" w:name="_Toc150480766"/>
      <w:bookmarkStart w:id="246" w:name="_Toc151193842"/>
      <w:bookmarkStart w:id="247" w:name="_Toc164229369"/>
      <w:bookmarkStart w:id="248" w:name="_Toc164608797"/>
      <w:bookmarkStart w:id="249" w:name="_Toc265228366"/>
      <w:bookmarkStart w:id="250" w:name="_Toc305158796"/>
      <w:bookmarkStart w:id="251" w:name="_Toc164608642"/>
      <w:bookmarkStart w:id="252" w:name="_Toc226309772"/>
      <w:bookmarkStart w:id="253" w:name="_Toc150774733"/>
      <w:bookmarkStart w:id="254" w:name="_Toc226337224"/>
      <w:bookmarkStart w:id="255" w:name="_Toc226965801"/>
      <w:bookmarkStart w:id="256" w:name="_Toc164229223"/>
      <w:bookmarkStart w:id="257" w:name="_Toc195842893"/>
      <w:bookmarkStart w:id="258" w:name="_Toc226965718"/>
      <w:bookmarkStart w:id="259" w:name="_Toc149720821"/>
      <w:bookmarkStart w:id="260" w:name="_Toc150774628"/>
      <w:bookmarkStart w:id="261" w:name="_Toc305158870"/>
      <w:bookmarkStart w:id="262" w:name="_Toc127151729"/>
      <w:bookmarkStart w:id="263" w:name="_Toc151193698"/>
      <w:bookmarkStart w:id="264" w:name="_Toc151193626"/>
      <w:bookmarkStart w:id="265" w:name="_Toc151193770"/>
      <w:bookmarkStart w:id="266" w:name="_Toc264969218"/>
      <w:bookmarkStart w:id="267" w:name="_Toc151190155"/>
      <w:r>
        <w:rPr>
          <w:sz w:val="24"/>
        </w:rPr>
        <w:t>响应文件</w:t>
      </w:r>
      <w:bookmarkEnd w:id="235"/>
      <w:bookmarkEnd w:id="236"/>
      <w:bookmarkEnd w:id="237"/>
      <w:r>
        <w:rPr>
          <w:sz w:val="24"/>
        </w:rPr>
        <w:t>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2652CB72">
      <w:pPr>
        <w:tabs>
          <w:tab w:val="left" w:pos="1080"/>
          <w:tab w:val="left" w:pos="2014"/>
        </w:tabs>
        <w:snapToGrid w:val="0"/>
        <w:spacing w:line="360" w:lineRule="auto"/>
        <w:rPr>
          <w:sz w:val="24"/>
        </w:rPr>
      </w:pPr>
      <w:bookmarkStart w:id="268" w:name="_Ref467052588"/>
      <w:r>
        <w:rPr>
          <w:sz w:val="24"/>
        </w:rPr>
        <w:t>供应商应当按照竞争性磋商文件的要求编制响应文件，</w:t>
      </w:r>
      <w:r>
        <w:rPr>
          <w:kern w:val="0"/>
          <w:sz w:val="24"/>
        </w:rPr>
        <w:t>并对其提交的响应文件的真实性、合法性承担法律责任</w:t>
      </w:r>
      <w:r>
        <w:rPr>
          <w:sz w:val="24"/>
        </w:rPr>
        <w:t>。响应文件的部分格式要求，见第六章《响应文件格式》。</w:t>
      </w:r>
    </w:p>
    <w:p w14:paraId="711A607B">
      <w:pPr>
        <w:tabs>
          <w:tab w:val="left" w:pos="1080"/>
          <w:tab w:val="left" w:pos="2014"/>
        </w:tabs>
        <w:snapToGrid w:val="0"/>
        <w:spacing w:line="360" w:lineRule="auto"/>
        <w:rPr>
          <w:sz w:val="24"/>
        </w:rPr>
      </w:pPr>
      <w:r>
        <w:rPr>
          <w:kern w:val="0"/>
          <w:sz w:val="24"/>
        </w:rPr>
        <w:t>对于竞争性磋商文件中标记了“实质性格式”文件的，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。未标记“实质性格式”的文件和竞争性磋商文件未提供格式的内容，可由供应商自行编写。</w:t>
      </w:r>
    </w:p>
    <w:p w14:paraId="47D6C4DB">
      <w:pPr>
        <w:tabs>
          <w:tab w:val="left" w:pos="1080"/>
          <w:tab w:val="left" w:pos="2014"/>
        </w:tabs>
        <w:snapToGrid w:val="0"/>
        <w:spacing w:line="360" w:lineRule="auto"/>
        <w:rPr>
          <w:sz w:val="24"/>
        </w:rPr>
      </w:pPr>
      <w:r>
        <w:rPr>
          <w:sz w:val="24"/>
        </w:rPr>
        <w:t>第三章《评审方法和评审标准》中涉及的证明文件。</w:t>
      </w:r>
    </w:p>
    <w:p w14:paraId="1532D74C">
      <w:pPr>
        <w:tabs>
          <w:tab w:val="left" w:pos="1080"/>
          <w:tab w:val="left" w:pos="2014"/>
        </w:tabs>
        <w:snapToGrid w:val="0"/>
        <w:spacing w:line="360" w:lineRule="auto"/>
        <w:rPr>
          <w:sz w:val="24"/>
        </w:rPr>
      </w:pP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440AB61F">
      <w:pPr>
        <w:tabs>
          <w:tab w:val="left" w:pos="1080"/>
          <w:tab w:val="left" w:pos="2014"/>
        </w:tabs>
        <w:snapToGrid w:val="0"/>
        <w:spacing w:line="360" w:lineRule="auto"/>
        <w:rPr>
          <w:sz w:val="24"/>
        </w:rPr>
      </w:pPr>
      <w:r>
        <w:rPr>
          <w:sz w:val="24"/>
        </w:rPr>
        <w:t>供应商认为应附的其他材料。</w:t>
      </w:r>
      <w:bookmarkEnd w:id="268"/>
    </w:p>
    <w:p w14:paraId="05421045">
      <w:pPr>
        <w:snapToGrid w:val="0"/>
        <w:spacing w:line="360" w:lineRule="auto"/>
        <w:outlineLvl w:val="1"/>
        <w:rPr>
          <w:sz w:val="24"/>
        </w:rPr>
      </w:pPr>
      <w:bookmarkStart w:id="269" w:name="_Toc149720823"/>
      <w:bookmarkStart w:id="270" w:name="_Toc151190157"/>
      <w:bookmarkStart w:id="271" w:name="_Toc151193844"/>
      <w:bookmarkStart w:id="272" w:name="_Toc150774630"/>
      <w:bookmarkStart w:id="273" w:name="_Toc150774735"/>
      <w:bookmarkStart w:id="274" w:name="_Toc150509281"/>
      <w:bookmarkStart w:id="275" w:name="_Toc164229371"/>
      <w:bookmarkStart w:id="276" w:name="_Toc151193772"/>
      <w:bookmarkStart w:id="277" w:name="_Toc164608799"/>
      <w:bookmarkStart w:id="278" w:name="_Toc195842895"/>
      <w:bookmarkStart w:id="279" w:name="_Toc142311032"/>
      <w:bookmarkStart w:id="280" w:name="_Toc151193700"/>
      <w:bookmarkStart w:id="281" w:name="_Toc151193628"/>
      <w:bookmarkStart w:id="282" w:name="_Toc127151731"/>
      <w:bookmarkStart w:id="283" w:name="_Toc164608644"/>
      <w:bookmarkStart w:id="284" w:name="_Toc150480768"/>
      <w:bookmarkStart w:id="285" w:name="_Toc127161444"/>
      <w:bookmarkStart w:id="286" w:name="_Toc151193918"/>
      <w:bookmarkStart w:id="287" w:name="_Toc127151530"/>
      <w:bookmarkStart w:id="288" w:name="_Toc164229225"/>
      <w:bookmarkStart w:id="289" w:name="_Toc520356155"/>
      <w:bookmarkStart w:id="290" w:name="_Toc164351624"/>
      <w:r>
        <w:rPr>
          <w:sz w:val="24"/>
        </w:rPr>
        <w:t>报价</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426E9410">
      <w:pPr>
        <w:tabs>
          <w:tab w:val="left" w:pos="1080"/>
          <w:tab w:val="left" w:pos="2014"/>
        </w:tabs>
        <w:snapToGrid w:val="0"/>
        <w:spacing w:line="360" w:lineRule="auto"/>
        <w:rPr>
          <w:sz w:val="24"/>
        </w:rPr>
      </w:pPr>
      <w:r>
        <w:rPr>
          <w:sz w:val="24"/>
        </w:rPr>
        <w:t>所有响应均以人民币报价。</w:t>
      </w:r>
    </w:p>
    <w:p w14:paraId="047115F2">
      <w:pPr>
        <w:tabs>
          <w:tab w:val="left" w:pos="1080"/>
        </w:tabs>
        <w:snapToGrid w:val="0"/>
        <w:spacing w:line="360" w:lineRule="auto"/>
        <w:rPr>
          <w:sz w:val="24"/>
        </w:rPr>
      </w:pPr>
      <w:r>
        <w:rPr>
          <w:sz w:val="24"/>
        </w:rPr>
        <w:t>供应商的报价应包括为完成本项目所发生的一切费用和税费，采购人将不再支付报价以外的任何费用。</w:t>
      </w:r>
      <w:r>
        <w:rPr>
          <w:rFonts w:hint="eastAsia"/>
          <w:sz w:val="24"/>
        </w:rPr>
        <w:t>供应商的报价应包括但不限于下列内容，《供应商须知资料表》中有特殊规定的，从其规定。</w:t>
      </w:r>
    </w:p>
    <w:p w14:paraId="2B98C5EB">
      <w:pPr>
        <w:snapToGrid w:val="0"/>
        <w:spacing w:line="360" w:lineRule="auto"/>
        <w:rPr>
          <w:sz w:val="24"/>
        </w:rPr>
      </w:pPr>
      <w:r>
        <w:rPr>
          <w:sz w:val="24"/>
        </w:rPr>
        <w:t>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w:t>
      </w:r>
    </w:p>
    <w:p w14:paraId="178B4FC4">
      <w:pPr>
        <w:snapToGrid w:val="0"/>
        <w:spacing w:line="360" w:lineRule="auto"/>
        <w:rPr>
          <w:sz w:val="24"/>
        </w:rPr>
      </w:pPr>
      <w:r>
        <w:rPr>
          <w:sz w:val="24"/>
        </w:rPr>
        <w:t>按照竞争性磋商文件要求完成本项</w:t>
      </w:r>
      <w:r>
        <w:rPr>
          <w:rFonts w:hint="eastAsia"/>
          <w:sz w:val="24"/>
        </w:rPr>
        <w:t>目的全部相关工程或服务费用。</w:t>
      </w:r>
    </w:p>
    <w:p w14:paraId="00277676">
      <w:pPr>
        <w:tabs>
          <w:tab w:val="left" w:pos="1080"/>
          <w:tab w:val="left" w:pos="2014"/>
        </w:tabs>
        <w:snapToGrid w:val="0"/>
        <w:spacing w:line="360" w:lineRule="auto"/>
        <w:rPr>
          <w:sz w:val="24"/>
        </w:rPr>
      </w:pPr>
      <w:r>
        <w:rPr>
          <w:sz w:val="24"/>
        </w:rPr>
        <w:t>采购人不得向供应商索要或者接受其给予的赠品、回扣或者与采购无关的其他商品、服务。</w:t>
      </w:r>
    </w:p>
    <w:p w14:paraId="582DE355">
      <w:pPr>
        <w:tabs>
          <w:tab w:val="left" w:pos="1080"/>
          <w:tab w:val="left" w:pos="2014"/>
        </w:tabs>
        <w:snapToGrid w:val="0"/>
        <w:spacing w:line="360" w:lineRule="auto"/>
        <w:rPr>
          <w:sz w:val="24"/>
        </w:rPr>
      </w:pPr>
      <w:r>
        <w:rPr>
          <w:sz w:val="24"/>
        </w:rPr>
        <w:t>供应商不能提供任何有选择性或可调整的最后报价（</w:t>
      </w:r>
      <w:r>
        <w:rPr>
          <w:color w:val="000000"/>
          <w:kern w:val="0"/>
          <w:sz w:val="24"/>
        </w:rPr>
        <w:t>竞争性磋商文件</w:t>
      </w:r>
      <w:r>
        <w:rPr>
          <w:sz w:val="24"/>
        </w:rPr>
        <w:t>另有规定的除外），否则其</w:t>
      </w:r>
      <w:r>
        <w:rPr>
          <w:b/>
          <w:sz w:val="24"/>
        </w:rPr>
        <w:t>响应无效</w:t>
      </w:r>
      <w:r>
        <w:rPr>
          <w:sz w:val="24"/>
        </w:rPr>
        <w:t>。</w:t>
      </w:r>
    </w:p>
    <w:p w14:paraId="68EB9A1A">
      <w:pPr>
        <w:snapToGrid w:val="0"/>
        <w:spacing w:line="360" w:lineRule="auto"/>
        <w:outlineLvl w:val="1"/>
        <w:rPr>
          <w:sz w:val="24"/>
        </w:rPr>
      </w:pPr>
      <w:r>
        <w:rPr>
          <w:sz w:val="24"/>
        </w:rPr>
        <w:t>磋商保证金</w:t>
      </w:r>
    </w:p>
    <w:p w14:paraId="417AF477">
      <w:pPr>
        <w:tabs>
          <w:tab w:val="left" w:pos="1080"/>
          <w:tab w:val="left" w:pos="2014"/>
        </w:tabs>
        <w:snapToGrid w:val="0"/>
        <w:spacing w:line="360" w:lineRule="auto"/>
        <w:rPr>
          <w:sz w:val="24"/>
        </w:rPr>
      </w:pPr>
      <w:bookmarkStart w:id="291" w:name="_Ref467306302"/>
      <w:r>
        <w:rPr>
          <w:sz w:val="24"/>
        </w:rPr>
        <w:t>供应商应按《供应商须知资料表》中规定的金额及要求交纳磋商保证金</w:t>
      </w:r>
      <w:bookmarkEnd w:id="291"/>
      <w:r>
        <w:rPr>
          <w:sz w:val="24"/>
        </w:rPr>
        <w:t>，并作为其响应文件的一部分。</w:t>
      </w:r>
    </w:p>
    <w:p w14:paraId="2B8C6126">
      <w:pPr>
        <w:tabs>
          <w:tab w:val="left" w:pos="1080"/>
          <w:tab w:val="left" w:pos="2014"/>
        </w:tabs>
        <w:snapToGrid w:val="0"/>
        <w:spacing w:line="360" w:lineRule="auto"/>
        <w:rPr>
          <w:sz w:val="24"/>
        </w:rPr>
      </w:pPr>
      <w:r>
        <w:rPr>
          <w:sz w:val="24"/>
        </w:rPr>
        <w:t>交纳磋商保证金可采用的形式：政府采购法律法规接受的支票、汇票、本票、网上银行支付或者金融机构、担保机构出具的保函等非现金形式。</w:t>
      </w:r>
    </w:p>
    <w:p w14:paraId="0F5DB910">
      <w:pPr>
        <w:tabs>
          <w:tab w:val="left" w:pos="1080"/>
          <w:tab w:val="left" w:pos="2014"/>
        </w:tabs>
        <w:snapToGrid w:val="0"/>
        <w:spacing w:line="360" w:lineRule="auto"/>
        <w:rPr>
          <w:sz w:val="24"/>
        </w:rPr>
      </w:pPr>
      <w:r>
        <w:rPr>
          <w:sz w:val="24"/>
        </w:rPr>
        <w:t>磋商保证金到账（保函提交）截止时间同首次响应文件提交截止时间。以支票、汇票、本票、网上银行支付等形式提交磋商保证金的，应在首次响应文件提交截止时间前</w:t>
      </w:r>
      <w:r>
        <w:rPr>
          <w:rFonts w:hint="eastAsia"/>
          <w:sz w:val="24"/>
        </w:rPr>
        <w:t>到账</w:t>
      </w:r>
      <w:r>
        <w:rPr>
          <w:sz w:val="24"/>
        </w:rPr>
        <w:t>；</w:t>
      </w:r>
      <w:r>
        <w:rPr>
          <w:rFonts w:hint="eastAsia"/>
          <w:sz w:val="24"/>
        </w:rPr>
        <w:t>以</w:t>
      </w:r>
      <w:r>
        <w:rPr>
          <w:sz w:val="24"/>
        </w:rPr>
        <w:t>金融机构、担保机构出具的保函等形式提交</w:t>
      </w:r>
      <w:r>
        <w:rPr>
          <w:rFonts w:hint="eastAsia"/>
          <w:sz w:val="24"/>
        </w:rPr>
        <w:t>磋商</w:t>
      </w:r>
      <w:r>
        <w:rPr>
          <w:sz w:val="24"/>
        </w:rPr>
        <w:t>保证金的，应在首次响应文件</w:t>
      </w:r>
      <w:r>
        <w:rPr>
          <w:rFonts w:hint="eastAsia"/>
          <w:sz w:val="24"/>
        </w:rPr>
        <w:t>提交</w:t>
      </w:r>
      <w:r>
        <w:rPr>
          <w:sz w:val="24"/>
        </w:rPr>
        <w:t>截止时间前将原件提交至采购代理机构；由于</w:t>
      </w:r>
      <w:r>
        <w:rPr>
          <w:rFonts w:hint="eastAsia"/>
          <w:sz w:val="24"/>
        </w:rPr>
        <w:t>到账时间</w:t>
      </w:r>
      <w:r>
        <w:rPr>
          <w:sz w:val="24"/>
        </w:rPr>
        <w:t>晚于首次响应文件提交截止时间的，或者票据错误、印鉴不清等原因导致不能到账的，其</w:t>
      </w:r>
      <w:r>
        <w:rPr>
          <w:b/>
          <w:sz w:val="24"/>
        </w:rPr>
        <w:t>响应无效</w:t>
      </w:r>
      <w:r>
        <w:rPr>
          <w:sz w:val="24"/>
        </w:rPr>
        <w:t>。</w:t>
      </w:r>
    </w:p>
    <w:p w14:paraId="5341FE2B">
      <w:pPr>
        <w:tabs>
          <w:tab w:val="left" w:pos="1080"/>
          <w:tab w:val="left" w:pos="2014"/>
        </w:tabs>
        <w:snapToGrid w:val="0"/>
        <w:spacing w:line="360" w:lineRule="auto"/>
        <w:rPr>
          <w:sz w:val="24"/>
        </w:rPr>
      </w:pPr>
      <w:r>
        <w:rPr>
          <w:sz w:val="24"/>
        </w:rPr>
        <w:t>磋商保证金（保函）有效期同响应有效期。</w:t>
      </w:r>
    </w:p>
    <w:p w14:paraId="44896655">
      <w:pPr>
        <w:tabs>
          <w:tab w:val="left" w:pos="1080"/>
          <w:tab w:val="left" w:pos="2014"/>
        </w:tabs>
        <w:snapToGrid w:val="0"/>
        <w:spacing w:line="360" w:lineRule="auto"/>
        <w:rPr>
          <w:sz w:val="24"/>
        </w:rPr>
      </w:pPr>
      <w:r>
        <w:rPr>
          <w:sz w:val="24"/>
        </w:rPr>
        <w:t>供应商为联合体的，可以由联合体中的一方或者多方共同交纳磋商保证金，其交纳的保证金对联合体各方均具有约束力。</w:t>
      </w:r>
    </w:p>
    <w:p w14:paraId="2EBE54F2">
      <w:pPr>
        <w:tabs>
          <w:tab w:val="left" w:pos="1080"/>
          <w:tab w:val="left" w:pos="2014"/>
        </w:tabs>
        <w:snapToGrid w:val="0"/>
        <w:spacing w:line="360" w:lineRule="auto"/>
        <w:rPr>
          <w:sz w:val="24"/>
        </w:rPr>
      </w:pPr>
      <w:r>
        <w:rPr>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014C5962">
      <w:pPr>
        <w:snapToGrid w:val="0"/>
        <w:spacing w:line="360" w:lineRule="auto"/>
        <w:rPr>
          <w:sz w:val="24"/>
        </w:rPr>
      </w:pPr>
      <w:r>
        <w:rPr>
          <w:snapToGrid w:val="0"/>
          <w:kern w:val="0"/>
          <w:sz w:val="24"/>
        </w:rPr>
        <w:t>已提交响应文件的供应商，在提交最后报价之前，可以根据磋商情况退出磋商。采购人、采购代理机构将退还退出磋商的供应商的磋商保证金</w:t>
      </w:r>
      <w:r>
        <w:rPr>
          <w:rFonts w:hint="eastAsia"/>
          <w:snapToGrid w:val="0"/>
          <w:kern w:val="0"/>
          <w:sz w:val="24"/>
        </w:rPr>
        <w:t>；</w:t>
      </w:r>
    </w:p>
    <w:p w14:paraId="766DE88C">
      <w:pPr>
        <w:snapToGrid w:val="0"/>
        <w:spacing w:line="360" w:lineRule="auto"/>
        <w:rPr>
          <w:sz w:val="24"/>
        </w:rPr>
      </w:pPr>
      <w:r>
        <w:rPr>
          <w:sz w:val="24"/>
        </w:rPr>
        <w:t>成交供应商的磋商保证金，在采购合同签订后5个工作日内退还成交供应商；</w:t>
      </w:r>
    </w:p>
    <w:p w14:paraId="78C4FACF">
      <w:pPr>
        <w:snapToGrid w:val="0"/>
        <w:spacing w:line="360" w:lineRule="auto"/>
        <w:rPr>
          <w:sz w:val="24"/>
        </w:rPr>
      </w:pPr>
      <w:r>
        <w:rPr>
          <w:sz w:val="24"/>
        </w:rPr>
        <w:t>未成交供应商的磋商保证金，在成交通知书发出后5个工作日内退还</w:t>
      </w:r>
      <w:r>
        <w:rPr>
          <w:rFonts w:hint="eastAsia"/>
          <w:sz w:val="24"/>
        </w:rPr>
        <w:t>。</w:t>
      </w:r>
    </w:p>
    <w:p w14:paraId="5B731C00">
      <w:pPr>
        <w:tabs>
          <w:tab w:val="left" w:pos="1080"/>
          <w:tab w:val="left" w:pos="2014"/>
        </w:tabs>
        <w:snapToGrid w:val="0"/>
        <w:spacing w:line="360" w:lineRule="auto"/>
        <w:rPr>
          <w:sz w:val="24"/>
        </w:rPr>
      </w:pPr>
      <w:r>
        <w:rPr>
          <w:sz w:val="24"/>
        </w:rPr>
        <w:t>有下列情形之一的，采购人或采购代理机构不予退还磋商保证金：</w:t>
      </w:r>
    </w:p>
    <w:p w14:paraId="35FBEC4A">
      <w:pPr>
        <w:snapToGrid w:val="0"/>
        <w:spacing w:line="360" w:lineRule="auto"/>
        <w:rPr>
          <w:sz w:val="24"/>
        </w:rPr>
      </w:pPr>
      <w:r>
        <w:rPr>
          <w:sz w:val="24"/>
        </w:rPr>
        <w:t>供应商在提交响应文件截止时间后撤回响应文件的；</w:t>
      </w:r>
    </w:p>
    <w:p w14:paraId="3D35642A">
      <w:pPr>
        <w:snapToGrid w:val="0"/>
        <w:spacing w:line="360" w:lineRule="auto"/>
        <w:rPr>
          <w:sz w:val="24"/>
        </w:rPr>
      </w:pPr>
      <w:r>
        <w:rPr>
          <w:sz w:val="24"/>
        </w:rPr>
        <w:t>供应商在响应文件中提供虚假材料的；</w:t>
      </w:r>
    </w:p>
    <w:p w14:paraId="0F86780B">
      <w:pPr>
        <w:snapToGrid w:val="0"/>
        <w:spacing w:line="360" w:lineRule="auto"/>
        <w:rPr>
          <w:sz w:val="24"/>
        </w:rPr>
      </w:pPr>
      <w:r>
        <w:rPr>
          <w:sz w:val="24"/>
        </w:rPr>
        <w:t>除因不可抗力或磋商文件认可的情形以外，成交供应商不与采购人签订合同的；</w:t>
      </w:r>
    </w:p>
    <w:p w14:paraId="11ADBAAF">
      <w:pPr>
        <w:snapToGrid w:val="0"/>
        <w:spacing w:line="360" w:lineRule="auto"/>
        <w:rPr>
          <w:sz w:val="24"/>
        </w:rPr>
      </w:pPr>
      <w:r>
        <w:rPr>
          <w:sz w:val="24"/>
        </w:rPr>
        <w:t>供应商与采购人、其他供应商或者采购代理机构恶意串通的；</w:t>
      </w:r>
    </w:p>
    <w:p w14:paraId="2EDA97F2">
      <w:pPr>
        <w:snapToGrid w:val="0"/>
        <w:spacing w:line="360" w:lineRule="auto"/>
        <w:rPr>
          <w:sz w:val="24"/>
        </w:rPr>
      </w:pPr>
      <w:r>
        <w:rPr>
          <w:sz w:val="24"/>
        </w:rPr>
        <w:t>《供应商须知资料表》规定的其他情形。</w:t>
      </w:r>
    </w:p>
    <w:p w14:paraId="04B5F57B">
      <w:pPr>
        <w:snapToGrid w:val="0"/>
        <w:spacing w:line="360" w:lineRule="auto"/>
        <w:outlineLvl w:val="1"/>
        <w:rPr>
          <w:sz w:val="24"/>
        </w:rPr>
      </w:pPr>
      <w:r>
        <w:rPr>
          <w:sz w:val="24"/>
        </w:rPr>
        <w:t>响应有效期</w:t>
      </w:r>
    </w:p>
    <w:p w14:paraId="4DDB43C2">
      <w:pPr>
        <w:tabs>
          <w:tab w:val="left" w:pos="1080"/>
          <w:tab w:val="left" w:pos="2014"/>
        </w:tabs>
        <w:snapToGrid w:val="0"/>
        <w:spacing w:line="360" w:lineRule="auto"/>
        <w:rPr>
          <w:sz w:val="24"/>
        </w:rPr>
      </w:pPr>
      <w:r>
        <w:rPr>
          <w:sz w:val="24"/>
        </w:rPr>
        <w:t>响应文件应在本竞争性磋商文件《供应商须知资料表》中规定的响应有效期内保持有效，响应有效期少于竞争性磋商文件规定期限的，其</w:t>
      </w:r>
      <w:r>
        <w:rPr>
          <w:b/>
          <w:sz w:val="24"/>
        </w:rPr>
        <w:t>响应无效</w:t>
      </w:r>
      <w:r>
        <w:rPr>
          <w:sz w:val="24"/>
        </w:rPr>
        <w:t>。</w:t>
      </w:r>
    </w:p>
    <w:p w14:paraId="53E645C4">
      <w:pPr>
        <w:snapToGrid w:val="0"/>
        <w:spacing w:line="360" w:lineRule="auto"/>
        <w:outlineLvl w:val="1"/>
        <w:rPr>
          <w:sz w:val="24"/>
        </w:rPr>
      </w:pPr>
      <w:bookmarkStart w:id="292" w:name="_Toc151193631"/>
      <w:bookmarkStart w:id="293" w:name="_Toc142311035"/>
      <w:bookmarkStart w:id="294" w:name="_Toc164229228"/>
      <w:bookmarkStart w:id="295" w:name="_Toc150774633"/>
      <w:bookmarkStart w:id="296" w:name="_Toc151193921"/>
      <w:bookmarkStart w:id="297" w:name="_Toc226337229"/>
      <w:bookmarkStart w:id="298" w:name="_Toc265228371"/>
      <w:bookmarkStart w:id="299" w:name="_Toc164608647"/>
      <w:bookmarkStart w:id="300" w:name="_Toc305158875"/>
      <w:bookmarkStart w:id="301" w:name="_Toc226965806"/>
      <w:bookmarkStart w:id="302" w:name="_Toc127151533"/>
      <w:bookmarkStart w:id="303" w:name="_Toc164229374"/>
      <w:bookmarkStart w:id="304" w:name="_Toc164608802"/>
      <w:bookmarkStart w:id="305" w:name="_Toc127151734"/>
      <w:bookmarkStart w:id="306" w:name="_Toc150774738"/>
      <w:bookmarkStart w:id="307" w:name="_Toc151190160"/>
      <w:bookmarkStart w:id="308" w:name="_Toc195842898"/>
      <w:bookmarkStart w:id="309" w:name="_Toc151193703"/>
      <w:bookmarkStart w:id="310" w:name="_Toc151193847"/>
      <w:bookmarkStart w:id="311" w:name="_Toc127161447"/>
      <w:bookmarkStart w:id="312" w:name="_Toc520356158"/>
      <w:bookmarkStart w:id="313" w:name="_Toc226965723"/>
      <w:bookmarkStart w:id="314" w:name="_Toc226309777"/>
      <w:bookmarkStart w:id="315" w:name="_Toc264969223"/>
      <w:bookmarkStart w:id="316" w:name="_Toc149720826"/>
      <w:bookmarkStart w:id="317" w:name="_Toc150509284"/>
      <w:bookmarkStart w:id="318" w:name="_Toc151193775"/>
      <w:bookmarkStart w:id="319" w:name="_Toc305158801"/>
      <w:bookmarkStart w:id="320" w:name="_Toc150480771"/>
      <w:bookmarkStart w:id="321" w:name="_Toc164351627"/>
      <w:r>
        <w:rPr>
          <w:sz w:val="24"/>
        </w:rPr>
        <w:t>响应文件的签署</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r>
        <w:rPr>
          <w:sz w:val="24"/>
        </w:rPr>
        <w:t>、盖章</w:t>
      </w:r>
    </w:p>
    <w:p w14:paraId="1036A2A3">
      <w:pPr>
        <w:tabs>
          <w:tab w:val="left" w:pos="1080"/>
          <w:tab w:val="left" w:pos="2014"/>
        </w:tabs>
        <w:snapToGrid w:val="0"/>
        <w:spacing w:line="360" w:lineRule="auto"/>
        <w:rPr>
          <w:rFonts w:hint="eastAsia"/>
          <w:sz w:val="24"/>
        </w:rPr>
      </w:pPr>
      <w:bookmarkStart w:id="322" w:name="_Toc151190161"/>
      <w:bookmarkStart w:id="323" w:name="_Toc150480772"/>
      <w:bookmarkStart w:id="324" w:name="_Toc151193922"/>
      <w:bookmarkStart w:id="325" w:name="_Toc142311036"/>
      <w:bookmarkStart w:id="326" w:name="_Toc226965724"/>
      <w:bookmarkStart w:id="327" w:name="_Toc265228372"/>
      <w:bookmarkStart w:id="328" w:name="_Toc305158802"/>
      <w:bookmarkStart w:id="329" w:name="_Toc150774634"/>
      <w:bookmarkStart w:id="330" w:name="_Toc151193632"/>
      <w:bookmarkStart w:id="331" w:name="_Toc305158876"/>
      <w:bookmarkStart w:id="332" w:name="_Toc226309778"/>
      <w:bookmarkStart w:id="333" w:name="_Toc127151534"/>
      <w:bookmarkStart w:id="334" w:name="_Toc195842899"/>
      <w:bookmarkStart w:id="335" w:name="_Toc226337230"/>
      <w:bookmarkStart w:id="336" w:name="_Toc151193776"/>
      <w:bookmarkStart w:id="337" w:name="_Toc264969224"/>
      <w:bookmarkStart w:id="338" w:name="_Toc150509285"/>
      <w:bookmarkStart w:id="339" w:name="_Toc151193704"/>
      <w:bookmarkStart w:id="340" w:name="_Toc151193848"/>
      <w:bookmarkStart w:id="341" w:name="_Toc520356159"/>
      <w:bookmarkStart w:id="342" w:name="_Toc226965807"/>
      <w:bookmarkStart w:id="343" w:name="_Toc150774739"/>
      <w:r>
        <w:rPr>
          <w:rFonts w:hint="eastAsia"/>
          <w:sz w:val="24"/>
        </w:rPr>
        <w:t>本磋商文件中所要求加盖的供应商公章是指与供应商名称全称相一致的“行政公章”，不得加盖其它“合同专用章、投标专用章、财务专用章”等非行政公章；“签字”是指供应商法定代表人或授权代表在磋商文件规定处亲笔写上本人姓名或本人签章；“法定代表人盖章”是指供应商法定代表人在磋商文件规定处加盖个人名章、手签章、印鉴等。</w:t>
      </w:r>
    </w:p>
    <w:p w14:paraId="3615B369">
      <w:pPr>
        <w:tabs>
          <w:tab w:val="left" w:pos="900"/>
          <w:tab w:val="left" w:pos="1080"/>
        </w:tabs>
        <w:snapToGrid w:val="0"/>
        <w:spacing w:line="360" w:lineRule="auto"/>
        <w:ind w:left="357"/>
      </w:pPr>
    </w:p>
    <w:p w14:paraId="65B5CEEA">
      <w:pPr>
        <w:pStyle w:val="6"/>
        <w:spacing w:before="0" w:line="360" w:lineRule="auto"/>
        <w:rPr>
          <w:rFonts w:ascii="Times New Roman" w:hAnsi="Times New Roman" w:eastAsia="宋体"/>
          <w:sz w:val="28"/>
        </w:rPr>
      </w:pPr>
      <w:r>
        <w:rPr>
          <w:rFonts w:ascii="Times New Roman" w:hAnsi="Times New Roman" w:eastAsia="宋体"/>
          <w:sz w:val="28"/>
        </w:rPr>
        <w:t>四   响应文件的提交</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52E6EE8A">
      <w:pPr>
        <w:snapToGrid w:val="0"/>
        <w:spacing w:line="360" w:lineRule="auto"/>
        <w:outlineLvl w:val="1"/>
        <w:rPr>
          <w:sz w:val="24"/>
        </w:rPr>
      </w:pPr>
      <w:bookmarkStart w:id="344" w:name="_Toc164229230"/>
      <w:bookmarkStart w:id="345" w:name="_Toc264969225"/>
      <w:bookmarkStart w:id="346" w:name="_Toc127151736"/>
      <w:bookmarkStart w:id="347" w:name="_Toc164608649"/>
      <w:bookmarkStart w:id="348" w:name="_Toc305158803"/>
      <w:bookmarkStart w:id="349" w:name="_Toc151193849"/>
      <w:bookmarkStart w:id="350" w:name="_Toc150509286"/>
      <w:bookmarkStart w:id="351" w:name="_Toc127161449"/>
      <w:bookmarkStart w:id="352" w:name="_Toc149720828"/>
      <w:bookmarkStart w:id="353" w:name="_Toc520356160"/>
      <w:bookmarkStart w:id="354" w:name="_Toc195842900"/>
      <w:bookmarkStart w:id="355" w:name="_Toc127151535"/>
      <w:bookmarkStart w:id="356" w:name="_Toc305158877"/>
      <w:bookmarkStart w:id="357" w:name="_Toc151193777"/>
      <w:bookmarkStart w:id="358" w:name="_Toc226965808"/>
      <w:bookmarkStart w:id="359" w:name="_Toc150480773"/>
      <w:bookmarkStart w:id="360" w:name="_Toc150774635"/>
      <w:bookmarkStart w:id="361" w:name="_Toc265228373"/>
      <w:bookmarkStart w:id="362" w:name="_Toc151193705"/>
      <w:bookmarkStart w:id="363" w:name="_Toc164608804"/>
      <w:bookmarkStart w:id="364" w:name="_Toc164229376"/>
      <w:bookmarkStart w:id="365" w:name="_Toc226965725"/>
      <w:bookmarkStart w:id="366" w:name="_Toc226337231"/>
      <w:bookmarkStart w:id="367" w:name="_Toc151193633"/>
      <w:bookmarkStart w:id="368" w:name="_Toc150774740"/>
      <w:bookmarkStart w:id="369" w:name="_Toc164351629"/>
      <w:bookmarkStart w:id="370" w:name="_Toc226309779"/>
      <w:bookmarkStart w:id="371" w:name="_Toc142311037"/>
      <w:bookmarkStart w:id="372" w:name="_Toc151193923"/>
      <w:bookmarkStart w:id="373" w:name="_Toc151190162"/>
      <w:r>
        <w:rPr>
          <w:sz w:val="24"/>
        </w:rPr>
        <w:t>响应文件的</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r>
        <w:rPr>
          <w:sz w:val="24"/>
        </w:rPr>
        <w:t>提交</w:t>
      </w:r>
    </w:p>
    <w:p w14:paraId="32FCCB13">
      <w:pPr>
        <w:tabs>
          <w:tab w:val="left" w:pos="1080"/>
          <w:tab w:val="left" w:pos="2014"/>
        </w:tabs>
        <w:snapToGrid w:val="0"/>
        <w:spacing w:line="360" w:lineRule="auto"/>
        <w:rPr>
          <w:rFonts w:hint="eastAsia"/>
          <w:sz w:val="24"/>
        </w:rPr>
      </w:pPr>
      <w:bookmarkStart w:id="374" w:name="_Toc164608805"/>
      <w:bookmarkStart w:id="375" w:name="_Toc151190163"/>
      <w:bookmarkStart w:id="376" w:name="_Toc151193778"/>
      <w:bookmarkStart w:id="377" w:name="_Toc265228374"/>
      <w:bookmarkStart w:id="378" w:name="_Toc264969226"/>
      <w:bookmarkStart w:id="379" w:name="_Toc226309780"/>
      <w:bookmarkStart w:id="380" w:name="_Toc150480774"/>
      <w:bookmarkStart w:id="381" w:name="_Toc127151536"/>
      <w:bookmarkStart w:id="382" w:name="_Toc151193706"/>
      <w:bookmarkStart w:id="383" w:name="_Toc151193850"/>
      <w:bookmarkStart w:id="384" w:name="_Toc226337232"/>
      <w:bookmarkStart w:id="385" w:name="_Toc226965726"/>
      <w:bookmarkStart w:id="386" w:name="_Toc305158804"/>
      <w:bookmarkStart w:id="387" w:name="_Toc151193634"/>
      <w:bookmarkStart w:id="388" w:name="_Toc150509287"/>
      <w:bookmarkStart w:id="389" w:name="_Toc150774636"/>
      <w:bookmarkStart w:id="390" w:name="_Toc127161450"/>
      <w:bookmarkStart w:id="391" w:name="_Toc149720829"/>
      <w:bookmarkStart w:id="392" w:name="_Toc127151737"/>
      <w:bookmarkStart w:id="393" w:name="_Toc164351630"/>
      <w:bookmarkStart w:id="394" w:name="_Toc150774741"/>
      <w:bookmarkStart w:id="395" w:name="_Toc164229231"/>
      <w:bookmarkStart w:id="396" w:name="_Toc164608650"/>
      <w:bookmarkStart w:id="397" w:name="_Toc151193924"/>
      <w:bookmarkStart w:id="398" w:name="_Toc520356161"/>
      <w:bookmarkStart w:id="399" w:name="_Toc305158878"/>
      <w:bookmarkStart w:id="400" w:name="_Toc142311038"/>
      <w:bookmarkStart w:id="401" w:name="_Toc164229377"/>
      <w:bookmarkStart w:id="402" w:name="_Toc195842901"/>
      <w:bookmarkStart w:id="403" w:name="_Toc226965809"/>
      <w:r>
        <w:rPr>
          <w:rFonts w:hint="eastAsia"/>
          <w:sz w:val="24"/>
        </w:rPr>
        <w:t>提交首次响应文件时，</w:t>
      </w:r>
      <w:r>
        <w:rPr>
          <w:rFonts w:hint="eastAsia" w:ascii="宋体" w:hAnsi="宋体" w:cs="宋体"/>
          <w:color w:val="000000"/>
          <w:sz w:val="24"/>
        </w:rPr>
        <w:t>供应商应递交响应文件正本壹份、副本贰份，电子版u盘壹份（word版和正本扫描盖章后彩色扫描pdf版）</w:t>
      </w:r>
      <w:r>
        <w:rPr>
          <w:rFonts w:hint="eastAsia"/>
          <w:sz w:val="24"/>
        </w:rPr>
        <w:t>密封提交。</w:t>
      </w:r>
    </w:p>
    <w:p w14:paraId="183D342C">
      <w:pPr>
        <w:tabs>
          <w:tab w:val="left" w:pos="1080"/>
          <w:tab w:val="left" w:pos="2014"/>
        </w:tabs>
        <w:snapToGrid w:val="0"/>
        <w:spacing w:line="360" w:lineRule="auto"/>
        <w:rPr>
          <w:rFonts w:hint="eastAsia"/>
          <w:sz w:val="24"/>
        </w:rPr>
      </w:pPr>
      <w:r>
        <w:rPr>
          <w:rFonts w:hint="eastAsia"/>
          <w:sz w:val="24"/>
        </w:rPr>
        <w:t>所有信封或纸箱上均应：</w:t>
      </w:r>
    </w:p>
    <w:p w14:paraId="4D421C6D">
      <w:pPr>
        <w:tabs>
          <w:tab w:val="left" w:pos="1080"/>
          <w:tab w:val="left" w:pos="2014"/>
        </w:tabs>
        <w:snapToGrid w:val="0"/>
        <w:spacing w:line="360" w:lineRule="auto"/>
        <w:ind w:left="357" w:firstLine="720" w:firstLineChars="300"/>
        <w:rPr>
          <w:rFonts w:hint="eastAsia"/>
          <w:sz w:val="24"/>
        </w:rPr>
      </w:pPr>
      <w:r>
        <w:rPr>
          <w:rFonts w:hint="eastAsia"/>
          <w:sz w:val="24"/>
        </w:rPr>
        <w:t>1）清楚标明递交至磋商文件中所要求的地址。</w:t>
      </w:r>
    </w:p>
    <w:p w14:paraId="6885F45E">
      <w:pPr>
        <w:tabs>
          <w:tab w:val="left" w:pos="1080"/>
          <w:tab w:val="left" w:pos="2014"/>
        </w:tabs>
        <w:snapToGrid w:val="0"/>
        <w:spacing w:line="360" w:lineRule="auto"/>
        <w:ind w:left="1075" w:leftChars="512"/>
        <w:rPr>
          <w:rFonts w:hint="eastAsia"/>
          <w:sz w:val="24"/>
        </w:rPr>
      </w:pPr>
      <w:r>
        <w:rPr>
          <w:rFonts w:hint="eastAsia"/>
          <w:sz w:val="24"/>
        </w:rPr>
        <w:t>2）注明项目名称、项目编号和“在  （          时间）之前不得启封”的字样（填入规定的提交首次响应文件递交截止日期和时间）。</w:t>
      </w:r>
    </w:p>
    <w:p w14:paraId="254D1C1F">
      <w:pPr>
        <w:tabs>
          <w:tab w:val="left" w:pos="1080"/>
          <w:tab w:val="left" w:pos="2014"/>
        </w:tabs>
        <w:snapToGrid w:val="0"/>
        <w:spacing w:line="360" w:lineRule="auto"/>
        <w:ind w:left="357" w:firstLine="720" w:firstLineChars="300"/>
        <w:rPr>
          <w:rFonts w:hint="eastAsia"/>
          <w:sz w:val="24"/>
        </w:rPr>
      </w:pPr>
      <w:r>
        <w:rPr>
          <w:rFonts w:hint="eastAsia"/>
          <w:sz w:val="24"/>
        </w:rPr>
        <w:t>3）在信封或纸箱的封装处加盖供应商公章。</w:t>
      </w:r>
    </w:p>
    <w:p w14:paraId="38754109">
      <w:pPr>
        <w:tabs>
          <w:tab w:val="left" w:pos="1080"/>
          <w:tab w:val="left" w:pos="2014"/>
        </w:tabs>
        <w:snapToGrid w:val="0"/>
        <w:spacing w:line="360" w:lineRule="auto"/>
        <w:rPr>
          <w:rFonts w:hint="eastAsia"/>
          <w:sz w:val="24"/>
        </w:rPr>
      </w:pPr>
      <w:r>
        <w:rPr>
          <w:rFonts w:hint="eastAsia"/>
          <w:sz w:val="24"/>
        </w:rPr>
        <w:t>所有信封或纸箱上还应写明供应商名称和地址，以便若其文件被宣布为“迟到”响应文件时，能原封退回。</w:t>
      </w:r>
    </w:p>
    <w:p w14:paraId="0647A298">
      <w:pPr>
        <w:tabs>
          <w:tab w:val="left" w:pos="1080"/>
          <w:tab w:val="left" w:pos="2014"/>
        </w:tabs>
        <w:snapToGrid w:val="0"/>
        <w:spacing w:line="360" w:lineRule="auto"/>
        <w:rPr>
          <w:rFonts w:hint="eastAsia"/>
          <w:sz w:val="24"/>
        </w:rPr>
      </w:pPr>
      <w:r>
        <w:rPr>
          <w:rFonts w:hint="eastAsia"/>
          <w:sz w:val="24"/>
        </w:rPr>
        <w:t>如果供应商未按上述要求密封及加写标记，采购单位对响应文件的误投或过早启封概不负责。</w:t>
      </w:r>
    </w:p>
    <w:p w14:paraId="1A7A5942">
      <w:pPr>
        <w:snapToGrid w:val="0"/>
        <w:spacing w:line="360" w:lineRule="auto"/>
        <w:outlineLvl w:val="1"/>
        <w:rPr>
          <w:sz w:val="24"/>
        </w:rPr>
      </w:pPr>
      <w:r>
        <w:rPr>
          <w:sz w:val="24"/>
        </w:rPr>
        <w:t>响应文件截止</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r>
        <w:rPr>
          <w:sz w:val="24"/>
        </w:rPr>
        <w:t>时间</w:t>
      </w:r>
    </w:p>
    <w:p w14:paraId="6B86E16B">
      <w:pPr>
        <w:tabs>
          <w:tab w:val="left" w:pos="1080"/>
          <w:tab w:val="left" w:pos="2014"/>
        </w:tabs>
        <w:snapToGrid w:val="0"/>
        <w:spacing w:line="360" w:lineRule="auto"/>
        <w:rPr>
          <w:sz w:val="24"/>
        </w:rPr>
      </w:pPr>
      <w:r>
        <w:rPr>
          <w:sz w:val="24"/>
        </w:rPr>
        <w:t>供应商应在竞争性磋商文件要求提交响应文件截止时间前，</w:t>
      </w:r>
      <w:r>
        <w:rPr>
          <w:rFonts w:hint="eastAsia" w:ascii="宋体"/>
          <w:sz w:val="24"/>
        </w:rPr>
        <w:t>将响应文件密封递交到磋商文件指定地点</w:t>
      </w:r>
      <w:r>
        <w:rPr>
          <w:sz w:val="24"/>
        </w:rPr>
        <w:t>。</w:t>
      </w:r>
    </w:p>
    <w:p w14:paraId="0975D293">
      <w:pPr>
        <w:snapToGrid w:val="0"/>
        <w:spacing w:line="360" w:lineRule="auto"/>
        <w:outlineLvl w:val="1"/>
        <w:rPr>
          <w:sz w:val="24"/>
        </w:rPr>
      </w:pPr>
      <w:bookmarkStart w:id="404" w:name="_Toc520356162"/>
      <w:bookmarkStart w:id="405" w:name="_Toc164229378"/>
      <w:bookmarkStart w:id="406" w:name="_Toc264969227"/>
      <w:bookmarkStart w:id="407" w:name="_Toc151193851"/>
      <w:bookmarkStart w:id="408" w:name="_Toc151193707"/>
      <w:bookmarkStart w:id="409" w:name="_Toc226965727"/>
      <w:bookmarkStart w:id="410" w:name="_Toc150509288"/>
      <w:bookmarkStart w:id="411" w:name="_Toc127151738"/>
      <w:bookmarkStart w:id="412" w:name="_Toc164608651"/>
      <w:bookmarkStart w:id="413" w:name="_Toc265228375"/>
      <w:bookmarkStart w:id="414" w:name="_Toc226337233"/>
      <w:bookmarkStart w:id="415" w:name="_Toc142311039"/>
      <w:bookmarkStart w:id="416" w:name="_Toc127161451"/>
      <w:bookmarkStart w:id="417" w:name="_Toc150774637"/>
      <w:bookmarkStart w:id="418" w:name="_Toc151190164"/>
      <w:bookmarkStart w:id="419" w:name="_Toc195842902"/>
      <w:bookmarkStart w:id="420" w:name="_Toc151193925"/>
      <w:bookmarkStart w:id="421" w:name="_Toc149720830"/>
      <w:bookmarkStart w:id="422" w:name="_Toc305158879"/>
      <w:bookmarkStart w:id="423" w:name="_Toc150480775"/>
      <w:bookmarkStart w:id="424" w:name="_Toc127151537"/>
      <w:bookmarkStart w:id="425" w:name="_Toc226965810"/>
      <w:bookmarkStart w:id="426" w:name="_Toc305158805"/>
      <w:bookmarkStart w:id="427" w:name="_Toc164229232"/>
      <w:bookmarkStart w:id="428" w:name="_Toc226309781"/>
      <w:bookmarkStart w:id="429" w:name="_Toc164351631"/>
      <w:bookmarkStart w:id="430" w:name="_Toc151193779"/>
      <w:bookmarkStart w:id="431" w:name="_Toc164608806"/>
      <w:bookmarkStart w:id="432" w:name="_Toc150774742"/>
      <w:bookmarkStart w:id="433" w:name="_Toc151193635"/>
      <w:r>
        <w:rPr>
          <w:sz w:val="24"/>
        </w:rPr>
        <w:t>响应文件的修改与撤回</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14:paraId="3586ECF6">
      <w:pPr>
        <w:tabs>
          <w:tab w:val="left" w:pos="1080"/>
          <w:tab w:val="left" w:pos="2014"/>
        </w:tabs>
        <w:snapToGrid w:val="0"/>
        <w:spacing w:line="360" w:lineRule="auto"/>
        <w:rPr>
          <w:rFonts w:hint="eastAsia"/>
          <w:sz w:val="24"/>
        </w:rPr>
      </w:pPr>
      <w:r>
        <w:rPr>
          <w:rFonts w:hint="eastAsia"/>
          <w:sz w:val="24"/>
        </w:rPr>
        <w:t>提交响应文件以后，如果供应商提出书面补充、修改或者撤回响应文件的要求，在提交响应文件截止时间前送达采购代理机构者，采购代理机构将予以接受。</w:t>
      </w:r>
    </w:p>
    <w:p w14:paraId="6B2BB5C5">
      <w:pPr>
        <w:tabs>
          <w:tab w:val="left" w:pos="1080"/>
          <w:tab w:val="left" w:pos="2014"/>
        </w:tabs>
        <w:snapToGrid w:val="0"/>
        <w:spacing w:line="360" w:lineRule="auto"/>
        <w:rPr>
          <w:rFonts w:ascii="宋体" w:hAnsi="宋体"/>
          <w:color w:val="000000"/>
          <w:sz w:val="24"/>
        </w:rPr>
      </w:pPr>
      <w:r>
        <w:rPr>
          <w:sz w:val="24"/>
        </w:rPr>
        <w:t>供应商对响应文件的补充、修改的内容应当按照竞争性磋商文件要求签署、盖章，作为响应文件的组成部分。</w:t>
      </w:r>
      <w:r>
        <w:rPr>
          <w:kern w:val="0"/>
          <w:sz w:val="24"/>
        </w:rPr>
        <w:t>补充、修改的内容与响应文件不一致的，以补充、修改的内容为准。</w:t>
      </w:r>
    </w:p>
    <w:p w14:paraId="6C330262">
      <w:pPr>
        <w:tabs>
          <w:tab w:val="left" w:pos="1080"/>
          <w:tab w:val="left" w:pos="2014"/>
        </w:tabs>
        <w:snapToGrid w:val="0"/>
        <w:spacing w:line="360" w:lineRule="auto"/>
        <w:rPr>
          <w:rFonts w:ascii="宋体" w:hAnsi="宋体"/>
          <w:color w:val="000000"/>
          <w:sz w:val="23"/>
        </w:rPr>
      </w:pPr>
      <w:r>
        <w:rPr>
          <w:sz w:val="24"/>
        </w:rPr>
        <w:t>在响应截止期之后，供应商不得修改、补充或撤回其响应文件（磋商小组要求的澄清除外）。</w:t>
      </w:r>
    </w:p>
    <w:p w14:paraId="1E2E69CA">
      <w:pPr>
        <w:tabs>
          <w:tab w:val="left" w:pos="900"/>
          <w:tab w:val="left" w:pos="1080"/>
          <w:tab w:val="left" w:pos="1589"/>
        </w:tabs>
        <w:snapToGrid w:val="0"/>
        <w:spacing w:line="360" w:lineRule="auto"/>
        <w:ind w:left="357"/>
        <w:rPr>
          <w:sz w:val="24"/>
        </w:rPr>
      </w:pPr>
    </w:p>
    <w:p w14:paraId="587D549C">
      <w:pPr>
        <w:pStyle w:val="6"/>
        <w:spacing w:before="0" w:line="360" w:lineRule="auto"/>
        <w:rPr>
          <w:rFonts w:ascii="Times New Roman" w:hAnsi="Times New Roman" w:eastAsia="宋体"/>
          <w:sz w:val="28"/>
        </w:rPr>
      </w:pPr>
      <w:bookmarkStart w:id="434" w:name="_Toc226965728"/>
      <w:bookmarkStart w:id="435" w:name="_Toc127151538"/>
      <w:bookmarkStart w:id="436" w:name="_Toc195842903"/>
      <w:bookmarkStart w:id="437" w:name="_Toc520356163"/>
      <w:bookmarkStart w:id="438" w:name="_Toc150774638"/>
      <w:bookmarkStart w:id="439" w:name="_Toc151190165"/>
      <w:bookmarkStart w:id="440" w:name="_Toc305158880"/>
      <w:bookmarkStart w:id="441" w:name="_Toc142311040"/>
      <w:bookmarkStart w:id="442" w:name="_Toc151193780"/>
      <w:bookmarkStart w:id="443" w:name="_Toc305158806"/>
      <w:bookmarkStart w:id="444" w:name="_Toc150774743"/>
      <w:bookmarkStart w:id="445" w:name="_Toc151193852"/>
      <w:bookmarkStart w:id="446" w:name="_Toc226337234"/>
      <w:bookmarkStart w:id="447" w:name="_Toc226309782"/>
      <w:bookmarkStart w:id="448" w:name="_Toc151193636"/>
      <w:bookmarkStart w:id="449" w:name="_Toc264969228"/>
      <w:bookmarkStart w:id="450" w:name="_Toc226965811"/>
      <w:bookmarkStart w:id="451" w:name="_Toc151193926"/>
      <w:bookmarkStart w:id="452" w:name="_Toc151193708"/>
      <w:bookmarkStart w:id="453" w:name="_Toc265228376"/>
      <w:bookmarkStart w:id="454" w:name="_Toc150480776"/>
      <w:bookmarkStart w:id="455" w:name="_Toc150509289"/>
      <w:r>
        <w:rPr>
          <w:rFonts w:ascii="Times New Roman" w:hAnsi="Times New Roman" w:eastAsia="宋体"/>
          <w:sz w:val="28"/>
        </w:rPr>
        <w:t xml:space="preserve">五   </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r>
        <w:rPr>
          <w:rFonts w:ascii="Times New Roman" w:hAnsi="Times New Roman" w:eastAsia="宋体"/>
          <w:sz w:val="28"/>
        </w:rPr>
        <w:t>评审</w:t>
      </w:r>
    </w:p>
    <w:p w14:paraId="3E4D7A74">
      <w:pPr>
        <w:snapToGrid w:val="0"/>
        <w:spacing w:line="360" w:lineRule="auto"/>
        <w:outlineLvl w:val="1"/>
        <w:rPr>
          <w:sz w:val="24"/>
        </w:rPr>
      </w:pPr>
      <w:r>
        <w:rPr>
          <w:sz w:val="24"/>
        </w:rPr>
        <w:t>响应文件的开启</w:t>
      </w:r>
    </w:p>
    <w:p w14:paraId="779EE4AA">
      <w:pPr>
        <w:tabs>
          <w:tab w:val="left" w:pos="1080"/>
          <w:tab w:val="left" w:pos="2014"/>
        </w:tabs>
        <w:snapToGrid w:val="0"/>
        <w:spacing w:line="360" w:lineRule="auto"/>
        <w:rPr>
          <w:sz w:val="24"/>
        </w:rPr>
      </w:pPr>
      <w:r>
        <w:rPr>
          <w:sz w:val="24"/>
        </w:rPr>
        <w:t>采购人或采购代理机构将按竞争性磋商文件的规定，在响应文件提交截止时间的同一时间和竞争性磋商文件预先确定的地点开启响应文件。</w:t>
      </w:r>
    </w:p>
    <w:p w14:paraId="0A6A9FB5">
      <w:pPr>
        <w:tabs>
          <w:tab w:val="left" w:pos="1080"/>
          <w:tab w:val="left" w:pos="2014"/>
        </w:tabs>
        <w:snapToGrid w:val="0"/>
        <w:spacing w:line="360" w:lineRule="auto"/>
        <w:rPr>
          <w:rFonts w:ascii="宋体" w:hAnsi="宋体"/>
          <w:color w:val="000000"/>
          <w:sz w:val="23"/>
        </w:rPr>
      </w:pPr>
      <w:r>
        <w:rPr>
          <w:sz w:val="24"/>
        </w:rPr>
        <w:t>供应商应在规定的时间内对响应文件进行提交，因自身原因导致未在规定时间内提交响应文件，视为响应无效。</w:t>
      </w:r>
    </w:p>
    <w:p w14:paraId="7578946D">
      <w:pPr>
        <w:tabs>
          <w:tab w:val="left" w:pos="1080"/>
          <w:tab w:val="left" w:pos="2014"/>
        </w:tabs>
        <w:snapToGrid w:val="0"/>
        <w:spacing w:line="360" w:lineRule="auto"/>
        <w:rPr>
          <w:sz w:val="24"/>
        </w:rPr>
      </w:pPr>
      <w:r>
        <w:rPr>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7BF6F54F">
      <w:pPr>
        <w:tabs>
          <w:tab w:val="left" w:pos="1080"/>
          <w:tab w:val="left" w:pos="2014"/>
        </w:tabs>
        <w:snapToGrid w:val="0"/>
        <w:spacing w:line="360" w:lineRule="auto"/>
        <w:rPr>
          <w:sz w:val="24"/>
        </w:rPr>
      </w:pPr>
      <w:r>
        <w:rPr>
          <w:sz w:val="24"/>
        </w:rPr>
        <w:t>供应商不足3家的，不予</w:t>
      </w:r>
      <w:r>
        <w:rPr>
          <w:rFonts w:hint="eastAsia"/>
          <w:sz w:val="24"/>
        </w:rPr>
        <w:t>评审</w:t>
      </w:r>
      <w:r>
        <w:rPr>
          <w:sz w:val="24"/>
        </w:rPr>
        <w:t>。</w:t>
      </w:r>
    </w:p>
    <w:p w14:paraId="21203783">
      <w:pPr>
        <w:tabs>
          <w:tab w:val="left" w:pos="1080"/>
          <w:tab w:val="left" w:pos="2014"/>
        </w:tabs>
        <w:snapToGrid w:val="0"/>
        <w:spacing w:line="360" w:lineRule="auto"/>
        <w:rPr>
          <w:sz w:val="24"/>
        </w:rPr>
      </w:pPr>
      <w:bookmarkStart w:id="456" w:name="_Toc520356165"/>
      <w:r>
        <w:rPr>
          <w:sz w:val="24"/>
        </w:rPr>
        <w:t>本项目不公开报价。</w:t>
      </w:r>
    </w:p>
    <w:bookmarkEnd w:id="456"/>
    <w:p w14:paraId="5DC04F17">
      <w:pPr>
        <w:snapToGrid w:val="0"/>
        <w:spacing w:line="360" w:lineRule="auto"/>
        <w:outlineLvl w:val="1"/>
        <w:rPr>
          <w:sz w:val="24"/>
        </w:rPr>
      </w:pPr>
      <w:r>
        <w:rPr>
          <w:sz w:val="24"/>
        </w:rPr>
        <w:t>磋商小组</w:t>
      </w:r>
    </w:p>
    <w:p w14:paraId="52BD38FE">
      <w:pPr>
        <w:tabs>
          <w:tab w:val="left" w:pos="1080"/>
          <w:tab w:val="left" w:pos="2014"/>
        </w:tabs>
        <w:snapToGrid w:val="0"/>
        <w:spacing w:line="360" w:lineRule="auto"/>
        <w:rPr>
          <w:sz w:val="24"/>
        </w:rPr>
      </w:pPr>
      <w:r>
        <w:rPr>
          <w:sz w:val="24"/>
        </w:rPr>
        <w:t>磋商小组根据政府采购有关规定和本次采购项目的特点进行组建，并负责具体评审事务，独立履行职责。</w:t>
      </w:r>
      <w:bookmarkStart w:id="457" w:name="_Toc520356166"/>
    </w:p>
    <w:p w14:paraId="73CA4606">
      <w:pPr>
        <w:tabs>
          <w:tab w:val="left" w:pos="1080"/>
          <w:tab w:val="left" w:pos="2014"/>
        </w:tabs>
        <w:snapToGrid w:val="0"/>
        <w:spacing w:line="360" w:lineRule="auto"/>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57"/>
      <w:bookmarkStart w:id="458" w:name="_Toc520356169"/>
    </w:p>
    <w:p w14:paraId="15DAE9FE">
      <w:pPr>
        <w:snapToGrid w:val="0"/>
        <w:spacing w:line="360" w:lineRule="auto"/>
        <w:outlineLvl w:val="1"/>
        <w:rPr>
          <w:sz w:val="24"/>
        </w:rPr>
      </w:pPr>
      <w:r>
        <w:rPr>
          <w:sz w:val="24"/>
        </w:rPr>
        <w:t>评审方法和评审标准</w:t>
      </w:r>
    </w:p>
    <w:p w14:paraId="68A606DE">
      <w:pPr>
        <w:tabs>
          <w:tab w:val="left" w:pos="1080"/>
          <w:tab w:val="left" w:pos="2014"/>
        </w:tabs>
        <w:snapToGrid w:val="0"/>
        <w:spacing w:line="360" w:lineRule="auto"/>
        <w:rPr>
          <w:sz w:val="24"/>
        </w:rPr>
      </w:pPr>
      <w:r>
        <w:rPr>
          <w:sz w:val="24"/>
        </w:rPr>
        <w:t>见第三章《评审方法和评审标准》。</w:t>
      </w:r>
    </w:p>
    <w:p w14:paraId="50E219AE">
      <w:pPr>
        <w:tabs>
          <w:tab w:val="left" w:pos="360"/>
          <w:tab w:val="left" w:pos="1080"/>
        </w:tabs>
        <w:snapToGrid w:val="0"/>
        <w:spacing w:line="360" w:lineRule="auto"/>
        <w:ind w:left="1080"/>
        <w:rPr>
          <w:sz w:val="24"/>
        </w:rPr>
      </w:pPr>
    </w:p>
    <w:p w14:paraId="10B856D4">
      <w:pPr>
        <w:pStyle w:val="6"/>
        <w:spacing w:before="0" w:line="360" w:lineRule="auto"/>
        <w:rPr>
          <w:rFonts w:ascii="Times New Roman" w:hAnsi="Times New Roman" w:eastAsia="宋体"/>
          <w:sz w:val="28"/>
        </w:rPr>
      </w:pPr>
      <w:bookmarkStart w:id="459" w:name="_Toc142311047"/>
      <w:bookmarkStart w:id="460" w:name="_Toc265228383"/>
      <w:bookmarkStart w:id="461" w:name="_Toc151193933"/>
      <w:bookmarkStart w:id="462" w:name="_Toc226965818"/>
      <w:bookmarkStart w:id="463" w:name="_Toc305158887"/>
      <w:bookmarkStart w:id="464" w:name="_Toc226337241"/>
      <w:bookmarkStart w:id="465" w:name="_Toc226309789"/>
      <w:bookmarkStart w:id="466" w:name="_Toc150509296"/>
      <w:bookmarkStart w:id="467" w:name="_Toc151193643"/>
      <w:bookmarkStart w:id="468" w:name="_Toc151193787"/>
      <w:bookmarkStart w:id="469" w:name="_Toc127151545"/>
      <w:bookmarkStart w:id="470" w:name="_Toc150774645"/>
      <w:bookmarkStart w:id="471" w:name="_Toc151193859"/>
      <w:bookmarkStart w:id="472" w:name="_Toc150480783"/>
      <w:bookmarkStart w:id="473" w:name="_Toc195842910"/>
      <w:bookmarkStart w:id="474" w:name="_Toc226965735"/>
      <w:bookmarkStart w:id="475" w:name="_Toc151193715"/>
      <w:bookmarkStart w:id="476" w:name="_Toc151190172"/>
      <w:bookmarkStart w:id="477" w:name="_Toc264969235"/>
      <w:bookmarkStart w:id="478" w:name="_Toc305158813"/>
      <w:bookmarkStart w:id="479" w:name="_Toc150774750"/>
      <w:r>
        <w:rPr>
          <w:rFonts w:ascii="Times New Roman" w:hAnsi="Times New Roman" w:eastAsia="宋体"/>
          <w:sz w:val="28"/>
        </w:rPr>
        <w:t xml:space="preserve">六   </w:t>
      </w:r>
      <w:bookmarkEnd w:id="458"/>
      <w:r>
        <w:rPr>
          <w:rFonts w:ascii="Times New Roman" w:hAnsi="Times New Roman" w:eastAsia="宋体"/>
          <w:sz w:val="28"/>
        </w:rPr>
        <w:t>确定</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r>
        <w:rPr>
          <w:rFonts w:ascii="Times New Roman" w:hAnsi="Times New Roman" w:eastAsia="宋体"/>
          <w:sz w:val="28"/>
        </w:rPr>
        <w:t>成交</w:t>
      </w:r>
    </w:p>
    <w:p w14:paraId="31E30C30">
      <w:pPr>
        <w:snapToGrid w:val="0"/>
        <w:spacing w:line="360" w:lineRule="auto"/>
        <w:outlineLvl w:val="1"/>
        <w:rPr>
          <w:sz w:val="24"/>
        </w:rPr>
      </w:pPr>
      <w:bookmarkStart w:id="480" w:name="_Toc265228385"/>
      <w:bookmarkStart w:id="481" w:name="_Toc164608661"/>
      <w:bookmarkStart w:id="482" w:name="_Toc150774647"/>
      <w:bookmarkStart w:id="483" w:name="_Toc164351641"/>
      <w:bookmarkStart w:id="484" w:name="_Toc226309791"/>
      <w:bookmarkStart w:id="485" w:name="_Toc127151547"/>
      <w:bookmarkStart w:id="486" w:name="_Toc142311049"/>
      <w:bookmarkStart w:id="487" w:name="_Toc149720840"/>
      <w:bookmarkStart w:id="488" w:name="_Toc264969237"/>
      <w:bookmarkStart w:id="489" w:name="_Toc164229242"/>
      <w:bookmarkStart w:id="490" w:name="_Toc151193861"/>
      <w:bookmarkStart w:id="491" w:name="_Toc151193645"/>
      <w:bookmarkStart w:id="492" w:name="_Toc127151748"/>
      <w:bookmarkStart w:id="493" w:name="_Toc151193717"/>
      <w:bookmarkStart w:id="494" w:name="_Toc226337243"/>
      <w:bookmarkStart w:id="495" w:name="_Toc164229388"/>
      <w:bookmarkStart w:id="496" w:name="_Toc150509298"/>
      <w:bookmarkStart w:id="497" w:name="_Toc226965737"/>
      <w:bookmarkStart w:id="498" w:name="_Toc151193789"/>
      <w:bookmarkStart w:id="499" w:name="_Toc151190174"/>
      <w:bookmarkStart w:id="500" w:name="_Toc150774752"/>
      <w:bookmarkStart w:id="501" w:name="_Toc127161461"/>
      <w:bookmarkStart w:id="502" w:name="_Toc305158815"/>
      <w:bookmarkStart w:id="503" w:name="_Toc226965820"/>
      <w:bookmarkStart w:id="504" w:name="_Toc305158889"/>
      <w:bookmarkStart w:id="505" w:name="_Toc150480785"/>
      <w:bookmarkStart w:id="506" w:name="_Toc164608816"/>
      <w:bookmarkStart w:id="507" w:name="_Toc151193935"/>
      <w:bookmarkStart w:id="508" w:name="_Toc195842912"/>
      <w:r>
        <w:rPr>
          <w:sz w:val="24"/>
        </w:rPr>
        <w:t>确定成交供应商</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14:paraId="7193FCC9">
      <w:pPr>
        <w:tabs>
          <w:tab w:val="left" w:pos="1080"/>
          <w:tab w:val="left" w:pos="2014"/>
        </w:tabs>
        <w:snapToGrid w:val="0"/>
        <w:spacing w:line="360" w:lineRule="auto"/>
        <w:rPr>
          <w:sz w:val="24"/>
        </w:rPr>
      </w:pPr>
      <w:r>
        <w:rPr>
          <w:sz w:val="24"/>
        </w:rPr>
        <w:t>采购人将在收到评审报告后，从评审报告提出的成交候选供应商中，按照排序由高到低的原则确定成交供应商</w:t>
      </w:r>
      <w:r>
        <w:rPr>
          <w:rFonts w:hint="eastAsia"/>
          <w:sz w:val="24"/>
        </w:rPr>
        <w:t>。</w:t>
      </w:r>
      <w:r>
        <w:rPr>
          <w:sz w:val="24"/>
        </w:rPr>
        <w:t>采购人是否授权</w:t>
      </w:r>
      <w:r>
        <w:rPr>
          <w:rFonts w:hint="eastAsia"/>
          <w:sz w:val="24"/>
        </w:rPr>
        <w:t>磋商</w:t>
      </w:r>
      <w:r>
        <w:rPr>
          <w:sz w:val="24"/>
        </w:rPr>
        <w:t>小组直接确定成交供应商，见《供应商须知资料表》。成交候选人并列的，按照《供应商须知资料表》要求确定成交供应商。</w:t>
      </w:r>
    </w:p>
    <w:p w14:paraId="1D3D0469">
      <w:pPr>
        <w:snapToGrid w:val="0"/>
        <w:spacing w:line="360" w:lineRule="auto"/>
        <w:outlineLvl w:val="1"/>
        <w:rPr>
          <w:sz w:val="24"/>
        </w:rPr>
      </w:pPr>
      <w:bookmarkStart w:id="509" w:name="_Toc305158817"/>
      <w:bookmarkStart w:id="510" w:name="_Toc305158891"/>
      <w:bookmarkStart w:id="511" w:name="_Toc127151750"/>
      <w:bookmarkStart w:id="512" w:name="_Toc164608818"/>
      <w:bookmarkStart w:id="513" w:name="_Toc150480787"/>
      <w:bookmarkStart w:id="514" w:name="_Toc151193719"/>
      <w:bookmarkStart w:id="515" w:name="_Toc226337245"/>
      <w:bookmarkStart w:id="516" w:name="_Toc164229390"/>
      <w:bookmarkStart w:id="517" w:name="_Toc226965739"/>
      <w:bookmarkStart w:id="518" w:name="_Toc164229244"/>
      <w:bookmarkStart w:id="519" w:name="_Toc264969239"/>
      <w:bookmarkStart w:id="520" w:name="_Toc127161463"/>
      <w:bookmarkStart w:id="521" w:name="_Toc164351643"/>
      <w:bookmarkStart w:id="522" w:name="_Toc150774649"/>
      <w:bookmarkStart w:id="523" w:name="_Toc127151549"/>
      <w:bookmarkStart w:id="524" w:name="_Toc195842914"/>
      <w:bookmarkStart w:id="525" w:name="_Toc265228387"/>
      <w:bookmarkStart w:id="526" w:name="_Toc151193791"/>
      <w:bookmarkStart w:id="527" w:name="_Toc142311051"/>
      <w:bookmarkStart w:id="528" w:name="_Toc151193863"/>
      <w:bookmarkStart w:id="529" w:name="_Toc150509300"/>
      <w:bookmarkStart w:id="530" w:name="_Toc151193937"/>
      <w:bookmarkStart w:id="531" w:name="_Toc151193647"/>
      <w:bookmarkStart w:id="532" w:name="_Toc150774754"/>
      <w:bookmarkStart w:id="533" w:name="_Toc149720842"/>
      <w:bookmarkStart w:id="534" w:name="_Toc226965822"/>
      <w:bookmarkStart w:id="535" w:name="_Toc151190176"/>
      <w:bookmarkStart w:id="536" w:name="_Toc226309793"/>
      <w:bookmarkStart w:id="537" w:name="_Toc164608663"/>
      <w:bookmarkStart w:id="538" w:name="_Ref467307090"/>
      <w:bookmarkStart w:id="539" w:name="_Toc520356176"/>
      <w:bookmarkStart w:id="540" w:name="_Ref467306425"/>
      <w:r>
        <w:rPr>
          <w:sz w:val="24"/>
        </w:rPr>
        <w:t>成交公告与成交通知书</w:t>
      </w:r>
      <w:bookmarkEnd w:id="509"/>
      <w:bookmarkEnd w:id="510"/>
    </w:p>
    <w:p w14:paraId="0C41C893">
      <w:pPr>
        <w:tabs>
          <w:tab w:val="left" w:pos="1080"/>
          <w:tab w:val="left" w:pos="2014"/>
        </w:tabs>
        <w:snapToGrid w:val="0"/>
        <w:spacing w:line="360" w:lineRule="auto"/>
        <w:rPr>
          <w:sz w:val="24"/>
        </w:rPr>
      </w:pPr>
      <w:r>
        <w:rPr>
          <w:sz w:val="24"/>
        </w:rPr>
        <w:t>采购人或采购代理机构将</w:t>
      </w:r>
      <w:r>
        <w:rPr>
          <w:kern w:val="0"/>
          <w:sz w:val="24"/>
        </w:rPr>
        <w:t>在成交供应商确定后2个工作日内，在</w:t>
      </w:r>
      <w:r>
        <w:rPr>
          <w:rFonts w:hint="eastAsia"/>
          <w:sz w:val="24"/>
        </w:rPr>
        <w:t>中国政府采购网、北京市政府采购网</w:t>
      </w:r>
      <w:r>
        <w:rPr>
          <w:kern w:val="0"/>
          <w:sz w:val="24"/>
        </w:rPr>
        <w:t>公告成交结果，同时向成交供应商发出成交通知书，</w:t>
      </w:r>
      <w:r>
        <w:rPr>
          <w:sz w:val="24"/>
        </w:rPr>
        <w:t>成交公告期限为1个工作日。</w:t>
      </w:r>
    </w:p>
    <w:p w14:paraId="587D5A17">
      <w:pPr>
        <w:tabs>
          <w:tab w:val="left" w:pos="1080"/>
          <w:tab w:val="left" w:pos="2014"/>
        </w:tabs>
        <w:snapToGrid w:val="0"/>
        <w:spacing w:line="360" w:lineRule="auto"/>
        <w:rPr>
          <w:sz w:val="24"/>
        </w:rPr>
      </w:pPr>
      <w:r>
        <w:rPr>
          <w:sz w:val="24"/>
        </w:rPr>
        <w:t>成交通知书是合同的组成部分，对采购人和成交供应商具有同等法律效力。成交通知书发出后，采购人改变成交结果的，或者成交供应商放弃成交项目的，将依法承担法律责任</w:t>
      </w:r>
      <w:r>
        <w:rPr>
          <w:rFonts w:hint="eastAsia"/>
          <w:sz w:val="24"/>
        </w:rPr>
        <w:t>。</w:t>
      </w:r>
    </w:p>
    <w:p w14:paraId="7CA9932B">
      <w:pPr>
        <w:snapToGrid w:val="0"/>
        <w:spacing w:line="360" w:lineRule="auto"/>
        <w:outlineLvl w:val="1"/>
        <w:rPr>
          <w:sz w:val="24"/>
        </w:rPr>
      </w:pPr>
      <w:r>
        <w:rPr>
          <w:sz w:val="24"/>
        </w:rPr>
        <w:t>终止</w:t>
      </w:r>
    </w:p>
    <w:p w14:paraId="1A8C609F">
      <w:pPr>
        <w:tabs>
          <w:tab w:val="left" w:pos="1080"/>
          <w:tab w:val="left" w:pos="2014"/>
        </w:tabs>
        <w:snapToGrid w:val="0"/>
        <w:spacing w:line="360" w:lineRule="auto"/>
        <w:rPr>
          <w:sz w:val="24"/>
        </w:rPr>
      </w:pPr>
      <w:r>
        <w:rPr>
          <w:sz w:val="24"/>
        </w:rPr>
        <w:t>在采购中，出现下列情形之一的，采购人或采购代理机构将终止竞争性磋商采购活动，发布项目终止公告并说明原因，重新开展采购活动：</w:t>
      </w:r>
    </w:p>
    <w:p w14:paraId="22A010A6">
      <w:pPr>
        <w:snapToGrid w:val="0"/>
        <w:spacing w:line="360" w:lineRule="auto"/>
        <w:rPr>
          <w:sz w:val="24"/>
        </w:rPr>
      </w:pPr>
      <w:r>
        <w:rPr>
          <w:sz w:val="24"/>
        </w:rPr>
        <w:t>因情况变化，不再符合规定的竞争性磋商采购方式适用情形的；</w:t>
      </w:r>
    </w:p>
    <w:p w14:paraId="04C317B7">
      <w:pPr>
        <w:snapToGrid w:val="0"/>
        <w:spacing w:line="360" w:lineRule="auto"/>
        <w:rPr>
          <w:sz w:val="24"/>
        </w:rPr>
      </w:pPr>
      <w:r>
        <w:rPr>
          <w:sz w:val="24"/>
        </w:rPr>
        <w:t>出现影响采购公正的违法、违规行为的；</w:t>
      </w:r>
    </w:p>
    <w:p w14:paraId="670BA96A">
      <w:pPr>
        <w:snapToGrid w:val="0"/>
        <w:spacing w:line="360" w:lineRule="auto"/>
        <w:rPr>
          <w:sz w:val="24"/>
        </w:rPr>
      </w:pPr>
      <w:r>
        <w:rPr>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14:paraId="6CC724BA">
      <w:pPr>
        <w:snapToGrid w:val="0"/>
        <w:spacing w:line="360" w:lineRule="auto"/>
        <w:outlineLvl w:val="1"/>
        <w:rPr>
          <w:sz w:val="24"/>
        </w:rPr>
      </w:pPr>
      <w:bookmarkStart w:id="541" w:name="_Ref467306377"/>
      <w:bookmarkStart w:id="542" w:name="_Toc150774650"/>
      <w:bookmarkStart w:id="543" w:name="_Toc151190177"/>
      <w:bookmarkStart w:id="544" w:name="_Ref467307062"/>
      <w:bookmarkStart w:id="545" w:name="_Toc150480788"/>
      <w:bookmarkStart w:id="546" w:name="_Toc151193720"/>
      <w:bookmarkStart w:id="547" w:name="_Toc520356175"/>
      <w:bookmarkStart w:id="548" w:name="_Toc150774755"/>
      <w:bookmarkStart w:id="549" w:name="_Toc195842915"/>
      <w:bookmarkStart w:id="550" w:name="_Toc226309794"/>
      <w:bookmarkStart w:id="551" w:name="_Toc226965823"/>
      <w:bookmarkStart w:id="552" w:name="_Toc164608664"/>
      <w:bookmarkStart w:id="553" w:name="_Toc151193648"/>
      <w:bookmarkStart w:id="554" w:name="_Toc151193938"/>
      <w:bookmarkStart w:id="555" w:name="_Toc226337246"/>
      <w:bookmarkStart w:id="556" w:name="_Toc127151550"/>
      <w:bookmarkStart w:id="557" w:name="_Toc265228388"/>
      <w:bookmarkStart w:id="558" w:name="_Ref467306978"/>
      <w:bookmarkStart w:id="559" w:name="_Toc127151751"/>
      <w:bookmarkStart w:id="560" w:name="_Toc150509301"/>
      <w:bookmarkStart w:id="561" w:name="_Toc305158818"/>
      <w:bookmarkStart w:id="562" w:name="_Toc149720843"/>
      <w:bookmarkStart w:id="563" w:name="_Toc164229245"/>
      <w:bookmarkStart w:id="564" w:name="_Toc305158892"/>
      <w:bookmarkStart w:id="565" w:name="_Toc226965740"/>
      <w:bookmarkStart w:id="566" w:name="_Toc127161464"/>
      <w:bookmarkStart w:id="567" w:name="_Toc264969240"/>
      <w:bookmarkStart w:id="568" w:name="_Toc164229391"/>
      <w:bookmarkStart w:id="569" w:name="_Toc142311052"/>
      <w:bookmarkStart w:id="570" w:name="_Ref467307204"/>
      <w:bookmarkStart w:id="571" w:name="_Toc151193864"/>
      <w:bookmarkStart w:id="572" w:name="_Toc164351644"/>
      <w:bookmarkStart w:id="573" w:name="_Toc151193792"/>
      <w:bookmarkStart w:id="574" w:name="_Toc164608819"/>
      <w:r>
        <w:rPr>
          <w:sz w:val="24"/>
        </w:rPr>
        <w:t>签订合同</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p w14:paraId="1F5DCF30">
      <w:pPr>
        <w:tabs>
          <w:tab w:val="left" w:pos="1080"/>
          <w:tab w:val="left" w:pos="2014"/>
        </w:tabs>
        <w:snapToGrid w:val="0"/>
        <w:spacing w:line="360" w:lineRule="auto"/>
        <w:rPr>
          <w:sz w:val="24"/>
        </w:rPr>
      </w:pPr>
      <w:r>
        <w:rPr>
          <w:sz w:val="24"/>
        </w:rPr>
        <w:t>采购人与成交供应商将在成交通知书发出之日起30日内，按照磋商文件确定的合同文本以及采购标的、规格型号、采购金额、采购数量、技术和服务要求等事项签订政府采购合同。</w:t>
      </w:r>
    </w:p>
    <w:p w14:paraId="7CA06568">
      <w:pPr>
        <w:tabs>
          <w:tab w:val="left" w:pos="1080"/>
          <w:tab w:val="left" w:pos="2014"/>
        </w:tabs>
        <w:snapToGrid w:val="0"/>
        <w:spacing w:line="360" w:lineRule="auto"/>
        <w:rPr>
          <w:sz w:val="24"/>
        </w:rPr>
      </w:pPr>
      <w:r>
        <w:rPr>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0971938B">
      <w:pPr>
        <w:tabs>
          <w:tab w:val="left" w:pos="1080"/>
          <w:tab w:val="left" w:pos="2014"/>
        </w:tabs>
        <w:snapToGrid w:val="0"/>
        <w:spacing w:line="360" w:lineRule="auto"/>
        <w:rPr>
          <w:sz w:val="24"/>
        </w:rPr>
      </w:pPr>
      <w:r>
        <w:rPr>
          <w:sz w:val="24"/>
        </w:rPr>
        <w:t>联合体获得成交资格的，联合体各方应当共同与采购人签订合同，就成交项目向采购人承担连带责任。</w:t>
      </w:r>
    </w:p>
    <w:p w14:paraId="7855A933">
      <w:pPr>
        <w:tabs>
          <w:tab w:val="left" w:pos="1080"/>
          <w:tab w:val="left" w:pos="2014"/>
        </w:tabs>
        <w:snapToGrid w:val="0"/>
        <w:spacing w:line="360" w:lineRule="auto"/>
        <w:rPr>
          <w:sz w:val="24"/>
        </w:rPr>
      </w:pPr>
      <w:r>
        <w:rPr>
          <w:sz w:val="24"/>
        </w:rPr>
        <w:t>政府采购合同不能转包。</w:t>
      </w:r>
    </w:p>
    <w:p w14:paraId="06BFAB57">
      <w:pPr>
        <w:tabs>
          <w:tab w:val="left" w:pos="1080"/>
          <w:tab w:val="left" w:pos="2014"/>
        </w:tabs>
        <w:snapToGrid w:val="0"/>
        <w:spacing w:line="360" w:lineRule="auto"/>
        <w:rPr>
          <w:sz w:val="24"/>
        </w:rPr>
      </w:pPr>
      <w:r>
        <w:rPr>
          <w:sz w:val="24"/>
        </w:rPr>
        <w:t>采购人允许采用分包方式履行合同的，成交供应商可以依法采取分包方式履行合同。本项目</w:t>
      </w:r>
      <w:r>
        <w:rPr>
          <w:rFonts w:hint="eastAsia"/>
          <w:sz w:val="24"/>
        </w:rPr>
        <w:t>是</w:t>
      </w:r>
      <w:r>
        <w:rPr>
          <w:sz w:val="24"/>
        </w:rPr>
        <w:t>否允许分包，见《供应商须知资料表》。政府采购合同分包履行的，应当在响应文件中载明分包承担主体，分包承担主体应当具备相应资质条件且不得再次分包，</w:t>
      </w:r>
      <w:r>
        <w:rPr>
          <w:b/>
          <w:sz w:val="24"/>
        </w:rPr>
        <w:t>否则响应无效</w:t>
      </w:r>
      <w:r>
        <w:rPr>
          <w:sz w:val="24"/>
        </w:rPr>
        <w:t>。成交供应商就采购项目和分包项目向采购人负责，分包供应商就分包项目承担责任。</w:t>
      </w:r>
    </w:p>
    <w:bookmarkEnd w:id="538"/>
    <w:bookmarkEnd w:id="539"/>
    <w:bookmarkEnd w:id="540"/>
    <w:p w14:paraId="20C7E396">
      <w:pPr>
        <w:snapToGrid w:val="0"/>
        <w:spacing w:line="360" w:lineRule="auto"/>
        <w:outlineLvl w:val="1"/>
        <w:rPr>
          <w:sz w:val="24"/>
        </w:rPr>
      </w:pPr>
      <w:r>
        <w:rPr>
          <w:sz w:val="24"/>
        </w:rPr>
        <w:t>询问与质疑</w:t>
      </w:r>
    </w:p>
    <w:p w14:paraId="06ACE2DA">
      <w:pPr>
        <w:tabs>
          <w:tab w:val="left" w:pos="1080"/>
          <w:tab w:val="left" w:pos="2014"/>
        </w:tabs>
        <w:snapToGrid w:val="0"/>
        <w:spacing w:line="360" w:lineRule="auto"/>
        <w:rPr>
          <w:sz w:val="24"/>
        </w:rPr>
      </w:pPr>
      <w:r>
        <w:rPr>
          <w:sz w:val="24"/>
        </w:rPr>
        <w:t>询问</w:t>
      </w:r>
    </w:p>
    <w:p w14:paraId="0CA96474">
      <w:pPr>
        <w:snapToGrid w:val="0"/>
        <w:spacing w:line="360" w:lineRule="auto"/>
        <w:rPr>
          <w:sz w:val="24"/>
        </w:rPr>
      </w:pPr>
      <w:r>
        <w:rPr>
          <w:sz w:val="24"/>
        </w:rPr>
        <w:t>供应商对政府采购活动事项有疑问的，可依法提出询问，并按《供应商须知资料表》载明的形式送达采购人或采购代理机构。</w:t>
      </w:r>
    </w:p>
    <w:p w14:paraId="1F379380">
      <w:pPr>
        <w:snapToGrid w:val="0"/>
        <w:spacing w:line="360" w:lineRule="auto"/>
        <w:rPr>
          <w:sz w:val="24"/>
        </w:rPr>
      </w:pPr>
      <w:r>
        <w:rPr>
          <w:sz w:val="24"/>
        </w:rPr>
        <w:t>采购人或采购代理机构对供应商依法提出的询问，在3个工作日内作出答复，但答复的内容不得涉及商业秘密。</w:t>
      </w:r>
    </w:p>
    <w:p w14:paraId="29950E07">
      <w:pPr>
        <w:tabs>
          <w:tab w:val="left" w:pos="1080"/>
          <w:tab w:val="left" w:pos="2014"/>
        </w:tabs>
        <w:snapToGrid w:val="0"/>
        <w:spacing w:line="360" w:lineRule="auto"/>
        <w:rPr>
          <w:sz w:val="24"/>
        </w:rPr>
      </w:pPr>
      <w:r>
        <w:rPr>
          <w:sz w:val="24"/>
        </w:rPr>
        <w:t>质疑</w:t>
      </w:r>
    </w:p>
    <w:p w14:paraId="4A80B2DF">
      <w:pPr>
        <w:snapToGrid w:val="0"/>
        <w:spacing w:line="360" w:lineRule="auto"/>
        <w:rPr>
          <w:sz w:val="24"/>
        </w:rPr>
      </w:pPr>
      <w:r>
        <w:rPr>
          <w:sz w:val="24"/>
        </w:rPr>
        <w:t>供应商认为竞争性磋商文件、采购过程、成交结果使自己的权益受到损害的，可以在知道或者应知其权益受到损害之日起7个工作日内，由供应商派授权代表以书面形式向采购人、采购代理机构提出质疑。采购人、采购代理机构在收到质疑函后7个工作日内作出答复。</w:t>
      </w:r>
    </w:p>
    <w:p w14:paraId="6E204BD5">
      <w:pPr>
        <w:snapToGrid w:val="0"/>
        <w:spacing w:line="360" w:lineRule="auto"/>
        <w:rPr>
          <w:sz w:val="24"/>
        </w:rPr>
      </w:pPr>
      <w:r>
        <w:rPr>
          <w:sz w:val="24"/>
        </w:rPr>
        <w:t>质疑函须使用财政部制定的范本文件。供应商为自然人的，应当由本人签字；供应商为法人或者其他组织的，应当由法定代表人、主要负责人，或者其授权代表签字或者盖章，并加盖公章。</w:t>
      </w:r>
    </w:p>
    <w:p w14:paraId="3068DCDA">
      <w:pPr>
        <w:snapToGrid w:val="0"/>
        <w:spacing w:line="360" w:lineRule="auto"/>
        <w:rPr>
          <w:sz w:val="24"/>
        </w:rPr>
      </w:pPr>
      <w:r>
        <w:rPr>
          <w:rFonts w:hint="eastAsia"/>
          <w:sz w:val="24"/>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488D735">
      <w:pPr>
        <w:snapToGrid w:val="0"/>
        <w:spacing w:line="360" w:lineRule="auto"/>
        <w:rPr>
          <w:sz w:val="24"/>
        </w:rPr>
      </w:pPr>
      <w:r>
        <w:rPr>
          <w:sz w:val="24"/>
        </w:rPr>
        <w:t>供应商应在法定质疑期内一次性提出针对同一采购程序环节的质疑，法定质疑期内针对同一采购程序环节再次提出的质疑，采购人、采购代理机构有权不予答复。</w:t>
      </w:r>
    </w:p>
    <w:p w14:paraId="350FA962">
      <w:pPr>
        <w:tabs>
          <w:tab w:val="left" w:pos="1080"/>
          <w:tab w:val="left" w:pos="2014"/>
        </w:tabs>
        <w:snapToGrid w:val="0"/>
        <w:spacing w:line="360" w:lineRule="auto"/>
        <w:rPr>
          <w:sz w:val="24"/>
        </w:rPr>
      </w:pPr>
      <w:r>
        <w:rPr>
          <w:sz w:val="24"/>
        </w:rPr>
        <w:t>接收询问和质疑的联系部门、联系电话和通讯地址见《供应商须知资料表》</w:t>
      </w:r>
      <w:r>
        <w:rPr>
          <w:rFonts w:hint="eastAsia"/>
          <w:sz w:val="24"/>
        </w:rPr>
        <w:t>。</w:t>
      </w:r>
    </w:p>
    <w:p w14:paraId="4667F5A1">
      <w:pPr>
        <w:snapToGrid w:val="0"/>
        <w:spacing w:line="360" w:lineRule="auto"/>
        <w:outlineLvl w:val="1"/>
        <w:rPr>
          <w:sz w:val="24"/>
        </w:rPr>
      </w:pPr>
      <w:r>
        <w:rPr>
          <w:sz w:val="24"/>
        </w:rPr>
        <w:t>代理费</w:t>
      </w:r>
    </w:p>
    <w:p w14:paraId="3F15D96E">
      <w:pPr>
        <w:tabs>
          <w:tab w:val="left" w:pos="1080"/>
          <w:tab w:val="left" w:pos="2014"/>
        </w:tabs>
        <w:snapToGrid w:val="0"/>
        <w:spacing w:line="360" w:lineRule="auto"/>
        <w:rPr>
          <w:sz w:val="24"/>
        </w:rPr>
      </w:pPr>
      <w:r>
        <w:rPr>
          <w:sz w:val="24"/>
        </w:rPr>
        <w:t>收费对象、收费标准见《供应商须知资料表》。由成交供应商支付的，成交供应商须一次性向采购代理机构缴纳代理费，报价应包含代理费用。</w:t>
      </w:r>
    </w:p>
    <w:p w14:paraId="5F46B1BF">
      <w:pPr>
        <w:tabs>
          <w:tab w:val="left" w:pos="360"/>
          <w:tab w:val="left" w:pos="1080"/>
        </w:tabs>
        <w:snapToGrid w:val="0"/>
        <w:spacing w:line="360" w:lineRule="auto"/>
        <w:ind w:left="360"/>
        <w:rPr>
          <w:sz w:val="24"/>
        </w:rPr>
      </w:pPr>
    </w:p>
    <w:p w14:paraId="6FF7BB68">
      <w:pPr>
        <w:spacing w:line="360" w:lineRule="auto"/>
        <w:jc w:val="center"/>
        <w:outlineLvl w:val="0"/>
        <w:rPr>
          <w:b/>
          <w:sz w:val="36"/>
          <w:szCs w:val="36"/>
        </w:rPr>
      </w:pPr>
      <w:bookmarkStart w:id="575" w:name="_Toc150774759"/>
      <w:bookmarkStart w:id="576" w:name="_Toc264969244"/>
      <w:bookmarkStart w:id="577" w:name="_Toc265228392"/>
      <w:bookmarkStart w:id="578" w:name="_Toc142311056"/>
      <w:bookmarkStart w:id="579" w:name="_Toc353873934"/>
      <w:bookmarkStart w:id="580" w:name="_Toc127151554"/>
      <w:bookmarkStart w:id="581" w:name="_Toc305158896"/>
      <w:bookmarkStart w:id="582" w:name="_Toc226337250"/>
      <w:bookmarkStart w:id="583" w:name="_Toc226965827"/>
      <w:bookmarkStart w:id="584" w:name="_Toc353825544"/>
      <w:bookmarkStart w:id="585" w:name="_Toc305158822"/>
      <w:bookmarkStart w:id="586" w:name="_Toc353873664"/>
      <w:bookmarkStart w:id="587" w:name="_Toc150480792"/>
      <w:r>
        <w:rPr>
          <w:sz w:val="24"/>
        </w:rPr>
        <w:br w:type="page"/>
      </w:r>
      <w:bookmarkStart w:id="588" w:name="_Toc207110989"/>
      <w:r>
        <w:rPr>
          <w:b/>
          <w:sz w:val="36"/>
          <w:szCs w:val="36"/>
        </w:rPr>
        <w:t xml:space="preserve">第三章   </w:t>
      </w:r>
      <w:bookmarkEnd w:id="575"/>
      <w:bookmarkEnd w:id="576"/>
      <w:bookmarkEnd w:id="577"/>
      <w:bookmarkEnd w:id="578"/>
      <w:bookmarkEnd w:id="579"/>
      <w:bookmarkEnd w:id="580"/>
      <w:bookmarkEnd w:id="581"/>
      <w:bookmarkEnd w:id="582"/>
      <w:bookmarkEnd w:id="583"/>
      <w:bookmarkEnd w:id="584"/>
      <w:bookmarkEnd w:id="585"/>
      <w:bookmarkEnd w:id="586"/>
      <w:bookmarkEnd w:id="587"/>
      <w:r>
        <w:rPr>
          <w:b/>
          <w:sz w:val="36"/>
          <w:szCs w:val="36"/>
        </w:rPr>
        <w:t>评审方法和评审标准</w:t>
      </w:r>
      <w:bookmarkEnd w:id="588"/>
      <w:bookmarkStart w:id="589" w:name="_Toc487900382"/>
    </w:p>
    <w:p w14:paraId="16195E26">
      <w:pPr>
        <w:pStyle w:val="6"/>
        <w:spacing w:before="0" w:line="360" w:lineRule="auto"/>
        <w:rPr>
          <w:rFonts w:ascii="Times New Roman" w:hAnsi="Times New Roman" w:eastAsia="宋体"/>
          <w:sz w:val="24"/>
          <w:szCs w:val="24"/>
        </w:rPr>
      </w:pPr>
      <w:r>
        <w:rPr>
          <w:rFonts w:ascii="Times New Roman" w:hAnsi="Times New Roman" w:eastAsia="宋体"/>
          <w:sz w:val="24"/>
          <w:szCs w:val="24"/>
        </w:rPr>
        <w:t>一、资格审查程序</w:t>
      </w:r>
    </w:p>
    <w:p w14:paraId="2C8BCE60">
      <w:pPr>
        <w:tabs>
          <w:tab w:val="left" w:pos="1080"/>
        </w:tabs>
        <w:snapToGrid w:val="0"/>
        <w:jc w:val="left"/>
        <w:rPr>
          <w:b/>
          <w:sz w:val="24"/>
        </w:rPr>
      </w:pPr>
      <w:r>
        <w:rPr>
          <w:b/>
          <w:sz w:val="24"/>
        </w:rPr>
        <w:tab/>
      </w:r>
    </w:p>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589"/>
    <w:p w14:paraId="14E12F9F">
      <w:pPr>
        <w:tabs>
          <w:tab w:val="left" w:pos="900"/>
        </w:tabs>
        <w:snapToGrid w:val="0"/>
        <w:spacing w:line="360" w:lineRule="auto"/>
        <w:outlineLvl w:val="1"/>
        <w:rPr>
          <w:sz w:val="24"/>
        </w:rPr>
      </w:pPr>
      <w:bookmarkStart w:id="590" w:name="_Toc226309785"/>
      <w:bookmarkStart w:id="591" w:name="_Toc150480779"/>
      <w:bookmarkStart w:id="592" w:name="_Toc151193855"/>
      <w:bookmarkStart w:id="593" w:name="_Toc195842906"/>
      <w:bookmarkStart w:id="594" w:name="_Toc151190168"/>
      <w:bookmarkStart w:id="595" w:name="_Toc164351635"/>
      <w:bookmarkStart w:id="596" w:name="_Toc226337237"/>
      <w:bookmarkStart w:id="597" w:name="_Toc164229236"/>
      <w:bookmarkStart w:id="598" w:name="_Toc150774746"/>
      <w:bookmarkStart w:id="599" w:name="_Toc127161455"/>
      <w:bookmarkStart w:id="600" w:name="_Toc150774641"/>
      <w:bookmarkStart w:id="601" w:name="_Toc151193783"/>
      <w:bookmarkStart w:id="602" w:name="_Toc164608655"/>
      <w:bookmarkStart w:id="603" w:name="_Toc164608810"/>
      <w:bookmarkStart w:id="604" w:name="_Toc226965731"/>
      <w:bookmarkStart w:id="605" w:name="_Toc151193711"/>
      <w:bookmarkStart w:id="606" w:name="_Toc142311043"/>
      <w:bookmarkStart w:id="607" w:name="_Toc264969231"/>
      <w:bookmarkStart w:id="608" w:name="_Toc127151742"/>
      <w:bookmarkStart w:id="609" w:name="_Toc127151541"/>
      <w:bookmarkStart w:id="610" w:name="_Toc226965814"/>
      <w:bookmarkStart w:id="611" w:name="_Toc150509292"/>
      <w:bookmarkStart w:id="612" w:name="_Toc305158883"/>
      <w:bookmarkStart w:id="613" w:name="_Toc164229382"/>
      <w:bookmarkStart w:id="614" w:name="_Toc151193929"/>
      <w:bookmarkStart w:id="615" w:name="_Toc265228379"/>
      <w:bookmarkStart w:id="616" w:name="_Toc151193639"/>
      <w:bookmarkStart w:id="617" w:name="_Toc149720834"/>
      <w:bookmarkStart w:id="618" w:name="_Toc305158809"/>
      <w:bookmarkStart w:id="619" w:name="_Toc353873941"/>
      <w:bookmarkStart w:id="620" w:name="_Toc353825551"/>
      <w:bookmarkStart w:id="621" w:name="_Toc226965828"/>
      <w:bookmarkStart w:id="622" w:name="_Toc353873665"/>
      <w:bookmarkStart w:id="623" w:name="_Toc226337251"/>
      <w:bookmarkStart w:id="624" w:name="_Toc150480793"/>
      <w:bookmarkStart w:id="625" w:name="_Toc305158897"/>
      <w:bookmarkStart w:id="626" w:name="_Toc127151555"/>
      <w:bookmarkStart w:id="627" w:name="_Toc265228393"/>
      <w:bookmarkStart w:id="628" w:name="_Toc353825545"/>
      <w:bookmarkStart w:id="629" w:name="_Toc142311057"/>
      <w:bookmarkStart w:id="630" w:name="_Toc305158823"/>
      <w:bookmarkStart w:id="631" w:name="_Toc150774760"/>
      <w:bookmarkStart w:id="632" w:name="_Toc264969245"/>
      <w:bookmarkStart w:id="633" w:name="_Toc353873935"/>
      <w:bookmarkStart w:id="634" w:name="_Toc195842920"/>
      <w:r>
        <w:rPr>
          <w:sz w:val="24"/>
        </w:rPr>
        <w:t>响应文件的</w:t>
      </w:r>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r>
        <w:rPr>
          <w:sz w:val="24"/>
        </w:rPr>
        <w:t>资格性检查和符合性审查</w:t>
      </w:r>
    </w:p>
    <w:p w14:paraId="28F03B8D">
      <w:pPr>
        <w:tabs>
          <w:tab w:val="left" w:pos="1080"/>
        </w:tabs>
        <w:snapToGrid w:val="0"/>
        <w:spacing w:line="360" w:lineRule="auto"/>
        <w:rPr>
          <w:sz w:val="24"/>
        </w:rPr>
      </w:pPr>
      <w:r>
        <w:rPr>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b/>
          <w:sz w:val="24"/>
        </w:rPr>
        <w:t>无效响应</w:t>
      </w:r>
      <w:r>
        <w:rPr>
          <w:sz w:val="24"/>
        </w:rPr>
        <w:t>处理，磋商小组应当告知提交响应文件的供应商。</w:t>
      </w:r>
    </w:p>
    <w:p w14:paraId="79F51BEA">
      <w:pPr>
        <w:tabs>
          <w:tab w:val="left" w:pos="1080"/>
        </w:tabs>
        <w:snapToGrid w:val="0"/>
        <w:spacing w:line="360" w:lineRule="auto"/>
        <w:rPr>
          <w:sz w:val="24"/>
        </w:rPr>
      </w:pPr>
      <w:r>
        <w:rPr>
          <w:sz w:val="24"/>
        </w:rPr>
        <w:t>《资格性检查要求》中对格式有要求的，除竞争性磋商文件另有规定外，均为“实质性格式”文件。</w:t>
      </w:r>
    </w:p>
    <w:p w14:paraId="1061E5DE">
      <w:pPr>
        <w:tabs>
          <w:tab w:val="left" w:pos="1080"/>
        </w:tabs>
        <w:snapToGrid w:val="0"/>
        <w:spacing w:line="360" w:lineRule="auto"/>
        <w:rPr>
          <w:sz w:val="24"/>
        </w:rPr>
      </w:pPr>
      <w:r>
        <w:rPr>
          <w:sz w:val="24"/>
        </w:rPr>
        <w:t>《资格性检查要求》见下表：</w:t>
      </w:r>
    </w:p>
    <w:p w14:paraId="1F5C557A">
      <w:pPr>
        <w:tabs>
          <w:tab w:val="left" w:pos="900"/>
          <w:tab w:val="left" w:pos="1080"/>
        </w:tabs>
        <w:snapToGrid w:val="0"/>
        <w:spacing w:line="360" w:lineRule="auto"/>
        <w:ind w:left="1077" w:firstLine="2650" w:firstLineChars="1100"/>
        <w:rPr>
          <w:b/>
          <w:sz w:val="24"/>
        </w:rPr>
      </w:pPr>
      <w:r>
        <w:rPr>
          <w:b/>
          <w:sz w:val="24"/>
        </w:rPr>
        <w:t>资格性检查要求</w:t>
      </w:r>
    </w:p>
    <w:tbl>
      <w:tblPr>
        <w:tblStyle w:val="4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4"/>
        <w:gridCol w:w="1698"/>
        <w:gridCol w:w="4675"/>
        <w:gridCol w:w="1863"/>
      </w:tblGrid>
      <w:tr w14:paraId="15C98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24" w:type="dxa"/>
            <w:noWrap w:val="0"/>
            <w:vAlign w:val="center"/>
          </w:tcPr>
          <w:p w14:paraId="5E7F75FB">
            <w:pPr>
              <w:tabs>
                <w:tab w:val="left" w:pos="1080"/>
              </w:tabs>
              <w:snapToGrid w:val="0"/>
              <w:jc w:val="center"/>
              <w:rPr>
                <w:b/>
                <w:sz w:val="24"/>
              </w:rPr>
            </w:pPr>
            <w:bookmarkStart w:id="635" w:name="_Hlt487972895"/>
            <w:bookmarkEnd w:id="635"/>
            <w:r>
              <w:rPr>
                <w:b/>
                <w:sz w:val="24"/>
              </w:rPr>
              <w:t>序号</w:t>
            </w:r>
          </w:p>
        </w:tc>
        <w:tc>
          <w:tcPr>
            <w:tcW w:w="1698" w:type="dxa"/>
            <w:noWrap w:val="0"/>
            <w:vAlign w:val="center"/>
          </w:tcPr>
          <w:p w14:paraId="0967D341">
            <w:pPr>
              <w:tabs>
                <w:tab w:val="left" w:pos="1080"/>
              </w:tabs>
              <w:snapToGrid w:val="0"/>
              <w:jc w:val="center"/>
              <w:rPr>
                <w:b/>
                <w:sz w:val="24"/>
              </w:rPr>
            </w:pPr>
            <w:r>
              <w:rPr>
                <w:b/>
                <w:sz w:val="24"/>
              </w:rPr>
              <w:t>检查因素</w:t>
            </w:r>
          </w:p>
        </w:tc>
        <w:tc>
          <w:tcPr>
            <w:tcW w:w="4675" w:type="dxa"/>
            <w:noWrap w:val="0"/>
            <w:vAlign w:val="center"/>
          </w:tcPr>
          <w:p w14:paraId="30BE8A4B">
            <w:pPr>
              <w:tabs>
                <w:tab w:val="left" w:pos="1080"/>
              </w:tabs>
              <w:snapToGrid w:val="0"/>
              <w:jc w:val="center"/>
              <w:rPr>
                <w:b/>
                <w:sz w:val="24"/>
              </w:rPr>
            </w:pPr>
            <w:r>
              <w:rPr>
                <w:b/>
                <w:sz w:val="24"/>
              </w:rPr>
              <w:t>检查内容</w:t>
            </w:r>
          </w:p>
        </w:tc>
        <w:tc>
          <w:tcPr>
            <w:tcW w:w="1863" w:type="dxa"/>
            <w:noWrap w:val="0"/>
            <w:vAlign w:val="center"/>
          </w:tcPr>
          <w:p w14:paraId="514315C5">
            <w:pPr>
              <w:tabs>
                <w:tab w:val="left" w:pos="1080"/>
              </w:tabs>
              <w:snapToGrid w:val="0"/>
              <w:jc w:val="center"/>
              <w:rPr>
                <w:b/>
                <w:sz w:val="24"/>
              </w:rPr>
            </w:pPr>
            <w:r>
              <w:rPr>
                <w:b/>
                <w:sz w:val="24"/>
              </w:rPr>
              <w:t>格式要求</w:t>
            </w:r>
          </w:p>
        </w:tc>
      </w:tr>
      <w:tr w14:paraId="4A50A5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noWrap w:val="0"/>
            <w:vAlign w:val="center"/>
          </w:tcPr>
          <w:p w14:paraId="487BD545">
            <w:pPr>
              <w:tabs>
                <w:tab w:val="left" w:pos="1080"/>
              </w:tabs>
              <w:snapToGrid w:val="0"/>
              <w:jc w:val="center"/>
              <w:rPr>
                <w:sz w:val="24"/>
              </w:rPr>
            </w:pPr>
            <w:r>
              <w:rPr>
                <w:sz w:val="24"/>
              </w:rPr>
              <w:t>1</w:t>
            </w:r>
          </w:p>
        </w:tc>
        <w:tc>
          <w:tcPr>
            <w:tcW w:w="1698" w:type="dxa"/>
            <w:noWrap w:val="0"/>
            <w:vAlign w:val="center"/>
          </w:tcPr>
          <w:p w14:paraId="5B614D08">
            <w:pPr>
              <w:tabs>
                <w:tab w:val="left" w:pos="1080"/>
              </w:tabs>
              <w:snapToGrid w:val="0"/>
              <w:jc w:val="left"/>
              <w:rPr>
                <w:sz w:val="24"/>
              </w:rPr>
            </w:pPr>
            <w:r>
              <w:rPr>
                <w:sz w:val="24"/>
              </w:rPr>
              <w:t>满足《中华人民共和国政府采购法》第二十二条规定及法律法规的其他规定</w:t>
            </w:r>
          </w:p>
        </w:tc>
        <w:tc>
          <w:tcPr>
            <w:tcW w:w="4675" w:type="dxa"/>
            <w:noWrap w:val="0"/>
            <w:vAlign w:val="center"/>
          </w:tcPr>
          <w:p w14:paraId="3BCA27D2">
            <w:pPr>
              <w:tabs>
                <w:tab w:val="left" w:pos="1080"/>
              </w:tabs>
              <w:snapToGrid w:val="0"/>
              <w:jc w:val="left"/>
              <w:rPr>
                <w:sz w:val="24"/>
              </w:rPr>
            </w:pPr>
            <w:r>
              <w:rPr>
                <w:sz w:val="24"/>
              </w:rPr>
              <w:t>具体规定见第一章《采购邀请》</w:t>
            </w:r>
          </w:p>
        </w:tc>
        <w:tc>
          <w:tcPr>
            <w:tcW w:w="1863" w:type="dxa"/>
            <w:noWrap w:val="0"/>
            <w:vAlign w:val="center"/>
          </w:tcPr>
          <w:p w14:paraId="28810665">
            <w:pPr>
              <w:tabs>
                <w:tab w:val="left" w:pos="1080"/>
              </w:tabs>
              <w:snapToGrid w:val="0"/>
              <w:jc w:val="left"/>
              <w:rPr>
                <w:sz w:val="24"/>
              </w:rPr>
            </w:pPr>
          </w:p>
        </w:tc>
      </w:tr>
      <w:tr w14:paraId="59EF6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noWrap w:val="0"/>
            <w:vAlign w:val="center"/>
          </w:tcPr>
          <w:p w14:paraId="429CC81B">
            <w:pPr>
              <w:tabs>
                <w:tab w:val="left" w:pos="1080"/>
              </w:tabs>
              <w:snapToGrid w:val="0"/>
              <w:jc w:val="center"/>
              <w:rPr>
                <w:sz w:val="24"/>
              </w:rPr>
            </w:pPr>
            <w:r>
              <w:rPr>
                <w:sz w:val="24"/>
              </w:rPr>
              <w:t>1-1</w:t>
            </w:r>
          </w:p>
        </w:tc>
        <w:tc>
          <w:tcPr>
            <w:tcW w:w="1698" w:type="dxa"/>
            <w:noWrap w:val="0"/>
            <w:vAlign w:val="center"/>
          </w:tcPr>
          <w:p w14:paraId="7EA656FE">
            <w:pPr>
              <w:tabs>
                <w:tab w:val="left" w:pos="1080"/>
              </w:tabs>
              <w:snapToGrid w:val="0"/>
              <w:jc w:val="left"/>
              <w:rPr>
                <w:sz w:val="24"/>
              </w:rPr>
            </w:pPr>
            <w:r>
              <w:rPr>
                <w:sz w:val="24"/>
              </w:rPr>
              <w:t>营业执照等证明文件</w:t>
            </w:r>
          </w:p>
        </w:tc>
        <w:tc>
          <w:tcPr>
            <w:tcW w:w="4675" w:type="dxa"/>
            <w:noWrap w:val="0"/>
            <w:vAlign w:val="center"/>
          </w:tcPr>
          <w:p w14:paraId="7AD26335">
            <w:pPr>
              <w:tabs>
                <w:tab w:val="left" w:pos="1080"/>
              </w:tabs>
              <w:snapToGrid w:val="0"/>
              <w:jc w:val="left"/>
              <w:rPr>
                <w:sz w:val="24"/>
              </w:rPr>
            </w:pPr>
            <w:r>
              <w:rPr>
                <w:sz w:val="24"/>
              </w:rPr>
              <w:t>供应商为企业（包括合伙企业）的，应提供有效的“营业执照”；</w:t>
            </w:r>
          </w:p>
          <w:p w14:paraId="629D9E14">
            <w:pPr>
              <w:tabs>
                <w:tab w:val="left" w:pos="1080"/>
              </w:tabs>
              <w:snapToGrid w:val="0"/>
              <w:jc w:val="left"/>
              <w:rPr>
                <w:sz w:val="24"/>
              </w:rPr>
            </w:pPr>
            <w:r>
              <w:rPr>
                <w:sz w:val="24"/>
              </w:rPr>
              <w:t>供应商为事业单位的，应提供有效的“事业单位法人证书”；</w:t>
            </w:r>
          </w:p>
          <w:p w14:paraId="5399B477">
            <w:pPr>
              <w:tabs>
                <w:tab w:val="left" w:pos="1080"/>
              </w:tabs>
              <w:snapToGrid w:val="0"/>
              <w:jc w:val="left"/>
              <w:rPr>
                <w:sz w:val="24"/>
              </w:rPr>
            </w:pPr>
            <w:r>
              <w:rPr>
                <w:sz w:val="24"/>
              </w:rPr>
              <w:t>供应商</w:t>
            </w:r>
            <w:r>
              <w:rPr>
                <w:rFonts w:hint="eastAsia"/>
                <w:sz w:val="24"/>
              </w:rPr>
              <w:t>是非企业机构的，应提供有效的“执业许可证”、“登记证书”等证明文件</w:t>
            </w:r>
            <w:r>
              <w:rPr>
                <w:sz w:val="24"/>
              </w:rPr>
              <w:t>；</w:t>
            </w:r>
          </w:p>
          <w:p w14:paraId="13736411">
            <w:pPr>
              <w:tabs>
                <w:tab w:val="left" w:pos="1080"/>
              </w:tabs>
              <w:snapToGrid w:val="0"/>
              <w:jc w:val="left"/>
              <w:rPr>
                <w:sz w:val="24"/>
              </w:rPr>
            </w:pPr>
            <w:r>
              <w:rPr>
                <w:sz w:val="24"/>
              </w:rPr>
              <w:t>供应商是个体工商户的，应提供有效的“个体工商户营业执照”；</w:t>
            </w:r>
          </w:p>
          <w:p w14:paraId="039F0972">
            <w:pPr>
              <w:tabs>
                <w:tab w:val="left" w:pos="1080"/>
              </w:tabs>
              <w:snapToGrid w:val="0"/>
              <w:jc w:val="left"/>
              <w:rPr>
                <w:sz w:val="24"/>
              </w:rPr>
            </w:pPr>
            <w:r>
              <w:rPr>
                <w:sz w:val="24"/>
              </w:rPr>
              <w:t>供应商是自然人的，应提供有效的自然人身份证明。</w:t>
            </w:r>
          </w:p>
          <w:p w14:paraId="46557D8F">
            <w:pPr>
              <w:tabs>
                <w:tab w:val="left" w:pos="1080"/>
              </w:tabs>
              <w:snapToGrid w:val="0"/>
              <w:jc w:val="left"/>
              <w:rPr>
                <w:color w:val="000000"/>
                <w:sz w:val="24"/>
              </w:rPr>
            </w:pPr>
            <w:r>
              <w:rPr>
                <w:color w:val="000000"/>
                <w:sz w:val="24"/>
              </w:rPr>
              <w:t>若本项目允许分支机构参加响应，则分支机构参加</w:t>
            </w:r>
            <w:r>
              <w:rPr>
                <w:color w:val="000000"/>
                <w:kern w:val="0"/>
                <w:sz w:val="24"/>
              </w:rPr>
              <w:t>响应</w:t>
            </w:r>
            <w:r>
              <w:rPr>
                <w:color w:val="000000"/>
                <w:sz w:val="24"/>
              </w:rPr>
              <w:t>的，此处可提供该分支机构或其所属法人或其他组织的相应证明文件。</w:t>
            </w:r>
          </w:p>
        </w:tc>
        <w:tc>
          <w:tcPr>
            <w:tcW w:w="1863" w:type="dxa"/>
            <w:noWrap w:val="0"/>
            <w:vAlign w:val="center"/>
          </w:tcPr>
          <w:p w14:paraId="4D358E12">
            <w:pPr>
              <w:tabs>
                <w:tab w:val="left" w:pos="1080"/>
              </w:tabs>
              <w:snapToGrid w:val="0"/>
              <w:jc w:val="left"/>
              <w:rPr>
                <w:sz w:val="24"/>
              </w:rPr>
            </w:pPr>
            <w:r>
              <w:rPr>
                <w:rFonts w:hint="eastAsia"/>
                <w:sz w:val="24"/>
              </w:rPr>
              <w:t>提供证明文件复印件并加盖供应商公章</w:t>
            </w:r>
          </w:p>
        </w:tc>
      </w:tr>
      <w:tr w14:paraId="04867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noWrap w:val="0"/>
            <w:vAlign w:val="center"/>
          </w:tcPr>
          <w:p w14:paraId="6D88A601">
            <w:pPr>
              <w:tabs>
                <w:tab w:val="left" w:pos="1080"/>
              </w:tabs>
              <w:snapToGrid w:val="0"/>
              <w:jc w:val="center"/>
              <w:rPr>
                <w:sz w:val="24"/>
              </w:rPr>
            </w:pPr>
            <w:r>
              <w:rPr>
                <w:sz w:val="24"/>
              </w:rPr>
              <w:t>1-2</w:t>
            </w:r>
          </w:p>
        </w:tc>
        <w:tc>
          <w:tcPr>
            <w:tcW w:w="1698" w:type="dxa"/>
            <w:noWrap w:val="0"/>
            <w:vAlign w:val="center"/>
          </w:tcPr>
          <w:p w14:paraId="357F0CD1">
            <w:pPr>
              <w:tabs>
                <w:tab w:val="left" w:pos="1080"/>
              </w:tabs>
              <w:snapToGrid w:val="0"/>
              <w:jc w:val="left"/>
              <w:rPr>
                <w:sz w:val="24"/>
              </w:rPr>
            </w:pPr>
            <w:r>
              <w:rPr>
                <w:sz w:val="24"/>
              </w:rPr>
              <w:t>供应商资格声明书</w:t>
            </w:r>
          </w:p>
        </w:tc>
        <w:tc>
          <w:tcPr>
            <w:tcW w:w="4675" w:type="dxa"/>
            <w:noWrap w:val="0"/>
            <w:vAlign w:val="center"/>
          </w:tcPr>
          <w:p w14:paraId="70DD6009">
            <w:pPr>
              <w:tabs>
                <w:tab w:val="left" w:pos="1080"/>
              </w:tabs>
              <w:snapToGrid w:val="0"/>
              <w:jc w:val="left"/>
              <w:rPr>
                <w:sz w:val="24"/>
              </w:rPr>
            </w:pPr>
            <w:r>
              <w:rPr>
                <w:sz w:val="24"/>
              </w:rPr>
              <w:t>提供了符合竞争性磋商文件要求的《供应商资格声明书》。</w:t>
            </w:r>
          </w:p>
        </w:tc>
        <w:tc>
          <w:tcPr>
            <w:tcW w:w="1863" w:type="dxa"/>
            <w:noWrap w:val="0"/>
            <w:vAlign w:val="center"/>
          </w:tcPr>
          <w:p w14:paraId="51F8B8DC">
            <w:pPr>
              <w:tabs>
                <w:tab w:val="left" w:pos="1080"/>
              </w:tabs>
              <w:snapToGrid w:val="0"/>
              <w:jc w:val="left"/>
              <w:rPr>
                <w:sz w:val="24"/>
              </w:rPr>
            </w:pPr>
            <w:r>
              <w:rPr>
                <w:sz w:val="24"/>
              </w:rPr>
              <w:t>格式见《响应文件格式》</w:t>
            </w:r>
          </w:p>
        </w:tc>
      </w:tr>
      <w:tr w14:paraId="7F0207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noWrap w:val="0"/>
            <w:vAlign w:val="center"/>
          </w:tcPr>
          <w:p w14:paraId="670F938E">
            <w:pPr>
              <w:tabs>
                <w:tab w:val="left" w:pos="1080"/>
              </w:tabs>
              <w:snapToGrid w:val="0"/>
              <w:jc w:val="center"/>
              <w:rPr>
                <w:sz w:val="24"/>
              </w:rPr>
            </w:pPr>
            <w:r>
              <w:rPr>
                <w:sz w:val="24"/>
              </w:rPr>
              <w:t>1-3</w:t>
            </w:r>
          </w:p>
        </w:tc>
        <w:tc>
          <w:tcPr>
            <w:tcW w:w="1698" w:type="dxa"/>
            <w:noWrap w:val="0"/>
            <w:vAlign w:val="center"/>
          </w:tcPr>
          <w:p w14:paraId="277652FE">
            <w:pPr>
              <w:tabs>
                <w:tab w:val="left" w:pos="1080"/>
              </w:tabs>
              <w:snapToGrid w:val="0"/>
              <w:rPr>
                <w:sz w:val="24"/>
              </w:rPr>
            </w:pPr>
            <w:r>
              <w:rPr>
                <w:sz w:val="24"/>
              </w:rPr>
              <w:t>供应商信用记录</w:t>
            </w:r>
          </w:p>
        </w:tc>
        <w:tc>
          <w:tcPr>
            <w:tcW w:w="4675" w:type="dxa"/>
            <w:noWrap w:val="0"/>
            <w:vAlign w:val="center"/>
          </w:tcPr>
          <w:p w14:paraId="7B3CB59F">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708F4ADA">
            <w:pPr>
              <w:tabs>
                <w:tab w:val="left" w:pos="900"/>
                <w:tab w:val="left" w:pos="1980"/>
              </w:tabs>
              <w:snapToGrid w:val="0"/>
              <w:rPr>
                <w:sz w:val="24"/>
              </w:rPr>
            </w:pPr>
            <w:r>
              <w:rPr>
                <w:sz w:val="24"/>
              </w:rPr>
              <w:t>截止时点：</w:t>
            </w:r>
            <w:r>
              <w:rPr>
                <w:color w:val="000000"/>
                <w:kern w:val="0"/>
                <w:sz w:val="24"/>
                <w:szCs w:val="20"/>
              </w:rPr>
              <w:t>首次响应文件提交截止时间以后</w:t>
            </w:r>
            <w:r>
              <w:rPr>
                <w:sz w:val="24"/>
              </w:rPr>
              <w:t>、资格性检查阶段采购人或采购代理机构的实际查询时间为准；</w:t>
            </w:r>
          </w:p>
          <w:p w14:paraId="239937A8">
            <w:pPr>
              <w:tabs>
                <w:tab w:val="left" w:pos="900"/>
                <w:tab w:val="left" w:pos="1980"/>
              </w:tabs>
              <w:snapToGrid w:val="0"/>
              <w:rPr>
                <w:sz w:val="24"/>
              </w:rPr>
            </w:pPr>
            <w:r>
              <w:rPr>
                <w:sz w:val="24"/>
              </w:rPr>
              <w:t>信用信息查询记录和证据留存具体方式：查询结果网页打印页作为查询记录和证据，与其他竞争性磋商文件一并保存；</w:t>
            </w:r>
          </w:p>
          <w:p w14:paraId="14D30C20">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。联合体形式磋商的，联合体成员存在不良信用记录，视同联合体存在不良信用记录。</w:t>
            </w:r>
          </w:p>
        </w:tc>
        <w:tc>
          <w:tcPr>
            <w:tcW w:w="1863" w:type="dxa"/>
            <w:noWrap w:val="0"/>
            <w:vAlign w:val="center"/>
          </w:tcPr>
          <w:p w14:paraId="183513FB">
            <w:pPr>
              <w:tabs>
                <w:tab w:val="left" w:pos="1080"/>
              </w:tabs>
              <w:snapToGrid w:val="0"/>
              <w:rPr>
                <w:sz w:val="24"/>
              </w:rPr>
            </w:pPr>
            <w:r>
              <w:rPr>
                <w:sz w:val="24"/>
              </w:rPr>
              <w:t>无须供应商提供，由采购人或采购代理机构查询。</w:t>
            </w:r>
          </w:p>
        </w:tc>
      </w:tr>
      <w:tr w14:paraId="43B6E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noWrap w:val="0"/>
            <w:vAlign w:val="center"/>
          </w:tcPr>
          <w:p w14:paraId="689E66C5">
            <w:pPr>
              <w:tabs>
                <w:tab w:val="left" w:pos="1080"/>
              </w:tabs>
              <w:snapToGrid w:val="0"/>
              <w:jc w:val="center"/>
              <w:rPr>
                <w:sz w:val="24"/>
              </w:rPr>
            </w:pPr>
            <w:r>
              <w:rPr>
                <w:sz w:val="24"/>
              </w:rPr>
              <w:t>2</w:t>
            </w:r>
          </w:p>
        </w:tc>
        <w:tc>
          <w:tcPr>
            <w:tcW w:w="1698" w:type="dxa"/>
            <w:noWrap w:val="0"/>
            <w:vAlign w:val="center"/>
          </w:tcPr>
          <w:p w14:paraId="389386B0">
            <w:pPr>
              <w:tabs>
                <w:tab w:val="left" w:pos="1080"/>
              </w:tabs>
              <w:snapToGrid w:val="0"/>
              <w:jc w:val="left"/>
              <w:rPr>
                <w:sz w:val="24"/>
              </w:rPr>
            </w:pPr>
            <w:r>
              <w:rPr>
                <w:sz w:val="24"/>
              </w:rPr>
              <w:t>落实政府采购政策需满足的资格要求</w:t>
            </w:r>
          </w:p>
        </w:tc>
        <w:tc>
          <w:tcPr>
            <w:tcW w:w="4675" w:type="dxa"/>
            <w:noWrap w:val="0"/>
            <w:vAlign w:val="center"/>
          </w:tcPr>
          <w:p w14:paraId="7BC363CC">
            <w:pPr>
              <w:tabs>
                <w:tab w:val="left" w:pos="1080"/>
              </w:tabs>
              <w:snapToGrid w:val="0"/>
              <w:jc w:val="left"/>
              <w:rPr>
                <w:sz w:val="24"/>
              </w:rPr>
            </w:pPr>
            <w:r>
              <w:rPr>
                <w:sz w:val="24"/>
              </w:rPr>
              <w:t>具体要求见第一章《采购邀请》</w:t>
            </w:r>
          </w:p>
        </w:tc>
        <w:tc>
          <w:tcPr>
            <w:tcW w:w="1863" w:type="dxa"/>
            <w:noWrap w:val="0"/>
            <w:vAlign w:val="center"/>
          </w:tcPr>
          <w:p w14:paraId="6A443231">
            <w:pPr>
              <w:tabs>
                <w:tab w:val="left" w:pos="1080"/>
              </w:tabs>
              <w:snapToGrid w:val="0"/>
              <w:jc w:val="left"/>
              <w:rPr>
                <w:sz w:val="24"/>
              </w:rPr>
            </w:pPr>
          </w:p>
        </w:tc>
      </w:tr>
      <w:tr w14:paraId="68DDB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noWrap w:val="0"/>
            <w:vAlign w:val="center"/>
          </w:tcPr>
          <w:p w14:paraId="4F085E1C">
            <w:pPr>
              <w:tabs>
                <w:tab w:val="left" w:pos="1080"/>
              </w:tabs>
              <w:snapToGrid w:val="0"/>
              <w:jc w:val="center"/>
              <w:rPr>
                <w:sz w:val="24"/>
              </w:rPr>
            </w:pPr>
            <w:r>
              <w:rPr>
                <w:sz w:val="24"/>
              </w:rPr>
              <w:t>2-1</w:t>
            </w:r>
          </w:p>
        </w:tc>
        <w:tc>
          <w:tcPr>
            <w:tcW w:w="1698" w:type="dxa"/>
            <w:noWrap w:val="0"/>
            <w:vAlign w:val="center"/>
          </w:tcPr>
          <w:p w14:paraId="3D713582">
            <w:pPr>
              <w:tabs>
                <w:tab w:val="left" w:pos="1080"/>
              </w:tabs>
              <w:snapToGrid w:val="0"/>
              <w:jc w:val="left"/>
              <w:rPr>
                <w:sz w:val="24"/>
              </w:rPr>
            </w:pPr>
            <w:r>
              <w:rPr>
                <w:sz w:val="24"/>
              </w:rPr>
              <w:t>中小企业声明函</w:t>
            </w:r>
          </w:p>
        </w:tc>
        <w:tc>
          <w:tcPr>
            <w:tcW w:w="4675" w:type="dxa"/>
            <w:noWrap w:val="0"/>
            <w:vAlign w:val="center"/>
          </w:tcPr>
          <w:p w14:paraId="7C2A8BB3">
            <w:pPr>
              <w:tabs>
                <w:tab w:val="left" w:pos="1080"/>
              </w:tabs>
              <w:snapToGrid w:val="0"/>
              <w:jc w:val="left"/>
              <w:rPr>
                <w:rFonts w:hint="eastAsia"/>
                <w:sz w:val="24"/>
              </w:rPr>
            </w:pPr>
            <w:r>
              <w:rPr>
                <w:rFonts w:hint="eastAsia"/>
                <w:sz w:val="24"/>
              </w:rPr>
              <w:t>当本项目(包)涉及预留份额专门面向中小企业采购，提供如下资料：</w:t>
            </w:r>
          </w:p>
          <w:p w14:paraId="1BE60DF4">
            <w:pPr>
              <w:tabs>
                <w:tab w:val="left" w:pos="1080"/>
              </w:tabs>
              <w:snapToGrid w:val="0"/>
              <w:jc w:val="left"/>
              <w:rPr>
                <w:rFonts w:hint="eastAsia"/>
                <w:sz w:val="24"/>
              </w:rPr>
            </w:pPr>
            <w:r>
              <w:rPr>
                <w:rFonts w:hint="eastAsia"/>
                <w:sz w:val="24"/>
              </w:rPr>
              <w:t>1、供应商单独响应的，应提供《中小企业声明函》或《残疾人福利性单位声明函》或由省级以上监狱管理局、戒毒管理局(含新疆生产建设兵团)出具的属于监狱企业的证明文件。</w:t>
            </w:r>
          </w:p>
          <w:p w14:paraId="22C888C8">
            <w:pPr>
              <w:tabs>
                <w:tab w:val="left" w:pos="1080"/>
              </w:tabs>
              <w:snapToGrid w:val="0"/>
              <w:jc w:val="left"/>
              <w:rPr>
                <w:sz w:val="24"/>
              </w:rPr>
            </w:pPr>
            <w:r>
              <w:rPr>
                <w:rFonts w:hint="eastAsia"/>
                <w:sz w:val="24"/>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863" w:type="dxa"/>
            <w:noWrap w:val="0"/>
            <w:vAlign w:val="center"/>
          </w:tcPr>
          <w:p w14:paraId="5BE3962A">
            <w:pPr>
              <w:tabs>
                <w:tab w:val="left" w:pos="1080"/>
              </w:tabs>
              <w:snapToGrid w:val="0"/>
              <w:jc w:val="left"/>
              <w:rPr>
                <w:sz w:val="24"/>
              </w:rPr>
            </w:pPr>
            <w:r>
              <w:rPr>
                <w:sz w:val="24"/>
              </w:rPr>
              <w:t>格式见《响应文件格式》</w:t>
            </w:r>
          </w:p>
        </w:tc>
      </w:tr>
      <w:tr w14:paraId="4A1929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noWrap w:val="0"/>
            <w:vAlign w:val="center"/>
          </w:tcPr>
          <w:p w14:paraId="6B190D44">
            <w:pPr>
              <w:tabs>
                <w:tab w:val="left" w:pos="1080"/>
              </w:tabs>
              <w:snapToGrid w:val="0"/>
              <w:jc w:val="center"/>
              <w:rPr>
                <w:sz w:val="24"/>
              </w:rPr>
            </w:pPr>
            <w:r>
              <w:rPr>
                <w:sz w:val="24"/>
              </w:rPr>
              <w:t>3</w:t>
            </w:r>
          </w:p>
        </w:tc>
        <w:tc>
          <w:tcPr>
            <w:tcW w:w="1698" w:type="dxa"/>
            <w:noWrap w:val="0"/>
            <w:vAlign w:val="center"/>
          </w:tcPr>
          <w:p w14:paraId="0EFFA177">
            <w:pPr>
              <w:tabs>
                <w:tab w:val="left" w:pos="1080"/>
              </w:tabs>
              <w:snapToGrid w:val="0"/>
              <w:jc w:val="left"/>
              <w:rPr>
                <w:sz w:val="24"/>
              </w:rPr>
            </w:pPr>
            <w:r>
              <w:rPr>
                <w:sz w:val="24"/>
              </w:rPr>
              <w:t>本项目的特定资格要求</w:t>
            </w:r>
          </w:p>
        </w:tc>
        <w:tc>
          <w:tcPr>
            <w:tcW w:w="4675" w:type="dxa"/>
            <w:noWrap w:val="0"/>
            <w:vAlign w:val="center"/>
          </w:tcPr>
          <w:p w14:paraId="25274C11">
            <w:pPr>
              <w:tabs>
                <w:tab w:val="left" w:pos="1080"/>
              </w:tabs>
              <w:snapToGrid w:val="0"/>
              <w:jc w:val="left"/>
              <w:rPr>
                <w:sz w:val="24"/>
              </w:rPr>
            </w:pPr>
            <w:r>
              <w:rPr>
                <w:sz w:val="24"/>
              </w:rPr>
              <w:t>如有，见第一章《采购邀请》</w:t>
            </w:r>
          </w:p>
        </w:tc>
        <w:tc>
          <w:tcPr>
            <w:tcW w:w="1863" w:type="dxa"/>
            <w:noWrap w:val="0"/>
            <w:vAlign w:val="center"/>
          </w:tcPr>
          <w:p w14:paraId="3EC3F560">
            <w:pPr>
              <w:tabs>
                <w:tab w:val="left" w:pos="1080"/>
              </w:tabs>
              <w:snapToGrid w:val="0"/>
              <w:jc w:val="left"/>
              <w:rPr>
                <w:sz w:val="24"/>
              </w:rPr>
            </w:pPr>
            <w:r>
              <w:rPr>
                <w:rFonts w:hint="eastAsia"/>
                <w:sz w:val="24"/>
              </w:rPr>
              <w:t>原件或原件扫描件并加盖公章</w:t>
            </w:r>
          </w:p>
        </w:tc>
      </w:tr>
      <w:tr w14:paraId="7ABE1F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noWrap w:val="0"/>
            <w:vAlign w:val="center"/>
          </w:tcPr>
          <w:p w14:paraId="49269DBB">
            <w:pPr>
              <w:tabs>
                <w:tab w:val="left" w:pos="1080"/>
              </w:tabs>
              <w:snapToGrid w:val="0"/>
              <w:jc w:val="center"/>
              <w:rPr>
                <w:sz w:val="24"/>
              </w:rPr>
            </w:pPr>
            <w:r>
              <w:rPr>
                <w:sz w:val="24"/>
              </w:rPr>
              <w:t>4</w:t>
            </w:r>
          </w:p>
        </w:tc>
        <w:tc>
          <w:tcPr>
            <w:tcW w:w="1698" w:type="dxa"/>
            <w:noWrap w:val="0"/>
            <w:vAlign w:val="center"/>
          </w:tcPr>
          <w:p w14:paraId="25CAEA5F">
            <w:pPr>
              <w:tabs>
                <w:tab w:val="left" w:pos="1080"/>
              </w:tabs>
              <w:snapToGrid w:val="0"/>
              <w:rPr>
                <w:sz w:val="24"/>
              </w:rPr>
            </w:pPr>
            <w:r>
              <w:rPr>
                <w:color w:val="000000"/>
                <w:kern w:val="0"/>
                <w:sz w:val="24"/>
              </w:rPr>
              <w:t>磋商保证金</w:t>
            </w:r>
          </w:p>
        </w:tc>
        <w:tc>
          <w:tcPr>
            <w:tcW w:w="4675" w:type="dxa"/>
            <w:noWrap w:val="0"/>
            <w:vAlign w:val="center"/>
          </w:tcPr>
          <w:p w14:paraId="20989C30">
            <w:pPr>
              <w:tabs>
                <w:tab w:val="left" w:pos="1080"/>
              </w:tabs>
              <w:snapToGrid w:val="0"/>
              <w:rPr>
                <w:color w:val="000000"/>
                <w:sz w:val="24"/>
              </w:rPr>
            </w:pPr>
            <w:r>
              <w:rPr>
                <w:color w:val="000000"/>
                <w:kern w:val="0"/>
                <w:sz w:val="24"/>
              </w:rPr>
              <w:t>按照竞争性磋商文件的要求提交磋商保证金</w:t>
            </w:r>
            <w:r>
              <w:rPr>
                <w:rFonts w:hint="eastAsia"/>
                <w:color w:val="000000"/>
                <w:kern w:val="0"/>
                <w:sz w:val="24"/>
              </w:rPr>
              <w:t>。</w:t>
            </w:r>
          </w:p>
        </w:tc>
        <w:tc>
          <w:tcPr>
            <w:tcW w:w="1863" w:type="dxa"/>
            <w:noWrap w:val="0"/>
            <w:vAlign w:val="center"/>
          </w:tcPr>
          <w:p w14:paraId="617C5206">
            <w:pPr>
              <w:tabs>
                <w:tab w:val="left" w:pos="1080"/>
              </w:tabs>
              <w:snapToGrid w:val="0"/>
              <w:rPr>
                <w:sz w:val="24"/>
              </w:rPr>
            </w:pPr>
          </w:p>
        </w:tc>
      </w:tr>
    </w:tbl>
    <w:p w14:paraId="755521A9">
      <w:pPr>
        <w:widowControl/>
        <w:jc w:val="left"/>
        <w:rPr>
          <w:sz w:val="24"/>
        </w:rPr>
      </w:pPr>
    </w:p>
    <w:p w14:paraId="18B91DFA">
      <w:pPr>
        <w:widowControl/>
        <w:jc w:val="left"/>
        <w:rPr>
          <w:sz w:val="24"/>
        </w:rPr>
      </w:pPr>
    </w:p>
    <w:p w14:paraId="2721736D">
      <w:pPr>
        <w:widowControl/>
        <w:jc w:val="left"/>
        <w:rPr>
          <w:sz w:val="24"/>
        </w:rPr>
      </w:pPr>
    </w:p>
    <w:p w14:paraId="36CA7E8A">
      <w:pPr>
        <w:tabs>
          <w:tab w:val="left" w:pos="1080"/>
        </w:tabs>
        <w:snapToGrid w:val="0"/>
        <w:spacing w:line="360" w:lineRule="auto"/>
        <w:rPr>
          <w:sz w:val="24"/>
        </w:rPr>
      </w:pPr>
      <w:r>
        <w:rPr>
          <w:sz w:val="24"/>
        </w:rPr>
        <w:t>《符合性审查要求》见下表：</w:t>
      </w:r>
    </w:p>
    <w:p w14:paraId="20CC8C4C">
      <w:pPr>
        <w:widowControl/>
        <w:jc w:val="center"/>
        <w:rPr>
          <w:b/>
          <w:color w:val="000000"/>
          <w:kern w:val="0"/>
          <w:sz w:val="24"/>
        </w:rPr>
      </w:pPr>
      <w:r>
        <w:rPr>
          <w:b/>
          <w:color w:val="000000"/>
          <w:kern w:val="0"/>
          <w:sz w:val="24"/>
        </w:rPr>
        <w:t>符合性审查要求</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769"/>
        <w:gridCol w:w="6559"/>
      </w:tblGrid>
      <w:tr w14:paraId="2AD01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32" w:type="dxa"/>
            <w:noWrap w:val="0"/>
            <w:vAlign w:val="center"/>
          </w:tcPr>
          <w:p w14:paraId="5903A0F9">
            <w:pPr>
              <w:widowControl/>
              <w:jc w:val="center"/>
              <w:rPr>
                <w:b/>
                <w:color w:val="000000"/>
                <w:kern w:val="0"/>
                <w:sz w:val="24"/>
              </w:rPr>
            </w:pPr>
            <w:r>
              <w:rPr>
                <w:b/>
                <w:color w:val="000000"/>
                <w:kern w:val="0"/>
                <w:sz w:val="24"/>
              </w:rPr>
              <w:t>序号</w:t>
            </w:r>
          </w:p>
        </w:tc>
        <w:tc>
          <w:tcPr>
            <w:tcW w:w="1769" w:type="dxa"/>
            <w:noWrap w:val="0"/>
            <w:vAlign w:val="center"/>
          </w:tcPr>
          <w:p w14:paraId="0536566A">
            <w:pPr>
              <w:widowControl/>
              <w:jc w:val="center"/>
              <w:rPr>
                <w:b/>
                <w:color w:val="000000"/>
                <w:kern w:val="0"/>
                <w:sz w:val="24"/>
              </w:rPr>
            </w:pPr>
            <w:r>
              <w:rPr>
                <w:b/>
                <w:color w:val="000000"/>
                <w:kern w:val="0"/>
                <w:sz w:val="24"/>
              </w:rPr>
              <w:t>审查因素</w:t>
            </w:r>
          </w:p>
        </w:tc>
        <w:tc>
          <w:tcPr>
            <w:tcW w:w="6559" w:type="dxa"/>
            <w:noWrap w:val="0"/>
            <w:vAlign w:val="center"/>
          </w:tcPr>
          <w:p w14:paraId="68B10A5B">
            <w:pPr>
              <w:widowControl/>
              <w:jc w:val="center"/>
              <w:rPr>
                <w:b/>
                <w:color w:val="000000"/>
                <w:kern w:val="0"/>
                <w:sz w:val="24"/>
              </w:rPr>
            </w:pPr>
            <w:r>
              <w:rPr>
                <w:b/>
                <w:color w:val="000000"/>
                <w:kern w:val="0"/>
                <w:sz w:val="24"/>
              </w:rPr>
              <w:t>审查内容</w:t>
            </w:r>
          </w:p>
        </w:tc>
      </w:tr>
      <w:tr w14:paraId="7A647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noWrap w:val="0"/>
            <w:vAlign w:val="center"/>
          </w:tcPr>
          <w:p w14:paraId="1C3D1AB4">
            <w:pPr>
              <w:widowControl/>
              <w:jc w:val="center"/>
              <w:rPr>
                <w:color w:val="000000"/>
                <w:kern w:val="0"/>
                <w:sz w:val="24"/>
              </w:rPr>
            </w:pPr>
            <w:r>
              <w:rPr>
                <w:rFonts w:hint="eastAsia"/>
                <w:color w:val="000000"/>
                <w:kern w:val="0"/>
                <w:sz w:val="24"/>
              </w:rPr>
              <w:t>1</w:t>
            </w:r>
          </w:p>
        </w:tc>
        <w:tc>
          <w:tcPr>
            <w:tcW w:w="1769" w:type="dxa"/>
            <w:noWrap w:val="0"/>
            <w:vAlign w:val="center"/>
          </w:tcPr>
          <w:p w14:paraId="3E0656BB">
            <w:pPr>
              <w:widowControl/>
              <w:jc w:val="left"/>
              <w:rPr>
                <w:color w:val="000000"/>
                <w:kern w:val="0"/>
                <w:sz w:val="24"/>
              </w:rPr>
            </w:pPr>
            <w:r>
              <w:rPr>
                <w:rFonts w:hint="eastAsia"/>
                <w:color w:val="000000"/>
                <w:kern w:val="0"/>
                <w:sz w:val="24"/>
              </w:rPr>
              <w:t>响应的</w:t>
            </w:r>
            <w:r>
              <w:rPr>
                <w:color w:val="000000"/>
                <w:kern w:val="0"/>
                <w:sz w:val="24"/>
              </w:rPr>
              <w:t>完整性</w:t>
            </w:r>
          </w:p>
        </w:tc>
        <w:tc>
          <w:tcPr>
            <w:tcW w:w="6559" w:type="dxa"/>
            <w:noWrap w:val="0"/>
            <w:vAlign w:val="center"/>
          </w:tcPr>
          <w:p w14:paraId="1CE44516">
            <w:pPr>
              <w:widowControl/>
              <w:jc w:val="left"/>
              <w:rPr>
                <w:color w:val="000000"/>
                <w:kern w:val="0"/>
                <w:sz w:val="24"/>
              </w:rPr>
            </w:pPr>
            <w:r>
              <w:rPr>
                <w:rFonts w:hint="eastAsia"/>
                <w:sz w:val="24"/>
              </w:rPr>
              <w:t>未</w:t>
            </w:r>
            <w:r>
              <w:rPr>
                <w:sz w:val="24"/>
              </w:rPr>
              <w:t>将一个采购包中的内容拆开</w:t>
            </w:r>
            <w:r>
              <w:rPr>
                <w:rFonts w:hint="eastAsia"/>
                <w:sz w:val="24"/>
              </w:rPr>
              <w:t>响应</w:t>
            </w:r>
            <w:r>
              <w:rPr>
                <w:sz w:val="24"/>
              </w:rPr>
              <w:t>；</w:t>
            </w:r>
          </w:p>
        </w:tc>
      </w:tr>
      <w:tr w14:paraId="4F68B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noWrap w:val="0"/>
            <w:vAlign w:val="center"/>
          </w:tcPr>
          <w:p w14:paraId="0D6FD5CE">
            <w:pPr>
              <w:widowControl/>
              <w:jc w:val="center"/>
              <w:rPr>
                <w:color w:val="000000"/>
                <w:kern w:val="0"/>
                <w:sz w:val="24"/>
              </w:rPr>
            </w:pPr>
            <w:r>
              <w:rPr>
                <w:rFonts w:hint="eastAsia"/>
                <w:color w:val="000000"/>
                <w:kern w:val="0"/>
                <w:sz w:val="24"/>
              </w:rPr>
              <w:t>2</w:t>
            </w:r>
          </w:p>
        </w:tc>
        <w:tc>
          <w:tcPr>
            <w:tcW w:w="1769" w:type="dxa"/>
            <w:noWrap w:val="0"/>
            <w:vAlign w:val="center"/>
          </w:tcPr>
          <w:p w14:paraId="41DC4107">
            <w:pPr>
              <w:widowControl/>
              <w:jc w:val="left"/>
              <w:rPr>
                <w:color w:val="000000"/>
                <w:kern w:val="0"/>
                <w:sz w:val="24"/>
              </w:rPr>
            </w:pPr>
            <w:r>
              <w:rPr>
                <w:color w:val="000000"/>
                <w:kern w:val="0"/>
                <w:sz w:val="24"/>
              </w:rPr>
              <w:t>报价</w:t>
            </w:r>
          </w:p>
        </w:tc>
        <w:tc>
          <w:tcPr>
            <w:tcW w:w="6559" w:type="dxa"/>
            <w:noWrap w:val="0"/>
            <w:vAlign w:val="center"/>
          </w:tcPr>
          <w:p w14:paraId="78DDB906">
            <w:pPr>
              <w:widowControl/>
              <w:jc w:val="left"/>
              <w:rPr>
                <w:color w:val="000000"/>
                <w:kern w:val="0"/>
                <w:sz w:val="24"/>
              </w:rPr>
            </w:pPr>
            <w:r>
              <w:rPr>
                <w:color w:val="000000"/>
                <w:kern w:val="0"/>
                <w:sz w:val="24"/>
              </w:rPr>
              <w:t>报价</w:t>
            </w:r>
            <w:r>
              <w:rPr>
                <w:rFonts w:hint="eastAsia"/>
                <w:color w:val="000000"/>
                <w:kern w:val="0"/>
                <w:sz w:val="24"/>
              </w:rPr>
              <w:t>未</w:t>
            </w:r>
            <w:r>
              <w:rPr>
                <w:color w:val="000000"/>
                <w:sz w:val="24"/>
              </w:rPr>
              <w:t>超过</w:t>
            </w:r>
            <w:r>
              <w:rPr>
                <w:rFonts w:hint="eastAsia"/>
                <w:color w:val="000000"/>
                <w:sz w:val="24"/>
              </w:rPr>
              <w:t>磋商</w:t>
            </w:r>
            <w:r>
              <w:rPr>
                <w:color w:val="000000"/>
                <w:sz w:val="24"/>
              </w:rPr>
              <w:t>文件中规定的项目/采购包预算金额或者项目/采购包最高限价</w:t>
            </w:r>
            <w:r>
              <w:rPr>
                <w:color w:val="000000"/>
                <w:kern w:val="0"/>
                <w:sz w:val="24"/>
              </w:rPr>
              <w:t>；</w:t>
            </w:r>
          </w:p>
        </w:tc>
      </w:tr>
      <w:tr w14:paraId="3463C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noWrap w:val="0"/>
            <w:vAlign w:val="center"/>
          </w:tcPr>
          <w:p w14:paraId="291A5D8E">
            <w:pPr>
              <w:widowControl/>
              <w:jc w:val="center"/>
              <w:rPr>
                <w:color w:val="000000"/>
                <w:kern w:val="0"/>
                <w:sz w:val="24"/>
              </w:rPr>
            </w:pPr>
            <w:r>
              <w:rPr>
                <w:rFonts w:hint="eastAsia"/>
                <w:color w:val="000000"/>
                <w:kern w:val="0"/>
                <w:sz w:val="24"/>
              </w:rPr>
              <w:t>3</w:t>
            </w:r>
          </w:p>
        </w:tc>
        <w:tc>
          <w:tcPr>
            <w:tcW w:w="1769" w:type="dxa"/>
            <w:noWrap w:val="0"/>
            <w:vAlign w:val="center"/>
          </w:tcPr>
          <w:p w14:paraId="0A56ADD9">
            <w:pPr>
              <w:widowControl/>
              <w:jc w:val="left"/>
              <w:rPr>
                <w:color w:val="000000"/>
                <w:kern w:val="0"/>
                <w:sz w:val="24"/>
              </w:rPr>
            </w:pPr>
            <w:r>
              <w:rPr>
                <w:color w:val="000000"/>
                <w:kern w:val="0"/>
                <w:sz w:val="24"/>
              </w:rPr>
              <w:t>报价唯一性</w:t>
            </w:r>
          </w:p>
        </w:tc>
        <w:tc>
          <w:tcPr>
            <w:tcW w:w="6559" w:type="dxa"/>
            <w:noWrap w:val="0"/>
            <w:vAlign w:val="center"/>
          </w:tcPr>
          <w:p w14:paraId="447EEB22">
            <w:pPr>
              <w:widowControl/>
              <w:jc w:val="left"/>
              <w:rPr>
                <w:color w:val="000000"/>
                <w:kern w:val="0"/>
                <w:sz w:val="24"/>
              </w:rPr>
            </w:pPr>
            <w:r>
              <w:rPr>
                <w:rFonts w:hint="eastAsia"/>
                <w:color w:val="000000"/>
                <w:kern w:val="0"/>
                <w:sz w:val="24"/>
              </w:rPr>
              <w:t>响应</w:t>
            </w:r>
            <w:r>
              <w:rPr>
                <w:color w:val="000000"/>
                <w:kern w:val="0"/>
                <w:sz w:val="24"/>
              </w:rPr>
              <w:t>文件</w:t>
            </w:r>
            <w:r>
              <w:rPr>
                <w:rFonts w:hint="eastAsia"/>
                <w:color w:val="000000"/>
                <w:kern w:val="0"/>
                <w:sz w:val="24"/>
              </w:rPr>
              <w:t>未</w:t>
            </w:r>
            <w:r>
              <w:rPr>
                <w:rFonts w:hint="eastAsia"/>
                <w:sz w:val="24"/>
              </w:rPr>
              <w:t>出现可选择性或可调整的报价（磋商文件另有规定的除外）</w:t>
            </w:r>
            <w:r>
              <w:rPr>
                <w:color w:val="000000"/>
                <w:kern w:val="0"/>
                <w:sz w:val="24"/>
              </w:rPr>
              <w:t>；</w:t>
            </w:r>
          </w:p>
        </w:tc>
      </w:tr>
      <w:tr w14:paraId="23635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noWrap w:val="0"/>
            <w:vAlign w:val="center"/>
          </w:tcPr>
          <w:p w14:paraId="350EEB97">
            <w:pPr>
              <w:widowControl/>
              <w:jc w:val="center"/>
              <w:rPr>
                <w:color w:val="000000"/>
                <w:kern w:val="0"/>
                <w:sz w:val="24"/>
              </w:rPr>
            </w:pPr>
            <w:r>
              <w:rPr>
                <w:rFonts w:hint="eastAsia"/>
                <w:color w:val="000000"/>
                <w:kern w:val="0"/>
                <w:sz w:val="24"/>
              </w:rPr>
              <w:t>4</w:t>
            </w:r>
          </w:p>
        </w:tc>
        <w:tc>
          <w:tcPr>
            <w:tcW w:w="1769" w:type="dxa"/>
            <w:noWrap w:val="0"/>
            <w:vAlign w:val="center"/>
          </w:tcPr>
          <w:p w14:paraId="38BB5498">
            <w:pPr>
              <w:widowControl/>
              <w:jc w:val="left"/>
              <w:rPr>
                <w:color w:val="000000"/>
                <w:kern w:val="0"/>
                <w:sz w:val="24"/>
              </w:rPr>
            </w:pPr>
            <w:r>
              <w:rPr>
                <w:rFonts w:hint="eastAsia"/>
                <w:color w:val="000000"/>
                <w:kern w:val="0"/>
                <w:sz w:val="24"/>
              </w:rPr>
              <w:t>报价</w:t>
            </w:r>
            <w:r>
              <w:rPr>
                <w:color w:val="000000"/>
                <w:kern w:val="0"/>
                <w:sz w:val="24"/>
              </w:rPr>
              <w:t>有效期</w:t>
            </w:r>
          </w:p>
        </w:tc>
        <w:tc>
          <w:tcPr>
            <w:tcW w:w="6559" w:type="dxa"/>
            <w:noWrap w:val="0"/>
            <w:vAlign w:val="center"/>
          </w:tcPr>
          <w:p w14:paraId="19BC83CD">
            <w:pPr>
              <w:widowControl/>
              <w:jc w:val="left"/>
              <w:rPr>
                <w:color w:val="000000"/>
                <w:kern w:val="0"/>
                <w:sz w:val="24"/>
              </w:rPr>
            </w:pPr>
            <w:r>
              <w:rPr>
                <w:rFonts w:hint="eastAsia"/>
                <w:color w:val="000000"/>
                <w:kern w:val="0"/>
                <w:sz w:val="24"/>
              </w:rPr>
              <w:t>响应</w:t>
            </w:r>
            <w:r>
              <w:rPr>
                <w:color w:val="000000"/>
                <w:kern w:val="0"/>
                <w:sz w:val="24"/>
              </w:rPr>
              <w:t>文件中承诺的</w:t>
            </w:r>
            <w:r>
              <w:rPr>
                <w:rFonts w:hint="eastAsia"/>
                <w:color w:val="000000"/>
                <w:kern w:val="0"/>
                <w:sz w:val="24"/>
              </w:rPr>
              <w:t>报价</w:t>
            </w:r>
            <w:r>
              <w:rPr>
                <w:color w:val="000000"/>
                <w:kern w:val="0"/>
                <w:sz w:val="24"/>
              </w:rPr>
              <w:t>有效期</w:t>
            </w:r>
            <w:r>
              <w:rPr>
                <w:rFonts w:hint="eastAsia"/>
                <w:color w:val="000000"/>
                <w:kern w:val="0"/>
                <w:sz w:val="24"/>
              </w:rPr>
              <w:t>满足磋商</w:t>
            </w:r>
            <w:r>
              <w:rPr>
                <w:color w:val="000000"/>
                <w:kern w:val="0"/>
                <w:sz w:val="24"/>
              </w:rPr>
              <w:t>文件中载明的</w:t>
            </w:r>
            <w:r>
              <w:rPr>
                <w:rFonts w:hint="eastAsia"/>
                <w:color w:val="000000"/>
                <w:kern w:val="0"/>
                <w:sz w:val="24"/>
              </w:rPr>
              <w:t>报价</w:t>
            </w:r>
            <w:r>
              <w:rPr>
                <w:color w:val="000000"/>
                <w:kern w:val="0"/>
                <w:sz w:val="24"/>
              </w:rPr>
              <w:t>有效期的；</w:t>
            </w:r>
          </w:p>
        </w:tc>
      </w:tr>
      <w:tr w14:paraId="3B781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noWrap w:val="0"/>
            <w:vAlign w:val="center"/>
          </w:tcPr>
          <w:p w14:paraId="3FD7474B">
            <w:pPr>
              <w:widowControl/>
              <w:jc w:val="center"/>
              <w:rPr>
                <w:color w:val="000000"/>
                <w:kern w:val="0"/>
                <w:sz w:val="24"/>
              </w:rPr>
            </w:pPr>
            <w:r>
              <w:rPr>
                <w:rFonts w:hint="eastAsia"/>
                <w:color w:val="000000"/>
                <w:kern w:val="0"/>
                <w:sz w:val="24"/>
              </w:rPr>
              <w:t>5</w:t>
            </w:r>
          </w:p>
        </w:tc>
        <w:tc>
          <w:tcPr>
            <w:tcW w:w="1769" w:type="dxa"/>
            <w:noWrap w:val="0"/>
            <w:vAlign w:val="center"/>
          </w:tcPr>
          <w:p w14:paraId="0E5B1D08">
            <w:pPr>
              <w:widowControl/>
              <w:jc w:val="left"/>
              <w:rPr>
                <w:color w:val="000000"/>
                <w:kern w:val="0"/>
                <w:sz w:val="24"/>
              </w:rPr>
            </w:pPr>
            <w:r>
              <w:rPr>
                <w:color w:val="000000"/>
                <w:kern w:val="0"/>
                <w:sz w:val="24"/>
              </w:rPr>
              <w:t>签署、盖章</w:t>
            </w:r>
          </w:p>
        </w:tc>
        <w:tc>
          <w:tcPr>
            <w:tcW w:w="6559" w:type="dxa"/>
            <w:noWrap w:val="0"/>
            <w:vAlign w:val="center"/>
          </w:tcPr>
          <w:p w14:paraId="14B5DD6B">
            <w:pPr>
              <w:widowControl/>
              <w:jc w:val="left"/>
              <w:rPr>
                <w:color w:val="000000"/>
                <w:kern w:val="0"/>
                <w:sz w:val="24"/>
              </w:rPr>
            </w:pPr>
            <w:r>
              <w:rPr>
                <w:color w:val="000000"/>
                <w:kern w:val="0"/>
                <w:sz w:val="24"/>
              </w:rPr>
              <w:t>按照</w:t>
            </w:r>
            <w:r>
              <w:rPr>
                <w:rFonts w:hint="eastAsia"/>
                <w:color w:val="000000"/>
                <w:kern w:val="0"/>
                <w:sz w:val="24"/>
              </w:rPr>
              <w:t>磋商</w:t>
            </w:r>
            <w:r>
              <w:rPr>
                <w:color w:val="000000"/>
                <w:kern w:val="0"/>
                <w:sz w:val="24"/>
              </w:rPr>
              <w:t>文件要求签署、盖章的；</w:t>
            </w:r>
          </w:p>
        </w:tc>
      </w:tr>
      <w:tr w14:paraId="69570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noWrap w:val="0"/>
            <w:vAlign w:val="center"/>
          </w:tcPr>
          <w:p w14:paraId="279EA6FE">
            <w:pPr>
              <w:widowControl/>
              <w:jc w:val="center"/>
              <w:rPr>
                <w:color w:val="000000"/>
                <w:kern w:val="0"/>
                <w:sz w:val="24"/>
              </w:rPr>
            </w:pPr>
            <w:r>
              <w:rPr>
                <w:rFonts w:hint="eastAsia"/>
                <w:color w:val="000000"/>
                <w:kern w:val="0"/>
                <w:sz w:val="24"/>
              </w:rPr>
              <w:t>6</w:t>
            </w:r>
          </w:p>
        </w:tc>
        <w:tc>
          <w:tcPr>
            <w:tcW w:w="1769" w:type="dxa"/>
            <w:noWrap w:val="0"/>
            <w:vAlign w:val="center"/>
          </w:tcPr>
          <w:p w14:paraId="3840E426">
            <w:pPr>
              <w:widowControl/>
              <w:jc w:val="left"/>
              <w:rPr>
                <w:color w:val="000000"/>
                <w:kern w:val="0"/>
                <w:sz w:val="24"/>
              </w:rPr>
            </w:pPr>
            <w:r>
              <w:rPr>
                <w:color w:val="000000"/>
                <w:kern w:val="0"/>
                <w:sz w:val="24"/>
              </w:rPr>
              <w:t>报价合理性</w:t>
            </w:r>
          </w:p>
        </w:tc>
        <w:tc>
          <w:tcPr>
            <w:tcW w:w="6559" w:type="dxa"/>
            <w:noWrap w:val="0"/>
            <w:vAlign w:val="center"/>
          </w:tcPr>
          <w:p w14:paraId="0CB6B054">
            <w:pPr>
              <w:widowControl/>
              <w:jc w:val="left"/>
              <w:rPr>
                <w:color w:val="000000"/>
                <w:kern w:val="0"/>
                <w:sz w:val="24"/>
              </w:rPr>
            </w:pPr>
            <w:r>
              <w:rPr>
                <w:color w:val="000000"/>
                <w:kern w:val="0"/>
                <w:sz w:val="24"/>
              </w:rPr>
              <w:t>报价合理，或</w:t>
            </w:r>
            <w:r>
              <w:rPr>
                <w:rFonts w:hint="eastAsia"/>
                <w:sz w:val="24"/>
              </w:rPr>
              <w:t>供应商的报价明显低于其他通过符合性审查</w:t>
            </w:r>
            <w:r>
              <w:rPr>
                <w:rFonts w:hint="eastAsia" w:ascii="宋体" w:hAnsi="宋体"/>
                <w:color w:val="000000"/>
                <w:sz w:val="24"/>
              </w:rPr>
              <w:t>供应商</w:t>
            </w:r>
            <w:r>
              <w:rPr>
                <w:rFonts w:hint="eastAsia"/>
                <w:sz w:val="24"/>
              </w:rPr>
              <w:t>的报价，</w:t>
            </w:r>
            <w:r>
              <w:rPr>
                <w:sz w:val="24"/>
              </w:rPr>
              <w:t>有可能影响产品质量或者不能诚信履约的</w:t>
            </w:r>
            <w:r>
              <w:rPr>
                <w:rFonts w:hint="eastAsia"/>
                <w:sz w:val="24"/>
              </w:rPr>
              <w:t>，能够应磋商小组要求在规定时间内证明其报价合理性的</w:t>
            </w:r>
            <w:r>
              <w:rPr>
                <w:color w:val="000000"/>
                <w:kern w:val="0"/>
                <w:sz w:val="24"/>
              </w:rPr>
              <w:t>；</w:t>
            </w:r>
          </w:p>
        </w:tc>
      </w:tr>
      <w:tr w14:paraId="35129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noWrap w:val="0"/>
            <w:vAlign w:val="center"/>
          </w:tcPr>
          <w:p w14:paraId="153DE937">
            <w:pPr>
              <w:widowControl/>
              <w:jc w:val="center"/>
              <w:rPr>
                <w:color w:val="000000"/>
                <w:kern w:val="0"/>
                <w:sz w:val="24"/>
              </w:rPr>
            </w:pPr>
            <w:r>
              <w:rPr>
                <w:rFonts w:hint="eastAsia"/>
                <w:color w:val="000000"/>
                <w:kern w:val="0"/>
                <w:sz w:val="24"/>
              </w:rPr>
              <w:t>7</w:t>
            </w:r>
          </w:p>
        </w:tc>
        <w:tc>
          <w:tcPr>
            <w:tcW w:w="1769" w:type="dxa"/>
            <w:noWrap w:val="0"/>
            <w:vAlign w:val="center"/>
          </w:tcPr>
          <w:p w14:paraId="1FC225F0">
            <w:pPr>
              <w:widowControl/>
              <w:jc w:val="left"/>
              <w:rPr>
                <w:color w:val="000000"/>
                <w:kern w:val="0"/>
                <w:sz w:val="24"/>
              </w:rPr>
            </w:pPr>
            <w:r>
              <w:rPr>
                <w:color w:val="000000"/>
                <w:kern w:val="0"/>
                <w:sz w:val="24"/>
              </w:rPr>
              <w:t>公平竞争</w:t>
            </w:r>
          </w:p>
        </w:tc>
        <w:tc>
          <w:tcPr>
            <w:tcW w:w="6559" w:type="dxa"/>
            <w:noWrap w:val="0"/>
            <w:vAlign w:val="center"/>
          </w:tcPr>
          <w:p w14:paraId="2BF30FDD">
            <w:pPr>
              <w:widowControl/>
              <w:jc w:val="left"/>
              <w:rPr>
                <w:color w:val="000000"/>
                <w:kern w:val="0"/>
                <w:sz w:val="24"/>
              </w:rPr>
            </w:pPr>
            <w:r>
              <w:rPr>
                <w:rFonts w:hint="eastAsia"/>
                <w:color w:val="000000"/>
                <w:sz w:val="24"/>
              </w:rPr>
              <w:t>供应商</w:t>
            </w:r>
            <w:r>
              <w:rPr>
                <w:color w:val="000000"/>
                <w:sz w:val="24"/>
              </w:rPr>
              <w:t>遵循公平竞争的原则，不存在恶意串通，妨碍其他</w:t>
            </w:r>
            <w:r>
              <w:rPr>
                <w:rFonts w:hint="eastAsia"/>
                <w:color w:val="000000"/>
                <w:sz w:val="24"/>
              </w:rPr>
              <w:t>供应商</w:t>
            </w:r>
            <w:r>
              <w:rPr>
                <w:color w:val="000000"/>
                <w:sz w:val="24"/>
              </w:rPr>
              <w:t>的竞争行为，不存在损害采购人或者其他</w:t>
            </w:r>
            <w:r>
              <w:rPr>
                <w:rFonts w:hint="eastAsia"/>
                <w:color w:val="000000"/>
                <w:sz w:val="24"/>
              </w:rPr>
              <w:t>供应商</w:t>
            </w:r>
            <w:r>
              <w:rPr>
                <w:color w:val="000000"/>
                <w:sz w:val="24"/>
              </w:rPr>
              <w:t>的合法权益情形的；</w:t>
            </w:r>
          </w:p>
        </w:tc>
      </w:tr>
      <w:tr w14:paraId="41F06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noWrap w:val="0"/>
            <w:vAlign w:val="center"/>
          </w:tcPr>
          <w:p w14:paraId="1B8D75EB">
            <w:pPr>
              <w:widowControl/>
              <w:jc w:val="center"/>
              <w:rPr>
                <w:color w:val="000000"/>
                <w:kern w:val="0"/>
                <w:sz w:val="24"/>
              </w:rPr>
            </w:pPr>
            <w:r>
              <w:rPr>
                <w:rFonts w:hint="eastAsia"/>
                <w:color w:val="000000"/>
                <w:kern w:val="0"/>
                <w:sz w:val="24"/>
              </w:rPr>
              <w:t>8</w:t>
            </w:r>
          </w:p>
        </w:tc>
        <w:tc>
          <w:tcPr>
            <w:tcW w:w="1769" w:type="dxa"/>
            <w:noWrap w:val="0"/>
            <w:vAlign w:val="center"/>
          </w:tcPr>
          <w:p w14:paraId="6BA44248">
            <w:pPr>
              <w:widowControl/>
              <w:jc w:val="left"/>
              <w:rPr>
                <w:color w:val="000000"/>
                <w:kern w:val="0"/>
                <w:sz w:val="24"/>
              </w:rPr>
            </w:pPr>
            <w:r>
              <w:rPr>
                <w:color w:val="000000"/>
                <w:kern w:val="0"/>
                <w:sz w:val="24"/>
              </w:rPr>
              <w:t>串通投标</w:t>
            </w:r>
          </w:p>
        </w:tc>
        <w:tc>
          <w:tcPr>
            <w:tcW w:w="6559" w:type="dxa"/>
            <w:noWrap w:val="0"/>
            <w:vAlign w:val="center"/>
          </w:tcPr>
          <w:p w14:paraId="6C1C44C5">
            <w:pPr>
              <w:widowControl/>
              <w:jc w:val="left"/>
              <w:rPr>
                <w:color w:val="000000"/>
                <w:kern w:val="0"/>
                <w:sz w:val="24"/>
              </w:rPr>
            </w:pPr>
            <w:r>
              <w:rPr>
                <w:rFonts w:hint="eastAsia"/>
                <w:color w:val="000000"/>
                <w:sz w:val="24"/>
              </w:rPr>
              <w:t>不存在《政府采购货物和服务招标投标管理办法》视为供应商串通投标的情形：（一）不同供应商的响应文件由同一单位或者个人编制；（二）不同供应商委托同一单位或者个人办理投标事宜；（三）不同供应商的响应文件载明的项目管理成员或者联系人员为同一人；（四）不同供应商的响应文件异常一致或者报价呈规律 性差异；（五）不同供应商的响应文件相互混装；（六）不同供应商的保证金从同一单位或者个人的账户转出</w:t>
            </w:r>
            <w:r>
              <w:rPr>
                <w:color w:val="000000"/>
                <w:sz w:val="24"/>
              </w:rPr>
              <w:t>；</w:t>
            </w:r>
          </w:p>
        </w:tc>
      </w:tr>
      <w:tr w14:paraId="09FDB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noWrap w:val="0"/>
            <w:vAlign w:val="center"/>
          </w:tcPr>
          <w:p w14:paraId="61FCAE7F">
            <w:pPr>
              <w:widowControl/>
              <w:jc w:val="center"/>
              <w:rPr>
                <w:color w:val="000000"/>
                <w:kern w:val="0"/>
                <w:sz w:val="24"/>
              </w:rPr>
            </w:pPr>
            <w:r>
              <w:rPr>
                <w:rFonts w:hint="eastAsia"/>
                <w:color w:val="000000"/>
                <w:kern w:val="0"/>
                <w:sz w:val="24"/>
              </w:rPr>
              <w:t>9</w:t>
            </w:r>
          </w:p>
        </w:tc>
        <w:tc>
          <w:tcPr>
            <w:tcW w:w="1769" w:type="dxa"/>
            <w:noWrap w:val="0"/>
            <w:vAlign w:val="center"/>
          </w:tcPr>
          <w:p w14:paraId="28522034">
            <w:pPr>
              <w:widowControl/>
              <w:jc w:val="left"/>
              <w:rPr>
                <w:color w:val="000000"/>
                <w:kern w:val="0"/>
                <w:sz w:val="24"/>
              </w:rPr>
            </w:pPr>
            <w:r>
              <w:rPr>
                <w:color w:val="000000"/>
                <w:kern w:val="0"/>
                <w:sz w:val="24"/>
              </w:rPr>
              <w:t>附加条件</w:t>
            </w:r>
          </w:p>
        </w:tc>
        <w:tc>
          <w:tcPr>
            <w:tcW w:w="6559" w:type="dxa"/>
            <w:noWrap w:val="0"/>
            <w:vAlign w:val="center"/>
          </w:tcPr>
          <w:p w14:paraId="22687EFB">
            <w:pPr>
              <w:widowControl/>
              <w:jc w:val="left"/>
              <w:rPr>
                <w:color w:val="000000"/>
                <w:kern w:val="0"/>
                <w:sz w:val="24"/>
              </w:rPr>
            </w:pPr>
            <w:r>
              <w:rPr>
                <w:rFonts w:hint="eastAsia"/>
                <w:color w:val="000000"/>
                <w:kern w:val="0"/>
                <w:sz w:val="24"/>
              </w:rPr>
              <w:t>响应</w:t>
            </w:r>
            <w:r>
              <w:rPr>
                <w:color w:val="000000"/>
                <w:kern w:val="0"/>
                <w:sz w:val="24"/>
              </w:rPr>
              <w:t>文件</w:t>
            </w:r>
            <w:r>
              <w:rPr>
                <w:rFonts w:hint="eastAsia"/>
                <w:color w:val="000000"/>
                <w:kern w:val="0"/>
                <w:sz w:val="24"/>
              </w:rPr>
              <w:t>未</w:t>
            </w:r>
            <w:r>
              <w:rPr>
                <w:color w:val="000000"/>
                <w:kern w:val="0"/>
                <w:sz w:val="24"/>
              </w:rPr>
              <w:t>含有采购人不能接受的附加条件的；</w:t>
            </w:r>
          </w:p>
        </w:tc>
      </w:tr>
      <w:tr w14:paraId="465D6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noWrap w:val="0"/>
            <w:vAlign w:val="center"/>
          </w:tcPr>
          <w:p w14:paraId="267E6B95">
            <w:pPr>
              <w:widowControl/>
              <w:jc w:val="center"/>
              <w:rPr>
                <w:color w:val="000000"/>
                <w:kern w:val="0"/>
                <w:sz w:val="24"/>
              </w:rPr>
            </w:pPr>
            <w:r>
              <w:rPr>
                <w:rFonts w:hint="eastAsia"/>
                <w:color w:val="000000"/>
                <w:kern w:val="0"/>
                <w:sz w:val="24"/>
              </w:rPr>
              <w:t>1</w:t>
            </w:r>
            <w:r>
              <w:rPr>
                <w:color w:val="000000"/>
                <w:kern w:val="0"/>
                <w:sz w:val="24"/>
              </w:rPr>
              <w:t>0</w:t>
            </w:r>
          </w:p>
        </w:tc>
        <w:tc>
          <w:tcPr>
            <w:tcW w:w="1769" w:type="dxa"/>
            <w:noWrap w:val="0"/>
            <w:vAlign w:val="center"/>
          </w:tcPr>
          <w:p w14:paraId="487ADF94">
            <w:pPr>
              <w:widowControl/>
              <w:jc w:val="left"/>
              <w:rPr>
                <w:color w:val="000000"/>
                <w:kern w:val="0"/>
                <w:sz w:val="24"/>
              </w:rPr>
            </w:pPr>
            <w:r>
              <w:rPr>
                <w:rFonts w:hint="eastAsia"/>
                <w:color w:val="000000"/>
                <w:kern w:val="0"/>
                <w:sz w:val="24"/>
              </w:rPr>
              <w:t>保证金</w:t>
            </w:r>
          </w:p>
        </w:tc>
        <w:tc>
          <w:tcPr>
            <w:tcW w:w="6559" w:type="dxa"/>
            <w:noWrap w:val="0"/>
            <w:vAlign w:val="center"/>
          </w:tcPr>
          <w:p w14:paraId="0A068110">
            <w:pPr>
              <w:widowControl/>
              <w:jc w:val="left"/>
              <w:rPr>
                <w:color w:val="000000"/>
                <w:kern w:val="0"/>
                <w:sz w:val="24"/>
              </w:rPr>
            </w:pPr>
            <w:r>
              <w:rPr>
                <w:rFonts w:hint="eastAsia" w:ascii="宋体" w:hAnsi="宋体"/>
                <w:sz w:val="24"/>
              </w:rPr>
              <w:t>未按照磋商文件规定要求交纳磋商保证金的；</w:t>
            </w:r>
          </w:p>
        </w:tc>
      </w:tr>
      <w:tr w14:paraId="663DC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noWrap w:val="0"/>
            <w:vAlign w:val="center"/>
          </w:tcPr>
          <w:p w14:paraId="57A72308">
            <w:pPr>
              <w:widowControl/>
              <w:jc w:val="center"/>
              <w:rPr>
                <w:rFonts w:hint="eastAsia"/>
                <w:color w:val="000000"/>
                <w:kern w:val="0"/>
                <w:sz w:val="24"/>
              </w:rPr>
            </w:pPr>
            <w:r>
              <w:rPr>
                <w:rFonts w:hint="eastAsia"/>
                <w:color w:val="000000"/>
                <w:kern w:val="0"/>
                <w:sz w:val="24"/>
              </w:rPr>
              <w:t>11</w:t>
            </w:r>
          </w:p>
        </w:tc>
        <w:tc>
          <w:tcPr>
            <w:tcW w:w="1769" w:type="dxa"/>
            <w:noWrap w:val="0"/>
            <w:vAlign w:val="center"/>
          </w:tcPr>
          <w:p w14:paraId="2DC669E2">
            <w:pPr>
              <w:widowControl/>
              <w:jc w:val="left"/>
              <w:rPr>
                <w:color w:val="000000"/>
                <w:kern w:val="0"/>
                <w:sz w:val="24"/>
              </w:rPr>
            </w:pPr>
            <w:r>
              <w:rPr>
                <w:color w:val="000000"/>
                <w:kern w:val="0"/>
                <w:sz w:val="24"/>
              </w:rPr>
              <w:t>其他无效情形</w:t>
            </w:r>
          </w:p>
        </w:tc>
        <w:tc>
          <w:tcPr>
            <w:tcW w:w="6559" w:type="dxa"/>
            <w:noWrap w:val="0"/>
            <w:vAlign w:val="center"/>
          </w:tcPr>
          <w:p w14:paraId="44AC4F01">
            <w:pPr>
              <w:widowControl/>
              <w:jc w:val="left"/>
              <w:rPr>
                <w:color w:val="000000"/>
                <w:kern w:val="0"/>
                <w:sz w:val="24"/>
              </w:rPr>
            </w:pPr>
            <w:r>
              <w:rPr>
                <w:rFonts w:hint="eastAsia"/>
                <w:color w:val="000000"/>
                <w:sz w:val="24"/>
              </w:rPr>
              <w:t>供应商</w:t>
            </w:r>
            <w:r>
              <w:rPr>
                <w:color w:val="000000"/>
                <w:sz w:val="24"/>
              </w:rPr>
              <w:t>、</w:t>
            </w:r>
            <w:r>
              <w:rPr>
                <w:rFonts w:hint="eastAsia"/>
                <w:color w:val="000000"/>
                <w:sz w:val="24"/>
              </w:rPr>
              <w:t>响应</w:t>
            </w:r>
            <w:r>
              <w:rPr>
                <w:color w:val="000000"/>
                <w:sz w:val="24"/>
              </w:rPr>
              <w:t>文件</w:t>
            </w:r>
            <w:r>
              <w:rPr>
                <w:rFonts w:hint="eastAsia"/>
                <w:color w:val="000000"/>
                <w:sz w:val="24"/>
              </w:rPr>
              <w:t>不存在</w:t>
            </w:r>
            <w:r>
              <w:rPr>
                <w:color w:val="000000"/>
                <w:sz w:val="24"/>
              </w:rPr>
              <w:t>不符合法律、法规和</w:t>
            </w:r>
            <w:r>
              <w:rPr>
                <w:rFonts w:hint="eastAsia"/>
                <w:color w:val="000000"/>
                <w:sz w:val="24"/>
              </w:rPr>
              <w:t>磋商</w:t>
            </w:r>
            <w:r>
              <w:rPr>
                <w:color w:val="000000"/>
                <w:sz w:val="24"/>
              </w:rPr>
              <w:t>文件规定的其他无效情形。</w:t>
            </w:r>
          </w:p>
        </w:tc>
      </w:tr>
    </w:tbl>
    <w:p w14:paraId="07AA43C1">
      <w:pPr>
        <w:tabs>
          <w:tab w:val="left" w:pos="900"/>
        </w:tabs>
        <w:snapToGrid w:val="0"/>
        <w:spacing w:line="360" w:lineRule="auto"/>
        <w:outlineLvl w:val="1"/>
        <w:rPr>
          <w:sz w:val="24"/>
        </w:rPr>
      </w:pPr>
      <w:r>
        <w:rPr>
          <w:sz w:val="24"/>
        </w:rPr>
        <w:t>磋商、响应文件有关事项的澄清、说明或者更正和最后报价</w:t>
      </w:r>
    </w:p>
    <w:p w14:paraId="750F3BF7">
      <w:pPr>
        <w:tabs>
          <w:tab w:val="left" w:pos="1080"/>
        </w:tabs>
        <w:snapToGrid w:val="0"/>
        <w:spacing w:line="360" w:lineRule="auto"/>
        <w:rPr>
          <w:sz w:val="24"/>
        </w:rPr>
      </w:pPr>
      <w:r>
        <w:rPr>
          <w:sz w:val="24"/>
        </w:rPr>
        <w:t>磋商小组所有成员应当集中与单一供应商分别进行磋商，并给予所有参加磋商的供应商平等的磋商机会。</w:t>
      </w:r>
    </w:p>
    <w:p w14:paraId="6527E8CE">
      <w:pPr>
        <w:tabs>
          <w:tab w:val="left" w:pos="1080"/>
          <w:tab w:val="left" w:pos="1872"/>
        </w:tabs>
        <w:snapToGrid w:val="0"/>
        <w:spacing w:line="360" w:lineRule="auto"/>
        <w:rPr>
          <w:sz w:val="24"/>
        </w:rPr>
      </w:pPr>
      <w:r>
        <w:rPr>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0256D54F">
      <w:pPr>
        <w:tabs>
          <w:tab w:val="left" w:pos="1080"/>
          <w:tab w:val="left" w:pos="1872"/>
        </w:tabs>
        <w:snapToGrid w:val="0"/>
        <w:spacing w:line="360" w:lineRule="auto"/>
        <w:rPr>
          <w:kern w:val="0"/>
          <w:sz w:val="24"/>
        </w:rPr>
      </w:pPr>
      <w:r>
        <w:rPr>
          <w:kern w:val="0"/>
          <w:sz w:val="24"/>
        </w:rPr>
        <w:t>对磋商文件作出的实质性变动是磋商文件的有效组成部分，磋商小组应当及时以书面形式同时通知所有参加磋商的供应商。</w:t>
      </w:r>
    </w:p>
    <w:p w14:paraId="1CF48C25">
      <w:pPr>
        <w:tabs>
          <w:tab w:val="left" w:pos="1080"/>
          <w:tab w:val="left" w:pos="1872"/>
        </w:tabs>
        <w:snapToGrid w:val="0"/>
        <w:spacing w:line="360" w:lineRule="auto"/>
        <w:rPr>
          <w:kern w:val="0"/>
          <w:sz w:val="24"/>
        </w:rPr>
      </w:pPr>
      <w:r>
        <w:rPr>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763C10FE">
      <w:pPr>
        <w:tabs>
          <w:tab w:val="left" w:pos="1080"/>
          <w:tab w:val="left" w:pos="1872"/>
        </w:tabs>
        <w:snapToGrid w:val="0"/>
        <w:spacing w:line="360" w:lineRule="auto"/>
        <w:rPr>
          <w:sz w:val="24"/>
        </w:rPr>
      </w:pPr>
      <w:r>
        <w:rPr>
          <w:sz w:val="24"/>
        </w:rPr>
        <w:t>响应文件的澄清、说明或者更正</w:t>
      </w:r>
      <w:r>
        <w:rPr>
          <w:rFonts w:hint="eastAsia"/>
          <w:sz w:val="24"/>
        </w:rPr>
        <w:t>：</w:t>
      </w:r>
    </w:p>
    <w:p w14:paraId="101D5662">
      <w:pPr>
        <w:snapToGrid w:val="0"/>
        <w:spacing w:line="360" w:lineRule="auto"/>
        <w:rPr>
          <w:sz w:val="24"/>
        </w:rPr>
      </w:pPr>
      <w:r>
        <w:rPr>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06AA6E27">
      <w:pPr>
        <w:snapToGrid w:val="0"/>
        <w:spacing w:line="360" w:lineRule="auto"/>
        <w:rPr>
          <w:sz w:val="24"/>
        </w:rPr>
      </w:pPr>
      <w:r>
        <w:rPr>
          <w:sz w:val="24"/>
        </w:rPr>
        <w:t>磋商小组对响应文件进行审查，如发现供应商提交的响应文件存在不满足《符合性审查要求》的内容，则供应商响应文件按</w:t>
      </w:r>
      <w:r>
        <w:rPr>
          <w:b/>
          <w:sz w:val="24"/>
        </w:rPr>
        <w:t>无效处理</w:t>
      </w:r>
      <w:r>
        <w:rPr>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38F117A4">
      <w:pPr>
        <w:tabs>
          <w:tab w:val="left" w:pos="1080"/>
          <w:tab w:val="left" w:pos="1872"/>
        </w:tabs>
        <w:snapToGrid w:val="0"/>
        <w:spacing w:line="360" w:lineRule="auto"/>
        <w:rPr>
          <w:sz w:val="24"/>
        </w:rPr>
      </w:pPr>
      <w:r>
        <w:rPr>
          <w:sz w:val="24"/>
        </w:rPr>
        <w:t>磋商结束后，磋商小组将要求所有实质性响应的供应商在规定时间内提交最后报价。最后报价时间为磋商小组指定的时间，具体时间根据磋商进度另行通知。</w:t>
      </w:r>
    </w:p>
    <w:p w14:paraId="3208C61B">
      <w:pPr>
        <w:tabs>
          <w:tab w:val="left" w:pos="1080"/>
          <w:tab w:val="left" w:pos="1872"/>
        </w:tabs>
        <w:snapToGrid w:val="0"/>
        <w:spacing w:line="360" w:lineRule="auto"/>
        <w:rPr>
          <w:sz w:val="24"/>
        </w:rPr>
      </w:pPr>
      <w:r>
        <w:rPr>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21A6F960">
      <w:pPr>
        <w:tabs>
          <w:tab w:val="left" w:pos="1080"/>
          <w:tab w:val="left" w:pos="1872"/>
        </w:tabs>
        <w:snapToGrid w:val="0"/>
        <w:spacing w:line="360" w:lineRule="auto"/>
        <w:rPr>
          <w:sz w:val="24"/>
        </w:rPr>
      </w:pPr>
      <w:r>
        <w:rPr>
          <w:sz w:val="24"/>
        </w:rPr>
        <w:t>最后报价是供应商响应文件的有效组成部分。</w:t>
      </w:r>
    </w:p>
    <w:p w14:paraId="4AB33DD3">
      <w:pPr>
        <w:tabs>
          <w:tab w:val="left" w:pos="1080"/>
          <w:tab w:val="left" w:pos="1872"/>
        </w:tabs>
        <w:snapToGrid w:val="0"/>
        <w:spacing w:line="360" w:lineRule="auto"/>
        <w:rPr>
          <w:sz w:val="24"/>
        </w:rPr>
      </w:pPr>
      <w:r>
        <w:rPr>
          <w:sz w:val="24"/>
        </w:rPr>
        <w:t>已提交响应文件的供应商，在提交最后报价之前，可以根据磋商情况退出磋商。</w:t>
      </w:r>
    </w:p>
    <w:p w14:paraId="77DEF839">
      <w:pPr>
        <w:tabs>
          <w:tab w:val="left" w:pos="900"/>
        </w:tabs>
        <w:snapToGrid w:val="0"/>
        <w:spacing w:line="360" w:lineRule="auto"/>
        <w:outlineLvl w:val="1"/>
        <w:rPr>
          <w:sz w:val="24"/>
        </w:rPr>
      </w:pPr>
      <w:r>
        <w:rPr>
          <w:sz w:val="24"/>
        </w:rPr>
        <w:t>最后报价的算术修正及政策调整</w:t>
      </w:r>
    </w:p>
    <w:p w14:paraId="0BE36A7E">
      <w:pPr>
        <w:tabs>
          <w:tab w:val="left" w:pos="1080"/>
        </w:tabs>
        <w:snapToGrid w:val="0"/>
        <w:spacing w:line="360" w:lineRule="auto"/>
        <w:rPr>
          <w:sz w:val="24"/>
        </w:rPr>
      </w:pPr>
      <w:r>
        <w:rPr>
          <w:sz w:val="24"/>
        </w:rPr>
        <w:t>最后报价须包含竞争性磋商文件全部内容，如</w:t>
      </w:r>
      <w:r>
        <w:rPr>
          <w:rFonts w:hint="eastAsia"/>
          <w:sz w:val="24"/>
        </w:rPr>
        <w:t>最后</w:t>
      </w:r>
      <w:r>
        <w:rPr>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Pr>
          <w:b/>
          <w:sz w:val="24"/>
        </w:rPr>
        <w:t>响应无效</w:t>
      </w:r>
      <w:r>
        <w:rPr>
          <w:sz w:val="24"/>
        </w:rPr>
        <w:t>。</w:t>
      </w:r>
    </w:p>
    <w:p w14:paraId="773F73E8">
      <w:pPr>
        <w:tabs>
          <w:tab w:val="left" w:pos="1080"/>
          <w:tab w:val="left" w:pos="1872"/>
        </w:tabs>
        <w:snapToGrid w:val="0"/>
        <w:spacing w:line="360" w:lineRule="auto"/>
        <w:rPr>
          <w:sz w:val="24"/>
        </w:rPr>
      </w:pPr>
      <w:r>
        <w:rPr>
          <w:sz w:val="24"/>
        </w:rPr>
        <w:t>最后报价出现前后不一致的，按照下列规定修正：</w:t>
      </w:r>
    </w:p>
    <w:p w14:paraId="4BCDC5B0">
      <w:pPr>
        <w:tabs>
          <w:tab w:val="left" w:pos="1080"/>
          <w:tab w:val="left" w:pos="1589"/>
          <w:tab w:val="left" w:pos="2035"/>
          <w:tab w:val="left" w:pos="2114"/>
        </w:tabs>
        <w:snapToGrid w:val="0"/>
        <w:spacing w:line="360" w:lineRule="auto"/>
        <w:rPr>
          <w:sz w:val="24"/>
        </w:rPr>
      </w:pPr>
      <w:r>
        <w:rPr>
          <w:sz w:val="24"/>
        </w:rPr>
        <w:t>竞争性磋商文件对于报价修正是否另有规定：</w:t>
      </w:r>
    </w:p>
    <w:p w14:paraId="7A789D98">
      <w:pPr>
        <w:tabs>
          <w:tab w:val="left" w:pos="1080"/>
          <w:tab w:val="left" w:pos="1589"/>
          <w:tab w:val="left" w:pos="2035"/>
          <w:tab w:val="left" w:pos="2114"/>
        </w:tabs>
        <w:snapToGrid w:val="0"/>
        <w:spacing w:line="360" w:lineRule="auto"/>
        <w:ind w:left="2035"/>
        <w:rPr>
          <w:sz w:val="24"/>
          <w:u w:val="single"/>
        </w:rPr>
      </w:pPr>
      <w:r>
        <w:rPr>
          <w:sz w:val="24"/>
        </w:rPr>
        <w:t>□有，具体规定为：___________</w:t>
      </w:r>
    </w:p>
    <w:p w14:paraId="63CC0C6B">
      <w:pPr>
        <w:tabs>
          <w:tab w:val="left" w:pos="1080"/>
          <w:tab w:val="left" w:pos="1589"/>
          <w:tab w:val="left" w:pos="2035"/>
          <w:tab w:val="left" w:pos="2114"/>
        </w:tabs>
        <w:snapToGrid w:val="0"/>
        <w:spacing w:line="360" w:lineRule="auto"/>
        <w:ind w:left="2035"/>
        <w:rPr>
          <w:sz w:val="24"/>
        </w:rPr>
      </w:pPr>
      <w:r>
        <w:rPr>
          <w:b/>
          <w:color w:val="000000"/>
          <w:sz w:val="24"/>
        </w:rPr>
        <w:t>■</w:t>
      </w:r>
      <w:r>
        <w:rPr>
          <w:sz w:val="24"/>
        </w:rPr>
        <w:t>无，按下述3.2.2-3.2.5项规定修正。</w:t>
      </w:r>
    </w:p>
    <w:p w14:paraId="2271F004">
      <w:pPr>
        <w:tabs>
          <w:tab w:val="left" w:pos="2035"/>
          <w:tab w:val="left" w:pos="2114"/>
          <w:tab w:val="left" w:pos="2977"/>
        </w:tabs>
        <w:snapToGrid w:val="0"/>
        <w:spacing w:line="360" w:lineRule="auto"/>
        <w:rPr>
          <w:color w:val="000000"/>
          <w:sz w:val="24"/>
        </w:rPr>
      </w:pPr>
      <w:r>
        <w:rPr>
          <w:color w:val="000000"/>
          <w:sz w:val="24"/>
        </w:rPr>
        <w:t>大写金额和小写金额不一致的，以大写金额为准；</w:t>
      </w:r>
    </w:p>
    <w:p w14:paraId="27D4DF94">
      <w:pPr>
        <w:tabs>
          <w:tab w:val="left" w:pos="2035"/>
          <w:tab w:val="left" w:pos="2114"/>
          <w:tab w:val="left" w:pos="2977"/>
        </w:tabs>
        <w:snapToGrid w:val="0"/>
        <w:spacing w:line="360" w:lineRule="auto"/>
        <w:rPr>
          <w:color w:val="000000"/>
          <w:sz w:val="24"/>
        </w:rPr>
      </w:pPr>
      <w:r>
        <w:rPr>
          <w:color w:val="000000"/>
          <w:sz w:val="24"/>
        </w:rPr>
        <w:t>单价金额小数点或者百分比有明显错位的，以最后报价一览表的总价为准，并修改单价；</w:t>
      </w:r>
    </w:p>
    <w:p w14:paraId="5CB35FF7">
      <w:pPr>
        <w:tabs>
          <w:tab w:val="left" w:pos="2035"/>
          <w:tab w:val="left" w:pos="2114"/>
          <w:tab w:val="left" w:pos="2977"/>
        </w:tabs>
        <w:snapToGrid w:val="0"/>
        <w:spacing w:line="360" w:lineRule="auto"/>
        <w:rPr>
          <w:color w:val="000000"/>
          <w:sz w:val="24"/>
        </w:rPr>
      </w:pPr>
      <w:r>
        <w:rPr>
          <w:color w:val="000000"/>
          <w:sz w:val="24"/>
        </w:rPr>
        <w:t>总价金额与按单价汇总金额不一致的，以单价金额计算结果为准。</w:t>
      </w:r>
    </w:p>
    <w:p w14:paraId="6F6A4E30">
      <w:pPr>
        <w:tabs>
          <w:tab w:val="left" w:pos="1080"/>
          <w:tab w:val="left" w:pos="1589"/>
          <w:tab w:val="left" w:pos="2035"/>
          <w:tab w:val="left" w:pos="2114"/>
        </w:tabs>
        <w:snapToGrid w:val="0"/>
        <w:spacing w:line="360" w:lineRule="auto"/>
        <w:rPr>
          <w:sz w:val="24"/>
        </w:rPr>
      </w:pPr>
      <w:r>
        <w:rPr>
          <w:sz w:val="24"/>
        </w:rPr>
        <w:t>同时出现两种以上不一致的，按照前款规定的顺序修正。修正后的报价经供应商书面确认后产生约束力，供应商不确认的，</w:t>
      </w:r>
      <w:r>
        <w:rPr>
          <w:b/>
          <w:sz w:val="24"/>
        </w:rPr>
        <w:t>其响应无效</w:t>
      </w:r>
      <w:r>
        <w:rPr>
          <w:sz w:val="24"/>
        </w:rPr>
        <w:t>。</w:t>
      </w:r>
    </w:p>
    <w:p w14:paraId="405F6411">
      <w:pPr>
        <w:tabs>
          <w:tab w:val="left" w:pos="1080"/>
          <w:tab w:val="left" w:pos="1872"/>
        </w:tabs>
        <w:snapToGrid w:val="0"/>
        <w:spacing w:line="360" w:lineRule="auto"/>
        <w:rPr>
          <w:sz w:val="24"/>
        </w:rPr>
      </w:pPr>
      <w:r>
        <w:rPr>
          <w:sz w:val="24"/>
        </w:rPr>
        <w:t>落实政府采购政策的价格调整：只有符合第二章《供应商须知》4.2条规定情形的，可以享受中小企业扶持政策，用扣除后的价格参加评审；否则，评审时价格不予扣除。</w:t>
      </w:r>
    </w:p>
    <w:p w14:paraId="19025616">
      <w:pPr>
        <w:tabs>
          <w:tab w:val="left" w:pos="1080"/>
          <w:tab w:val="left" w:pos="1589"/>
          <w:tab w:val="left" w:pos="2035"/>
        </w:tabs>
        <w:snapToGrid w:val="0"/>
        <w:spacing w:line="360" w:lineRule="auto"/>
        <w:rPr>
          <w:sz w:val="24"/>
        </w:rPr>
      </w:pPr>
      <w:r>
        <w:rPr>
          <w:sz w:val="24"/>
        </w:rPr>
        <w:t>对于未预留份额专门面向中小企业采购的采购项目，以及预留份额项目中的非预留部分采购包，对小微企业报价给予_</w:t>
      </w:r>
      <w:r>
        <w:rPr>
          <w:rFonts w:hint="eastAsia"/>
          <w:sz w:val="24"/>
        </w:rPr>
        <w:t>5</w:t>
      </w:r>
      <w:r>
        <w:rPr>
          <w:sz w:val="24"/>
        </w:rPr>
        <w:t>_%的扣除，用扣除后的价格参加评审。</w:t>
      </w:r>
    </w:p>
    <w:p w14:paraId="2310D02F">
      <w:pPr>
        <w:tabs>
          <w:tab w:val="left" w:pos="1080"/>
          <w:tab w:val="left" w:pos="1589"/>
          <w:tab w:val="left" w:pos="2035"/>
        </w:tabs>
        <w:snapToGrid w:val="0"/>
        <w:spacing w:line="360" w:lineRule="auto"/>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_</w:t>
      </w:r>
      <w:r>
        <w:rPr>
          <w:rFonts w:hint="eastAsia"/>
          <w:sz w:val="24"/>
        </w:rPr>
        <w:t>4</w:t>
      </w:r>
      <w:r>
        <w:rPr>
          <w:sz w:val="24"/>
        </w:rPr>
        <w:t>_%的扣除，用扣除后的价格参加评审。</w:t>
      </w:r>
    </w:p>
    <w:p w14:paraId="2CD09FEF">
      <w:pPr>
        <w:tabs>
          <w:tab w:val="left" w:pos="1080"/>
          <w:tab w:val="left" w:pos="1589"/>
          <w:tab w:val="left" w:pos="2035"/>
        </w:tabs>
        <w:snapToGrid w:val="0"/>
        <w:spacing w:line="360" w:lineRule="auto"/>
        <w:rPr>
          <w:sz w:val="24"/>
        </w:rPr>
      </w:pPr>
      <w:r>
        <w:rPr>
          <w:sz w:val="24"/>
        </w:rPr>
        <w:t>组成联合体或者接受分包的小微企业与联合体内其他企业、分包企业之间存在直接控股、管理关系的，不享受价格扣除优惠政策。</w:t>
      </w:r>
    </w:p>
    <w:p w14:paraId="61F5BB93">
      <w:pPr>
        <w:tabs>
          <w:tab w:val="left" w:pos="1080"/>
          <w:tab w:val="left" w:pos="1589"/>
          <w:tab w:val="left" w:pos="2035"/>
        </w:tabs>
        <w:snapToGrid w:val="0"/>
        <w:spacing w:line="360" w:lineRule="auto"/>
        <w:rPr>
          <w:sz w:val="24"/>
        </w:rPr>
      </w:pPr>
      <w:r>
        <w:rPr>
          <w:sz w:val="24"/>
        </w:rPr>
        <w:t>价格扣除比例对小型企业和微型企业同等对待，不作区分。</w:t>
      </w:r>
    </w:p>
    <w:p w14:paraId="61E4376E">
      <w:pPr>
        <w:tabs>
          <w:tab w:val="left" w:pos="1080"/>
          <w:tab w:val="left" w:pos="1589"/>
          <w:tab w:val="left" w:pos="2035"/>
        </w:tabs>
        <w:snapToGrid w:val="0"/>
        <w:spacing w:line="360" w:lineRule="auto"/>
        <w:rPr>
          <w:sz w:val="24"/>
        </w:rPr>
      </w:pPr>
      <w:r>
        <w:rPr>
          <w:color w:val="000000"/>
          <w:sz w:val="24"/>
        </w:rPr>
        <w:t>中小企业参加政府采购活动，应当按照竞争性磋商文件给定的格式出具《中小企业声明函》，否则不得享受相关中小企业扶持政策。</w:t>
      </w:r>
    </w:p>
    <w:p w14:paraId="29A807EA">
      <w:pPr>
        <w:tabs>
          <w:tab w:val="left" w:pos="1080"/>
          <w:tab w:val="left" w:pos="1589"/>
          <w:tab w:val="left" w:pos="2035"/>
        </w:tabs>
        <w:snapToGrid w:val="0"/>
        <w:spacing w:line="360" w:lineRule="auto"/>
        <w:rPr>
          <w:sz w:val="24"/>
        </w:rPr>
      </w:pPr>
      <w:r>
        <w:rPr>
          <w:sz w:val="24"/>
        </w:rPr>
        <w:t>监狱企业提供了由省级以上监狱管理局（北京市含教育矫治局）、戒毒管理局（含新疆生产建设兵团）出具的属于监狱企业的证明文件的，视同小微企业。</w:t>
      </w:r>
    </w:p>
    <w:p w14:paraId="697E7288">
      <w:pPr>
        <w:tabs>
          <w:tab w:val="left" w:pos="1080"/>
          <w:tab w:val="left" w:pos="1589"/>
          <w:tab w:val="left" w:pos="2035"/>
        </w:tabs>
        <w:snapToGrid w:val="0"/>
        <w:spacing w:line="360" w:lineRule="auto"/>
        <w:rPr>
          <w:sz w:val="24"/>
        </w:rPr>
      </w:pPr>
      <w:r>
        <w:rPr>
          <w:sz w:val="24"/>
        </w:rPr>
        <w:t>残疾人福利性单位按竞争性磋商文件要求提供了《残疾人福利性单位声明函》（见附件）的，视同小微企业。</w:t>
      </w:r>
    </w:p>
    <w:p w14:paraId="0BFCA06F">
      <w:pPr>
        <w:tabs>
          <w:tab w:val="left" w:pos="1080"/>
          <w:tab w:val="left" w:pos="1589"/>
          <w:tab w:val="left" w:pos="2014"/>
        </w:tabs>
        <w:snapToGrid w:val="0"/>
        <w:spacing w:line="360" w:lineRule="auto"/>
        <w:rPr>
          <w:sz w:val="24"/>
        </w:rPr>
      </w:pPr>
      <w:r>
        <w:rPr>
          <w:sz w:val="24"/>
        </w:rPr>
        <w:t>若供应商同时属于小型或微型企业、监狱企业、残疾人福利性单位中的两种及以上，将不重复享受小微企业价格扣减的优惠政策。</w:t>
      </w:r>
    </w:p>
    <w:p w14:paraId="3C802D6B">
      <w:pPr>
        <w:tabs>
          <w:tab w:val="left" w:pos="1080"/>
          <w:tab w:val="left" w:pos="1589"/>
          <w:tab w:val="left" w:pos="2014"/>
        </w:tabs>
        <w:snapToGrid w:val="0"/>
        <w:spacing w:line="360" w:lineRule="auto"/>
        <w:rPr>
          <w:sz w:val="24"/>
        </w:rPr>
      </w:pPr>
      <w:r>
        <w:rPr>
          <w:sz w:val="24"/>
        </w:rPr>
        <w:t>其他为落实政府采购政策实施的优先采购：____</w:t>
      </w:r>
      <w:r>
        <w:rPr>
          <w:rFonts w:hint="eastAsia"/>
          <w:sz w:val="24"/>
        </w:rPr>
        <w:t>/</w:t>
      </w:r>
      <w:r>
        <w:rPr>
          <w:sz w:val="24"/>
        </w:rPr>
        <w:t>__。</w:t>
      </w:r>
    </w:p>
    <w:p w14:paraId="4D090311">
      <w:pPr>
        <w:tabs>
          <w:tab w:val="left" w:pos="900"/>
        </w:tabs>
        <w:snapToGrid w:val="0"/>
        <w:spacing w:line="360" w:lineRule="auto"/>
        <w:outlineLvl w:val="1"/>
        <w:rPr>
          <w:sz w:val="24"/>
        </w:rPr>
      </w:pPr>
      <w:r>
        <w:rPr>
          <w:sz w:val="24"/>
        </w:rPr>
        <w:t>磋商环节及提交最后报价后如出现以下情况的，供应商的</w:t>
      </w:r>
      <w:r>
        <w:rPr>
          <w:b/>
          <w:sz w:val="24"/>
        </w:rPr>
        <w:t>响应文件无效</w:t>
      </w:r>
      <w:r>
        <w:rPr>
          <w:sz w:val="24"/>
        </w:rPr>
        <w:t>：</w:t>
      </w:r>
    </w:p>
    <w:p w14:paraId="701E4115">
      <w:pPr>
        <w:tabs>
          <w:tab w:val="left" w:pos="1080"/>
        </w:tabs>
        <w:snapToGrid w:val="0"/>
        <w:spacing w:line="360" w:lineRule="auto"/>
        <w:rPr>
          <w:sz w:val="24"/>
        </w:rPr>
      </w:pPr>
      <w:r>
        <w:rPr>
          <w:sz w:val="24"/>
        </w:rPr>
        <w:t>供应商对实质性变动不予确认的；</w:t>
      </w:r>
    </w:p>
    <w:p w14:paraId="58E42305">
      <w:pPr>
        <w:tabs>
          <w:tab w:val="left" w:pos="1080"/>
        </w:tabs>
        <w:snapToGrid w:val="0"/>
        <w:spacing w:line="360" w:lineRule="auto"/>
        <w:rPr>
          <w:sz w:val="24"/>
        </w:rPr>
      </w:pPr>
      <w:r>
        <w:rPr>
          <w:sz w:val="24"/>
        </w:rPr>
        <w:t>不满足磋商文件</w:t>
      </w:r>
      <w:r>
        <w:rPr>
          <w:rFonts w:hint="eastAsia" w:ascii="宋体" w:hAnsi="宋体" w:cs="宋体"/>
          <w:sz w:val="24"/>
        </w:rPr>
        <w:t>*</w:t>
      </w:r>
      <w:r>
        <w:rPr>
          <w:sz w:val="24"/>
        </w:rPr>
        <w:t>号条款或磋商文件技术指标超出磋商文件</w:t>
      </w:r>
      <w:r>
        <w:rPr>
          <w:rFonts w:hint="eastAsia"/>
          <w:sz w:val="24"/>
        </w:rPr>
        <w:t>《</w:t>
      </w:r>
      <w:r>
        <w:rPr>
          <w:sz w:val="24"/>
        </w:rPr>
        <w:t>采购需求</w:t>
      </w:r>
      <w:r>
        <w:rPr>
          <w:rFonts w:hint="eastAsia"/>
          <w:sz w:val="24"/>
        </w:rPr>
        <w:t>》</w:t>
      </w:r>
      <w:r>
        <w:rPr>
          <w:sz w:val="24"/>
        </w:rPr>
        <w:t>中主要技术参数允许偏差的最大范围的（如有）；</w:t>
      </w:r>
    </w:p>
    <w:p w14:paraId="18B3495B">
      <w:pPr>
        <w:tabs>
          <w:tab w:val="left" w:pos="1080"/>
        </w:tabs>
        <w:snapToGrid w:val="0"/>
        <w:spacing w:line="360" w:lineRule="auto"/>
        <w:rPr>
          <w:sz w:val="24"/>
        </w:rPr>
      </w:pPr>
      <w:r>
        <w:rPr>
          <w:sz w:val="24"/>
        </w:rPr>
        <w:t>未按照磋商小组规定的时间、逾期提交最后报价的；</w:t>
      </w:r>
    </w:p>
    <w:p w14:paraId="4701F070">
      <w:pPr>
        <w:tabs>
          <w:tab w:val="left" w:pos="1080"/>
        </w:tabs>
        <w:snapToGrid w:val="0"/>
        <w:spacing w:line="360" w:lineRule="auto"/>
        <w:rPr>
          <w:sz w:val="24"/>
        </w:rPr>
      </w:pPr>
      <w:r>
        <w:rPr>
          <w:sz w:val="24"/>
        </w:rPr>
        <w:t>如供应商的最后报价超过竞争性磋商文件中规定的项目/采购包预算金额或者项目/采购包最高限价的；</w:t>
      </w:r>
    </w:p>
    <w:p w14:paraId="7B2411E9">
      <w:pPr>
        <w:tabs>
          <w:tab w:val="left" w:pos="1080"/>
        </w:tabs>
        <w:snapToGrid w:val="0"/>
        <w:spacing w:line="360" w:lineRule="auto"/>
        <w:rPr>
          <w:sz w:val="24"/>
        </w:rPr>
      </w:pPr>
      <w:r>
        <w:rPr>
          <w:sz w:val="24"/>
        </w:rPr>
        <w:t>响应文件中出现可选择性或可调整的报价的（竞争性磋商文件另有规定的除外）；</w:t>
      </w:r>
    </w:p>
    <w:p w14:paraId="6345999D">
      <w:pPr>
        <w:tabs>
          <w:tab w:val="left" w:pos="1080"/>
        </w:tabs>
        <w:snapToGrid w:val="0"/>
        <w:spacing w:line="360" w:lineRule="auto"/>
        <w:rPr>
          <w:sz w:val="24"/>
        </w:rPr>
      </w:pPr>
      <w:r>
        <w:rPr>
          <w:sz w:val="24"/>
        </w:rPr>
        <w:t>最后报价出现前后不一致，供应商对修正后的报价不予确认的；</w:t>
      </w:r>
    </w:p>
    <w:p w14:paraId="648F3019">
      <w:pPr>
        <w:tabs>
          <w:tab w:val="left" w:pos="1080"/>
        </w:tabs>
        <w:snapToGrid w:val="0"/>
        <w:spacing w:line="360" w:lineRule="auto"/>
        <w:rPr>
          <w:sz w:val="24"/>
        </w:rPr>
      </w:pPr>
      <w:r>
        <w:rPr>
          <w:sz w:val="24"/>
        </w:rPr>
        <w:t>其他：___</w:t>
      </w:r>
      <w:r>
        <w:rPr>
          <w:rFonts w:hint="eastAsia"/>
          <w:sz w:val="24"/>
        </w:rPr>
        <w:t>/</w:t>
      </w:r>
      <w:r>
        <w:rPr>
          <w:sz w:val="24"/>
        </w:rPr>
        <w:t>___。</w:t>
      </w:r>
    </w:p>
    <w:bookmarkEnd w:id="619"/>
    <w:bookmarkEnd w:id="620"/>
    <w:p w14:paraId="04297820">
      <w:pPr>
        <w:tabs>
          <w:tab w:val="left" w:pos="900"/>
        </w:tabs>
        <w:snapToGrid w:val="0"/>
        <w:spacing w:line="360" w:lineRule="auto"/>
        <w:outlineLvl w:val="1"/>
        <w:rPr>
          <w:sz w:val="24"/>
        </w:rPr>
      </w:pPr>
      <w:r>
        <w:rPr>
          <w:sz w:val="24"/>
        </w:rPr>
        <w:t>评审方法和评审标准</w:t>
      </w:r>
    </w:p>
    <w:p w14:paraId="1FE038AE">
      <w:pPr>
        <w:tabs>
          <w:tab w:val="left" w:pos="1080"/>
          <w:tab w:val="left" w:pos="1872"/>
        </w:tabs>
        <w:snapToGrid w:val="0"/>
        <w:spacing w:line="360" w:lineRule="auto"/>
        <w:rPr>
          <w:sz w:val="24"/>
        </w:rPr>
      </w:pPr>
      <w:r>
        <w:rPr>
          <w:sz w:val="24"/>
        </w:rPr>
        <w:t>本项目采用的评审方法为：本项目的评审采用综合评分法。综合评分法，是指响应文件满足磋商文件全部实质性要求且按评审因素的量化指标评审得分最高的供应商为成交候选供应商的评审方法。</w:t>
      </w:r>
    </w:p>
    <w:p w14:paraId="10B75325">
      <w:pPr>
        <w:tabs>
          <w:tab w:val="left" w:pos="1080"/>
          <w:tab w:val="left" w:pos="1872"/>
        </w:tabs>
        <w:snapToGrid w:val="0"/>
        <w:spacing w:line="360" w:lineRule="auto"/>
        <w:rPr>
          <w:sz w:val="24"/>
        </w:rPr>
      </w:pPr>
      <w:r>
        <w:rPr>
          <w:sz w:val="24"/>
        </w:rPr>
        <w:t>竞争性磋商文件中没有规定的评审标准不得作为评审依据。</w:t>
      </w:r>
    </w:p>
    <w:p w14:paraId="0138DC8C">
      <w:pPr>
        <w:tabs>
          <w:tab w:val="left" w:pos="1080"/>
          <w:tab w:val="left" w:pos="1872"/>
        </w:tabs>
        <w:snapToGrid w:val="0"/>
        <w:spacing w:line="360" w:lineRule="auto"/>
        <w:rPr>
          <w:sz w:val="24"/>
        </w:rPr>
      </w:pPr>
      <w:r>
        <w:rPr>
          <w:sz w:val="24"/>
        </w:rPr>
        <w:t>非政府强制采购的节能产品或环境标志产品，依据品目清单和认证证书实施政府优先采购。优先采购的具体规定（如涉及）___</w:t>
      </w:r>
      <w:r>
        <w:rPr>
          <w:rFonts w:hint="eastAsia"/>
          <w:sz w:val="24"/>
        </w:rPr>
        <w:t>/</w:t>
      </w:r>
      <w:r>
        <w:rPr>
          <w:sz w:val="24"/>
        </w:rPr>
        <w:t>___。</w:t>
      </w:r>
    </w:p>
    <w:p w14:paraId="05491F77">
      <w:pPr>
        <w:tabs>
          <w:tab w:val="left" w:pos="1080"/>
          <w:tab w:val="left" w:pos="1872"/>
        </w:tabs>
        <w:snapToGrid w:val="0"/>
        <w:spacing w:line="360" w:lineRule="auto"/>
        <w:rPr>
          <w:sz w:val="24"/>
        </w:rPr>
      </w:pPr>
      <w:r>
        <w:rPr>
          <w:sz w:val="24"/>
        </w:rPr>
        <w:t>关于无线局域网认证产品政府采购清单中的产品，优先采购的具体规定（如涉及）__</w:t>
      </w:r>
      <w:r>
        <w:rPr>
          <w:rFonts w:hint="eastAsia"/>
          <w:sz w:val="24"/>
        </w:rPr>
        <w:t>/</w:t>
      </w:r>
      <w:r>
        <w:rPr>
          <w:sz w:val="24"/>
        </w:rPr>
        <w:t>___。</w:t>
      </w:r>
    </w:p>
    <w:p w14:paraId="67E2AA5D">
      <w:pPr>
        <w:tabs>
          <w:tab w:val="left" w:pos="900"/>
        </w:tabs>
        <w:snapToGrid w:val="0"/>
        <w:spacing w:line="360" w:lineRule="auto"/>
        <w:outlineLvl w:val="1"/>
        <w:rPr>
          <w:sz w:val="24"/>
        </w:rPr>
      </w:pPr>
      <w:r>
        <w:rPr>
          <w:sz w:val="24"/>
        </w:rPr>
        <w:t>确定</w:t>
      </w:r>
      <w:bookmarkStart w:id="636" w:name="_Toc226309790"/>
      <w:bookmarkStart w:id="637" w:name="_Toc164608815"/>
      <w:bookmarkStart w:id="638" w:name="_Toc127151546"/>
      <w:bookmarkStart w:id="639" w:name="_Toc226965736"/>
      <w:bookmarkStart w:id="640" w:name="_Toc151190173"/>
      <w:bookmarkStart w:id="641" w:name="_Toc305158814"/>
      <w:bookmarkStart w:id="642" w:name="_Toc150480784"/>
      <w:bookmarkStart w:id="643" w:name="_Toc164229387"/>
      <w:bookmarkStart w:id="644" w:name="_Toc151193934"/>
      <w:bookmarkStart w:id="645" w:name="_Toc195842911"/>
      <w:bookmarkStart w:id="646" w:name="_Toc127151747"/>
      <w:bookmarkStart w:id="647" w:name="_Toc164608660"/>
      <w:bookmarkStart w:id="648" w:name="_Toc520356170"/>
      <w:bookmarkStart w:id="649" w:name="_Toc151193644"/>
      <w:bookmarkStart w:id="650" w:name="_Toc164351640"/>
      <w:bookmarkStart w:id="651" w:name="_Toc151193716"/>
      <w:bookmarkStart w:id="652" w:name="_Toc226337242"/>
      <w:bookmarkStart w:id="653" w:name="_Ref467307010"/>
      <w:bookmarkStart w:id="654" w:name="_Toc150509297"/>
      <w:bookmarkStart w:id="655" w:name="_Toc265228384"/>
      <w:bookmarkStart w:id="656" w:name="_Toc164229241"/>
      <w:bookmarkStart w:id="657" w:name="_Toc149720839"/>
      <w:bookmarkStart w:id="658" w:name="_Toc150774646"/>
      <w:bookmarkStart w:id="659" w:name="_Toc127161460"/>
      <w:bookmarkStart w:id="660" w:name="_Toc142311048"/>
      <w:bookmarkStart w:id="661" w:name="_Toc151193860"/>
      <w:bookmarkStart w:id="662" w:name="_Toc264969236"/>
      <w:bookmarkStart w:id="663" w:name="_Toc226965819"/>
      <w:bookmarkStart w:id="664" w:name="_Toc151193788"/>
      <w:bookmarkStart w:id="665" w:name="_Toc150774751"/>
      <w:bookmarkStart w:id="666" w:name="_Toc305158888"/>
      <w:r>
        <w:rPr>
          <w:sz w:val="24"/>
        </w:rPr>
        <w:t>成交候选人名单</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p>
    <w:p w14:paraId="6AAB9B59">
      <w:pPr>
        <w:tabs>
          <w:tab w:val="left" w:pos="1080"/>
          <w:tab w:val="left" w:pos="1872"/>
        </w:tabs>
        <w:snapToGrid w:val="0"/>
        <w:spacing w:line="360" w:lineRule="auto"/>
        <w:rPr>
          <w:sz w:val="24"/>
        </w:rPr>
      </w:pPr>
      <w:r>
        <w:rPr>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56F9560D">
      <w:pPr>
        <w:tabs>
          <w:tab w:val="left" w:pos="1080"/>
          <w:tab w:val="left" w:pos="1872"/>
        </w:tabs>
        <w:snapToGrid w:val="0"/>
        <w:spacing w:line="360" w:lineRule="auto"/>
        <w:rPr>
          <w:sz w:val="24"/>
        </w:rPr>
      </w:pPr>
      <w:r>
        <w:rPr>
          <w:kern w:val="0"/>
          <w:sz w:val="24"/>
          <w:szCs w:val="20"/>
        </w:rPr>
        <w:t>磋商小组根据上述供应商排序，依次推荐排序前</w:t>
      </w:r>
      <w:r>
        <w:rPr>
          <w:sz w:val="24"/>
        </w:rPr>
        <w:t>__</w:t>
      </w:r>
      <w:r>
        <w:rPr>
          <w:rFonts w:hint="eastAsia"/>
          <w:sz w:val="24"/>
        </w:rPr>
        <w:t>3</w:t>
      </w:r>
      <w:r>
        <w:rPr>
          <w:sz w:val="24"/>
        </w:rPr>
        <w:t>__名</w:t>
      </w:r>
      <w:r>
        <w:rPr>
          <w:kern w:val="0"/>
          <w:sz w:val="24"/>
          <w:szCs w:val="20"/>
        </w:rPr>
        <w:t>的供应商为</w:t>
      </w:r>
      <w:r>
        <w:rPr>
          <w:snapToGrid w:val="0"/>
          <w:kern w:val="0"/>
          <w:sz w:val="24"/>
          <w:szCs w:val="21"/>
        </w:rPr>
        <w:t>成交候选供应商</w:t>
      </w:r>
      <w:r>
        <w:rPr>
          <w:kern w:val="0"/>
          <w:sz w:val="24"/>
          <w:szCs w:val="20"/>
        </w:rPr>
        <w:t>（若在磋商文件允许的情形下提交最后报价的供应商为二家，则依次推荐二名供应商为成交候选供应商），并编写评审报告。</w:t>
      </w:r>
    </w:p>
    <w:p w14:paraId="2B26916A">
      <w:pPr>
        <w:tabs>
          <w:tab w:val="left" w:pos="1080"/>
          <w:tab w:val="left" w:pos="1872"/>
        </w:tabs>
        <w:snapToGrid w:val="0"/>
        <w:spacing w:line="360" w:lineRule="auto"/>
        <w:rPr>
          <w:sz w:val="24"/>
        </w:rPr>
      </w:pPr>
      <w:r>
        <w:rPr>
          <w:sz w:val="24"/>
        </w:rPr>
        <w:t>磋商小组要对评分汇总情况进行复核，特别是对排名第一的、报价最低的、响应文件被认定为无效的情形进行重点复核。</w:t>
      </w:r>
    </w:p>
    <w:p w14:paraId="18BBF58D">
      <w:pPr>
        <w:tabs>
          <w:tab w:val="left" w:pos="900"/>
        </w:tabs>
        <w:snapToGrid w:val="0"/>
        <w:spacing w:line="360" w:lineRule="auto"/>
        <w:outlineLvl w:val="1"/>
        <w:rPr>
          <w:sz w:val="24"/>
        </w:rPr>
      </w:pPr>
      <w:r>
        <w:rPr>
          <w:sz w:val="24"/>
        </w:rPr>
        <w:t>报告违法行为</w:t>
      </w:r>
    </w:p>
    <w:p w14:paraId="0D530BB8">
      <w:pPr>
        <w:widowControl/>
        <w:tabs>
          <w:tab w:val="left" w:pos="1080"/>
          <w:tab w:val="left" w:pos="1872"/>
        </w:tabs>
        <w:snapToGrid w:val="0"/>
        <w:spacing w:line="360" w:lineRule="auto"/>
        <w:jc w:val="center"/>
        <w:rPr>
          <w:b/>
          <w:bCs/>
          <w:sz w:val="24"/>
        </w:rPr>
      </w:pPr>
      <w:r>
        <w:rPr>
          <w:sz w:val="24"/>
        </w:rPr>
        <w:t>磋商小组在评审过程中发现供应商有行贿、提供虚假材料或者串通等违法行为时，有向采购人、采购代理机构或者有关部门报告的职责。</w:t>
      </w:r>
      <w:r>
        <w:rPr>
          <w:b/>
          <w:sz w:val="24"/>
        </w:rPr>
        <w:br w:type="page"/>
      </w:r>
      <w:r>
        <w:rPr>
          <w:b/>
          <w:bCs/>
          <w:sz w:val="24"/>
        </w:rPr>
        <w:t>二、评</w:t>
      </w:r>
      <w:r>
        <w:rPr>
          <w:rFonts w:hint="eastAsia"/>
          <w:b/>
          <w:bCs/>
          <w:sz w:val="24"/>
        </w:rPr>
        <w:t>审</w:t>
      </w:r>
      <w:r>
        <w:rPr>
          <w:b/>
          <w:bCs/>
          <w:sz w:val="24"/>
        </w:rPr>
        <w:t>标准</w:t>
      </w:r>
    </w:p>
    <w:tbl>
      <w:tblPr>
        <w:tblStyle w:val="44"/>
        <w:tblW w:w="9877" w:type="dxa"/>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44"/>
        <w:gridCol w:w="1678"/>
        <w:gridCol w:w="744"/>
        <w:gridCol w:w="6311"/>
      </w:tblGrid>
      <w:tr w14:paraId="70ACF1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1" w:hRule="atLeast"/>
          <w:tblHeader/>
        </w:trPr>
        <w:tc>
          <w:tcPr>
            <w:tcW w:w="2822" w:type="dxa"/>
            <w:gridSpan w:val="2"/>
            <w:noWrap w:val="0"/>
            <w:vAlign w:val="center"/>
          </w:tcPr>
          <w:p w14:paraId="22E970BA">
            <w:pPr>
              <w:widowControl/>
              <w:snapToGrid w:val="0"/>
              <w:spacing w:line="360" w:lineRule="auto"/>
              <w:jc w:val="center"/>
              <w:rPr>
                <w:rFonts w:hint="eastAsia" w:ascii="宋体" w:hAnsi="宋体" w:cs="宋体"/>
                <w:sz w:val="24"/>
              </w:rPr>
            </w:pPr>
            <w:r>
              <w:rPr>
                <w:rFonts w:hint="eastAsia" w:ascii="宋体" w:hAnsi="宋体" w:cs="宋体"/>
                <w:sz w:val="24"/>
              </w:rPr>
              <w:t>评审因素</w:t>
            </w:r>
          </w:p>
        </w:tc>
        <w:tc>
          <w:tcPr>
            <w:tcW w:w="744" w:type="dxa"/>
            <w:noWrap w:val="0"/>
            <w:vAlign w:val="center"/>
          </w:tcPr>
          <w:p w14:paraId="66B3F0AF">
            <w:pPr>
              <w:widowControl/>
              <w:snapToGrid w:val="0"/>
              <w:spacing w:line="360" w:lineRule="auto"/>
              <w:jc w:val="center"/>
              <w:rPr>
                <w:rFonts w:hint="eastAsia" w:ascii="宋体" w:hAnsi="宋体" w:cs="宋体"/>
                <w:sz w:val="24"/>
              </w:rPr>
            </w:pPr>
            <w:r>
              <w:rPr>
                <w:rFonts w:hint="eastAsia" w:ascii="宋体" w:hAnsi="宋体" w:cs="宋体"/>
                <w:sz w:val="24"/>
              </w:rPr>
              <w:t>分值</w:t>
            </w:r>
          </w:p>
        </w:tc>
        <w:tc>
          <w:tcPr>
            <w:tcW w:w="6311" w:type="dxa"/>
            <w:noWrap w:val="0"/>
            <w:vAlign w:val="center"/>
          </w:tcPr>
          <w:p w14:paraId="37D5C918">
            <w:pPr>
              <w:widowControl/>
              <w:snapToGrid w:val="0"/>
              <w:spacing w:line="360" w:lineRule="auto"/>
              <w:jc w:val="center"/>
              <w:rPr>
                <w:rFonts w:hint="eastAsia" w:ascii="宋体" w:hAnsi="宋体" w:cs="宋体"/>
                <w:sz w:val="24"/>
              </w:rPr>
            </w:pPr>
            <w:r>
              <w:rPr>
                <w:rFonts w:hint="eastAsia" w:ascii="宋体" w:hAnsi="宋体" w:cs="宋体"/>
                <w:sz w:val="24"/>
              </w:rPr>
              <w:t>评分标准</w:t>
            </w:r>
          </w:p>
        </w:tc>
      </w:tr>
      <w:tr w14:paraId="13D23B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0" w:hRule="atLeast"/>
        </w:trPr>
        <w:tc>
          <w:tcPr>
            <w:tcW w:w="2822" w:type="dxa"/>
            <w:gridSpan w:val="2"/>
            <w:noWrap w:val="0"/>
            <w:vAlign w:val="center"/>
          </w:tcPr>
          <w:p w14:paraId="78E5168E">
            <w:pPr>
              <w:widowControl/>
              <w:snapToGrid w:val="0"/>
              <w:spacing w:line="360" w:lineRule="auto"/>
              <w:rPr>
                <w:rFonts w:hint="eastAsia" w:ascii="宋体" w:hAnsi="宋体" w:cs="宋体"/>
                <w:sz w:val="24"/>
              </w:rPr>
            </w:pPr>
            <w:r>
              <w:rPr>
                <w:rFonts w:hint="eastAsia" w:ascii="宋体" w:hAnsi="宋体" w:cs="宋体"/>
                <w:sz w:val="24"/>
              </w:rPr>
              <w:t>(一) 价格部分(2</w:t>
            </w:r>
            <w:r>
              <w:rPr>
                <w:rFonts w:hint="eastAsia" w:ascii="宋体" w:hAnsi="宋体" w:cs="宋体"/>
                <w:sz w:val="24"/>
                <w:lang w:val="en-US" w:eastAsia="zh-CN"/>
              </w:rPr>
              <w:t>2</w:t>
            </w:r>
            <w:r>
              <w:rPr>
                <w:rFonts w:hint="eastAsia" w:ascii="宋体" w:hAnsi="宋体" w:cs="宋体"/>
                <w:sz w:val="24"/>
              </w:rPr>
              <w:t>分)</w:t>
            </w:r>
          </w:p>
        </w:tc>
        <w:tc>
          <w:tcPr>
            <w:tcW w:w="744" w:type="dxa"/>
            <w:noWrap w:val="0"/>
            <w:vAlign w:val="center"/>
          </w:tcPr>
          <w:p w14:paraId="5259056D">
            <w:pPr>
              <w:widowControl/>
              <w:snapToGrid w:val="0"/>
              <w:spacing w:line="360" w:lineRule="auto"/>
              <w:jc w:val="center"/>
              <w:rPr>
                <w:rFonts w:hint="eastAsia" w:ascii="宋体" w:hAnsi="宋体" w:eastAsia="宋体" w:cs="宋体"/>
                <w:sz w:val="24"/>
                <w:lang w:eastAsia="zh-CN"/>
              </w:rPr>
            </w:pPr>
            <w:r>
              <w:rPr>
                <w:rFonts w:hint="eastAsia" w:ascii="宋体" w:hAnsi="宋体" w:cs="宋体"/>
                <w:sz w:val="24"/>
              </w:rPr>
              <w:t>2</w:t>
            </w:r>
            <w:r>
              <w:rPr>
                <w:rFonts w:hint="eastAsia" w:ascii="宋体" w:hAnsi="宋体" w:cs="宋体"/>
                <w:sz w:val="24"/>
                <w:lang w:val="en-US" w:eastAsia="zh-CN"/>
              </w:rPr>
              <w:t>2</w:t>
            </w:r>
          </w:p>
        </w:tc>
        <w:tc>
          <w:tcPr>
            <w:tcW w:w="6311" w:type="dxa"/>
            <w:noWrap w:val="0"/>
            <w:vAlign w:val="center"/>
          </w:tcPr>
          <w:p w14:paraId="3D3ACA3D">
            <w:pPr>
              <w:widowControl/>
              <w:snapToGrid w:val="0"/>
              <w:spacing w:line="360" w:lineRule="auto"/>
              <w:rPr>
                <w:rFonts w:hint="eastAsia" w:ascii="宋体" w:hAnsi="宋体" w:cs="宋体"/>
                <w:kern w:val="0"/>
                <w:sz w:val="24"/>
              </w:rPr>
            </w:pPr>
            <w:r>
              <w:rPr>
                <w:rFonts w:hint="eastAsia" w:ascii="宋体" w:hAnsi="宋体" w:cs="宋体"/>
                <w:kern w:val="0"/>
                <w:sz w:val="24"/>
              </w:rPr>
              <w:t>综合评分法中的价格分统一采用</w:t>
            </w:r>
            <w:bookmarkStart w:id="667" w:name="OLE_LINK2"/>
            <w:r>
              <w:rPr>
                <w:rFonts w:hint="eastAsia" w:ascii="宋体" w:hAnsi="宋体" w:cs="宋体"/>
                <w:kern w:val="0"/>
                <w:sz w:val="24"/>
              </w:rPr>
              <w:t>低价优先法计算</w:t>
            </w:r>
            <w:bookmarkEnd w:id="667"/>
            <w:r>
              <w:rPr>
                <w:rFonts w:hint="eastAsia" w:ascii="宋体" w:hAnsi="宋体" w:cs="宋体"/>
                <w:kern w:val="0"/>
                <w:sz w:val="24"/>
              </w:rPr>
              <w:t>，即</w:t>
            </w:r>
            <w:r>
              <w:rPr>
                <w:rFonts w:hint="eastAsia" w:ascii="宋体" w:hAnsi="宋体" w:cs="宋体"/>
                <w:b/>
                <w:bCs/>
                <w:kern w:val="0"/>
                <w:sz w:val="24"/>
              </w:rPr>
              <w:t>满足招标件要求且报价最低</w:t>
            </w:r>
            <w:r>
              <w:rPr>
                <w:rFonts w:hint="eastAsia" w:ascii="宋体" w:hAnsi="宋体" w:cs="宋体"/>
                <w:kern w:val="0"/>
                <w:sz w:val="24"/>
              </w:rPr>
              <w:t>的供应商的价格为投标基础价，其价格为满分。</w:t>
            </w:r>
          </w:p>
          <w:p w14:paraId="4ED4729A">
            <w:pPr>
              <w:widowControl/>
              <w:snapToGrid w:val="0"/>
              <w:spacing w:line="360" w:lineRule="auto"/>
              <w:rPr>
                <w:rFonts w:hint="eastAsia" w:ascii="宋体" w:hAnsi="宋体" w:cs="宋体"/>
                <w:kern w:val="0"/>
                <w:sz w:val="24"/>
              </w:rPr>
            </w:pPr>
            <w:r>
              <w:rPr>
                <w:rFonts w:hint="eastAsia" w:ascii="宋体" w:hAnsi="宋体" w:cs="宋体"/>
                <w:kern w:val="0"/>
                <w:sz w:val="24"/>
              </w:rPr>
              <w:t>其他供应商的价格分统一按照下列公式计算：</w:t>
            </w:r>
          </w:p>
          <w:p w14:paraId="6A73F46F">
            <w:pPr>
              <w:widowControl/>
              <w:snapToGrid w:val="0"/>
              <w:spacing w:line="360" w:lineRule="auto"/>
              <w:rPr>
                <w:rFonts w:hint="eastAsia" w:ascii="宋体" w:hAnsi="宋体" w:cs="宋体"/>
                <w:sz w:val="24"/>
              </w:rPr>
            </w:pPr>
            <w:r>
              <w:rPr>
                <w:rFonts w:hint="eastAsia" w:ascii="宋体" w:hAnsi="宋体" w:cs="宋体"/>
                <w:kern w:val="0"/>
                <w:sz w:val="24"/>
              </w:rPr>
              <w:t>投标报价得分=（投标基准价/最后投标价格）×2</w:t>
            </w:r>
            <w:r>
              <w:rPr>
                <w:rFonts w:hint="eastAsia" w:ascii="宋体" w:hAnsi="宋体" w:cs="宋体"/>
                <w:kern w:val="0"/>
                <w:sz w:val="24"/>
                <w:lang w:val="en-US" w:eastAsia="zh-CN"/>
              </w:rPr>
              <w:t>2</w:t>
            </w:r>
            <w:r>
              <w:rPr>
                <w:rFonts w:hint="eastAsia" w:ascii="宋体" w:hAnsi="宋体" w:cs="宋体"/>
                <w:kern w:val="0"/>
                <w:sz w:val="24"/>
              </w:rPr>
              <w:t>×100%。</w:t>
            </w:r>
          </w:p>
        </w:tc>
      </w:tr>
      <w:tr w14:paraId="12E623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0" w:hRule="atLeast"/>
        </w:trPr>
        <w:tc>
          <w:tcPr>
            <w:tcW w:w="1144" w:type="dxa"/>
            <w:vMerge w:val="restart"/>
            <w:noWrap w:val="0"/>
            <w:vAlign w:val="center"/>
          </w:tcPr>
          <w:p w14:paraId="27C505E0">
            <w:pPr>
              <w:widowControl/>
              <w:snapToGrid w:val="0"/>
              <w:spacing w:line="360" w:lineRule="auto"/>
              <w:jc w:val="center"/>
              <w:rPr>
                <w:rFonts w:hint="eastAsia" w:ascii="宋体" w:hAnsi="宋体" w:cs="宋体"/>
                <w:sz w:val="24"/>
              </w:rPr>
            </w:pPr>
            <w:r>
              <w:rPr>
                <w:rFonts w:hint="eastAsia" w:ascii="宋体" w:hAnsi="宋体" w:cs="宋体"/>
                <w:sz w:val="24"/>
              </w:rPr>
              <w:t>（二）商务部分</w:t>
            </w:r>
          </w:p>
          <w:p w14:paraId="6A32F744">
            <w:pPr>
              <w:widowControl/>
              <w:snapToGrid w:val="0"/>
              <w:spacing w:line="360" w:lineRule="auto"/>
              <w:jc w:val="center"/>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18</w:t>
            </w:r>
            <w:r>
              <w:rPr>
                <w:rFonts w:hint="eastAsia" w:ascii="宋体" w:hAnsi="宋体" w:cs="宋体"/>
                <w:sz w:val="24"/>
              </w:rPr>
              <w:t>分)</w:t>
            </w:r>
          </w:p>
        </w:tc>
        <w:tc>
          <w:tcPr>
            <w:tcW w:w="1678" w:type="dxa"/>
            <w:noWrap w:val="0"/>
            <w:vAlign w:val="center"/>
          </w:tcPr>
          <w:p w14:paraId="624B78EE">
            <w:pPr>
              <w:snapToGrid w:val="0"/>
              <w:spacing w:line="360" w:lineRule="auto"/>
              <w:jc w:val="center"/>
              <w:rPr>
                <w:rFonts w:hint="eastAsia" w:ascii="宋体" w:hAnsi="宋体" w:cs="宋体"/>
                <w:sz w:val="24"/>
              </w:rPr>
            </w:pPr>
            <w:r>
              <w:rPr>
                <w:rFonts w:hint="eastAsia" w:ascii="宋体" w:hAnsi="宋体" w:cs="宋体"/>
                <w:sz w:val="24"/>
              </w:rPr>
              <w:t>企业实力</w:t>
            </w:r>
          </w:p>
        </w:tc>
        <w:tc>
          <w:tcPr>
            <w:tcW w:w="744" w:type="dxa"/>
            <w:noWrap w:val="0"/>
            <w:vAlign w:val="center"/>
          </w:tcPr>
          <w:p w14:paraId="0F50787B">
            <w:pPr>
              <w:snapToGrid w:val="0"/>
              <w:spacing w:line="360" w:lineRule="auto"/>
              <w:jc w:val="center"/>
              <w:rPr>
                <w:rFonts w:hint="eastAsia" w:ascii="宋体" w:hAnsi="宋体" w:eastAsia="宋体" w:cs="宋体"/>
                <w:sz w:val="24"/>
                <w:lang w:eastAsia="zh-CN"/>
              </w:rPr>
            </w:pPr>
            <w:r>
              <w:rPr>
                <w:rFonts w:hint="eastAsia" w:ascii="宋体" w:hAnsi="宋体" w:cs="宋体"/>
                <w:sz w:val="24"/>
                <w:lang w:val="en-US" w:eastAsia="zh-CN"/>
              </w:rPr>
              <w:t>6</w:t>
            </w:r>
          </w:p>
        </w:tc>
        <w:tc>
          <w:tcPr>
            <w:tcW w:w="6311" w:type="dxa"/>
            <w:noWrap w:val="0"/>
            <w:vAlign w:val="top"/>
          </w:tcPr>
          <w:p w14:paraId="53D83C72">
            <w:pPr>
              <w:numPr>
                <w:ilvl w:val="0"/>
                <w:numId w:val="1"/>
              </w:numPr>
              <w:snapToGrid w:val="0"/>
              <w:spacing w:line="360" w:lineRule="auto"/>
              <w:rPr>
                <w:rFonts w:hint="eastAsia" w:ascii="宋体" w:hAnsi="宋体" w:cs="宋体"/>
                <w:sz w:val="24"/>
              </w:rPr>
            </w:pPr>
            <w:r>
              <w:rPr>
                <w:rFonts w:hint="eastAsia" w:ascii="宋体" w:hAnsi="宋体" w:cs="宋体"/>
                <w:sz w:val="24"/>
              </w:rPr>
              <w:t>投标人具有质量管理体系认证证书的得</w:t>
            </w:r>
            <w:r>
              <w:rPr>
                <w:rFonts w:hint="eastAsia" w:ascii="宋体" w:hAnsi="宋体" w:cs="宋体"/>
                <w:sz w:val="24"/>
                <w:lang w:val="en-US" w:eastAsia="zh-CN"/>
              </w:rPr>
              <w:t>2</w:t>
            </w:r>
            <w:r>
              <w:rPr>
                <w:rFonts w:hint="eastAsia" w:ascii="宋体" w:hAnsi="宋体" w:cs="宋体"/>
                <w:sz w:val="24"/>
              </w:rPr>
              <w:t xml:space="preserve">分，未提供则得0分； </w:t>
            </w:r>
          </w:p>
          <w:p w14:paraId="05117A15">
            <w:pPr>
              <w:numPr>
                <w:ilvl w:val="0"/>
                <w:numId w:val="1"/>
              </w:numPr>
              <w:snapToGrid w:val="0"/>
              <w:spacing w:line="360" w:lineRule="auto"/>
              <w:rPr>
                <w:rFonts w:hint="eastAsia" w:ascii="宋体" w:hAnsi="宋体" w:cs="宋体"/>
                <w:sz w:val="24"/>
              </w:rPr>
            </w:pPr>
            <w:r>
              <w:rPr>
                <w:rFonts w:hint="eastAsia" w:ascii="宋体" w:hAnsi="宋体" w:cs="宋体"/>
                <w:sz w:val="24"/>
              </w:rPr>
              <w:t>投标人具有职业健康安全管理体系认证证书的得</w:t>
            </w:r>
            <w:r>
              <w:rPr>
                <w:rFonts w:hint="eastAsia" w:ascii="宋体" w:hAnsi="宋体" w:cs="宋体"/>
                <w:sz w:val="24"/>
                <w:lang w:val="en-US" w:eastAsia="zh-CN"/>
              </w:rPr>
              <w:t>2</w:t>
            </w:r>
            <w:r>
              <w:rPr>
                <w:rFonts w:hint="eastAsia" w:ascii="宋体" w:hAnsi="宋体" w:cs="宋体"/>
                <w:sz w:val="24"/>
              </w:rPr>
              <w:t xml:space="preserve">分，否则得0分；   </w:t>
            </w:r>
          </w:p>
          <w:p w14:paraId="44692C36">
            <w:pPr>
              <w:snapToGrid w:val="0"/>
              <w:spacing w:line="360" w:lineRule="auto"/>
              <w:rPr>
                <w:rFonts w:hint="eastAsia" w:ascii="宋体" w:hAnsi="宋体" w:cs="宋体"/>
                <w:sz w:val="24"/>
              </w:rPr>
            </w:pPr>
            <w:r>
              <w:rPr>
                <w:rFonts w:hint="eastAsia" w:ascii="宋体" w:hAnsi="宋体" w:cs="宋体"/>
                <w:sz w:val="24"/>
              </w:rPr>
              <w:t>3.投标人具有环境管理体系认证证书的得</w:t>
            </w:r>
            <w:r>
              <w:rPr>
                <w:rFonts w:hint="eastAsia" w:ascii="宋体" w:hAnsi="宋体" w:cs="宋体"/>
                <w:sz w:val="24"/>
                <w:lang w:val="en-US" w:eastAsia="zh-CN"/>
              </w:rPr>
              <w:t>2</w:t>
            </w:r>
            <w:r>
              <w:rPr>
                <w:rFonts w:hint="eastAsia" w:ascii="宋体" w:hAnsi="宋体" w:cs="宋体"/>
                <w:sz w:val="24"/>
              </w:rPr>
              <w:t>分，否则得0分；</w:t>
            </w:r>
          </w:p>
        </w:tc>
      </w:tr>
      <w:tr w14:paraId="550713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trPr>
        <w:tc>
          <w:tcPr>
            <w:tcW w:w="1144" w:type="dxa"/>
            <w:vMerge w:val="continue"/>
            <w:noWrap w:val="0"/>
            <w:vAlign w:val="center"/>
          </w:tcPr>
          <w:p w14:paraId="5BA87A00">
            <w:pPr>
              <w:widowControl/>
              <w:snapToGrid w:val="0"/>
              <w:spacing w:line="360" w:lineRule="auto"/>
              <w:rPr>
                <w:rFonts w:hint="eastAsia" w:ascii="宋体" w:hAnsi="宋体" w:cs="宋体"/>
                <w:sz w:val="24"/>
              </w:rPr>
            </w:pPr>
          </w:p>
        </w:tc>
        <w:tc>
          <w:tcPr>
            <w:tcW w:w="1678" w:type="dxa"/>
            <w:noWrap w:val="0"/>
            <w:vAlign w:val="center"/>
          </w:tcPr>
          <w:p w14:paraId="0EFA04ED">
            <w:pPr>
              <w:snapToGrid w:val="0"/>
              <w:spacing w:line="360" w:lineRule="auto"/>
              <w:jc w:val="center"/>
              <w:rPr>
                <w:rFonts w:hint="eastAsia" w:ascii="宋体" w:hAnsi="宋体" w:cs="宋体"/>
                <w:sz w:val="24"/>
              </w:rPr>
            </w:pPr>
            <w:r>
              <w:rPr>
                <w:rFonts w:hint="eastAsia" w:ascii="宋体" w:hAnsi="宋体" w:cs="宋体"/>
                <w:sz w:val="24"/>
              </w:rPr>
              <w:t>投标文件编制质量、对招标文件的投标程度</w:t>
            </w:r>
          </w:p>
        </w:tc>
        <w:tc>
          <w:tcPr>
            <w:tcW w:w="744" w:type="dxa"/>
            <w:noWrap w:val="0"/>
            <w:vAlign w:val="center"/>
          </w:tcPr>
          <w:p w14:paraId="5DDF9C84">
            <w:pPr>
              <w:snapToGrid w:val="0"/>
              <w:spacing w:line="360" w:lineRule="auto"/>
              <w:jc w:val="center"/>
              <w:rPr>
                <w:rFonts w:hint="eastAsia" w:ascii="宋体" w:hAnsi="宋体" w:eastAsia="宋体" w:cs="宋体"/>
                <w:sz w:val="24"/>
                <w:lang w:eastAsia="zh-CN"/>
              </w:rPr>
            </w:pPr>
            <w:r>
              <w:rPr>
                <w:rFonts w:hint="eastAsia" w:ascii="宋体" w:hAnsi="宋体" w:cs="宋体"/>
                <w:sz w:val="24"/>
                <w:lang w:val="en-US" w:eastAsia="zh-CN"/>
              </w:rPr>
              <w:t>3</w:t>
            </w:r>
          </w:p>
        </w:tc>
        <w:tc>
          <w:tcPr>
            <w:tcW w:w="6311" w:type="dxa"/>
            <w:noWrap w:val="0"/>
            <w:vAlign w:val="center"/>
          </w:tcPr>
          <w:p w14:paraId="475D76B3">
            <w:pPr>
              <w:snapToGrid w:val="0"/>
              <w:spacing w:line="360" w:lineRule="auto"/>
              <w:rPr>
                <w:rFonts w:hint="eastAsia" w:ascii="宋体" w:hAnsi="宋体" w:cs="宋体"/>
                <w:sz w:val="24"/>
              </w:rPr>
            </w:pPr>
            <w:r>
              <w:rPr>
                <w:rFonts w:hint="eastAsia" w:ascii="宋体" w:hAnsi="宋体" w:cs="宋体"/>
                <w:sz w:val="24"/>
              </w:rPr>
              <w:t>1.投标人标书按照招标文件要求编写，有目录索引、页码无错乱、标题、编号、正文、表格等排版规范得</w:t>
            </w:r>
            <w:r>
              <w:rPr>
                <w:rFonts w:hint="eastAsia" w:ascii="宋体" w:hAnsi="宋体" w:cs="宋体"/>
                <w:sz w:val="24"/>
                <w:lang w:val="en-US" w:eastAsia="zh-CN"/>
              </w:rPr>
              <w:t>3</w:t>
            </w:r>
            <w:r>
              <w:rPr>
                <w:rFonts w:hint="eastAsia" w:ascii="宋体" w:hAnsi="宋体" w:cs="宋体"/>
                <w:sz w:val="24"/>
              </w:rPr>
              <w:t xml:space="preserve"> 分，否则得0分； 2.投标文件内容详实、应答明确、对招标文件响应程度完整的得</w:t>
            </w:r>
            <w:r>
              <w:rPr>
                <w:rFonts w:hint="eastAsia" w:ascii="宋体" w:hAnsi="宋体" w:cs="宋体"/>
                <w:sz w:val="24"/>
                <w:lang w:val="en-US" w:eastAsia="zh-CN"/>
              </w:rPr>
              <w:t>2</w:t>
            </w:r>
            <w:r>
              <w:rPr>
                <w:rFonts w:hint="eastAsia" w:ascii="宋体" w:hAnsi="宋体" w:cs="宋体"/>
                <w:sz w:val="24"/>
              </w:rPr>
              <w:t>分；内容较完整、编写质量一般得</w:t>
            </w:r>
            <w:r>
              <w:rPr>
                <w:rFonts w:hint="eastAsia" w:ascii="宋体" w:hAnsi="宋体" w:cs="宋体"/>
                <w:sz w:val="24"/>
                <w:lang w:val="en-US" w:eastAsia="zh-CN"/>
              </w:rPr>
              <w:t>1</w:t>
            </w:r>
            <w:r>
              <w:rPr>
                <w:rFonts w:hint="eastAsia" w:ascii="宋体" w:hAnsi="宋体" w:cs="宋体"/>
                <w:sz w:val="24"/>
              </w:rPr>
              <w:t>分；否则得0分。</w:t>
            </w:r>
          </w:p>
        </w:tc>
      </w:tr>
      <w:tr w14:paraId="4CAC83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 w:hRule="atLeast"/>
        </w:trPr>
        <w:tc>
          <w:tcPr>
            <w:tcW w:w="1144" w:type="dxa"/>
            <w:vMerge w:val="continue"/>
            <w:noWrap w:val="0"/>
            <w:vAlign w:val="center"/>
          </w:tcPr>
          <w:p w14:paraId="2C6A0218">
            <w:pPr>
              <w:widowControl/>
              <w:snapToGrid w:val="0"/>
              <w:spacing w:line="360" w:lineRule="auto"/>
              <w:rPr>
                <w:rFonts w:hint="eastAsia" w:ascii="宋体" w:hAnsi="宋体" w:cs="宋体"/>
                <w:sz w:val="24"/>
              </w:rPr>
            </w:pPr>
          </w:p>
        </w:tc>
        <w:tc>
          <w:tcPr>
            <w:tcW w:w="1678" w:type="dxa"/>
            <w:noWrap w:val="0"/>
            <w:vAlign w:val="center"/>
          </w:tcPr>
          <w:p w14:paraId="5448E2A5">
            <w:pPr>
              <w:widowControl/>
              <w:snapToGrid w:val="0"/>
              <w:spacing w:line="360" w:lineRule="auto"/>
              <w:jc w:val="center"/>
              <w:rPr>
                <w:rFonts w:hint="eastAsia" w:ascii="宋体" w:hAnsi="宋体" w:cs="宋体"/>
                <w:sz w:val="24"/>
              </w:rPr>
            </w:pPr>
            <w:r>
              <w:rPr>
                <w:rFonts w:hint="eastAsia" w:ascii="宋体" w:hAnsi="宋体" w:cs="宋体"/>
                <w:sz w:val="24"/>
              </w:rPr>
              <w:t>近三年类似项目业绩</w:t>
            </w:r>
          </w:p>
        </w:tc>
        <w:tc>
          <w:tcPr>
            <w:tcW w:w="744" w:type="dxa"/>
            <w:noWrap w:val="0"/>
            <w:vAlign w:val="center"/>
          </w:tcPr>
          <w:p w14:paraId="609680C4">
            <w:pPr>
              <w:widowControl/>
              <w:snapToGrid w:val="0"/>
              <w:spacing w:line="360" w:lineRule="auto"/>
              <w:jc w:val="center"/>
              <w:rPr>
                <w:rFonts w:hint="eastAsia" w:ascii="宋体" w:hAnsi="宋体" w:eastAsia="宋体" w:cs="宋体"/>
                <w:sz w:val="24"/>
                <w:lang w:eastAsia="zh-CN"/>
              </w:rPr>
            </w:pPr>
            <w:r>
              <w:rPr>
                <w:rFonts w:hint="eastAsia" w:ascii="宋体" w:hAnsi="宋体" w:cs="宋体"/>
                <w:sz w:val="24"/>
                <w:lang w:val="en-US" w:eastAsia="zh-CN"/>
              </w:rPr>
              <w:t>9</w:t>
            </w:r>
          </w:p>
        </w:tc>
        <w:tc>
          <w:tcPr>
            <w:tcW w:w="6311" w:type="dxa"/>
            <w:noWrap w:val="0"/>
            <w:vAlign w:val="center"/>
          </w:tcPr>
          <w:p w14:paraId="51F65FFB">
            <w:pPr>
              <w:pStyle w:val="268"/>
              <w:spacing w:line="360" w:lineRule="auto"/>
              <w:rPr>
                <w:rFonts w:hint="eastAsia" w:ascii="宋体" w:hAnsi="宋体" w:cs="宋体"/>
                <w:sz w:val="24"/>
                <w:szCs w:val="24"/>
              </w:rPr>
            </w:pPr>
            <w:r>
              <w:rPr>
                <w:rFonts w:hint="eastAsia" w:ascii="宋体" w:hAnsi="宋体" w:cs="宋体"/>
                <w:sz w:val="24"/>
                <w:szCs w:val="24"/>
              </w:rPr>
              <w:t>投标人自2021年12月1日至投标截止日（以合同签订之日为准），每有一个类似项目业绩得</w:t>
            </w:r>
            <w:r>
              <w:rPr>
                <w:rFonts w:hint="eastAsia" w:ascii="宋体" w:hAnsi="宋体" w:cs="宋体"/>
                <w:sz w:val="24"/>
                <w:szCs w:val="24"/>
                <w:lang w:val="en-US" w:eastAsia="zh-CN"/>
              </w:rPr>
              <w:t>3</w:t>
            </w:r>
            <w:r>
              <w:rPr>
                <w:rFonts w:hint="eastAsia" w:ascii="宋体" w:hAnsi="宋体" w:cs="宋体"/>
                <w:sz w:val="24"/>
                <w:szCs w:val="24"/>
              </w:rPr>
              <w:t>分，最多得</w:t>
            </w:r>
            <w:r>
              <w:rPr>
                <w:rFonts w:hint="eastAsia" w:ascii="宋体" w:hAnsi="宋体" w:cs="宋体"/>
                <w:sz w:val="24"/>
                <w:szCs w:val="24"/>
                <w:lang w:val="en-US" w:eastAsia="zh-CN"/>
              </w:rPr>
              <w:t>9</w:t>
            </w:r>
            <w:r>
              <w:rPr>
                <w:rFonts w:hint="eastAsia" w:ascii="宋体" w:hAnsi="宋体" w:cs="宋体"/>
                <w:sz w:val="24"/>
                <w:szCs w:val="24"/>
              </w:rPr>
              <w:t>分。</w:t>
            </w:r>
          </w:p>
          <w:p w14:paraId="0C651762">
            <w:pPr>
              <w:pStyle w:val="268"/>
              <w:spacing w:line="360" w:lineRule="auto"/>
              <w:rPr>
                <w:rFonts w:hint="eastAsia" w:ascii="宋体" w:hAnsi="宋体" w:cs="宋体"/>
                <w:sz w:val="24"/>
                <w:szCs w:val="24"/>
              </w:rPr>
            </w:pPr>
            <w:r>
              <w:rPr>
                <w:rFonts w:hint="eastAsia" w:ascii="宋体" w:hAnsi="宋体" w:cs="宋体"/>
                <w:sz w:val="24"/>
                <w:szCs w:val="24"/>
              </w:rPr>
              <w:t>投标人须在投标文件中提供所报业绩的合同复印件，包括合同首页、金额页和盖章页，并加盖投标人公章。</w:t>
            </w:r>
          </w:p>
          <w:p w14:paraId="72EF4559">
            <w:pPr>
              <w:widowControl/>
              <w:snapToGrid w:val="0"/>
              <w:spacing w:line="360" w:lineRule="auto"/>
              <w:jc w:val="left"/>
              <w:rPr>
                <w:rFonts w:hint="eastAsia" w:ascii="宋体" w:hAnsi="宋体" w:cs="宋体"/>
                <w:sz w:val="24"/>
              </w:rPr>
            </w:pPr>
            <w:r>
              <w:rPr>
                <w:rFonts w:hint="eastAsia" w:ascii="宋体" w:hAnsi="宋体" w:cs="宋体"/>
                <w:sz w:val="24"/>
              </w:rPr>
              <w:t>注：不符合上述要求或未按要求提供有效证明文件的业绩在评审时将不予承认。</w:t>
            </w:r>
          </w:p>
        </w:tc>
      </w:tr>
      <w:tr w14:paraId="488F55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 w:hRule="atLeast"/>
        </w:trPr>
        <w:tc>
          <w:tcPr>
            <w:tcW w:w="1144" w:type="dxa"/>
            <w:vMerge w:val="restart"/>
            <w:noWrap w:val="0"/>
            <w:vAlign w:val="center"/>
          </w:tcPr>
          <w:p w14:paraId="686E3D72">
            <w:pPr>
              <w:widowControl/>
              <w:snapToGrid w:val="0"/>
              <w:spacing w:line="360" w:lineRule="auto"/>
              <w:rPr>
                <w:rFonts w:hint="eastAsia" w:ascii="宋体" w:hAnsi="宋体" w:cs="宋体"/>
                <w:sz w:val="24"/>
              </w:rPr>
            </w:pPr>
            <w:r>
              <w:rPr>
                <w:rFonts w:hint="eastAsia" w:ascii="宋体" w:hAnsi="宋体" w:cs="宋体"/>
                <w:sz w:val="24"/>
              </w:rPr>
              <w:t xml:space="preserve">(三)技术及服务部分(60分) </w:t>
            </w:r>
          </w:p>
        </w:tc>
        <w:tc>
          <w:tcPr>
            <w:tcW w:w="1678" w:type="dxa"/>
            <w:noWrap w:val="0"/>
            <w:vAlign w:val="center"/>
          </w:tcPr>
          <w:p w14:paraId="7F6ADB3A">
            <w:pPr>
              <w:widowControl/>
              <w:snapToGrid w:val="0"/>
              <w:spacing w:line="360" w:lineRule="auto"/>
              <w:jc w:val="center"/>
              <w:rPr>
                <w:rFonts w:hint="eastAsia" w:ascii="宋体" w:hAnsi="宋体" w:cs="宋体"/>
                <w:sz w:val="24"/>
              </w:rPr>
            </w:pPr>
            <w:r>
              <w:rPr>
                <w:rFonts w:hint="eastAsia" w:ascii="宋体" w:hAnsi="宋体" w:cs="宋体"/>
                <w:sz w:val="24"/>
              </w:rPr>
              <w:t>项目管理方案</w:t>
            </w:r>
          </w:p>
        </w:tc>
        <w:tc>
          <w:tcPr>
            <w:tcW w:w="744" w:type="dxa"/>
            <w:noWrap w:val="0"/>
            <w:vAlign w:val="center"/>
          </w:tcPr>
          <w:p w14:paraId="75B2E2D7">
            <w:pPr>
              <w:spacing w:line="360" w:lineRule="auto"/>
              <w:jc w:val="center"/>
              <w:rPr>
                <w:rFonts w:hint="eastAsia" w:ascii="宋体" w:hAnsi="宋体" w:cs="宋体"/>
                <w:sz w:val="24"/>
              </w:rPr>
            </w:pPr>
            <w:r>
              <w:rPr>
                <w:rFonts w:hint="eastAsia" w:ascii="宋体" w:hAnsi="宋体" w:cs="宋体"/>
                <w:sz w:val="24"/>
              </w:rPr>
              <w:t>25</w:t>
            </w:r>
          </w:p>
        </w:tc>
        <w:tc>
          <w:tcPr>
            <w:tcW w:w="6311" w:type="dxa"/>
            <w:noWrap w:val="0"/>
            <w:vAlign w:val="center"/>
          </w:tcPr>
          <w:p w14:paraId="7FAC9217">
            <w:pPr>
              <w:pStyle w:val="25"/>
              <w:spacing w:line="360" w:lineRule="auto"/>
              <w:rPr>
                <w:rFonts w:hAnsi="宋体" w:cs="宋体"/>
                <w:sz w:val="24"/>
                <w:szCs w:val="24"/>
              </w:rPr>
            </w:pPr>
            <w:r>
              <w:rPr>
                <w:rFonts w:hAnsi="宋体" w:cs="宋体"/>
                <w:sz w:val="24"/>
                <w:szCs w:val="24"/>
              </w:rPr>
              <w:t>项目管理方案应包括但不限于：1.项目管理模式、组织架构及人员配置（含图）、员工岗位设置方案、服务标准、劳动纪律、礼仪形象、优秀员工评定标准、后勤管理方案、培训方案、人员招聘方案（说明是否具有人力资源派遣（服务）公司）10项内容，方案内容齐全的得15分，少一项扣1.5分；2.方案合理、可行的好：8分，较好：5分，一般：2分，较差：0分。</w:t>
            </w:r>
          </w:p>
        </w:tc>
      </w:tr>
      <w:tr w14:paraId="4DC816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5" w:hRule="atLeast"/>
        </w:trPr>
        <w:tc>
          <w:tcPr>
            <w:tcW w:w="1144" w:type="dxa"/>
            <w:vMerge w:val="continue"/>
            <w:noWrap w:val="0"/>
            <w:vAlign w:val="center"/>
          </w:tcPr>
          <w:p w14:paraId="04238DEB">
            <w:pPr>
              <w:widowControl/>
              <w:snapToGrid w:val="0"/>
              <w:spacing w:line="360" w:lineRule="auto"/>
              <w:rPr>
                <w:rFonts w:hint="eastAsia" w:ascii="宋体" w:hAnsi="宋体" w:cs="宋体"/>
                <w:sz w:val="24"/>
              </w:rPr>
            </w:pPr>
          </w:p>
        </w:tc>
        <w:tc>
          <w:tcPr>
            <w:tcW w:w="1678" w:type="dxa"/>
            <w:noWrap w:val="0"/>
            <w:vAlign w:val="center"/>
          </w:tcPr>
          <w:p w14:paraId="772CDC43">
            <w:pPr>
              <w:snapToGrid w:val="0"/>
              <w:spacing w:line="360" w:lineRule="auto"/>
              <w:jc w:val="center"/>
              <w:rPr>
                <w:rFonts w:hint="eastAsia" w:ascii="宋体" w:hAnsi="宋体" w:cs="宋体"/>
                <w:sz w:val="24"/>
              </w:rPr>
            </w:pPr>
            <w:r>
              <w:rPr>
                <w:rFonts w:hint="eastAsia" w:ascii="宋体" w:hAnsi="宋体" w:cs="宋体"/>
                <w:sz w:val="24"/>
              </w:rPr>
              <w:t>安保服务措施</w:t>
            </w:r>
          </w:p>
        </w:tc>
        <w:tc>
          <w:tcPr>
            <w:tcW w:w="744" w:type="dxa"/>
            <w:noWrap w:val="0"/>
            <w:vAlign w:val="center"/>
          </w:tcPr>
          <w:p w14:paraId="73BC0256">
            <w:pPr>
              <w:spacing w:line="360" w:lineRule="auto"/>
              <w:jc w:val="center"/>
              <w:rPr>
                <w:rFonts w:hint="eastAsia" w:ascii="宋体" w:hAnsi="宋体" w:cs="宋体"/>
                <w:sz w:val="24"/>
              </w:rPr>
            </w:pPr>
            <w:r>
              <w:rPr>
                <w:rFonts w:hint="eastAsia" w:ascii="宋体" w:hAnsi="宋体" w:cs="宋体"/>
                <w:sz w:val="24"/>
              </w:rPr>
              <w:t>8</w:t>
            </w:r>
          </w:p>
        </w:tc>
        <w:tc>
          <w:tcPr>
            <w:tcW w:w="6311" w:type="dxa"/>
            <w:noWrap w:val="0"/>
            <w:vAlign w:val="center"/>
          </w:tcPr>
          <w:p w14:paraId="18FA701B">
            <w:pPr>
              <w:spacing w:line="360" w:lineRule="auto"/>
              <w:rPr>
                <w:rFonts w:hint="eastAsia" w:ascii="宋体" w:hAnsi="宋体" w:cs="宋体"/>
                <w:sz w:val="24"/>
              </w:rPr>
            </w:pPr>
            <w:r>
              <w:rPr>
                <w:rFonts w:hint="eastAsia" w:hAnsi="宋体" w:cs="宋体"/>
                <w:sz w:val="24"/>
              </w:rPr>
              <w:t>安保服务措施</w:t>
            </w:r>
            <w:r>
              <w:rPr>
                <w:rFonts w:hAnsi="宋体" w:cs="宋体"/>
                <w:sz w:val="24"/>
              </w:rPr>
              <w:t>应包括但不限于：</w:t>
            </w:r>
            <w:r>
              <w:rPr>
                <w:rFonts w:hint="eastAsia" w:ascii="宋体" w:hAnsi="宋体" w:cs="宋体"/>
                <w:sz w:val="24"/>
              </w:rPr>
              <w:t>巡逻流程、安全检查与监控措施、应急处理与救援措施、宣传教育与培训措施4项内容，有1项得2分，方案内容齐全的得8分。</w:t>
            </w:r>
          </w:p>
        </w:tc>
      </w:tr>
      <w:tr w14:paraId="53426C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5" w:hRule="atLeast"/>
        </w:trPr>
        <w:tc>
          <w:tcPr>
            <w:tcW w:w="1144" w:type="dxa"/>
            <w:vMerge w:val="continue"/>
            <w:noWrap w:val="0"/>
            <w:vAlign w:val="center"/>
          </w:tcPr>
          <w:p w14:paraId="4924CA12">
            <w:pPr>
              <w:widowControl/>
              <w:snapToGrid w:val="0"/>
              <w:spacing w:line="360" w:lineRule="auto"/>
              <w:rPr>
                <w:rFonts w:hint="eastAsia" w:ascii="宋体" w:hAnsi="宋体" w:cs="宋体"/>
                <w:sz w:val="24"/>
              </w:rPr>
            </w:pPr>
          </w:p>
        </w:tc>
        <w:tc>
          <w:tcPr>
            <w:tcW w:w="1678" w:type="dxa"/>
            <w:noWrap w:val="0"/>
            <w:vAlign w:val="center"/>
          </w:tcPr>
          <w:p w14:paraId="3919388D">
            <w:pPr>
              <w:widowControl/>
              <w:snapToGrid w:val="0"/>
              <w:spacing w:line="360" w:lineRule="auto"/>
              <w:jc w:val="center"/>
              <w:rPr>
                <w:rFonts w:hint="eastAsia" w:ascii="宋体" w:hAnsi="宋体" w:cs="宋体"/>
                <w:sz w:val="24"/>
              </w:rPr>
            </w:pPr>
            <w:r>
              <w:rPr>
                <w:rFonts w:hint="eastAsia" w:ascii="宋体" w:hAnsi="宋体" w:cs="宋体"/>
                <w:sz w:val="24"/>
              </w:rPr>
              <w:t>拟投入劳动力计划</w:t>
            </w:r>
          </w:p>
        </w:tc>
        <w:tc>
          <w:tcPr>
            <w:tcW w:w="744" w:type="dxa"/>
            <w:noWrap w:val="0"/>
            <w:vAlign w:val="center"/>
          </w:tcPr>
          <w:p w14:paraId="66C17C0B">
            <w:pPr>
              <w:spacing w:line="360" w:lineRule="auto"/>
              <w:jc w:val="center"/>
              <w:rPr>
                <w:rFonts w:hint="eastAsia" w:ascii="宋体" w:hAnsi="宋体" w:cs="宋体"/>
                <w:sz w:val="24"/>
              </w:rPr>
            </w:pPr>
            <w:r>
              <w:rPr>
                <w:rFonts w:hint="eastAsia" w:ascii="宋体" w:hAnsi="宋体" w:cs="宋体"/>
                <w:sz w:val="24"/>
              </w:rPr>
              <w:t>8</w:t>
            </w:r>
          </w:p>
        </w:tc>
        <w:tc>
          <w:tcPr>
            <w:tcW w:w="6311" w:type="dxa"/>
            <w:noWrap w:val="0"/>
            <w:vAlign w:val="center"/>
          </w:tcPr>
          <w:p w14:paraId="4917806D">
            <w:pPr>
              <w:autoSpaceDE w:val="0"/>
              <w:autoSpaceDN w:val="0"/>
              <w:spacing w:line="360" w:lineRule="auto"/>
              <w:jc w:val="left"/>
              <w:rPr>
                <w:rFonts w:hint="eastAsia" w:ascii="宋体" w:hAnsi="宋体" w:cs="宋体"/>
                <w:sz w:val="24"/>
              </w:rPr>
            </w:pPr>
            <w:r>
              <w:rPr>
                <w:rFonts w:hint="eastAsia" w:ascii="宋体" w:hAnsi="宋体" w:cs="宋体"/>
                <w:sz w:val="24"/>
              </w:rPr>
              <w:t>投标人根据招标文件中的采购需求、项目实际情况：在满足最低人员要求的基础上，拟参与本项目人员的结构合理，专业安排合理，人员综合素质及专业水平高，经验丰富，执行能力和团队协作能力强，得8分；拟参与本项目人员的结构较合理，专业安排较合理，人员综合素质及专业水平较高，经验较丰富，执行能力和团队协作能力较强，得 4 分；未提供或拟参与本项目人员的结构差，专业安排差，人员综合素质及专业水平差，经验差，执行能力和团队协作能力差，得 0 分。</w:t>
            </w:r>
          </w:p>
          <w:p w14:paraId="490F6FE8">
            <w:pPr>
              <w:autoSpaceDE w:val="0"/>
              <w:autoSpaceDN w:val="0"/>
              <w:spacing w:line="360" w:lineRule="auto"/>
              <w:jc w:val="left"/>
              <w:rPr>
                <w:rFonts w:hint="eastAsia" w:ascii="宋体" w:hAnsi="宋体" w:cs="宋体"/>
                <w:sz w:val="24"/>
              </w:rPr>
            </w:pPr>
            <w:r>
              <w:rPr>
                <w:rFonts w:hint="eastAsia" w:ascii="宋体" w:hAnsi="宋体" w:cs="宋体"/>
                <w:sz w:val="24"/>
              </w:rPr>
              <w:t>注：提供人员名单、身份证证明文件。</w:t>
            </w:r>
          </w:p>
        </w:tc>
      </w:tr>
      <w:tr w14:paraId="67F7A1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5" w:hRule="atLeast"/>
        </w:trPr>
        <w:tc>
          <w:tcPr>
            <w:tcW w:w="1144" w:type="dxa"/>
            <w:vMerge w:val="continue"/>
            <w:noWrap w:val="0"/>
            <w:vAlign w:val="center"/>
          </w:tcPr>
          <w:p w14:paraId="0655EC32">
            <w:pPr>
              <w:widowControl/>
              <w:snapToGrid w:val="0"/>
              <w:spacing w:line="360" w:lineRule="auto"/>
              <w:rPr>
                <w:rFonts w:hint="eastAsia" w:ascii="宋体" w:hAnsi="宋体" w:cs="宋体"/>
                <w:sz w:val="24"/>
              </w:rPr>
            </w:pPr>
          </w:p>
        </w:tc>
        <w:tc>
          <w:tcPr>
            <w:tcW w:w="1678" w:type="dxa"/>
            <w:noWrap w:val="0"/>
            <w:vAlign w:val="center"/>
          </w:tcPr>
          <w:p w14:paraId="488FBE15">
            <w:pPr>
              <w:widowControl/>
              <w:snapToGrid w:val="0"/>
              <w:spacing w:line="360" w:lineRule="auto"/>
              <w:jc w:val="center"/>
              <w:rPr>
                <w:rFonts w:hint="eastAsia" w:ascii="宋体" w:hAnsi="宋体" w:cs="宋体"/>
                <w:sz w:val="24"/>
              </w:rPr>
            </w:pPr>
            <w:r>
              <w:rPr>
                <w:rFonts w:hint="eastAsia" w:ascii="宋体" w:hAnsi="宋体" w:cs="宋体"/>
                <w:sz w:val="24"/>
              </w:rPr>
              <w:t>安全方案</w:t>
            </w:r>
          </w:p>
        </w:tc>
        <w:tc>
          <w:tcPr>
            <w:tcW w:w="744" w:type="dxa"/>
            <w:noWrap w:val="0"/>
            <w:vAlign w:val="center"/>
          </w:tcPr>
          <w:p w14:paraId="02E894E8">
            <w:pPr>
              <w:spacing w:line="360" w:lineRule="auto"/>
              <w:jc w:val="center"/>
              <w:rPr>
                <w:rFonts w:hint="eastAsia" w:ascii="宋体" w:hAnsi="宋体" w:cs="宋体"/>
                <w:sz w:val="24"/>
              </w:rPr>
            </w:pPr>
            <w:r>
              <w:rPr>
                <w:rFonts w:hint="eastAsia" w:ascii="宋体" w:hAnsi="宋体" w:cs="宋体"/>
                <w:sz w:val="24"/>
              </w:rPr>
              <w:t>8</w:t>
            </w:r>
          </w:p>
        </w:tc>
        <w:tc>
          <w:tcPr>
            <w:tcW w:w="6311" w:type="dxa"/>
            <w:noWrap w:val="0"/>
            <w:vAlign w:val="center"/>
          </w:tcPr>
          <w:p w14:paraId="0E059E31">
            <w:pPr>
              <w:spacing w:line="360" w:lineRule="auto"/>
              <w:rPr>
                <w:rFonts w:hint="eastAsia" w:ascii="宋体" w:hAnsi="宋体" w:cs="宋体"/>
                <w:sz w:val="24"/>
              </w:rPr>
            </w:pPr>
            <w:r>
              <w:rPr>
                <w:rFonts w:hint="eastAsia" w:ascii="宋体" w:hAnsi="宋体" w:cs="宋体"/>
                <w:sz w:val="24"/>
              </w:rPr>
              <w:t>安全方案应包括但不限于：消防安全、巡逻值班值守安全、游览秩序安全、大型活动安全等4项内容，有1项得2分，方案内容齐全的得8分。</w:t>
            </w:r>
          </w:p>
        </w:tc>
      </w:tr>
      <w:tr w14:paraId="3C4126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trPr>
        <w:tc>
          <w:tcPr>
            <w:tcW w:w="1144" w:type="dxa"/>
            <w:vMerge w:val="continue"/>
            <w:noWrap w:val="0"/>
            <w:vAlign w:val="center"/>
          </w:tcPr>
          <w:p w14:paraId="6CA9262A">
            <w:pPr>
              <w:widowControl/>
              <w:snapToGrid w:val="0"/>
              <w:spacing w:line="360" w:lineRule="auto"/>
              <w:rPr>
                <w:rFonts w:hint="eastAsia" w:ascii="宋体" w:hAnsi="宋体" w:cs="宋体"/>
                <w:sz w:val="24"/>
              </w:rPr>
            </w:pPr>
          </w:p>
        </w:tc>
        <w:tc>
          <w:tcPr>
            <w:tcW w:w="1678" w:type="dxa"/>
            <w:noWrap w:val="0"/>
            <w:vAlign w:val="center"/>
          </w:tcPr>
          <w:p w14:paraId="429C87BB">
            <w:pPr>
              <w:widowControl/>
              <w:snapToGrid w:val="0"/>
              <w:spacing w:line="360" w:lineRule="auto"/>
              <w:jc w:val="center"/>
              <w:rPr>
                <w:rFonts w:hint="eastAsia" w:ascii="宋体" w:hAnsi="宋体" w:cs="宋体"/>
                <w:sz w:val="24"/>
              </w:rPr>
            </w:pPr>
            <w:r>
              <w:rPr>
                <w:rFonts w:hint="eastAsia" w:ascii="宋体" w:hAnsi="宋体" w:cs="宋体"/>
                <w:sz w:val="24"/>
              </w:rPr>
              <w:t>应急预案</w:t>
            </w:r>
          </w:p>
        </w:tc>
        <w:tc>
          <w:tcPr>
            <w:tcW w:w="744" w:type="dxa"/>
            <w:noWrap w:val="0"/>
            <w:vAlign w:val="center"/>
          </w:tcPr>
          <w:p w14:paraId="41028533">
            <w:pPr>
              <w:spacing w:line="360" w:lineRule="auto"/>
              <w:jc w:val="center"/>
              <w:rPr>
                <w:rFonts w:hint="eastAsia" w:ascii="宋体" w:hAnsi="宋体" w:cs="宋体"/>
                <w:sz w:val="24"/>
              </w:rPr>
            </w:pPr>
            <w:r>
              <w:rPr>
                <w:rFonts w:hint="eastAsia" w:ascii="宋体" w:hAnsi="宋体" w:cs="宋体"/>
                <w:sz w:val="24"/>
              </w:rPr>
              <w:t>8</w:t>
            </w:r>
          </w:p>
        </w:tc>
        <w:tc>
          <w:tcPr>
            <w:tcW w:w="6311" w:type="dxa"/>
            <w:noWrap w:val="0"/>
            <w:vAlign w:val="center"/>
          </w:tcPr>
          <w:p w14:paraId="04A94165">
            <w:pPr>
              <w:spacing w:line="360" w:lineRule="auto"/>
              <w:rPr>
                <w:rFonts w:hint="eastAsia" w:ascii="宋体" w:hAnsi="宋体" w:cs="宋体"/>
                <w:sz w:val="24"/>
              </w:rPr>
            </w:pPr>
            <w:r>
              <w:rPr>
                <w:rFonts w:hint="eastAsia" w:ascii="宋体" w:hAnsi="宋体" w:cs="宋体"/>
                <w:sz w:val="24"/>
              </w:rPr>
              <w:t>应急预案应包括但不限于：大型活动应急预案、节假日重点日应急预案、日常应急预案、保安员管理应急预案等4项内容，有1项得2分，方案内容齐全的得8分。</w:t>
            </w:r>
          </w:p>
        </w:tc>
      </w:tr>
      <w:tr w14:paraId="58F9EC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5" w:hRule="atLeast"/>
        </w:trPr>
        <w:tc>
          <w:tcPr>
            <w:tcW w:w="1144" w:type="dxa"/>
            <w:vMerge w:val="continue"/>
            <w:noWrap w:val="0"/>
            <w:vAlign w:val="center"/>
          </w:tcPr>
          <w:p w14:paraId="608BB274">
            <w:pPr>
              <w:widowControl/>
              <w:snapToGrid w:val="0"/>
              <w:spacing w:line="360" w:lineRule="auto"/>
              <w:rPr>
                <w:rFonts w:hint="eastAsia" w:ascii="宋体" w:hAnsi="宋体" w:cs="宋体"/>
                <w:sz w:val="24"/>
              </w:rPr>
            </w:pPr>
          </w:p>
        </w:tc>
        <w:tc>
          <w:tcPr>
            <w:tcW w:w="1678" w:type="dxa"/>
            <w:noWrap w:val="0"/>
            <w:vAlign w:val="center"/>
          </w:tcPr>
          <w:p w14:paraId="5AE04801">
            <w:pPr>
              <w:widowControl/>
              <w:snapToGrid w:val="0"/>
              <w:spacing w:line="360" w:lineRule="auto"/>
              <w:jc w:val="center"/>
              <w:rPr>
                <w:rFonts w:hint="eastAsia" w:ascii="宋体" w:hAnsi="宋体" w:cs="宋体"/>
                <w:sz w:val="24"/>
              </w:rPr>
            </w:pPr>
            <w:r>
              <w:rPr>
                <w:rFonts w:hint="eastAsia" w:ascii="宋体" w:hAnsi="宋体" w:cs="宋体"/>
                <w:sz w:val="24"/>
              </w:rPr>
              <w:t>服务承诺</w:t>
            </w:r>
          </w:p>
        </w:tc>
        <w:tc>
          <w:tcPr>
            <w:tcW w:w="744" w:type="dxa"/>
            <w:noWrap w:val="0"/>
            <w:vAlign w:val="center"/>
          </w:tcPr>
          <w:p w14:paraId="2E41B14E">
            <w:pPr>
              <w:spacing w:line="360" w:lineRule="auto"/>
              <w:jc w:val="center"/>
              <w:rPr>
                <w:rFonts w:hint="eastAsia" w:ascii="宋体" w:hAnsi="宋体" w:cs="宋体"/>
                <w:sz w:val="24"/>
              </w:rPr>
            </w:pPr>
            <w:r>
              <w:rPr>
                <w:rFonts w:hint="eastAsia" w:ascii="宋体" w:hAnsi="宋体" w:cs="宋体"/>
                <w:sz w:val="24"/>
              </w:rPr>
              <w:t>3</w:t>
            </w:r>
          </w:p>
        </w:tc>
        <w:tc>
          <w:tcPr>
            <w:tcW w:w="6311" w:type="dxa"/>
            <w:noWrap w:val="0"/>
            <w:vAlign w:val="center"/>
          </w:tcPr>
          <w:p w14:paraId="744B04E0">
            <w:pPr>
              <w:spacing w:line="360" w:lineRule="auto"/>
              <w:rPr>
                <w:rFonts w:hint="eastAsia" w:ascii="宋体" w:hAnsi="宋体" w:cs="宋体"/>
                <w:sz w:val="24"/>
              </w:rPr>
            </w:pPr>
            <w:r>
              <w:rPr>
                <w:rFonts w:hint="eastAsia" w:ascii="宋体" w:hAnsi="宋体" w:cs="宋体"/>
                <w:sz w:val="24"/>
              </w:rPr>
              <w:t>投标采购人的工作标准及考核要求等有关要求并涵盖本项目全部作业内容，包括但不限于考核标准、质量标准，作出承诺的得3分，否则不得分。</w:t>
            </w:r>
          </w:p>
        </w:tc>
      </w:tr>
      <w:tr w14:paraId="1FA0F4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0" w:hRule="atLeast"/>
        </w:trPr>
        <w:tc>
          <w:tcPr>
            <w:tcW w:w="3566" w:type="dxa"/>
            <w:gridSpan w:val="3"/>
            <w:noWrap w:val="0"/>
            <w:vAlign w:val="center"/>
          </w:tcPr>
          <w:p w14:paraId="00DC0BA6">
            <w:pPr>
              <w:widowControl/>
              <w:snapToGrid w:val="0"/>
              <w:spacing w:line="360" w:lineRule="auto"/>
              <w:jc w:val="center"/>
              <w:rPr>
                <w:rFonts w:hint="eastAsia" w:ascii="宋体" w:hAnsi="宋体" w:cs="宋体"/>
                <w:sz w:val="24"/>
              </w:rPr>
            </w:pPr>
            <w:r>
              <w:rPr>
                <w:rFonts w:hint="eastAsia" w:ascii="宋体" w:hAnsi="宋体" w:cs="宋体"/>
                <w:sz w:val="24"/>
              </w:rPr>
              <w:t>满分（100分）</w:t>
            </w:r>
          </w:p>
        </w:tc>
        <w:tc>
          <w:tcPr>
            <w:tcW w:w="6311" w:type="dxa"/>
            <w:noWrap w:val="0"/>
            <w:vAlign w:val="center"/>
          </w:tcPr>
          <w:p w14:paraId="59821EA2">
            <w:pPr>
              <w:spacing w:line="360" w:lineRule="auto"/>
              <w:rPr>
                <w:rFonts w:hint="eastAsia" w:ascii="宋体" w:hAnsi="宋体" w:cs="宋体"/>
                <w:sz w:val="24"/>
              </w:rPr>
            </w:pPr>
          </w:p>
        </w:tc>
      </w:tr>
    </w:tbl>
    <w:p w14:paraId="4840C22A">
      <w:pPr>
        <w:tabs>
          <w:tab w:val="left" w:pos="360"/>
          <w:tab w:val="left" w:pos="1080"/>
        </w:tabs>
        <w:snapToGrid w:val="0"/>
        <w:spacing w:line="360" w:lineRule="auto"/>
        <w:jc w:val="center"/>
        <w:outlineLvl w:val="0"/>
        <w:rPr>
          <w:b/>
          <w:bCs/>
          <w:sz w:val="36"/>
          <w:szCs w:val="36"/>
        </w:rPr>
      </w:pPr>
      <w:r>
        <w:rPr>
          <w:b/>
          <w:sz w:val="36"/>
          <w:szCs w:val="36"/>
        </w:rPr>
        <w:br w:type="page"/>
      </w:r>
      <w:bookmarkStart w:id="668" w:name="_Toc207110990"/>
      <w:r>
        <w:rPr>
          <w:rFonts w:hint="eastAsia"/>
          <w:b/>
          <w:bCs/>
          <w:sz w:val="36"/>
          <w:szCs w:val="36"/>
        </w:rPr>
        <w:t xml:space="preserve">第四章  </w:t>
      </w:r>
      <w:r>
        <w:rPr>
          <w:b/>
          <w:bCs/>
          <w:sz w:val="36"/>
          <w:szCs w:val="36"/>
        </w:rPr>
        <w:t>采购需求</w:t>
      </w:r>
      <w:bookmarkEnd w:id="668"/>
    </w:p>
    <w:p w14:paraId="262B3963">
      <w:pPr>
        <w:adjustRightInd w:val="0"/>
        <w:snapToGrid w:val="0"/>
        <w:spacing w:line="560" w:lineRule="exact"/>
        <w:rPr>
          <w:rFonts w:hint="eastAsia" w:ascii="宋体" w:hAnsi="宋体" w:cs="宋体"/>
          <w:b/>
          <w:bCs/>
          <w:color w:val="000000"/>
          <w:sz w:val="24"/>
        </w:rPr>
      </w:pPr>
      <w:r>
        <w:rPr>
          <w:rFonts w:hint="eastAsia" w:ascii="宋体" w:hAnsi="宋体" w:cs="宋体"/>
          <w:b/>
          <w:bCs/>
          <w:color w:val="000000"/>
          <w:sz w:val="24"/>
        </w:rPr>
        <w:t>一、采购需求</w:t>
      </w:r>
    </w:p>
    <w:p w14:paraId="60826FE8">
      <w:pPr>
        <w:adjustRightInd w:val="0"/>
        <w:snapToGrid w:val="0"/>
        <w:spacing w:line="560" w:lineRule="exact"/>
        <w:ind w:firstLine="480" w:firstLineChars="200"/>
        <w:rPr>
          <w:rFonts w:hint="eastAsia" w:ascii="宋体" w:hAnsi="宋体" w:cs="宋体"/>
          <w:color w:val="000000"/>
          <w:sz w:val="24"/>
        </w:rPr>
      </w:pPr>
      <w:r>
        <w:rPr>
          <w:rFonts w:hint="eastAsia" w:ascii="宋体" w:hAnsi="宋体" w:cs="宋体"/>
          <w:color w:val="000000"/>
          <w:sz w:val="24"/>
        </w:rPr>
        <w:t xml:space="preserve">招标方购买全年园区微型消防站建设服务，包含微型消防站队员及建设微型消防站必需的装备及库室建设，同时对确认的目标、区域提供森防服务，做好防火、防盗、防破坏工作以及完成招标方交代的其他任务，预防和制止侵害招标方安全的行为发生。 </w:t>
      </w:r>
    </w:p>
    <w:p w14:paraId="1F2F6A05">
      <w:pPr>
        <w:rPr>
          <w:rFonts w:hint="eastAsia" w:ascii="宋体" w:hAnsi="宋体" w:cs="宋体"/>
          <w:sz w:val="24"/>
        </w:rPr>
      </w:pPr>
    </w:p>
    <w:p w14:paraId="43FC4494">
      <w:pPr>
        <w:widowControl/>
        <w:spacing w:line="360" w:lineRule="auto"/>
        <w:rPr>
          <w:rFonts w:hint="eastAsia" w:ascii="宋体" w:hAnsi="宋体" w:cs="宋体"/>
          <w:b/>
          <w:sz w:val="24"/>
        </w:rPr>
      </w:pPr>
      <w:r>
        <w:rPr>
          <w:rFonts w:hint="eastAsia" w:ascii="宋体" w:hAnsi="宋体" w:cs="宋体"/>
          <w:b/>
          <w:sz w:val="24"/>
        </w:rPr>
        <w:t>二、商务要求</w:t>
      </w:r>
    </w:p>
    <w:p w14:paraId="345298D2">
      <w:pPr>
        <w:widowControl/>
        <w:spacing w:line="360" w:lineRule="auto"/>
        <w:ind w:firstLine="480" w:firstLineChars="200"/>
        <w:rPr>
          <w:rFonts w:hint="eastAsia" w:ascii="宋体" w:hAnsi="宋体" w:cs="宋体"/>
          <w:bCs/>
          <w:sz w:val="24"/>
        </w:rPr>
      </w:pPr>
      <w:r>
        <w:rPr>
          <w:rFonts w:hint="eastAsia" w:ascii="宋体" w:hAnsi="宋体" w:cs="宋体"/>
          <w:bCs/>
          <w:sz w:val="24"/>
        </w:rPr>
        <w:t>1.服务期限：11个月。2026年2月1日--2026年12月31日。</w:t>
      </w:r>
    </w:p>
    <w:p w14:paraId="16812A77">
      <w:pPr>
        <w:pStyle w:val="15"/>
        <w:spacing w:line="360" w:lineRule="auto"/>
        <w:ind w:left="0" w:leftChars="0" w:firstLine="480" w:firstLineChars="200"/>
        <w:rPr>
          <w:rFonts w:hint="eastAsia" w:ascii="宋体" w:hAnsi="宋体" w:cs="宋体"/>
          <w:bCs/>
          <w:sz w:val="24"/>
        </w:rPr>
      </w:pPr>
      <w:r>
        <w:rPr>
          <w:rFonts w:hint="eastAsia" w:ascii="宋体" w:hAnsi="宋体" w:cs="宋体"/>
          <w:bCs/>
          <w:sz w:val="24"/>
        </w:rPr>
        <w:t>2.服务地点：北京市</w:t>
      </w:r>
      <w:r>
        <w:rPr>
          <w:rFonts w:hint="eastAsia" w:ascii="宋体" w:hAnsi="宋体" w:cs="宋体"/>
          <w:sz w:val="24"/>
        </w:rPr>
        <w:t>永定河休闲森林公园</w:t>
      </w:r>
    </w:p>
    <w:p w14:paraId="2BB3516A">
      <w:pPr>
        <w:widowControl/>
        <w:kinsoku w:val="0"/>
        <w:autoSpaceDE w:val="0"/>
        <w:autoSpaceDN w:val="0"/>
        <w:adjustRightInd w:val="0"/>
        <w:snapToGrid w:val="0"/>
        <w:spacing w:line="360" w:lineRule="auto"/>
        <w:ind w:firstLine="480" w:firstLineChars="200"/>
        <w:textAlignment w:val="baseline"/>
        <w:rPr>
          <w:rFonts w:hint="eastAsia" w:ascii="宋体" w:hAnsi="宋体" w:cs="宋体"/>
          <w:spacing w:val="4"/>
          <w:sz w:val="24"/>
        </w:rPr>
      </w:pPr>
      <w:r>
        <w:rPr>
          <w:rFonts w:hint="eastAsia" w:ascii="宋体" w:hAnsi="宋体" w:cs="宋体"/>
          <w:bCs/>
          <w:sz w:val="24"/>
        </w:rPr>
        <w:t>3.付款方式：按季度支付。详见合同条款</w:t>
      </w:r>
      <w:r>
        <w:rPr>
          <w:rFonts w:hint="eastAsia" w:ascii="宋体" w:hAnsi="宋体" w:cs="宋体"/>
          <w:spacing w:val="4"/>
          <w:sz w:val="24"/>
        </w:rPr>
        <w:t>。</w:t>
      </w:r>
    </w:p>
    <w:p w14:paraId="6967B66D">
      <w:pPr>
        <w:widowControl/>
        <w:spacing w:line="360" w:lineRule="auto"/>
        <w:rPr>
          <w:rFonts w:hint="eastAsia" w:ascii="宋体" w:hAnsi="宋体" w:cs="宋体"/>
          <w:b/>
          <w:sz w:val="24"/>
        </w:rPr>
      </w:pPr>
    </w:p>
    <w:p w14:paraId="31CBC61C">
      <w:pPr>
        <w:widowControl/>
        <w:spacing w:line="360" w:lineRule="auto"/>
        <w:rPr>
          <w:rFonts w:hint="eastAsia" w:ascii="宋体" w:hAnsi="宋体" w:cs="宋体"/>
          <w:b/>
          <w:sz w:val="24"/>
        </w:rPr>
      </w:pPr>
      <w:r>
        <w:rPr>
          <w:rFonts w:hint="eastAsia" w:ascii="宋体" w:hAnsi="宋体" w:cs="宋体"/>
          <w:b/>
          <w:sz w:val="24"/>
        </w:rPr>
        <w:t>三、技术要求</w:t>
      </w:r>
    </w:p>
    <w:p w14:paraId="4A6D5125">
      <w:pPr>
        <w:adjustRightInd w:val="0"/>
        <w:snapToGrid w:val="0"/>
        <w:spacing w:line="560" w:lineRule="exact"/>
        <w:ind w:firstLine="480" w:firstLineChars="200"/>
        <w:rPr>
          <w:rFonts w:hint="eastAsia" w:ascii="宋体" w:hAnsi="宋体" w:cs="宋体"/>
          <w:color w:val="000000"/>
          <w:sz w:val="24"/>
        </w:rPr>
      </w:pPr>
      <w:r>
        <w:rPr>
          <w:rFonts w:hint="eastAsia" w:ascii="宋体" w:hAnsi="宋体" w:cs="宋体"/>
          <w:color w:val="000000"/>
          <w:sz w:val="24"/>
        </w:rPr>
        <w:t>1、中标方提供劳务派遣服务是为了满足招标方用工需求，将员工派遣至招标方单位接受管理，并按时支付被派遣员工的工资、福利、保险等。</w:t>
      </w:r>
    </w:p>
    <w:p w14:paraId="3A149382">
      <w:pPr>
        <w:adjustRightInd w:val="0"/>
        <w:snapToGrid w:val="0"/>
        <w:spacing w:line="560" w:lineRule="exact"/>
        <w:ind w:firstLine="480" w:firstLineChars="200"/>
        <w:rPr>
          <w:rFonts w:hint="eastAsia" w:ascii="宋体" w:hAnsi="宋体" w:cs="宋体"/>
          <w:color w:val="000000"/>
          <w:sz w:val="24"/>
        </w:rPr>
      </w:pPr>
      <w:r>
        <w:rPr>
          <w:rFonts w:hint="eastAsia" w:ascii="宋体" w:hAnsi="宋体" w:cs="宋体"/>
          <w:color w:val="000000"/>
          <w:sz w:val="24"/>
        </w:rPr>
        <w:t>2、微型消防站队员的具体执勤岗位、职责范围和勤务安排。</w:t>
      </w:r>
    </w:p>
    <w:p w14:paraId="20FF0944">
      <w:pPr>
        <w:adjustRightInd w:val="0"/>
        <w:snapToGrid w:val="0"/>
        <w:spacing w:line="560" w:lineRule="exact"/>
        <w:ind w:firstLine="480" w:firstLineChars="200"/>
        <w:rPr>
          <w:rFonts w:hint="eastAsia" w:ascii="宋体" w:hAnsi="宋体" w:cs="宋体"/>
          <w:color w:val="000000"/>
          <w:sz w:val="24"/>
        </w:rPr>
      </w:pPr>
      <w:r>
        <w:rPr>
          <w:rFonts w:hint="eastAsia" w:ascii="宋体" w:hAnsi="宋体" w:cs="宋体"/>
          <w:color w:val="000000"/>
          <w:sz w:val="24"/>
        </w:rPr>
        <w:t>2.1值班值守任务：值班值守任务期间，除就餐时间以外，可以进行室内训练、技能培训学习、协助门区工作等非娱乐类内容，可以请假但必须有队员替换，担负值班值守任务的队长或副队长，要保证通讯畅通，守听好电台，确保能够随时出动。</w:t>
      </w:r>
    </w:p>
    <w:p w14:paraId="76D5F45F">
      <w:pPr>
        <w:adjustRightInd w:val="0"/>
        <w:snapToGrid w:val="0"/>
        <w:spacing w:line="560" w:lineRule="exact"/>
        <w:ind w:firstLine="480" w:firstLineChars="200"/>
        <w:rPr>
          <w:rFonts w:ascii="宋体" w:hAnsi="宋体" w:cs="宋体"/>
          <w:color w:val="000000"/>
          <w:sz w:val="24"/>
        </w:rPr>
      </w:pPr>
      <w:r>
        <w:rPr>
          <w:rFonts w:hint="eastAsia" w:ascii="宋体" w:hAnsi="宋体" w:cs="宋体"/>
          <w:color w:val="000000"/>
          <w:sz w:val="24"/>
        </w:rPr>
        <w:t>2.2防火巡查任务：非担负值班值守任务的人员，由队长、副队长或指定一名负责队员，担负林区防火巡查任务，</w:t>
      </w:r>
      <w:r>
        <w:rPr>
          <w:rFonts w:hint="eastAsia" w:ascii="宋体" w:hAnsi="宋体" w:cs="宋体"/>
          <w:color w:val="000000"/>
          <w:sz w:val="24"/>
          <w:highlight w:val="yellow"/>
        </w:rPr>
        <w:t>分两组实施。巡查任务每组人数不少于两人。</w:t>
      </w:r>
      <w:r>
        <w:rPr>
          <w:rFonts w:hint="eastAsia" w:ascii="宋体" w:hAnsi="宋体" w:cs="宋体"/>
          <w:color w:val="000000"/>
          <w:sz w:val="24"/>
        </w:rPr>
        <w:t>在重点防火期、重大节假日、重大活动期间，路线将根据任务需要进行调整和变更，所需人员应具备24小时值班备防能力。</w:t>
      </w:r>
    </w:p>
    <w:p w14:paraId="6567D2CB">
      <w:pPr>
        <w:adjustRightInd w:val="0"/>
        <w:snapToGrid w:val="0"/>
        <w:spacing w:line="560" w:lineRule="exact"/>
        <w:ind w:firstLine="480" w:firstLineChars="200"/>
        <w:rPr>
          <w:rFonts w:hint="eastAsia" w:ascii="宋体" w:hAnsi="宋体" w:cs="宋体"/>
          <w:color w:val="000000"/>
          <w:sz w:val="24"/>
        </w:rPr>
      </w:pPr>
      <w:r>
        <w:rPr>
          <w:rFonts w:hint="eastAsia" w:ascii="宋体" w:hAnsi="宋体" w:cs="宋体"/>
          <w:color w:val="000000"/>
          <w:sz w:val="24"/>
        </w:rPr>
        <w:t>2.3宣传教育任务：微型消防站所有成员在日常巡查任务和工作训练期间，担负管理处职工、所有第三方人员、以及游客问询时的所有消防宣传教育任务，要求态度友好，认真负责。重点防火期、安全生产月、消防安全月等期间要配合管理处开展专项消防宣传教育活动，携带装备器材至现场耐心解答职工和游客问询，必要时展示装备操作使用，提高宣传教育效果。</w:t>
      </w:r>
    </w:p>
    <w:p w14:paraId="0586F4A9">
      <w:pPr>
        <w:adjustRightInd w:val="0"/>
        <w:snapToGrid w:val="0"/>
        <w:spacing w:line="560" w:lineRule="exact"/>
        <w:ind w:firstLine="480" w:firstLineChars="200"/>
        <w:rPr>
          <w:rFonts w:hint="eastAsia" w:ascii="宋体" w:hAnsi="宋体" w:cs="宋体"/>
          <w:color w:val="000000"/>
          <w:sz w:val="24"/>
        </w:rPr>
      </w:pPr>
      <w:r>
        <w:rPr>
          <w:rFonts w:hint="eastAsia" w:ascii="宋体" w:hAnsi="宋体" w:cs="宋体"/>
          <w:color w:val="000000"/>
          <w:sz w:val="24"/>
        </w:rPr>
        <w:t>2.4综合训练任务：微型消防站所有成员，必须保证入职前具备相应的岗位技能要求。担负站内值班备勤的成员，每日必须进行不少于1小时的专业技能训练和1小时的基础体能训练，以保证队伍综合战斗力能够胜任岗位需求。</w:t>
      </w:r>
    </w:p>
    <w:p w14:paraId="1B8A820B">
      <w:pPr>
        <w:adjustRightInd w:val="0"/>
        <w:snapToGrid w:val="0"/>
        <w:spacing w:line="560" w:lineRule="exact"/>
        <w:ind w:firstLine="480" w:firstLineChars="200"/>
        <w:rPr>
          <w:rFonts w:hint="eastAsia" w:ascii="宋体" w:hAnsi="宋体" w:cs="宋体"/>
          <w:color w:val="000000"/>
          <w:sz w:val="24"/>
        </w:rPr>
      </w:pPr>
      <w:r>
        <w:rPr>
          <w:rFonts w:hint="eastAsia" w:ascii="宋体" w:hAnsi="宋体" w:cs="宋体"/>
          <w:color w:val="000000"/>
          <w:sz w:val="24"/>
        </w:rPr>
        <w:t>2.5资料建设：按照《北京市微型消防站建设与管理规范DB11/T 2455—2025》建设资料，并配备一台专用资料建设计算机。</w:t>
      </w:r>
    </w:p>
    <w:p w14:paraId="75F8BA23">
      <w:pPr>
        <w:adjustRightInd w:val="0"/>
        <w:snapToGrid w:val="0"/>
        <w:spacing w:line="560" w:lineRule="exact"/>
        <w:rPr>
          <w:rFonts w:hint="eastAsia" w:ascii="宋体" w:hAnsi="宋体" w:cs="宋体"/>
          <w:color w:val="000000"/>
          <w:sz w:val="24"/>
        </w:rPr>
      </w:pPr>
    </w:p>
    <w:p w14:paraId="2BCEE08C">
      <w:pPr>
        <w:spacing w:line="440" w:lineRule="exact"/>
        <w:jc w:val="center"/>
        <w:rPr>
          <w:rFonts w:hint="eastAsia" w:ascii="宋体" w:hAnsi="宋体" w:cs="宋体"/>
          <w:color w:val="000000"/>
          <w:sz w:val="32"/>
          <w:szCs w:val="32"/>
        </w:rPr>
      </w:pPr>
    </w:p>
    <w:p w14:paraId="475FE596">
      <w:pPr>
        <w:pStyle w:val="2"/>
        <w:ind w:firstLine="640"/>
        <w:rPr>
          <w:rFonts w:hint="eastAsia" w:ascii="宋体" w:hAnsi="宋体" w:cs="宋体"/>
          <w:color w:val="000000"/>
          <w:sz w:val="32"/>
          <w:szCs w:val="32"/>
        </w:rPr>
      </w:pPr>
    </w:p>
    <w:p w14:paraId="7D50283A">
      <w:pPr>
        <w:rPr>
          <w:rFonts w:hint="eastAsia" w:ascii="宋体" w:hAnsi="宋体" w:cs="宋体"/>
          <w:color w:val="000000"/>
          <w:sz w:val="32"/>
          <w:szCs w:val="32"/>
        </w:rPr>
      </w:pPr>
    </w:p>
    <w:p w14:paraId="0043483F">
      <w:pPr>
        <w:pStyle w:val="2"/>
        <w:ind w:firstLine="640"/>
        <w:rPr>
          <w:rFonts w:hint="eastAsia" w:ascii="宋体" w:hAnsi="宋体" w:cs="宋体"/>
          <w:color w:val="000000"/>
          <w:sz w:val="32"/>
          <w:szCs w:val="32"/>
        </w:rPr>
      </w:pPr>
    </w:p>
    <w:p w14:paraId="743022E1">
      <w:pPr>
        <w:rPr>
          <w:rFonts w:hint="eastAsia" w:ascii="宋体" w:hAnsi="宋体" w:cs="宋体"/>
          <w:color w:val="000000"/>
          <w:sz w:val="32"/>
          <w:szCs w:val="32"/>
        </w:rPr>
      </w:pPr>
    </w:p>
    <w:p w14:paraId="62E5EC9C">
      <w:pPr>
        <w:pStyle w:val="2"/>
        <w:ind w:firstLine="640"/>
        <w:rPr>
          <w:rFonts w:hint="eastAsia" w:ascii="宋体" w:hAnsi="宋体" w:cs="宋体"/>
          <w:color w:val="000000"/>
          <w:sz w:val="32"/>
          <w:szCs w:val="32"/>
        </w:rPr>
      </w:pPr>
    </w:p>
    <w:p w14:paraId="140186D3">
      <w:pPr>
        <w:rPr>
          <w:rFonts w:hint="eastAsia" w:ascii="宋体" w:hAnsi="宋体" w:cs="宋体"/>
          <w:color w:val="000000"/>
          <w:sz w:val="32"/>
          <w:szCs w:val="32"/>
        </w:rPr>
      </w:pPr>
    </w:p>
    <w:p w14:paraId="62C67D14">
      <w:pPr>
        <w:pStyle w:val="2"/>
        <w:ind w:firstLine="640"/>
        <w:rPr>
          <w:rFonts w:hint="eastAsia" w:ascii="宋体" w:hAnsi="宋体" w:cs="宋体"/>
          <w:color w:val="000000"/>
          <w:sz w:val="32"/>
          <w:szCs w:val="32"/>
        </w:rPr>
      </w:pPr>
    </w:p>
    <w:p w14:paraId="31DEAC54">
      <w:pPr>
        <w:rPr>
          <w:rFonts w:hint="eastAsia" w:ascii="宋体" w:hAnsi="宋体" w:cs="宋体"/>
          <w:color w:val="000000"/>
          <w:sz w:val="32"/>
          <w:szCs w:val="32"/>
        </w:rPr>
      </w:pPr>
    </w:p>
    <w:p w14:paraId="70A006E6">
      <w:pPr>
        <w:pStyle w:val="2"/>
        <w:ind w:firstLine="640"/>
        <w:rPr>
          <w:rFonts w:hint="eastAsia" w:ascii="宋体" w:hAnsi="宋体" w:cs="宋体"/>
          <w:color w:val="000000"/>
          <w:sz w:val="32"/>
          <w:szCs w:val="32"/>
        </w:rPr>
      </w:pPr>
    </w:p>
    <w:p w14:paraId="4907EB70">
      <w:pPr>
        <w:rPr>
          <w:rFonts w:hint="eastAsia" w:ascii="宋体" w:hAnsi="宋体" w:cs="宋体"/>
          <w:color w:val="000000"/>
          <w:sz w:val="32"/>
          <w:szCs w:val="32"/>
        </w:rPr>
      </w:pPr>
    </w:p>
    <w:p w14:paraId="588203C6">
      <w:pPr>
        <w:pStyle w:val="2"/>
        <w:ind w:firstLine="640"/>
        <w:rPr>
          <w:rFonts w:hint="eastAsia" w:ascii="宋体" w:hAnsi="宋体" w:cs="宋体"/>
          <w:color w:val="000000"/>
          <w:sz w:val="32"/>
          <w:szCs w:val="32"/>
        </w:rPr>
      </w:pPr>
    </w:p>
    <w:p w14:paraId="2C8AAA19">
      <w:pPr>
        <w:rPr>
          <w:rFonts w:hint="eastAsia" w:ascii="宋体" w:hAnsi="宋体" w:cs="宋体"/>
          <w:color w:val="000000"/>
          <w:sz w:val="32"/>
          <w:szCs w:val="32"/>
        </w:rPr>
      </w:pPr>
    </w:p>
    <w:p w14:paraId="3A3D643C">
      <w:pPr>
        <w:pStyle w:val="2"/>
        <w:ind w:firstLine="640"/>
        <w:rPr>
          <w:rFonts w:hint="eastAsia" w:ascii="宋体" w:hAnsi="宋体" w:cs="宋体"/>
          <w:color w:val="000000"/>
          <w:sz w:val="32"/>
          <w:szCs w:val="32"/>
        </w:rPr>
      </w:pPr>
    </w:p>
    <w:p w14:paraId="070B24F6">
      <w:pPr>
        <w:rPr>
          <w:rFonts w:hint="eastAsia" w:ascii="宋体" w:hAnsi="宋体" w:cs="宋体"/>
          <w:color w:val="000000"/>
          <w:sz w:val="32"/>
          <w:szCs w:val="32"/>
        </w:rPr>
      </w:pPr>
    </w:p>
    <w:p w14:paraId="762B78BD">
      <w:pPr>
        <w:pStyle w:val="2"/>
        <w:ind w:firstLine="640"/>
        <w:rPr>
          <w:rFonts w:hint="eastAsia" w:ascii="宋体" w:hAnsi="宋体" w:cs="宋体"/>
          <w:color w:val="000000"/>
          <w:sz w:val="32"/>
          <w:szCs w:val="32"/>
        </w:rPr>
      </w:pPr>
    </w:p>
    <w:p w14:paraId="265A262D">
      <w:pPr>
        <w:rPr>
          <w:rFonts w:hint="eastAsia" w:ascii="宋体" w:hAnsi="宋体" w:cs="宋体"/>
          <w:color w:val="000000"/>
          <w:sz w:val="32"/>
          <w:szCs w:val="32"/>
        </w:rPr>
      </w:pPr>
    </w:p>
    <w:p w14:paraId="346F125B">
      <w:pPr>
        <w:pStyle w:val="2"/>
        <w:ind w:firstLine="640"/>
        <w:rPr>
          <w:rFonts w:hint="eastAsia" w:ascii="宋体" w:hAnsi="宋体" w:cs="宋体"/>
          <w:color w:val="000000"/>
          <w:sz w:val="32"/>
          <w:szCs w:val="32"/>
        </w:rPr>
      </w:pPr>
    </w:p>
    <w:p w14:paraId="29A21A7E">
      <w:pPr>
        <w:rPr>
          <w:rFonts w:hint="eastAsia" w:ascii="宋体" w:hAnsi="宋体" w:cs="宋体"/>
          <w:color w:val="000000"/>
          <w:sz w:val="32"/>
          <w:szCs w:val="32"/>
        </w:rPr>
      </w:pPr>
    </w:p>
    <w:p w14:paraId="17FA58EF">
      <w:pPr>
        <w:pStyle w:val="2"/>
        <w:ind w:firstLine="640"/>
        <w:rPr>
          <w:rFonts w:hint="eastAsia" w:ascii="宋体" w:hAnsi="宋体" w:cs="宋体"/>
          <w:color w:val="000000"/>
          <w:sz w:val="32"/>
          <w:szCs w:val="32"/>
        </w:rPr>
      </w:pPr>
    </w:p>
    <w:p w14:paraId="5A81BF44">
      <w:pPr>
        <w:rPr>
          <w:rFonts w:hint="eastAsia"/>
        </w:rPr>
      </w:pPr>
    </w:p>
    <w:p w14:paraId="42EB3C7E">
      <w:pPr>
        <w:spacing w:line="440" w:lineRule="exact"/>
        <w:jc w:val="center"/>
        <w:rPr>
          <w:rFonts w:hint="eastAsia" w:ascii="宋体" w:hAnsi="宋体" w:cs="宋体"/>
          <w:color w:val="000000"/>
          <w:sz w:val="32"/>
          <w:szCs w:val="32"/>
        </w:rPr>
      </w:pPr>
    </w:p>
    <w:p w14:paraId="3ED2CF30">
      <w:pPr>
        <w:spacing w:line="360" w:lineRule="auto"/>
        <w:jc w:val="center"/>
        <w:outlineLvl w:val="0"/>
        <w:rPr>
          <w:b/>
          <w:sz w:val="36"/>
          <w:szCs w:val="36"/>
        </w:rPr>
      </w:pPr>
      <w:bookmarkStart w:id="669" w:name="_Toc207110991"/>
      <w:r>
        <w:rPr>
          <w:b/>
          <w:sz w:val="36"/>
          <w:szCs w:val="36"/>
        </w:rPr>
        <w:t>第五章   合同草案条款</w:t>
      </w:r>
      <w:bookmarkEnd w:id="669"/>
    </w:p>
    <w:p w14:paraId="14E3F192">
      <w:pPr>
        <w:pStyle w:val="20"/>
        <w:spacing w:before="0" w:line="480" w:lineRule="auto"/>
        <w:jc w:val="center"/>
        <w:rPr>
          <w:rFonts w:hint="eastAsia" w:cs="宋体"/>
          <w:b/>
          <w:sz w:val="20"/>
        </w:rPr>
      </w:pPr>
    </w:p>
    <w:p w14:paraId="70FE242E">
      <w:pPr>
        <w:pStyle w:val="20"/>
        <w:spacing w:before="0" w:line="480" w:lineRule="auto"/>
        <w:jc w:val="center"/>
        <w:rPr>
          <w:rFonts w:hint="eastAsia" w:cs="宋体"/>
          <w:b/>
          <w:sz w:val="20"/>
        </w:rPr>
      </w:pPr>
    </w:p>
    <w:p w14:paraId="7E0F0A87">
      <w:pPr>
        <w:pStyle w:val="20"/>
        <w:spacing w:before="0" w:line="480" w:lineRule="auto"/>
        <w:jc w:val="center"/>
        <w:rPr>
          <w:rFonts w:hint="eastAsia" w:cs="宋体"/>
          <w:b/>
        </w:rPr>
      </w:pPr>
    </w:p>
    <w:p w14:paraId="7077EAFA">
      <w:pPr>
        <w:pStyle w:val="2"/>
        <w:spacing w:line="480" w:lineRule="auto"/>
        <w:ind w:firstLine="0" w:firstLineChars="0"/>
        <w:jc w:val="center"/>
        <w:rPr>
          <w:rFonts w:hint="eastAsia" w:ascii="宋体" w:hAnsi="宋体"/>
          <w:sz w:val="32"/>
          <w:szCs w:val="32"/>
        </w:rPr>
      </w:pPr>
      <w:r>
        <w:rPr>
          <w:rFonts w:hint="eastAsia" w:ascii="宋体" w:hAnsi="宋体" w:cs="宋体"/>
          <w:bCs/>
          <w:sz w:val="56"/>
          <w:szCs w:val="56"/>
        </w:rPr>
        <w:t xml:space="preserve"> </w:t>
      </w:r>
    </w:p>
    <w:p w14:paraId="14CB80C0">
      <w:pPr>
        <w:spacing w:line="560" w:lineRule="exact"/>
        <w:jc w:val="center"/>
        <w:rPr>
          <w:rFonts w:ascii="黑体" w:hAnsi="黑体" w:eastAsia="黑体"/>
          <w:sz w:val="48"/>
          <w:szCs w:val="48"/>
          <w:highlight w:val="yellow"/>
        </w:rPr>
      </w:pPr>
      <w:bookmarkStart w:id="670" w:name="_Toc207110993"/>
      <w:r>
        <w:rPr>
          <w:rFonts w:hint="eastAsia" w:ascii="宋体" w:hAnsi="宋体"/>
          <w:sz w:val="32"/>
          <w:szCs w:val="32"/>
        </w:rPr>
        <w:t xml:space="preserve"> </w:t>
      </w:r>
      <w:r>
        <w:rPr>
          <w:rFonts w:hint="eastAsia" w:ascii="黑体" w:hAnsi="黑体" w:eastAsia="黑体"/>
          <w:sz w:val="48"/>
          <w:szCs w:val="48"/>
          <w:highlight w:val="yellow"/>
        </w:rPr>
        <w:t>永定河休闲森林公园运行维护项目</w:t>
      </w:r>
    </w:p>
    <w:p w14:paraId="35A51C89">
      <w:pPr>
        <w:shd w:val="solid" w:color="FFFFFF" w:fill="auto"/>
        <w:autoSpaceDN w:val="0"/>
        <w:spacing w:line="560" w:lineRule="exact"/>
        <w:jc w:val="center"/>
        <w:rPr>
          <w:rFonts w:hint="eastAsia" w:ascii="黑体" w:hAnsi="黑体" w:eastAsia="黑体" w:cs="宋体"/>
          <w:sz w:val="48"/>
          <w:szCs w:val="48"/>
          <w:shd w:val="clear" w:color="auto" w:fill="FFFFFF"/>
        </w:rPr>
      </w:pPr>
      <w:r>
        <w:rPr>
          <w:rFonts w:hint="eastAsia" w:ascii="黑体" w:hAnsi="黑体" w:eastAsia="黑体"/>
          <w:sz w:val="48"/>
          <w:szCs w:val="48"/>
          <w:highlight w:val="yellow"/>
        </w:rPr>
        <w:t>—园区微型消防站服务采购合同</w:t>
      </w:r>
    </w:p>
    <w:p w14:paraId="27E90F73">
      <w:pPr>
        <w:spacing w:line="560" w:lineRule="exact"/>
        <w:jc w:val="right"/>
        <w:rPr>
          <w:rFonts w:hint="eastAsia" w:ascii="宋体" w:hAnsi="宋体"/>
          <w:sz w:val="32"/>
          <w:szCs w:val="32"/>
          <w:u w:val="single"/>
        </w:rPr>
      </w:pPr>
    </w:p>
    <w:p w14:paraId="7001CB05">
      <w:pPr>
        <w:spacing w:line="560" w:lineRule="exact"/>
        <w:jc w:val="right"/>
        <w:rPr>
          <w:rFonts w:hint="eastAsia" w:ascii="宋体" w:hAnsi="宋体"/>
          <w:sz w:val="32"/>
          <w:szCs w:val="32"/>
          <w:u w:val="single"/>
        </w:rPr>
      </w:pPr>
    </w:p>
    <w:p w14:paraId="2184050B">
      <w:pPr>
        <w:spacing w:line="560" w:lineRule="exact"/>
        <w:ind w:right="1280"/>
        <w:rPr>
          <w:rFonts w:hint="eastAsia" w:ascii="宋体" w:hAnsi="宋体"/>
          <w:sz w:val="32"/>
          <w:szCs w:val="32"/>
          <w:u w:val="single"/>
        </w:rPr>
      </w:pPr>
    </w:p>
    <w:p w14:paraId="01854605">
      <w:pPr>
        <w:spacing w:line="560" w:lineRule="exact"/>
        <w:jc w:val="center"/>
        <w:rPr>
          <w:rFonts w:hint="eastAsia" w:ascii="宋体" w:hAnsi="宋体"/>
          <w:b/>
          <w:sz w:val="52"/>
          <w:szCs w:val="52"/>
        </w:rPr>
      </w:pPr>
    </w:p>
    <w:p w14:paraId="6B580687">
      <w:pPr>
        <w:pStyle w:val="30"/>
        <w:spacing w:line="560" w:lineRule="exact"/>
        <w:rPr>
          <w:rFonts w:hint="eastAsia" w:hAnsi="宋体"/>
          <w:b/>
          <w:sz w:val="52"/>
          <w:szCs w:val="52"/>
        </w:rPr>
      </w:pPr>
    </w:p>
    <w:p w14:paraId="3156B7C6">
      <w:pPr>
        <w:spacing w:line="560" w:lineRule="exact"/>
        <w:jc w:val="center"/>
        <w:rPr>
          <w:rFonts w:hint="eastAsia" w:ascii="宋体" w:hAnsi="宋体"/>
          <w:b/>
          <w:sz w:val="52"/>
          <w:szCs w:val="52"/>
        </w:rPr>
      </w:pPr>
    </w:p>
    <w:p w14:paraId="766FCB01">
      <w:pPr>
        <w:spacing w:line="560" w:lineRule="exact"/>
        <w:ind w:firstLine="640" w:firstLineChars="200"/>
        <w:rPr>
          <w:rFonts w:ascii="方正仿宋_GBK" w:hAnsi="方正仿宋_GBK" w:eastAsia="方正仿宋_GBK"/>
          <w:b/>
          <w:sz w:val="32"/>
          <w:szCs w:val="32"/>
          <w:u w:val="single"/>
        </w:rPr>
      </w:pPr>
      <w:r>
        <w:rPr>
          <w:rFonts w:ascii="方正仿宋_GBK" w:hAnsi="方正仿宋_GBK" w:eastAsia="方正仿宋_GBK"/>
          <w:b/>
          <w:sz w:val="32"/>
          <w:szCs w:val="32"/>
        </w:rPr>
        <w:t>甲方：</w:t>
      </w:r>
      <w:r>
        <w:rPr>
          <w:rFonts w:ascii="方正仿宋_GBK" w:hAnsi="方正仿宋_GBK" w:eastAsia="方正仿宋_GBK"/>
          <w:b/>
          <w:sz w:val="32"/>
          <w:szCs w:val="32"/>
          <w:u w:val="single"/>
        </w:rPr>
        <w:t>北京市永定河休闲森林公园管理处</w:t>
      </w:r>
    </w:p>
    <w:p w14:paraId="5CE5D3B2">
      <w:pPr>
        <w:spacing w:line="560" w:lineRule="exact"/>
        <w:rPr>
          <w:rFonts w:ascii="方正仿宋_GBK" w:hAnsi="方正仿宋_GBK" w:eastAsia="方正仿宋_GBK"/>
          <w:b/>
          <w:sz w:val="32"/>
          <w:szCs w:val="32"/>
          <w:u w:val="single"/>
        </w:rPr>
      </w:pPr>
    </w:p>
    <w:p w14:paraId="1C6FDE8F">
      <w:pPr>
        <w:spacing w:line="560" w:lineRule="exact"/>
        <w:rPr>
          <w:rFonts w:hint="eastAsia" w:ascii="方正仿宋_GBK" w:hAnsi="方正仿宋_GBK" w:eastAsia="方正仿宋_GBK"/>
          <w:b/>
          <w:sz w:val="32"/>
          <w:szCs w:val="32"/>
          <w:u w:val="single"/>
        </w:rPr>
      </w:pPr>
    </w:p>
    <w:p w14:paraId="1374462C">
      <w:pPr>
        <w:spacing w:line="560" w:lineRule="exact"/>
        <w:rPr>
          <w:rFonts w:hint="eastAsia" w:ascii="方正仿宋_GBK" w:hAnsi="方正仿宋_GBK" w:eastAsia="方正仿宋_GBK"/>
          <w:b/>
          <w:sz w:val="32"/>
          <w:szCs w:val="32"/>
          <w:u w:val="single"/>
        </w:rPr>
      </w:pPr>
    </w:p>
    <w:p w14:paraId="73674B6D">
      <w:pPr>
        <w:spacing w:line="560" w:lineRule="exact"/>
        <w:ind w:firstLine="640" w:firstLineChars="200"/>
        <w:rPr>
          <w:rFonts w:hint="eastAsia" w:ascii="方正仿宋_GBK" w:hAnsi="方正仿宋_GBK" w:eastAsia="方正仿宋_GBK"/>
          <w:b/>
          <w:sz w:val="32"/>
          <w:szCs w:val="32"/>
          <w:u w:val="single"/>
        </w:rPr>
      </w:pPr>
      <w:r>
        <w:rPr>
          <w:rFonts w:ascii="方正仿宋_GBK" w:hAnsi="方正仿宋_GBK" w:eastAsia="方正仿宋_GBK"/>
          <w:b/>
          <w:sz w:val="32"/>
          <w:szCs w:val="32"/>
        </w:rPr>
        <w:t>乙方：</w:t>
      </w:r>
      <w:r>
        <w:rPr>
          <w:rFonts w:ascii="方正仿宋_GBK" w:hAnsi="方正仿宋_GBK" w:eastAsia="方正仿宋_GBK"/>
          <w:b/>
          <w:sz w:val="32"/>
          <w:szCs w:val="32"/>
          <w:u w:val="single"/>
        </w:rPr>
        <w:t xml:space="preserve">                              </w:t>
      </w:r>
    </w:p>
    <w:p w14:paraId="15B1EB5E">
      <w:pPr>
        <w:spacing w:line="560" w:lineRule="exact"/>
        <w:jc w:val="center"/>
        <w:rPr>
          <w:rFonts w:hint="eastAsia" w:ascii="方正仿宋_GBK" w:hAnsi="方正仿宋_GBK" w:eastAsia="方正仿宋_GBK"/>
          <w:b/>
          <w:sz w:val="32"/>
          <w:szCs w:val="32"/>
          <w:u w:val="single"/>
        </w:rPr>
      </w:pPr>
    </w:p>
    <w:p w14:paraId="1CACD045">
      <w:pPr>
        <w:spacing w:line="560" w:lineRule="exact"/>
        <w:jc w:val="center"/>
        <w:rPr>
          <w:rFonts w:hint="eastAsia" w:ascii="方正仿宋_GBK" w:hAnsi="方正仿宋_GBK" w:eastAsia="方正仿宋_GBK"/>
          <w:b/>
          <w:sz w:val="32"/>
          <w:szCs w:val="32"/>
          <w:u w:val="single"/>
        </w:rPr>
      </w:pPr>
    </w:p>
    <w:p w14:paraId="51B3CC90">
      <w:pPr>
        <w:spacing w:line="560" w:lineRule="exact"/>
        <w:jc w:val="center"/>
        <w:rPr>
          <w:rFonts w:hint="eastAsia" w:ascii="方正仿宋_GBK" w:hAnsi="方正仿宋_GBK" w:eastAsia="方正仿宋_GBK"/>
          <w:b/>
          <w:sz w:val="32"/>
          <w:szCs w:val="32"/>
          <w:u w:val="single"/>
        </w:rPr>
      </w:pPr>
    </w:p>
    <w:p w14:paraId="143F8E65">
      <w:pPr>
        <w:spacing w:line="560" w:lineRule="exact"/>
        <w:jc w:val="center"/>
        <w:rPr>
          <w:rFonts w:hint="eastAsia" w:ascii="方正仿宋_GBK" w:hAnsi="方正仿宋_GBK" w:eastAsia="方正仿宋_GBK"/>
          <w:b/>
          <w:sz w:val="32"/>
          <w:szCs w:val="32"/>
          <w:u w:val="single"/>
        </w:rPr>
      </w:pPr>
    </w:p>
    <w:p w14:paraId="2B661D9C">
      <w:pPr>
        <w:spacing w:line="560" w:lineRule="exact"/>
        <w:ind w:firstLine="1285"/>
        <w:jc w:val="center"/>
        <w:rPr>
          <w:rFonts w:hint="eastAsia" w:ascii="方正仿宋_GBK" w:hAnsi="方正仿宋_GBK" w:eastAsia="方正仿宋_GBK"/>
          <w:b/>
          <w:sz w:val="32"/>
          <w:szCs w:val="32"/>
        </w:rPr>
      </w:pPr>
      <w:r>
        <w:rPr>
          <w:rFonts w:ascii="方正仿宋_GBK" w:hAnsi="方正仿宋_GBK" w:eastAsia="方正仿宋_GBK"/>
          <w:b/>
          <w:sz w:val="32"/>
          <w:szCs w:val="32"/>
        </w:rPr>
        <w:t>日期：</w:t>
      </w:r>
      <w:r>
        <w:rPr>
          <w:rFonts w:ascii="方正仿宋_GBK" w:hAnsi="方正仿宋_GBK" w:eastAsia="方正仿宋_GBK"/>
          <w:b/>
          <w:sz w:val="32"/>
          <w:szCs w:val="32"/>
          <w:u w:val="single"/>
        </w:rPr>
        <w:t xml:space="preserve">   </w:t>
      </w:r>
      <w:r>
        <w:rPr>
          <w:rFonts w:hint="eastAsia" w:ascii="方正仿宋_GBK" w:hAnsi="方正仿宋_GBK" w:eastAsia="方正仿宋_GBK"/>
          <w:b/>
          <w:sz w:val="32"/>
          <w:szCs w:val="32"/>
          <w:u w:val="single"/>
        </w:rPr>
        <w:t xml:space="preserve">  </w:t>
      </w:r>
      <w:r>
        <w:rPr>
          <w:rFonts w:ascii="方正仿宋_GBK" w:hAnsi="方正仿宋_GBK" w:eastAsia="方正仿宋_GBK"/>
          <w:b/>
          <w:sz w:val="32"/>
          <w:szCs w:val="32"/>
          <w:u w:val="single"/>
        </w:rPr>
        <w:t xml:space="preserve">  </w:t>
      </w:r>
      <w:r>
        <w:rPr>
          <w:rFonts w:ascii="方正仿宋_GBK" w:hAnsi="方正仿宋_GBK" w:eastAsia="方正仿宋_GBK"/>
          <w:b/>
          <w:sz w:val="32"/>
          <w:szCs w:val="32"/>
        </w:rPr>
        <w:t>年</w:t>
      </w:r>
      <w:r>
        <w:rPr>
          <w:rFonts w:ascii="方正仿宋_GBK" w:hAnsi="方正仿宋_GBK" w:eastAsia="方正仿宋_GBK"/>
          <w:b/>
          <w:sz w:val="32"/>
          <w:szCs w:val="32"/>
          <w:u w:val="single"/>
        </w:rPr>
        <w:t xml:space="preserve">    </w:t>
      </w:r>
      <w:r>
        <w:rPr>
          <w:rFonts w:ascii="方正仿宋_GBK" w:hAnsi="方正仿宋_GBK" w:eastAsia="方正仿宋_GBK"/>
          <w:b/>
          <w:sz w:val="32"/>
          <w:szCs w:val="32"/>
        </w:rPr>
        <w:t xml:space="preserve">月 </w:t>
      </w:r>
      <w:r>
        <w:rPr>
          <w:rFonts w:ascii="方正仿宋_GBK" w:hAnsi="方正仿宋_GBK" w:eastAsia="方正仿宋_GBK"/>
          <w:b/>
          <w:sz w:val="32"/>
          <w:szCs w:val="32"/>
          <w:u w:val="single"/>
        </w:rPr>
        <w:t xml:space="preserve">    </w:t>
      </w:r>
      <w:r>
        <w:rPr>
          <w:rFonts w:ascii="方正仿宋_GBK" w:hAnsi="方正仿宋_GBK" w:eastAsia="方正仿宋_GBK"/>
          <w:b/>
          <w:sz w:val="32"/>
          <w:szCs w:val="32"/>
        </w:rPr>
        <w:t>日</w:t>
      </w:r>
    </w:p>
    <w:p w14:paraId="43A8DB2A">
      <w:pPr>
        <w:spacing w:line="560" w:lineRule="exact"/>
        <w:ind w:firstLine="435"/>
        <w:rPr>
          <w:rFonts w:hint="eastAsia" w:ascii="仿宋_GB2312" w:hAnsi="宋体" w:eastAsia="仿宋_GB2312" w:cs="宋体"/>
          <w:sz w:val="32"/>
          <w:szCs w:val="32"/>
        </w:rPr>
      </w:pPr>
      <w:r>
        <w:br w:type="page"/>
      </w:r>
      <w:bookmarkStart w:id="671" w:name="_Toc60763916"/>
      <w:bookmarkEnd w:id="671"/>
      <w:r>
        <w:rPr>
          <w:rFonts w:hint="eastAsia" w:ascii="仿宋_GB2312" w:hAnsi="宋体" w:eastAsia="仿宋_GB2312" w:cs="宋体"/>
          <w:sz w:val="32"/>
          <w:szCs w:val="32"/>
        </w:rPr>
        <w:t>根据《中华人民共和国民法典》、《中华人民共和国劳动法》、《中华人民共和国劳动合同法》、《保安服务管理条例》和国家有关法律法规，甲乙双方经平等协商，自愿签订本合同。</w:t>
      </w:r>
    </w:p>
    <w:p w14:paraId="46A85706">
      <w:pPr>
        <w:spacing w:line="560" w:lineRule="exact"/>
        <w:ind w:left="-180" w:firstLine="800" w:firstLineChars="250"/>
        <w:rPr>
          <w:rFonts w:hint="eastAsia" w:ascii="黑体" w:hAnsi="黑体" w:eastAsia="黑体" w:cs="宋体"/>
          <w:bCs/>
          <w:sz w:val="32"/>
          <w:szCs w:val="32"/>
        </w:rPr>
      </w:pPr>
      <w:r>
        <w:rPr>
          <w:rFonts w:hint="eastAsia" w:ascii="黑体" w:hAnsi="黑体" w:eastAsia="黑体" w:cs="宋体"/>
          <w:bCs/>
          <w:sz w:val="32"/>
          <w:szCs w:val="32"/>
        </w:rPr>
        <w:t>一、服务内容</w:t>
      </w:r>
    </w:p>
    <w:p w14:paraId="7D7CDC35">
      <w:pPr>
        <w:tabs>
          <w:tab w:val="left" w:pos="1800"/>
        </w:tabs>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1、甲方购买全年园区微型消防站建设服务，包含乙方微型消防站队员及建设微型消防站必需的装备及库室建设，同时对双方确认的目标、区域提供森防服务，做好防火、防盗、防破坏工作以及完成甲方交代的其他任务，预防和制止侵害甲方安全的行为发生。</w:t>
      </w:r>
    </w:p>
    <w:p w14:paraId="6072F193">
      <w:pPr>
        <w:tabs>
          <w:tab w:val="left" w:pos="1800"/>
        </w:tabs>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2、乙方应为甲方派遣身高1.75米以上，</w:t>
      </w:r>
      <w:r>
        <w:rPr>
          <w:rFonts w:hint="eastAsia" w:ascii="仿宋_GB2312" w:hAnsi="宋体" w:eastAsia="仿宋_GB2312" w:cs="宋体"/>
          <w:sz w:val="32"/>
          <w:szCs w:val="32"/>
          <w:u w:val="single"/>
        </w:rPr>
        <w:t>年龄18周岁-35周岁</w:t>
      </w:r>
      <w:r>
        <w:rPr>
          <w:rFonts w:hint="eastAsia" w:ascii="仿宋_GB2312" w:hAnsi="宋体" w:eastAsia="仿宋_GB2312" w:cs="宋体"/>
          <w:sz w:val="32"/>
          <w:szCs w:val="32"/>
        </w:rPr>
        <w:t>，有消防工作经历（退伍军人）的可放宽至40周岁；身体健康，无违法犯罪前科的微消队员。乙方确保与被派遣的微消人员存在劳动关系，均是乙方员工。</w:t>
      </w:r>
    </w:p>
    <w:p w14:paraId="49BDB6D5">
      <w:pPr>
        <w:tabs>
          <w:tab w:val="left" w:pos="1800"/>
        </w:tabs>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3、乙方提供劳务派遣服务是为了满足甲方用工需求，将员工派遣至甲方单位接受管理，并按时支付被派遣员工的工资、福利、保险等。</w:t>
      </w:r>
    </w:p>
    <w:p w14:paraId="2493CF3D">
      <w:pPr>
        <w:ind w:firstLine="614" w:firstLineChars="192"/>
        <w:rPr>
          <w:rFonts w:hint="eastAsia" w:ascii="仿宋_GB2312" w:hAnsi="宋体" w:eastAsia="仿宋_GB2312" w:cs="宋体"/>
          <w:sz w:val="32"/>
          <w:szCs w:val="32"/>
        </w:rPr>
      </w:pPr>
      <w:r>
        <w:rPr>
          <w:rFonts w:hint="eastAsia" w:ascii="仿宋_GB2312" w:hAnsi="宋体" w:eastAsia="仿宋_GB2312" w:cs="宋体"/>
          <w:sz w:val="32"/>
          <w:szCs w:val="32"/>
        </w:rPr>
        <w:t>4、乙方微型消防站队员的具体执勤岗位、职责范围和勤务安排。</w:t>
      </w:r>
    </w:p>
    <w:p w14:paraId="1DEF3074">
      <w:pPr>
        <w:widowControl/>
        <w:kinsoku w:val="0"/>
        <w:autoSpaceDE w:val="0"/>
        <w:autoSpaceDN w:val="0"/>
        <w:adjustRightInd w:val="0"/>
        <w:snapToGrid w:val="0"/>
        <w:spacing w:line="360" w:lineRule="auto"/>
        <w:ind w:firstLine="614" w:firstLineChars="192"/>
        <w:textAlignment w:val="baseline"/>
        <w:rPr>
          <w:rFonts w:hint="eastAsia" w:ascii="仿宋_GB2312" w:hAnsi="宋体" w:eastAsia="仿宋_GB2312" w:cs="宋体"/>
          <w:sz w:val="32"/>
          <w:szCs w:val="32"/>
        </w:rPr>
      </w:pPr>
      <w:r>
        <w:rPr>
          <w:rFonts w:hint="eastAsia" w:ascii="仿宋_GB2312" w:hAnsi="宋体" w:eastAsia="仿宋_GB2312" w:cs="宋体"/>
          <w:sz w:val="32"/>
          <w:szCs w:val="32"/>
        </w:rPr>
        <w:t>4.1值班值守任务：值班值守任务期间，除就餐时间以外，可以进行室内训练、技能培训学习、协助门区工作等非娱乐类内容，可以请假但必须有队员替换，担负值班值守任务的队长或副队长，要保证通讯畅通，守听好电台，确保能够随时出动。</w:t>
      </w:r>
    </w:p>
    <w:p w14:paraId="4F54F827">
      <w:pPr>
        <w:widowControl/>
        <w:kinsoku w:val="0"/>
        <w:autoSpaceDE w:val="0"/>
        <w:autoSpaceDN w:val="0"/>
        <w:adjustRightInd w:val="0"/>
        <w:snapToGrid w:val="0"/>
        <w:spacing w:line="360" w:lineRule="auto"/>
        <w:ind w:firstLine="614" w:firstLineChars="192"/>
        <w:textAlignment w:val="baseline"/>
        <w:rPr>
          <w:rFonts w:hint="eastAsia" w:ascii="仿宋_GB2312" w:hAnsi="宋体" w:eastAsia="仿宋_GB2312" w:cs="宋体"/>
          <w:sz w:val="32"/>
          <w:szCs w:val="32"/>
        </w:rPr>
      </w:pPr>
      <w:r>
        <w:rPr>
          <w:rFonts w:hint="eastAsia" w:ascii="仿宋_GB2312" w:hAnsi="宋体" w:eastAsia="仿宋_GB2312" w:cs="宋体"/>
          <w:sz w:val="32"/>
          <w:szCs w:val="32"/>
        </w:rPr>
        <w:t>4.2防火巡查任务：非担负值班值守任务的人员，由队长、副队长或指定一名负责队员，担负林区防火巡查任务，分两组实施。巡查任务每组人数不少于两人。在重点防火期、重大节假日、重大活动期间，路线将根据任务需要进行调整和变更。</w:t>
      </w:r>
    </w:p>
    <w:p w14:paraId="16CF63B0">
      <w:pPr>
        <w:widowControl/>
        <w:kinsoku w:val="0"/>
        <w:autoSpaceDE w:val="0"/>
        <w:autoSpaceDN w:val="0"/>
        <w:adjustRightInd w:val="0"/>
        <w:snapToGrid w:val="0"/>
        <w:spacing w:line="312" w:lineRule="auto"/>
        <w:ind w:firstLine="614" w:firstLineChars="192"/>
        <w:textAlignment w:val="baseline"/>
        <w:rPr>
          <w:rFonts w:hint="eastAsia" w:ascii="仿宋_GB2312" w:hAnsi="宋体" w:eastAsia="仿宋_GB2312" w:cs="宋体"/>
          <w:sz w:val="32"/>
          <w:szCs w:val="32"/>
        </w:rPr>
      </w:pPr>
      <w:r>
        <w:rPr>
          <w:rFonts w:hint="eastAsia" w:ascii="仿宋_GB2312" w:hAnsi="宋体" w:eastAsia="仿宋_GB2312" w:cs="宋体"/>
          <w:sz w:val="32"/>
          <w:szCs w:val="32"/>
        </w:rPr>
        <w:t>4.3宣传教育任务：微型消防站所有成员在日常巡查任务和工作训练期间，担负管理处职工、所有第三方人员、以及游客问询时的所有消防宣传教育任务，要求态度友好，认真负责。重点防火期、安全生产月、消防安全月等期间要配合管理处开展专项消防宣传教育活动，携带装备器材至现场耐心解答职工和游客问询，必要时展示装备操作使用，提高宣传教育效果。</w:t>
      </w:r>
    </w:p>
    <w:p w14:paraId="2C24D418">
      <w:pPr>
        <w:widowControl/>
        <w:kinsoku w:val="0"/>
        <w:autoSpaceDE w:val="0"/>
        <w:autoSpaceDN w:val="0"/>
        <w:adjustRightInd w:val="0"/>
        <w:snapToGrid w:val="0"/>
        <w:spacing w:line="312" w:lineRule="auto"/>
        <w:ind w:firstLine="614" w:firstLineChars="192"/>
        <w:textAlignment w:val="baseline"/>
        <w:rPr>
          <w:rFonts w:hint="eastAsia" w:ascii="仿宋_GB2312" w:hAnsi="宋体" w:eastAsia="仿宋_GB2312" w:cs="宋体"/>
          <w:sz w:val="32"/>
          <w:szCs w:val="32"/>
        </w:rPr>
      </w:pPr>
      <w:r>
        <w:rPr>
          <w:rFonts w:hint="eastAsia" w:ascii="仿宋_GB2312" w:hAnsi="宋体" w:eastAsia="仿宋_GB2312" w:cs="宋体"/>
          <w:sz w:val="32"/>
          <w:szCs w:val="32"/>
        </w:rPr>
        <w:t>4.4综合训练任务：微型消防站所有成员，必须保证入职前具备相应的岗位技能要求。担负站内值班备勤的成员，每日必须进行不少于1小时的专业技能训练和1小时的基础体能训练，以保证队伍综合战斗力能够胜任岗位需求。</w:t>
      </w:r>
    </w:p>
    <w:p w14:paraId="2C6FA534">
      <w:pPr>
        <w:widowControl/>
        <w:kinsoku w:val="0"/>
        <w:autoSpaceDE w:val="0"/>
        <w:autoSpaceDN w:val="0"/>
        <w:adjustRightInd w:val="0"/>
        <w:snapToGrid w:val="0"/>
        <w:spacing w:line="312" w:lineRule="auto"/>
        <w:ind w:firstLine="614" w:firstLineChars="192"/>
        <w:textAlignment w:val="baseline"/>
        <w:rPr>
          <w:rFonts w:ascii="仿宋_GB2312" w:hAnsi="宋体" w:eastAsia="仿宋_GB2312" w:cs="宋体"/>
          <w:sz w:val="32"/>
          <w:szCs w:val="32"/>
        </w:rPr>
      </w:pPr>
      <w:r>
        <w:rPr>
          <w:rFonts w:hint="eastAsia" w:ascii="仿宋_GB2312" w:hAnsi="宋体" w:eastAsia="仿宋_GB2312" w:cs="宋体"/>
          <w:sz w:val="32"/>
          <w:szCs w:val="32"/>
        </w:rPr>
        <w:t>4.5资料建设：按照《北京市</w:t>
      </w:r>
      <w:r>
        <w:rPr>
          <w:rFonts w:ascii="仿宋_GB2312" w:hAnsi="宋体" w:eastAsia="仿宋_GB2312" w:cs="宋体"/>
          <w:sz w:val="32"/>
          <w:szCs w:val="32"/>
        </w:rPr>
        <w:t>微型消防站建设与管理规范DB11/T 2455—2025</w:t>
      </w:r>
      <w:r>
        <w:rPr>
          <w:rFonts w:hint="eastAsia" w:ascii="仿宋_GB2312" w:hAnsi="宋体" w:eastAsia="仿宋_GB2312" w:cs="宋体"/>
          <w:sz w:val="32"/>
          <w:szCs w:val="32"/>
        </w:rPr>
        <w:t>》建设资料，并配备一台专用资料建设计算机。</w:t>
      </w:r>
    </w:p>
    <w:p w14:paraId="77DA81D0">
      <w:pPr>
        <w:spacing w:line="560" w:lineRule="exact"/>
        <w:ind w:left="-180" w:firstLine="800" w:firstLineChars="250"/>
        <w:rPr>
          <w:rFonts w:hint="eastAsia" w:ascii="黑体" w:hAnsi="黑体" w:eastAsia="黑体" w:cs="宋体"/>
          <w:bCs/>
          <w:sz w:val="32"/>
          <w:szCs w:val="32"/>
        </w:rPr>
      </w:pPr>
      <w:r>
        <w:rPr>
          <w:rFonts w:hint="eastAsia" w:ascii="黑体" w:hAnsi="黑体" w:eastAsia="黑体" w:cs="宋体"/>
          <w:bCs/>
          <w:sz w:val="32"/>
          <w:szCs w:val="32"/>
        </w:rPr>
        <w:t>二、服务日期和服务地点</w:t>
      </w:r>
    </w:p>
    <w:p w14:paraId="0BB00E2A">
      <w:pPr>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1、乙方服务期限</w:t>
      </w:r>
      <w:r>
        <w:rPr>
          <w:rFonts w:hint="eastAsia" w:ascii="仿宋_GB2312" w:hAnsi="宋体" w:eastAsia="仿宋_GB2312" w:cs="宋体"/>
          <w:b/>
          <w:sz w:val="32"/>
          <w:szCs w:val="32"/>
          <w:u w:val="single"/>
        </w:rPr>
        <w:t>11</w:t>
      </w:r>
      <w:r>
        <w:rPr>
          <w:rFonts w:hint="eastAsia" w:ascii="仿宋_GB2312" w:hAnsi="宋体" w:eastAsia="仿宋_GB2312" w:cs="宋体"/>
          <w:b/>
          <w:sz w:val="32"/>
          <w:szCs w:val="32"/>
        </w:rPr>
        <w:t>个月</w:t>
      </w:r>
      <w:r>
        <w:rPr>
          <w:rFonts w:hint="eastAsia" w:ascii="仿宋_GB2312" w:hAnsi="宋体" w:eastAsia="仿宋_GB2312" w:cs="宋体"/>
          <w:sz w:val="32"/>
          <w:szCs w:val="32"/>
        </w:rPr>
        <w:t>。</w:t>
      </w:r>
      <w:r>
        <w:rPr>
          <w:rFonts w:hint="eastAsia" w:ascii="仿宋_GB2312" w:hAnsi="宋体" w:eastAsia="仿宋_GB2312" w:cs="宋体"/>
          <w:b/>
          <w:color w:val="000000"/>
          <w:sz w:val="32"/>
          <w:szCs w:val="32"/>
        </w:rPr>
        <w:t>自</w:t>
      </w:r>
      <w:r>
        <w:rPr>
          <w:rFonts w:hint="eastAsia" w:ascii="仿宋_GB2312" w:hAnsi="宋体" w:eastAsia="仿宋_GB2312" w:cs="宋体"/>
          <w:b/>
          <w:color w:val="000000"/>
          <w:sz w:val="32"/>
          <w:szCs w:val="32"/>
          <w:u w:val="single"/>
        </w:rPr>
        <w:t>2026</w:t>
      </w:r>
      <w:r>
        <w:rPr>
          <w:rFonts w:hint="eastAsia" w:ascii="仿宋_GB2312" w:hAnsi="宋体" w:eastAsia="仿宋_GB2312" w:cs="宋体"/>
          <w:b/>
          <w:color w:val="000000"/>
          <w:sz w:val="32"/>
          <w:szCs w:val="32"/>
        </w:rPr>
        <w:t>年</w:t>
      </w:r>
      <w:r>
        <w:rPr>
          <w:rFonts w:hint="eastAsia" w:ascii="仿宋_GB2312" w:hAnsi="宋体" w:eastAsia="仿宋_GB2312" w:cs="宋体"/>
          <w:b/>
          <w:color w:val="000000"/>
          <w:sz w:val="32"/>
          <w:szCs w:val="32"/>
          <w:u w:val="single"/>
        </w:rPr>
        <w:t xml:space="preserve"> 2 </w:t>
      </w:r>
      <w:r>
        <w:rPr>
          <w:rFonts w:hint="eastAsia" w:ascii="仿宋_GB2312" w:hAnsi="宋体" w:eastAsia="仿宋_GB2312" w:cs="宋体"/>
          <w:b/>
          <w:color w:val="000000"/>
          <w:sz w:val="32"/>
          <w:szCs w:val="32"/>
        </w:rPr>
        <w:t>月</w:t>
      </w:r>
      <w:r>
        <w:rPr>
          <w:rFonts w:hint="eastAsia" w:ascii="仿宋_GB2312" w:hAnsi="宋体" w:eastAsia="仿宋_GB2312" w:cs="宋体"/>
          <w:b/>
          <w:color w:val="000000"/>
          <w:sz w:val="32"/>
          <w:szCs w:val="32"/>
          <w:u w:val="single"/>
        </w:rPr>
        <w:t xml:space="preserve"> 1</w:t>
      </w:r>
      <w:r>
        <w:rPr>
          <w:rFonts w:hint="eastAsia" w:ascii="仿宋_GB2312" w:hAnsi="宋体" w:eastAsia="仿宋_GB2312" w:cs="宋体"/>
          <w:b/>
          <w:color w:val="000000"/>
          <w:sz w:val="32"/>
          <w:szCs w:val="32"/>
        </w:rPr>
        <w:t>日至</w:t>
      </w:r>
      <w:r>
        <w:rPr>
          <w:rFonts w:hint="eastAsia" w:ascii="仿宋_GB2312" w:hAnsi="宋体" w:eastAsia="仿宋_GB2312" w:cs="宋体"/>
          <w:b/>
          <w:color w:val="000000"/>
          <w:sz w:val="32"/>
          <w:szCs w:val="32"/>
          <w:u w:val="single"/>
        </w:rPr>
        <w:t xml:space="preserve"> 2026</w:t>
      </w:r>
      <w:r>
        <w:rPr>
          <w:rFonts w:hint="eastAsia" w:ascii="仿宋_GB2312" w:hAnsi="宋体" w:eastAsia="仿宋_GB2312" w:cs="宋体"/>
          <w:b/>
          <w:color w:val="000000"/>
          <w:sz w:val="32"/>
          <w:szCs w:val="32"/>
        </w:rPr>
        <w:t>年</w:t>
      </w:r>
      <w:r>
        <w:rPr>
          <w:rFonts w:hint="eastAsia" w:ascii="仿宋_GB2312" w:hAnsi="宋体" w:eastAsia="仿宋_GB2312" w:cs="宋体"/>
          <w:b/>
          <w:color w:val="000000"/>
          <w:sz w:val="32"/>
          <w:szCs w:val="32"/>
          <w:u w:val="single"/>
        </w:rPr>
        <w:t xml:space="preserve"> 12 </w:t>
      </w:r>
      <w:r>
        <w:rPr>
          <w:rFonts w:hint="eastAsia" w:ascii="仿宋_GB2312" w:hAnsi="宋体" w:eastAsia="仿宋_GB2312" w:cs="宋体"/>
          <w:b/>
          <w:color w:val="000000"/>
          <w:sz w:val="32"/>
          <w:szCs w:val="32"/>
        </w:rPr>
        <w:t>月</w:t>
      </w:r>
      <w:r>
        <w:rPr>
          <w:rFonts w:hint="eastAsia" w:ascii="仿宋_GB2312" w:hAnsi="宋体" w:eastAsia="仿宋_GB2312" w:cs="宋体"/>
          <w:b/>
          <w:color w:val="000000"/>
          <w:sz w:val="32"/>
          <w:szCs w:val="32"/>
          <w:u w:val="single"/>
        </w:rPr>
        <w:t xml:space="preserve"> 31 </w:t>
      </w:r>
      <w:r>
        <w:rPr>
          <w:rFonts w:hint="eastAsia" w:ascii="仿宋_GB2312" w:hAnsi="宋体" w:eastAsia="仿宋_GB2312" w:cs="宋体"/>
          <w:b/>
          <w:color w:val="000000"/>
          <w:sz w:val="32"/>
          <w:szCs w:val="32"/>
        </w:rPr>
        <w:t>日。</w:t>
      </w:r>
    </w:p>
    <w:p w14:paraId="786C14D3">
      <w:pPr>
        <w:spacing w:line="560" w:lineRule="exact"/>
        <w:ind w:left="4318" w:leftChars="304" w:hanging="3680" w:hangingChars="1150"/>
        <w:rPr>
          <w:rFonts w:hint="eastAsia" w:ascii="仿宋_GB2312" w:hAnsi="宋体" w:eastAsia="仿宋_GB2312" w:cs="宋体"/>
          <w:sz w:val="32"/>
          <w:szCs w:val="32"/>
        </w:rPr>
      </w:pPr>
      <w:r>
        <w:rPr>
          <w:rFonts w:hint="eastAsia" w:ascii="仿宋_GB2312" w:hAnsi="宋体" w:eastAsia="仿宋_GB2312" w:cs="宋体"/>
          <w:sz w:val="32"/>
          <w:szCs w:val="32"/>
        </w:rPr>
        <w:t>2、服务地点：</w:t>
      </w:r>
      <w:r>
        <w:rPr>
          <w:rFonts w:hint="eastAsia" w:ascii="仿宋_GB2312" w:hAnsi="宋体" w:eastAsia="仿宋_GB2312" w:cs="宋体"/>
          <w:b/>
          <w:color w:val="585858"/>
          <w:sz w:val="32"/>
          <w:szCs w:val="32"/>
          <w:u w:val="single"/>
        </w:rPr>
        <w:t>北京市永定河休闲森林公园内</w:t>
      </w:r>
      <w:r>
        <w:rPr>
          <w:rFonts w:hint="eastAsia" w:ascii="仿宋_GB2312" w:hAnsi="宋体" w:eastAsia="仿宋_GB2312" w:cs="宋体"/>
          <w:sz w:val="32"/>
          <w:szCs w:val="32"/>
        </w:rPr>
        <w:t>。</w:t>
      </w:r>
    </w:p>
    <w:p w14:paraId="4A483DC0">
      <w:pPr>
        <w:spacing w:line="560" w:lineRule="exact"/>
        <w:ind w:firstLine="640" w:firstLineChars="200"/>
        <w:rPr>
          <w:rFonts w:hint="eastAsia" w:ascii="黑体" w:hAnsi="黑体" w:eastAsia="黑体" w:cs="宋体"/>
          <w:bCs/>
          <w:sz w:val="32"/>
          <w:szCs w:val="32"/>
        </w:rPr>
      </w:pPr>
      <w:r>
        <w:rPr>
          <w:rFonts w:hint="eastAsia" w:ascii="黑体" w:hAnsi="黑体" w:eastAsia="黑体" w:cs="宋体"/>
          <w:bCs/>
          <w:sz w:val="32"/>
          <w:szCs w:val="32"/>
        </w:rPr>
        <w:t>三、工作时间</w:t>
      </w:r>
    </w:p>
    <w:p w14:paraId="7299D9D2">
      <w:pPr>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1、微型消防站人员实行</w:t>
      </w:r>
      <w:r>
        <w:rPr>
          <w:rFonts w:hint="eastAsia" w:ascii="仿宋_GB2312" w:hAnsi="宋体" w:eastAsia="仿宋_GB2312" w:cs="宋体"/>
          <w:b/>
          <w:sz w:val="32"/>
          <w:szCs w:val="32"/>
          <w:u w:val="single"/>
        </w:rPr>
        <w:t xml:space="preserve"> 综合计算 </w:t>
      </w:r>
      <w:r>
        <w:rPr>
          <w:rFonts w:hint="eastAsia" w:ascii="仿宋_GB2312" w:hAnsi="宋体" w:eastAsia="仿宋_GB2312" w:cs="宋体"/>
          <w:sz w:val="32"/>
          <w:szCs w:val="32"/>
        </w:rPr>
        <w:t>工时工作制。</w:t>
      </w:r>
    </w:p>
    <w:p w14:paraId="62E0EEC1">
      <w:pPr>
        <w:spacing w:line="560" w:lineRule="exact"/>
        <w:ind w:firstLine="640" w:firstLineChars="200"/>
        <w:rPr>
          <w:rFonts w:hint="eastAsia" w:ascii="黑体" w:hAnsi="黑体" w:eastAsia="黑体" w:cs="宋体"/>
          <w:bCs/>
          <w:sz w:val="32"/>
          <w:szCs w:val="32"/>
        </w:rPr>
      </w:pPr>
      <w:bookmarkStart w:id="672" w:name="_Hlk218845028"/>
      <w:r>
        <w:rPr>
          <w:rFonts w:hint="eastAsia" w:ascii="黑体" w:hAnsi="黑体" w:eastAsia="黑体" w:cs="宋体"/>
          <w:bCs/>
          <w:sz w:val="32"/>
          <w:szCs w:val="32"/>
        </w:rPr>
        <w:t>四、服务费标准及支付</w:t>
      </w:r>
    </w:p>
    <w:p w14:paraId="2C738B5F">
      <w:pPr>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1、甲方应按如下标准向乙方支付微型消防站服务费，微型消防站服务费用全年定额标准148.44万元。中标金额为：</w:t>
      </w:r>
      <w:r>
        <w:rPr>
          <w:rFonts w:hint="eastAsia" w:ascii="仿宋_GB2312" w:hAnsi="宋体" w:eastAsia="仿宋_GB2312" w:cs="宋体"/>
          <w:sz w:val="32"/>
          <w:szCs w:val="32"/>
          <w:u w:val="single"/>
        </w:rPr>
        <w:t xml:space="preserve">       </w:t>
      </w:r>
      <w:r>
        <w:rPr>
          <w:rFonts w:hint="eastAsia" w:ascii="仿宋_GB2312" w:hAnsi="宋体" w:eastAsia="仿宋_GB2312" w:cs="宋体"/>
          <w:sz w:val="32"/>
          <w:szCs w:val="32"/>
        </w:rPr>
        <w:t>元（大写        ）；每季度按中标价的25%，即</w:t>
      </w:r>
      <w:r>
        <w:rPr>
          <w:rFonts w:hint="eastAsia" w:ascii="仿宋_GB2312" w:hAnsi="宋体" w:eastAsia="仿宋_GB2312" w:cs="宋体"/>
          <w:b/>
          <w:bCs/>
          <w:sz w:val="32"/>
          <w:szCs w:val="32"/>
          <w:u w:val="single"/>
        </w:rPr>
        <w:t xml:space="preserve"> </w:t>
      </w:r>
      <w:r>
        <w:rPr>
          <w:rFonts w:hint="eastAsia" w:ascii="仿宋_GB2312" w:hAnsi="宋体" w:eastAsia="仿宋_GB2312" w:cs="宋体"/>
          <w:sz w:val="32"/>
          <w:szCs w:val="32"/>
          <w:u w:val="single"/>
        </w:rPr>
        <w:t xml:space="preserve">      </w:t>
      </w:r>
      <w:r>
        <w:rPr>
          <w:rFonts w:hint="eastAsia" w:ascii="仿宋_GB2312" w:hAnsi="宋体" w:eastAsia="仿宋_GB2312" w:cs="宋体"/>
          <w:sz w:val="32"/>
          <w:szCs w:val="32"/>
        </w:rPr>
        <w:t>元（大写        ）（因服务日期从2月1日起，第一个季度支付2个月的费用）。11个月定额合计总费用（含税）</w:t>
      </w:r>
      <w:r>
        <w:rPr>
          <w:rFonts w:hint="eastAsia" w:ascii="仿宋_GB2312" w:hAnsi="宋体" w:eastAsia="仿宋_GB2312" w:cs="宋体"/>
          <w:sz w:val="32"/>
          <w:szCs w:val="32"/>
          <w:u w:val="single"/>
        </w:rPr>
        <w:t xml:space="preserve"> 1360700.00 </w:t>
      </w:r>
      <w:r>
        <w:rPr>
          <w:rFonts w:hint="eastAsia" w:ascii="仿宋_GB2312" w:hAnsi="宋体" w:eastAsia="仿宋_GB2312" w:cs="宋体"/>
          <w:sz w:val="32"/>
          <w:szCs w:val="32"/>
        </w:rPr>
        <w:t>元人民币（大写：</w:t>
      </w:r>
      <w:r>
        <w:rPr>
          <w:rFonts w:hint="eastAsia" w:ascii="仿宋_GB2312" w:hAnsi="宋体" w:eastAsia="仿宋_GB2312" w:cs="宋体"/>
          <w:sz w:val="32"/>
          <w:szCs w:val="32"/>
          <w:u w:val="single"/>
        </w:rPr>
        <w:t xml:space="preserve"> 壹佰叁拾陆万零柒佰圆整   </w:t>
      </w:r>
      <w:r>
        <w:rPr>
          <w:rFonts w:hint="eastAsia" w:ascii="仿宋_GB2312" w:hAnsi="宋体" w:eastAsia="仿宋_GB2312" w:cs="宋体"/>
          <w:sz w:val="32"/>
          <w:szCs w:val="32"/>
        </w:rPr>
        <w:t>）。除上述费用外，甲方不再支付任何费用。</w:t>
      </w:r>
    </w:p>
    <w:p w14:paraId="1E8C4FC5">
      <w:pPr>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2、服务费按</w:t>
      </w:r>
      <w:r>
        <w:rPr>
          <w:rFonts w:hint="eastAsia" w:ascii="仿宋_GB2312" w:hAnsi="宋体" w:eastAsia="仿宋_GB2312" w:cs="宋体"/>
          <w:sz w:val="32"/>
          <w:szCs w:val="32"/>
          <w:u w:val="single"/>
        </w:rPr>
        <w:t xml:space="preserve">  季度  </w:t>
      </w:r>
      <w:r>
        <w:rPr>
          <w:rFonts w:hint="eastAsia" w:ascii="仿宋_GB2312" w:hAnsi="宋体" w:eastAsia="仿宋_GB2312" w:cs="宋体"/>
          <w:sz w:val="32"/>
          <w:szCs w:val="32"/>
        </w:rPr>
        <w:t>支付制，以</w:t>
      </w:r>
      <w:r>
        <w:rPr>
          <w:rFonts w:hint="eastAsia" w:ascii="仿宋_GB2312" w:hAnsi="宋体" w:eastAsia="仿宋_GB2312" w:cs="宋体"/>
          <w:b/>
          <w:sz w:val="32"/>
          <w:szCs w:val="32"/>
          <w:u w:val="single"/>
        </w:rPr>
        <w:t>支票或转账</w:t>
      </w:r>
      <w:r>
        <w:rPr>
          <w:rFonts w:hint="eastAsia" w:ascii="仿宋_GB2312" w:hAnsi="宋体" w:eastAsia="仿宋_GB2312" w:cs="宋体"/>
          <w:sz w:val="32"/>
          <w:szCs w:val="32"/>
        </w:rPr>
        <w:t>方式支付。</w:t>
      </w:r>
    </w:p>
    <w:p w14:paraId="6B7CA445">
      <w:pPr>
        <w:spacing w:line="560" w:lineRule="exact"/>
        <w:rPr>
          <w:rFonts w:ascii="仿宋_GB2312" w:hAnsi="宋体" w:eastAsia="仿宋_GB2312" w:cs="宋体"/>
          <w:sz w:val="32"/>
          <w:szCs w:val="32"/>
        </w:rPr>
      </w:pPr>
      <w:r>
        <w:rPr>
          <w:rFonts w:hint="eastAsia" w:ascii="仿宋_GB2312" w:hAnsi="宋体" w:eastAsia="仿宋_GB2312" w:cs="宋体"/>
          <w:sz w:val="32"/>
          <w:szCs w:val="32"/>
        </w:rPr>
        <w:t>即每季度最后一个月的25号前（最后一季度的12月15号前）支付当季度的服务费。如支付日期为国家法定节假日、公休日，则节假日、公休日后的第一个工作日为支付期限。</w:t>
      </w:r>
    </w:p>
    <w:p w14:paraId="09FC7FA2">
      <w:pPr>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3、甲方付款前乙方应提供符合甲方要求的发票。</w:t>
      </w:r>
    </w:p>
    <w:bookmarkEnd w:id="672"/>
    <w:p w14:paraId="0DEDAB50">
      <w:pPr>
        <w:spacing w:line="560" w:lineRule="exact"/>
        <w:ind w:firstLine="640" w:firstLineChars="200"/>
        <w:rPr>
          <w:rFonts w:hint="eastAsia" w:ascii="黑体" w:hAnsi="黑体" w:eastAsia="黑体" w:cs="宋体"/>
          <w:bCs/>
          <w:sz w:val="32"/>
          <w:szCs w:val="32"/>
        </w:rPr>
      </w:pPr>
      <w:r>
        <w:rPr>
          <w:rFonts w:hint="eastAsia" w:ascii="黑体" w:hAnsi="黑体" w:eastAsia="黑体" w:cs="宋体"/>
          <w:bCs/>
          <w:sz w:val="32"/>
          <w:szCs w:val="32"/>
        </w:rPr>
        <w:t>五、双方的权利和义务</w:t>
      </w:r>
    </w:p>
    <w:p w14:paraId="44F79013">
      <w:pPr>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1、甲方的权利和义务</w:t>
      </w:r>
    </w:p>
    <w:p w14:paraId="1D736FF9">
      <w:pPr>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1.1甲方有权指定专人对微消队员的工作进行监督、检查和指导，有权要求调换不适合在甲方工作的微消队员。</w:t>
      </w:r>
    </w:p>
    <w:p w14:paraId="51DF57D5">
      <w:pPr>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1.2甲方应为微消队员提供值班室、休息室。</w:t>
      </w:r>
    </w:p>
    <w:p w14:paraId="2A2DC242">
      <w:pPr>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1.3 甲方应为微消队员提供宿舍和必要的工作、生活条件,不提供餐食。</w:t>
      </w:r>
    </w:p>
    <w:p w14:paraId="720011D5">
      <w:pPr>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1.4 甲方有责任及时、认真研究解决乙方提出的安全问题，采取必要的改进和防范措施。</w:t>
      </w:r>
    </w:p>
    <w:p w14:paraId="7879D4DB">
      <w:pPr>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1.5 甲方有义务教育其员工尊重微消队员的工作，对微消队员履行职责的行为予以支持、配合，尊重和保障微消队员的合法权益。</w:t>
      </w:r>
    </w:p>
    <w:p w14:paraId="2D94B5A6">
      <w:pPr>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1.6 甲方负责处理微消队员在执勤中与甲方人员及进入执勤区域的外来人员发生的争议。</w:t>
      </w:r>
    </w:p>
    <w:p w14:paraId="6659DA8B">
      <w:pPr>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2.乙方的权利和义务</w:t>
      </w:r>
    </w:p>
    <w:p w14:paraId="4F97438D">
      <w:pPr>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2.1 乙方应为甲方派遣身高1.75米以上，</w:t>
      </w:r>
      <w:r>
        <w:rPr>
          <w:rFonts w:hint="eastAsia" w:ascii="仿宋_GB2312" w:hAnsi="宋体" w:eastAsia="仿宋_GB2312" w:cs="宋体"/>
          <w:sz w:val="32"/>
          <w:szCs w:val="32"/>
          <w:u w:val="single"/>
        </w:rPr>
        <w:t>年龄18周岁-35周岁</w:t>
      </w:r>
      <w:r>
        <w:rPr>
          <w:rFonts w:hint="eastAsia" w:ascii="仿宋_GB2312" w:hAnsi="宋体" w:eastAsia="仿宋_GB2312" w:cs="宋体"/>
          <w:sz w:val="32"/>
          <w:szCs w:val="32"/>
        </w:rPr>
        <w:t>，有消防工作经历（退伍军人）的可放宽至40周岁；身体健康，无违法犯罪前科的微消队员。乙方确保与被派遣的微消人员存在劳动关系，均是乙方员工。乙方与其员工发生的劳动纠纷等一切争议，均与甲方无关。乙方与乙方员工的任何纠纷，均由乙方负责积极解决，由乙方独立承担相关责任;若甲方为此承担任何责任或遭受任何损失的，有权向乙方追偿。</w:t>
      </w:r>
    </w:p>
    <w:p w14:paraId="32B27444">
      <w:pPr>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2.2乙方对保安服务范围内的不安全隐患有权向甲方书面提出改进意见和建议。因甲方过错造成甲方或第三方人身、财产损失的，乙方不承担责任。</w:t>
      </w:r>
    </w:p>
    <w:p w14:paraId="15490E45">
      <w:pPr>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2.3 乙方保证派遣微消队员的数量和质量，不得以任何理由抽调微消队员。</w:t>
      </w:r>
      <w:r>
        <w:rPr>
          <w:rFonts w:hint="eastAsia" w:ascii="仿宋_GB2312" w:hAnsi="宋体" w:eastAsia="仿宋_GB2312" w:cs="宋体"/>
          <w:color w:val="000000"/>
          <w:sz w:val="32"/>
          <w:szCs w:val="32"/>
        </w:rPr>
        <w:t>乙方缺人应在一天内给予补充</w:t>
      </w:r>
      <w:r>
        <w:rPr>
          <w:rFonts w:hint="eastAsia" w:ascii="仿宋_GB2312" w:hAnsi="宋体" w:eastAsia="仿宋_GB2312" w:cs="宋体"/>
          <w:sz w:val="32"/>
          <w:szCs w:val="32"/>
        </w:rPr>
        <w:t>。</w:t>
      </w:r>
    </w:p>
    <w:p w14:paraId="16EAFDB1">
      <w:pPr>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2.4乙方为甲方提供合同约定范围以外的服务，甲方应给乙方微消队员相应的补助。</w:t>
      </w:r>
    </w:p>
    <w:p w14:paraId="01564EC4">
      <w:pPr>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2.5乙方有权拒绝甲方指定专人负责以外的其他人员指挥。</w:t>
      </w:r>
    </w:p>
    <w:p w14:paraId="45476445">
      <w:pPr>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2.6乙方负责支付微消队员的工资和福利费用，提供微消队员执勤所需的制式服装和个人防护物品及必要通信设备。</w:t>
      </w:r>
    </w:p>
    <w:p w14:paraId="64E1697C">
      <w:pPr>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2.7 乙方负责微消队员的思想教育、业务培训等日常管理和微消队员违纪问题的处理。</w:t>
      </w:r>
    </w:p>
    <w:p w14:paraId="79ABAEF9">
      <w:pPr>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2.8乙方应及时调换不适合在甲方工作的微消队员。</w:t>
      </w:r>
    </w:p>
    <w:p w14:paraId="705B4C5E">
      <w:pPr>
        <w:spacing w:line="560" w:lineRule="exact"/>
        <w:ind w:firstLine="640" w:firstLineChars="200"/>
        <w:rPr>
          <w:rFonts w:hint="eastAsia" w:ascii="黑体" w:hAnsi="黑体" w:eastAsia="黑体" w:cs="宋体"/>
          <w:bCs/>
          <w:sz w:val="32"/>
          <w:szCs w:val="32"/>
        </w:rPr>
      </w:pPr>
      <w:r>
        <w:rPr>
          <w:rFonts w:hint="eastAsia" w:ascii="黑体" w:hAnsi="黑体" w:eastAsia="黑体" w:cs="宋体"/>
          <w:bCs/>
          <w:sz w:val="32"/>
          <w:szCs w:val="32"/>
        </w:rPr>
        <w:t>六、双方协商的其他内容</w:t>
      </w:r>
    </w:p>
    <w:p w14:paraId="2547C57F">
      <w:pPr>
        <w:spacing w:line="560" w:lineRule="exact"/>
        <w:ind w:firstLine="640" w:firstLineChars="200"/>
        <w:rPr>
          <w:rFonts w:hint="eastAsia" w:ascii="宋体" w:hAnsi="宋体" w:cs="宋体"/>
          <w:sz w:val="32"/>
          <w:szCs w:val="32"/>
          <w:u w:val="single"/>
        </w:rPr>
      </w:pPr>
      <w:r>
        <w:rPr>
          <w:rFonts w:hint="eastAsia" w:ascii="宋体" w:hAnsi="宋体" w:cs="宋体"/>
          <w:sz w:val="32"/>
          <w:szCs w:val="32"/>
          <w:u w:val="single"/>
        </w:rPr>
        <w:t xml:space="preserve">      无           。</w:t>
      </w:r>
    </w:p>
    <w:p w14:paraId="1F6E79B7">
      <w:pPr>
        <w:spacing w:line="560" w:lineRule="exact"/>
        <w:ind w:firstLine="640" w:firstLineChars="200"/>
        <w:rPr>
          <w:rFonts w:hint="eastAsia" w:ascii="黑体" w:hAnsi="黑体" w:eastAsia="黑体" w:cs="宋体"/>
          <w:bCs/>
          <w:sz w:val="32"/>
          <w:szCs w:val="32"/>
        </w:rPr>
      </w:pPr>
      <w:r>
        <w:rPr>
          <w:rFonts w:hint="eastAsia" w:ascii="黑体" w:hAnsi="黑体" w:eastAsia="黑体" w:cs="宋体"/>
          <w:bCs/>
          <w:sz w:val="32"/>
          <w:szCs w:val="32"/>
        </w:rPr>
        <w:t>七、合同的变更、解除、终止和续订</w:t>
      </w:r>
    </w:p>
    <w:p w14:paraId="7CEE7C1B">
      <w:pPr>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1、 经甲乙双方经协商一致，可以书面变更本合同。</w:t>
      </w:r>
    </w:p>
    <w:p w14:paraId="0EA7F0A7">
      <w:pPr>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2、合同期内遇国家法规政策或北京市重大政策变化，甲乙双方可以协商调整服务费价格。</w:t>
      </w:r>
    </w:p>
    <w:p w14:paraId="08199770">
      <w:pPr>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3、一方因不可抗力不能继续履行合同时，应及时通知对方。</w:t>
      </w:r>
    </w:p>
    <w:p w14:paraId="3BD4A334">
      <w:pPr>
        <w:spacing w:line="560" w:lineRule="exact"/>
        <w:ind w:firstLine="640" w:firstLineChars="200"/>
        <w:rPr>
          <w:rFonts w:hint="eastAsia" w:ascii="宋体" w:hAnsi="宋体" w:cs="宋体"/>
          <w:sz w:val="32"/>
          <w:szCs w:val="32"/>
        </w:rPr>
      </w:pPr>
      <w:r>
        <w:rPr>
          <w:rFonts w:hint="eastAsia" w:ascii="仿宋_GB2312" w:hAnsi="宋体" w:eastAsia="仿宋_GB2312" w:cs="宋体"/>
          <w:sz w:val="32"/>
          <w:szCs w:val="32"/>
        </w:rPr>
        <w:t>4、本合同期限届满即终止。如一方要求续签，可在本合同届满前一个月内提出，由双方协商确定。</w:t>
      </w:r>
    </w:p>
    <w:p w14:paraId="48CFDEA0">
      <w:pPr>
        <w:spacing w:line="560" w:lineRule="exact"/>
        <w:ind w:firstLine="640" w:firstLineChars="200"/>
        <w:rPr>
          <w:rFonts w:hint="eastAsia" w:ascii="黑体" w:hAnsi="黑体" w:eastAsia="黑体" w:cs="宋体"/>
          <w:bCs/>
          <w:sz w:val="32"/>
          <w:szCs w:val="32"/>
        </w:rPr>
      </w:pPr>
      <w:r>
        <w:rPr>
          <w:rFonts w:hint="eastAsia" w:ascii="黑体" w:hAnsi="黑体" w:eastAsia="黑体" w:cs="宋体"/>
          <w:bCs/>
          <w:sz w:val="32"/>
          <w:szCs w:val="32"/>
        </w:rPr>
        <w:t>八、违约责任</w:t>
      </w:r>
    </w:p>
    <w:p w14:paraId="7D1D30A4">
      <w:pPr>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1、在合同期内，任何一方单方解除合同，应承担违约责任，向对方支付违约金。违约金数额为一个月的服务费</w:t>
      </w:r>
      <w:r>
        <w:rPr>
          <w:rFonts w:hint="eastAsia" w:ascii="仿宋_GB2312" w:hAnsi="宋体" w:eastAsia="仿宋_GB2312" w:cs="宋体"/>
          <w:sz w:val="32"/>
          <w:szCs w:val="32"/>
          <w:u w:val="single"/>
        </w:rPr>
        <w:t xml:space="preserve">     </w:t>
      </w:r>
      <w:r>
        <w:rPr>
          <w:rFonts w:hint="eastAsia" w:ascii="仿宋_GB2312" w:hAnsi="宋体" w:eastAsia="仿宋_GB2312" w:cs="宋体"/>
          <w:sz w:val="32"/>
          <w:szCs w:val="32"/>
        </w:rPr>
        <w:t>元人民币（大写：        ）。</w:t>
      </w:r>
      <w:r>
        <w:rPr>
          <w:rFonts w:hint="eastAsia" w:ascii="仿宋_GB2312" w:hAnsi="宋体" w:eastAsia="仿宋_GB2312" w:cs="宋体"/>
          <w:b/>
          <w:sz w:val="32"/>
          <w:szCs w:val="32"/>
        </w:rPr>
        <w:t>提前壹个月通知对方终止合同，互不支付违约金。</w:t>
      </w:r>
    </w:p>
    <w:p w14:paraId="6D7544CF">
      <w:pPr>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2、甲方延迟支付服务费，每延迟一日，应按延迟支付部分的千分之三向乙方支付逾期滞纳金。甲方延迟支付服务费超过一个月，乙方有权解除合同，并要求甲方承担违约责任，支付违约金，违约金数额按本合同第二十八条确定。</w:t>
      </w:r>
    </w:p>
    <w:p w14:paraId="1439AB34">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3、因乙方微消队员失职造成甲方财产损失，甲方有权依据有关部门出具的相关认定证明追究乙方的赔偿责任。</w:t>
      </w:r>
    </w:p>
    <w:p w14:paraId="3FDC842A">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4、乙方人员在园服务期间，如发生违反国家、北京市相关法律法规及公园各项管理规章制度等相关法律法规，甲方有权视情节严重程度扣除相应服务费（以书面通知为准）。</w:t>
      </w:r>
    </w:p>
    <w:p w14:paraId="46452010">
      <w:pPr>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5、在执行合同期间，对发生三次及三次以上的游客投诉或在检查中不能达到本合同中规定的工作标准的乙方人员，甲方有权要求乙方更换人员。如乙方人员发生重大服务或者安全事故（如致使人员受伤、失火、投诉至上级机关或被新闻媒体曝光）甲方可扣除当月微消合同费用的3%-5%作为赔偿。</w:t>
      </w:r>
    </w:p>
    <w:p w14:paraId="12EAF62D">
      <w:pPr>
        <w:spacing w:line="560" w:lineRule="exact"/>
        <w:ind w:firstLine="640" w:firstLineChars="200"/>
        <w:rPr>
          <w:rFonts w:hint="eastAsia" w:ascii="黑体" w:hAnsi="黑体" w:eastAsia="黑体" w:cs="宋体"/>
          <w:bCs/>
          <w:sz w:val="32"/>
          <w:szCs w:val="32"/>
        </w:rPr>
      </w:pPr>
      <w:r>
        <w:rPr>
          <w:rFonts w:hint="eastAsia" w:ascii="黑体" w:hAnsi="黑体" w:eastAsia="黑体" w:cs="宋体"/>
          <w:bCs/>
          <w:sz w:val="32"/>
          <w:szCs w:val="32"/>
        </w:rPr>
        <w:t>九、争议的解决</w:t>
      </w:r>
    </w:p>
    <w:p w14:paraId="42FC2985">
      <w:pPr>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第三十三条 本合同争议首先由双方协商解决。协商不成可以向甲方所在地人民法院提起诉讼。</w:t>
      </w:r>
    </w:p>
    <w:p w14:paraId="2024912D">
      <w:pPr>
        <w:spacing w:line="560" w:lineRule="exact"/>
        <w:ind w:firstLine="640" w:firstLineChars="200"/>
        <w:rPr>
          <w:rFonts w:hint="eastAsia" w:ascii="黑体" w:hAnsi="黑体" w:eastAsia="黑体" w:cs="宋体"/>
          <w:bCs/>
          <w:sz w:val="32"/>
          <w:szCs w:val="32"/>
        </w:rPr>
      </w:pPr>
      <w:r>
        <w:rPr>
          <w:rFonts w:hint="eastAsia" w:ascii="黑体" w:hAnsi="黑体" w:eastAsia="黑体" w:cs="宋体"/>
          <w:bCs/>
          <w:sz w:val="32"/>
          <w:szCs w:val="32"/>
        </w:rPr>
        <w:t>十、附则</w:t>
      </w:r>
    </w:p>
    <w:p w14:paraId="7FC1A648">
      <w:pPr>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第三十四条 未尽事宜由双方依法另行协商。</w:t>
      </w:r>
    </w:p>
    <w:p w14:paraId="479E4F80">
      <w:pPr>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第三十五条 本合同一式</w:t>
      </w:r>
      <w:r>
        <w:rPr>
          <w:rFonts w:hint="eastAsia" w:ascii="仿宋_GB2312" w:hAnsi="宋体" w:eastAsia="仿宋_GB2312" w:cs="宋体"/>
          <w:sz w:val="32"/>
          <w:szCs w:val="32"/>
          <w:u w:val="single"/>
        </w:rPr>
        <w:t>肆</w:t>
      </w:r>
      <w:r>
        <w:rPr>
          <w:rFonts w:hint="eastAsia" w:ascii="仿宋_GB2312" w:hAnsi="宋体" w:eastAsia="仿宋_GB2312" w:cs="宋体"/>
          <w:sz w:val="32"/>
          <w:szCs w:val="32"/>
        </w:rPr>
        <w:t>份，甲乙方各执</w:t>
      </w:r>
      <w:r>
        <w:rPr>
          <w:rFonts w:hint="eastAsia" w:ascii="仿宋_GB2312" w:hAnsi="宋体" w:eastAsia="仿宋_GB2312" w:cs="宋体"/>
          <w:sz w:val="32"/>
          <w:szCs w:val="32"/>
          <w:u w:val="single"/>
        </w:rPr>
        <w:t>贰</w:t>
      </w:r>
      <w:r>
        <w:rPr>
          <w:rFonts w:hint="eastAsia" w:ascii="仿宋_GB2312" w:hAnsi="宋体" w:eastAsia="仿宋_GB2312" w:cs="宋体"/>
          <w:sz w:val="32"/>
          <w:szCs w:val="32"/>
        </w:rPr>
        <w:t>份。</w:t>
      </w:r>
    </w:p>
    <w:p w14:paraId="2DECA7F1">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第三十六条 本合同经双方签字（盖章）生效。</w:t>
      </w:r>
    </w:p>
    <w:p w14:paraId="6D65E86B">
      <w:pPr>
        <w:spacing w:line="560" w:lineRule="exact"/>
        <w:ind w:firstLine="640" w:firstLineChars="200"/>
        <w:rPr>
          <w:rFonts w:ascii="仿宋_GB2312" w:hAnsi="宋体" w:eastAsia="仿宋_GB2312" w:cs="宋体"/>
          <w:sz w:val="32"/>
          <w:szCs w:val="32"/>
        </w:rPr>
      </w:pPr>
    </w:p>
    <w:p w14:paraId="4EC35FC5">
      <w:pPr>
        <w:spacing w:line="560" w:lineRule="exact"/>
        <w:ind w:firstLine="640" w:firstLineChars="200"/>
        <w:rPr>
          <w:rFonts w:ascii="仿宋_GB2312" w:hAnsi="宋体" w:eastAsia="仿宋_GB2312" w:cs="宋体"/>
          <w:sz w:val="32"/>
          <w:szCs w:val="32"/>
        </w:rPr>
      </w:pPr>
    </w:p>
    <w:p w14:paraId="7612B8A0">
      <w:pPr>
        <w:spacing w:line="560" w:lineRule="exact"/>
        <w:ind w:firstLine="640" w:firstLineChars="200"/>
        <w:rPr>
          <w:rFonts w:ascii="仿宋_GB2312" w:hAnsi="宋体" w:eastAsia="仿宋_GB2312" w:cs="宋体"/>
          <w:sz w:val="32"/>
          <w:szCs w:val="32"/>
        </w:rPr>
      </w:pPr>
    </w:p>
    <w:p w14:paraId="076CE1D2">
      <w:pPr>
        <w:spacing w:line="560" w:lineRule="exact"/>
        <w:ind w:firstLine="640" w:firstLineChars="200"/>
        <w:rPr>
          <w:rFonts w:hint="eastAsia" w:ascii="仿宋_GB2312" w:hAnsi="宋体" w:eastAsia="仿宋_GB2312" w:cs="宋体"/>
          <w:sz w:val="32"/>
          <w:szCs w:val="32"/>
        </w:rPr>
      </w:pPr>
    </w:p>
    <w:p w14:paraId="754CEFFB">
      <w:pPr>
        <w:spacing w:line="560" w:lineRule="exact"/>
        <w:rPr>
          <w:rFonts w:hint="eastAsia" w:ascii="仿宋_GB2312" w:hAnsi="宋体" w:eastAsia="仿宋_GB2312" w:cs="宋体"/>
          <w:sz w:val="32"/>
          <w:szCs w:val="32"/>
        </w:rPr>
      </w:pPr>
      <w:r>
        <w:rPr>
          <w:rFonts w:hint="eastAsia" w:ascii="仿宋_GB2312" w:hAnsi="宋体" w:eastAsia="仿宋_GB2312" w:cs="宋体"/>
          <w:b/>
          <w:bCs/>
          <w:sz w:val="32"/>
          <w:szCs w:val="32"/>
        </w:rPr>
        <w:t>附件：</w:t>
      </w:r>
      <w:r>
        <w:rPr>
          <w:rFonts w:hint="eastAsia" w:ascii="仿宋_GB2312" w:hAnsi="宋体" w:eastAsia="仿宋_GB2312" w:cs="宋体"/>
          <w:sz w:val="32"/>
          <w:szCs w:val="32"/>
        </w:rPr>
        <w:t>1.</w:t>
      </w:r>
      <w:bookmarkStart w:id="673" w:name="OLE_LINK5"/>
      <w:r>
        <w:rPr>
          <w:rFonts w:hint="eastAsia" w:ascii="仿宋_GB2312" w:hAnsi="宋体" w:eastAsia="仿宋_GB2312" w:cs="宋体"/>
          <w:sz w:val="32"/>
          <w:szCs w:val="32"/>
        </w:rPr>
        <w:t>服务考核表及支付标准</w:t>
      </w:r>
    </w:p>
    <w:bookmarkEnd w:id="673"/>
    <w:p w14:paraId="3734B201">
      <w:pPr>
        <w:spacing w:line="560" w:lineRule="exact"/>
        <w:outlineLvl w:val="0"/>
        <w:rPr>
          <w:rFonts w:ascii="仿宋_GB2312" w:hAnsi="宋体" w:eastAsia="仿宋_GB2312" w:cs="宋体"/>
          <w:sz w:val="32"/>
          <w:szCs w:val="32"/>
        </w:rPr>
      </w:pPr>
      <w:r>
        <w:rPr>
          <w:rFonts w:hint="eastAsia" w:ascii="仿宋_GB2312" w:hAnsi="宋体" w:eastAsia="仿宋_GB2312" w:cs="宋体"/>
          <w:sz w:val="32"/>
          <w:szCs w:val="32"/>
        </w:rPr>
        <w:t>甲   方：北京市永定河休闲森林公园管理处</w:t>
      </w:r>
    </w:p>
    <w:p w14:paraId="6EDF29E7">
      <w:pPr>
        <w:spacing w:line="560" w:lineRule="exact"/>
        <w:rPr>
          <w:rFonts w:ascii="仿宋_GB2312" w:hAnsi="宋体" w:eastAsia="仿宋_GB2312" w:cs="宋体"/>
          <w:sz w:val="32"/>
          <w:szCs w:val="32"/>
        </w:rPr>
      </w:pPr>
      <w:r>
        <w:rPr>
          <w:rFonts w:hint="eastAsia" w:ascii="仿宋_GB2312" w:hAnsi="宋体" w:eastAsia="仿宋_GB2312" w:cs="宋体"/>
          <w:sz w:val="32"/>
          <w:szCs w:val="32"/>
        </w:rPr>
        <w:t>名称：</w:t>
      </w:r>
      <w:bookmarkStart w:id="674" w:name="OLE_LINK4"/>
      <w:r>
        <w:rPr>
          <w:rFonts w:hint="eastAsia" w:ascii="仿宋_GB2312" w:hAnsi="宋体" w:eastAsia="仿宋_GB2312" w:cs="宋体"/>
          <w:sz w:val="32"/>
          <w:szCs w:val="32"/>
        </w:rPr>
        <w:t xml:space="preserve">（盖章）  </w:t>
      </w:r>
      <w:r>
        <w:rPr>
          <w:rFonts w:ascii="仿宋_GB2312" w:hAnsi="宋体" w:eastAsia="仿宋_GB2312" w:cs="宋体"/>
          <w:sz w:val="32"/>
          <w:szCs w:val="32"/>
        </w:rPr>
        <w:t xml:space="preserve">  </w:t>
      </w:r>
      <w:bookmarkEnd w:id="674"/>
      <w:r>
        <w:rPr>
          <w:rFonts w:ascii="仿宋_GB2312" w:hAnsi="宋体" w:eastAsia="仿宋_GB2312" w:cs="宋体"/>
          <w:sz w:val="32"/>
          <w:szCs w:val="32"/>
        </w:rPr>
        <w:t xml:space="preserve">             </w:t>
      </w:r>
      <w:r>
        <w:rPr>
          <w:rFonts w:hint="eastAsia" w:ascii="仿宋_GB2312" w:hAnsi="宋体" w:eastAsia="仿宋_GB2312" w:cs="宋体"/>
          <w:sz w:val="32"/>
          <w:szCs w:val="32"/>
        </w:rPr>
        <w:t xml:space="preserve">  </w:t>
      </w:r>
      <w:r>
        <w:rPr>
          <w:rFonts w:ascii="仿宋_GB2312" w:hAnsi="宋体" w:eastAsia="仿宋_GB2312" w:cs="宋体"/>
          <w:sz w:val="32"/>
          <w:szCs w:val="32"/>
        </w:rPr>
        <w:t xml:space="preserve">     </w:t>
      </w:r>
    </w:p>
    <w:p w14:paraId="0DB5F6AA">
      <w:pPr>
        <w:tabs>
          <w:tab w:val="left" w:pos="4620"/>
        </w:tabs>
        <w:spacing w:line="560" w:lineRule="exact"/>
        <w:rPr>
          <w:rFonts w:ascii="仿宋_GB2312" w:hAnsi="宋体" w:eastAsia="仿宋_GB2312" w:cs="宋体"/>
          <w:sz w:val="32"/>
          <w:szCs w:val="32"/>
        </w:rPr>
      </w:pPr>
      <w:r>
        <w:rPr>
          <w:rFonts w:hint="eastAsia" w:ascii="仿宋_GB2312" w:hAnsi="宋体" w:eastAsia="仿宋_GB2312" w:cs="宋体"/>
          <w:sz w:val="32"/>
          <w:szCs w:val="32"/>
        </w:rPr>
        <w:t xml:space="preserve">地址：   石景山区京原路55号             </w:t>
      </w:r>
    </w:p>
    <w:p w14:paraId="78FBBE01">
      <w:pPr>
        <w:spacing w:line="560" w:lineRule="exact"/>
        <w:rPr>
          <w:rFonts w:ascii="仿宋_GB2312" w:hAnsi="宋体" w:eastAsia="仿宋_GB2312" w:cs="宋体"/>
          <w:sz w:val="32"/>
          <w:szCs w:val="32"/>
        </w:rPr>
      </w:pPr>
      <w:r>
        <w:rPr>
          <w:rFonts w:hint="eastAsia" w:ascii="仿宋_GB2312" w:hAnsi="宋体" w:eastAsia="仿宋_GB2312" w:cs="宋体"/>
          <w:sz w:val="32"/>
          <w:szCs w:val="32"/>
        </w:rPr>
        <w:t xml:space="preserve">法定代表人或授权代表（签章）：                 </w:t>
      </w:r>
      <w:r>
        <w:rPr>
          <w:rFonts w:ascii="仿宋_GB2312" w:hAnsi="宋体" w:eastAsia="仿宋_GB2312" w:cs="宋体"/>
          <w:sz w:val="32"/>
          <w:szCs w:val="32"/>
        </w:rPr>
        <w:t xml:space="preserve"> </w:t>
      </w:r>
      <w:r>
        <w:rPr>
          <w:rFonts w:hint="eastAsia" w:ascii="仿宋_GB2312" w:hAnsi="宋体" w:eastAsia="仿宋_GB2312" w:cs="宋体"/>
          <w:sz w:val="32"/>
          <w:szCs w:val="32"/>
        </w:rPr>
        <w:t xml:space="preserve">      </w:t>
      </w:r>
    </w:p>
    <w:p w14:paraId="723627CA">
      <w:pPr>
        <w:spacing w:line="560" w:lineRule="exact"/>
        <w:rPr>
          <w:rFonts w:ascii="仿宋_GB2312" w:hAnsi="宋体" w:eastAsia="仿宋_GB2312" w:cs="宋体"/>
          <w:sz w:val="32"/>
          <w:szCs w:val="32"/>
        </w:rPr>
      </w:pPr>
      <w:r>
        <w:rPr>
          <w:rFonts w:hint="eastAsia" w:ascii="仿宋_GB2312" w:hAnsi="宋体" w:eastAsia="仿宋_GB2312" w:cs="宋体"/>
          <w:sz w:val="32"/>
          <w:szCs w:val="32"/>
        </w:rPr>
        <w:t>开户银行：中国建设银行石景山支行</w:t>
      </w:r>
    </w:p>
    <w:p w14:paraId="7CA034E4">
      <w:pPr>
        <w:spacing w:line="560" w:lineRule="exact"/>
        <w:rPr>
          <w:rFonts w:ascii="仿宋_GB2312" w:hAnsi="宋体" w:eastAsia="仿宋_GB2312" w:cs="宋体"/>
          <w:sz w:val="32"/>
          <w:szCs w:val="32"/>
        </w:rPr>
      </w:pPr>
      <w:r>
        <w:rPr>
          <w:rFonts w:hint="eastAsia" w:ascii="仿宋_GB2312" w:hAnsi="宋体" w:eastAsia="仿宋_GB2312" w:cs="宋体"/>
          <w:sz w:val="32"/>
          <w:szCs w:val="32"/>
        </w:rPr>
        <w:t xml:space="preserve">银行账号：11001006600058022416      </w:t>
      </w:r>
    </w:p>
    <w:p w14:paraId="2883256E">
      <w:pPr>
        <w:spacing w:line="560" w:lineRule="exact"/>
        <w:ind w:left="7199" w:leftChars="228" w:hanging="6720" w:hangingChars="2100"/>
        <w:rPr>
          <w:rFonts w:ascii="仿宋_GB2312" w:hAnsi="宋体" w:eastAsia="仿宋_GB2312" w:cs="宋体"/>
          <w:sz w:val="32"/>
          <w:szCs w:val="32"/>
        </w:rPr>
      </w:pPr>
      <w:r>
        <w:rPr>
          <w:rFonts w:hint="eastAsia" w:ascii="仿宋_GB2312" w:hAnsi="宋体" w:eastAsia="仿宋_GB2312" w:cs="宋体"/>
          <w:sz w:val="32"/>
          <w:szCs w:val="32"/>
        </w:rPr>
        <w:t xml:space="preserve"> </w:t>
      </w:r>
      <w:r>
        <w:rPr>
          <w:rFonts w:ascii="仿宋_GB2312" w:hAnsi="宋体" w:eastAsia="仿宋_GB2312" w:cs="宋体"/>
          <w:sz w:val="32"/>
          <w:szCs w:val="32"/>
        </w:rPr>
        <w:t xml:space="preserve"> </w:t>
      </w:r>
      <w:r>
        <w:rPr>
          <w:rFonts w:hint="eastAsia" w:ascii="仿宋_GB2312" w:hAnsi="宋体" w:eastAsia="仿宋_GB2312" w:cs="宋体"/>
          <w:sz w:val="32"/>
          <w:szCs w:val="32"/>
        </w:rPr>
        <w:t xml:space="preserve">    </w:t>
      </w:r>
    </w:p>
    <w:p w14:paraId="6C559BF2">
      <w:pPr>
        <w:spacing w:line="560" w:lineRule="exact"/>
        <w:outlineLvl w:val="0"/>
        <w:rPr>
          <w:rFonts w:ascii="仿宋_GB2312" w:hAnsi="宋体" w:eastAsia="仿宋_GB2312" w:cs="宋体"/>
          <w:sz w:val="32"/>
          <w:szCs w:val="32"/>
        </w:rPr>
      </w:pPr>
      <w:r>
        <w:rPr>
          <w:rFonts w:hint="eastAsia" w:ascii="仿宋_GB2312" w:hAnsi="宋体" w:eastAsia="仿宋_GB2312" w:cs="宋体"/>
          <w:sz w:val="32"/>
          <w:szCs w:val="32"/>
        </w:rPr>
        <w:t>乙   方：</w:t>
      </w:r>
      <w:r>
        <w:rPr>
          <w:rFonts w:ascii="仿宋_GB2312" w:hAnsi="宋体" w:eastAsia="仿宋_GB2312" w:cs="宋体"/>
          <w:sz w:val="32"/>
          <w:szCs w:val="32"/>
        </w:rPr>
        <w:t xml:space="preserve"> </w:t>
      </w:r>
    </w:p>
    <w:p w14:paraId="0C82377B">
      <w:pPr>
        <w:pStyle w:val="43"/>
        <w:spacing w:line="560" w:lineRule="exact"/>
        <w:ind w:firstLine="0" w:firstLineChars="0"/>
        <w:rPr>
          <w:rFonts w:ascii="仿宋_GB2312" w:eastAsia="仿宋_GB2312" w:cs="宋体"/>
          <w:sz w:val="32"/>
          <w:szCs w:val="32"/>
        </w:rPr>
      </w:pPr>
      <w:r>
        <w:rPr>
          <w:rFonts w:hint="eastAsia" w:ascii="仿宋_GB2312" w:eastAsia="仿宋_GB2312" w:cs="宋体"/>
          <w:sz w:val="32"/>
          <w:szCs w:val="32"/>
        </w:rPr>
        <w:t>名称：</w:t>
      </w:r>
      <w:r>
        <w:rPr>
          <w:rFonts w:ascii="仿宋_GB2312" w:eastAsia="仿宋_GB2312" w:cs="宋体"/>
          <w:sz w:val="32"/>
          <w:szCs w:val="32"/>
        </w:rPr>
        <w:t xml:space="preserve"> </w:t>
      </w:r>
      <w:r>
        <w:rPr>
          <w:rFonts w:hint="eastAsia" w:ascii="仿宋_GB2312" w:eastAsia="仿宋_GB2312" w:cs="宋体"/>
          <w:sz w:val="32"/>
          <w:szCs w:val="32"/>
        </w:rPr>
        <w:t xml:space="preserve">（盖章）  </w:t>
      </w:r>
      <w:r>
        <w:rPr>
          <w:rFonts w:ascii="仿宋_GB2312" w:eastAsia="仿宋_GB2312" w:cs="宋体"/>
          <w:sz w:val="32"/>
          <w:szCs w:val="32"/>
        </w:rPr>
        <w:t xml:space="preserve">  </w:t>
      </w:r>
    </w:p>
    <w:p w14:paraId="0FAA23FD">
      <w:pPr>
        <w:pStyle w:val="43"/>
        <w:spacing w:line="560" w:lineRule="exact"/>
        <w:ind w:firstLine="0" w:firstLineChars="0"/>
        <w:rPr>
          <w:rFonts w:ascii="仿宋_GB2312" w:eastAsia="仿宋_GB2312" w:cs="宋体"/>
          <w:sz w:val="32"/>
          <w:szCs w:val="32"/>
        </w:rPr>
      </w:pPr>
      <w:r>
        <w:rPr>
          <w:rFonts w:hint="eastAsia" w:ascii="仿宋_GB2312" w:eastAsia="仿宋_GB2312" w:cs="宋体"/>
          <w:sz w:val="32"/>
          <w:szCs w:val="32"/>
        </w:rPr>
        <w:t>地址：</w:t>
      </w:r>
      <w:r>
        <w:rPr>
          <w:rFonts w:ascii="仿宋_GB2312" w:eastAsia="仿宋_GB2312" w:cs="宋体"/>
          <w:sz w:val="32"/>
          <w:szCs w:val="32"/>
        </w:rPr>
        <w:t xml:space="preserve"> </w:t>
      </w:r>
    </w:p>
    <w:p w14:paraId="5F88575A">
      <w:pPr>
        <w:pStyle w:val="43"/>
        <w:spacing w:line="560" w:lineRule="exact"/>
        <w:ind w:firstLine="0" w:firstLineChars="0"/>
        <w:rPr>
          <w:rFonts w:ascii="仿宋_GB2312" w:eastAsia="仿宋_GB2312" w:cs="宋体"/>
          <w:sz w:val="32"/>
          <w:szCs w:val="32"/>
        </w:rPr>
      </w:pPr>
      <w:r>
        <w:rPr>
          <w:rFonts w:hint="eastAsia" w:ascii="仿宋_GB2312" w:eastAsia="仿宋_GB2312" w:cs="宋体"/>
          <w:sz w:val="32"/>
          <w:szCs w:val="32"/>
        </w:rPr>
        <w:t xml:space="preserve">法定代表人或授权代表（签章）：  </w:t>
      </w:r>
    </w:p>
    <w:p w14:paraId="312847C0">
      <w:pPr>
        <w:spacing w:line="560" w:lineRule="exact"/>
        <w:rPr>
          <w:rFonts w:ascii="仿宋_GB2312" w:hAnsi="宋体" w:eastAsia="仿宋_GB2312" w:cs="宋体"/>
          <w:sz w:val="32"/>
          <w:szCs w:val="32"/>
        </w:rPr>
      </w:pPr>
      <w:r>
        <w:rPr>
          <w:rFonts w:hint="eastAsia" w:ascii="仿宋_GB2312" w:hAnsi="宋体" w:eastAsia="仿宋_GB2312" w:cs="宋体"/>
          <w:sz w:val="32"/>
          <w:szCs w:val="32"/>
        </w:rPr>
        <w:t xml:space="preserve">开户银行： </w:t>
      </w:r>
    </w:p>
    <w:p w14:paraId="427DA9F0">
      <w:pPr>
        <w:spacing w:line="560" w:lineRule="exact"/>
        <w:rPr>
          <w:rFonts w:ascii="仿宋_GB2312" w:hAnsi="宋体" w:eastAsia="仿宋_GB2312" w:cs="宋体"/>
          <w:sz w:val="32"/>
          <w:szCs w:val="32"/>
        </w:rPr>
      </w:pPr>
      <w:r>
        <w:rPr>
          <w:rFonts w:hint="eastAsia" w:ascii="仿宋_GB2312" w:hAnsi="宋体" w:eastAsia="仿宋_GB2312" w:cs="宋体"/>
          <w:sz w:val="32"/>
          <w:szCs w:val="32"/>
        </w:rPr>
        <w:t xml:space="preserve">银行账号： </w:t>
      </w:r>
    </w:p>
    <w:p w14:paraId="5E0D6001">
      <w:pPr>
        <w:spacing w:line="560" w:lineRule="exact"/>
        <w:ind w:firstLine="320" w:firstLineChars="100"/>
        <w:rPr>
          <w:rFonts w:ascii="仿宋_GB2312" w:hAnsi="宋体" w:eastAsia="仿宋_GB2312" w:cs="宋体"/>
          <w:sz w:val="32"/>
          <w:szCs w:val="32"/>
        </w:rPr>
      </w:pPr>
    </w:p>
    <w:p w14:paraId="497546F3">
      <w:pPr>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签订时间：    年    月    日</w:t>
      </w:r>
    </w:p>
    <w:p w14:paraId="3208EBEC">
      <w:pPr>
        <w:spacing w:line="560" w:lineRule="exact"/>
        <w:ind w:firstLine="2100" w:firstLineChars="700"/>
        <w:rPr>
          <w:rFonts w:ascii="宋体" w:hAnsi="宋体" w:cs="宋体"/>
          <w:sz w:val="30"/>
          <w:szCs w:val="30"/>
        </w:rPr>
      </w:pPr>
      <w:r>
        <w:rPr>
          <w:rFonts w:hint="eastAsia" w:ascii="宋体" w:hAnsi="宋体" w:cs="宋体"/>
          <w:sz w:val="30"/>
          <w:szCs w:val="30"/>
        </w:rPr>
        <w:t xml:space="preserve"> </w:t>
      </w:r>
    </w:p>
    <w:p w14:paraId="50FD20F2">
      <w:pPr>
        <w:spacing w:line="560" w:lineRule="exact"/>
        <w:ind w:firstLine="2100" w:firstLineChars="700"/>
        <w:rPr>
          <w:rFonts w:ascii="宋体" w:hAnsi="宋体" w:cs="宋体"/>
          <w:sz w:val="30"/>
          <w:szCs w:val="30"/>
        </w:rPr>
      </w:pPr>
    </w:p>
    <w:p w14:paraId="4578517F">
      <w:pPr>
        <w:spacing w:line="560" w:lineRule="exact"/>
        <w:ind w:firstLine="2100" w:firstLineChars="700"/>
        <w:rPr>
          <w:rFonts w:ascii="宋体" w:hAnsi="宋体" w:cs="宋体"/>
          <w:sz w:val="30"/>
          <w:szCs w:val="30"/>
        </w:rPr>
      </w:pPr>
    </w:p>
    <w:p w14:paraId="661E32C5">
      <w:pPr>
        <w:spacing w:line="560" w:lineRule="exact"/>
        <w:rPr>
          <w:rFonts w:ascii="黑体" w:hAnsi="黑体" w:eastAsia="黑体" w:cs="宋体"/>
          <w:sz w:val="32"/>
          <w:szCs w:val="32"/>
        </w:rPr>
      </w:pPr>
      <w:r>
        <w:rPr>
          <w:rFonts w:hint="eastAsia" w:ascii="黑体" w:hAnsi="黑体" w:eastAsia="黑体" w:cs="宋体"/>
          <w:sz w:val="32"/>
          <w:szCs w:val="32"/>
        </w:rPr>
        <w:t>附件1：</w:t>
      </w:r>
    </w:p>
    <w:p w14:paraId="201FC8DE">
      <w:pPr>
        <w:spacing w:line="560" w:lineRule="exact"/>
        <w:jc w:val="center"/>
        <w:rPr>
          <w:rFonts w:hint="eastAsia" w:ascii="宋体" w:hAnsi="宋体" w:cs="宋体"/>
          <w:sz w:val="44"/>
          <w:szCs w:val="44"/>
        </w:rPr>
      </w:pPr>
      <w:r>
        <w:rPr>
          <w:rFonts w:hint="eastAsia" w:ascii="宋体" w:hAnsi="宋体" w:cs="宋体"/>
          <w:sz w:val="44"/>
          <w:szCs w:val="44"/>
        </w:rPr>
        <w:t>服务考核表及支付标准</w:t>
      </w:r>
    </w:p>
    <w:p w14:paraId="098C2CCB">
      <w:pPr>
        <w:spacing w:line="480" w:lineRule="auto"/>
        <w:ind w:firstLine="560" w:firstLineChars="200"/>
        <w:rPr>
          <w:rFonts w:hint="eastAsia" w:ascii="黑体" w:hAnsi="黑体" w:eastAsia="黑体" w:cs="宋体"/>
          <w:sz w:val="28"/>
          <w:szCs w:val="28"/>
        </w:rPr>
      </w:pPr>
    </w:p>
    <w:p w14:paraId="4782AD55">
      <w:pPr>
        <w:spacing w:line="480" w:lineRule="auto"/>
        <w:ind w:firstLine="560" w:firstLineChars="200"/>
        <w:rPr>
          <w:rFonts w:ascii="仿宋_GB2312" w:hAnsi="宋体" w:eastAsia="仿宋_GB2312" w:cs="宋体"/>
          <w:sz w:val="28"/>
          <w:szCs w:val="28"/>
        </w:rPr>
      </w:pPr>
      <w:r>
        <w:rPr>
          <w:rFonts w:hint="eastAsia" w:ascii="黑体" w:hAnsi="黑体" w:eastAsia="黑体" w:cs="宋体"/>
          <w:sz w:val="28"/>
          <w:szCs w:val="28"/>
        </w:rPr>
        <w:t>三级检查：</w:t>
      </w:r>
      <w:r>
        <w:rPr>
          <w:rFonts w:hint="eastAsia" w:ascii="仿宋_GB2312" w:hAnsi="宋体" w:eastAsia="仿宋_GB2312" w:cs="宋体"/>
          <w:sz w:val="28"/>
          <w:szCs w:val="28"/>
        </w:rPr>
        <w:t>中心检查发现问题1次，扣罚500元；处级检查发现问题1次，扣罚300元；安保科检查发现问题1次；扣罚100元</w:t>
      </w:r>
    </w:p>
    <w:p w14:paraId="58EE016D">
      <w:pPr>
        <w:spacing w:line="480" w:lineRule="auto"/>
        <w:ind w:firstLine="560" w:firstLineChars="200"/>
        <w:rPr>
          <w:rFonts w:hint="eastAsia" w:ascii="仿宋_GB2312" w:hAnsi="黑体" w:eastAsia="仿宋_GB2312" w:cs="宋体"/>
          <w:sz w:val="28"/>
          <w:szCs w:val="28"/>
        </w:rPr>
      </w:pPr>
      <w:r>
        <w:rPr>
          <w:rFonts w:hint="eastAsia" w:ascii="黑体" w:hAnsi="黑体" w:eastAsia="黑体" w:cs="宋体"/>
          <w:sz w:val="28"/>
          <w:szCs w:val="28"/>
        </w:rPr>
        <w:t>支付标准：</w:t>
      </w:r>
      <w:r>
        <w:rPr>
          <w:rFonts w:hint="eastAsia" w:ascii="仿宋_GB2312" w:hAnsi="黑体" w:eastAsia="仿宋_GB2312" w:cs="宋体"/>
          <w:sz w:val="28"/>
          <w:szCs w:val="28"/>
        </w:rPr>
        <w:t>平均90分以上正常支付；80-90分扣</w:t>
      </w:r>
      <w:bookmarkStart w:id="675" w:name="OLE_LINK6"/>
      <w:r>
        <w:rPr>
          <w:rFonts w:hint="eastAsia" w:ascii="仿宋_GB2312" w:hAnsi="黑体" w:eastAsia="仿宋_GB2312" w:cs="宋体"/>
          <w:sz w:val="28"/>
          <w:szCs w:val="28"/>
        </w:rPr>
        <w:t>进度支付款1%</w:t>
      </w:r>
      <w:bookmarkEnd w:id="675"/>
      <w:r>
        <w:rPr>
          <w:rFonts w:hint="eastAsia" w:ascii="仿宋_GB2312" w:hAnsi="黑体" w:eastAsia="仿宋_GB2312" w:cs="宋体"/>
          <w:sz w:val="28"/>
          <w:szCs w:val="28"/>
        </w:rPr>
        <w:t>；70-80分扣进度支付款3%，70分以下扣进度支付款5%</w:t>
      </w:r>
    </w:p>
    <w:p w14:paraId="0D2AD3A1">
      <w:pPr>
        <w:spacing w:line="560" w:lineRule="exact"/>
        <w:ind w:firstLine="640" w:firstLineChars="200"/>
        <w:rPr>
          <w:rFonts w:hint="eastAsia" w:ascii="仿宋_GB2312" w:hAnsi="黑体" w:eastAsia="仿宋_GB2312" w:cs="宋体"/>
          <w:sz w:val="32"/>
          <w:szCs w:val="32"/>
        </w:rPr>
      </w:pPr>
    </w:p>
    <w:p w14:paraId="58B4E748">
      <w:pPr>
        <w:spacing w:line="560" w:lineRule="exact"/>
        <w:ind w:firstLine="640" w:firstLineChars="200"/>
        <w:rPr>
          <w:rFonts w:hint="eastAsia" w:ascii="仿宋_GB2312" w:hAnsi="黑体" w:eastAsia="仿宋_GB2312" w:cs="宋体"/>
          <w:sz w:val="32"/>
          <w:szCs w:val="32"/>
        </w:rPr>
      </w:pPr>
    </w:p>
    <w:p w14:paraId="6CC0ABD5">
      <w:pPr>
        <w:spacing w:line="560" w:lineRule="exact"/>
        <w:ind w:firstLine="640" w:firstLineChars="200"/>
        <w:rPr>
          <w:rFonts w:hint="eastAsia" w:ascii="仿宋_GB2312" w:hAnsi="黑体" w:eastAsia="仿宋_GB2312" w:cs="宋体"/>
          <w:sz w:val="32"/>
          <w:szCs w:val="32"/>
        </w:rPr>
      </w:pPr>
    </w:p>
    <w:p w14:paraId="1F6846F8">
      <w:pPr>
        <w:spacing w:line="560" w:lineRule="exact"/>
        <w:ind w:firstLine="640" w:firstLineChars="200"/>
        <w:rPr>
          <w:rFonts w:hint="eastAsia" w:ascii="仿宋_GB2312" w:hAnsi="黑体" w:eastAsia="仿宋_GB2312" w:cs="宋体"/>
          <w:sz w:val="32"/>
          <w:szCs w:val="32"/>
        </w:rPr>
      </w:pPr>
    </w:p>
    <w:p w14:paraId="1A6B30DB">
      <w:pPr>
        <w:spacing w:line="560" w:lineRule="exact"/>
        <w:ind w:firstLine="640" w:firstLineChars="200"/>
        <w:rPr>
          <w:rFonts w:hint="eastAsia" w:ascii="仿宋_GB2312" w:hAnsi="黑体" w:eastAsia="仿宋_GB2312" w:cs="宋体"/>
          <w:sz w:val="32"/>
          <w:szCs w:val="32"/>
        </w:rPr>
      </w:pPr>
    </w:p>
    <w:p w14:paraId="4E327485">
      <w:pPr>
        <w:spacing w:line="560" w:lineRule="exact"/>
        <w:ind w:firstLine="640" w:firstLineChars="200"/>
        <w:rPr>
          <w:rFonts w:hint="eastAsia" w:ascii="仿宋_GB2312" w:hAnsi="黑体" w:eastAsia="仿宋_GB2312" w:cs="宋体"/>
          <w:sz w:val="32"/>
          <w:szCs w:val="32"/>
        </w:rPr>
      </w:pPr>
    </w:p>
    <w:p w14:paraId="32966DD6">
      <w:pPr>
        <w:spacing w:line="560" w:lineRule="exact"/>
        <w:ind w:firstLine="640" w:firstLineChars="200"/>
        <w:rPr>
          <w:rFonts w:hint="eastAsia" w:ascii="仿宋_GB2312" w:hAnsi="黑体" w:eastAsia="仿宋_GB2312" w:cs="宋体"/>
          <w:sz w:val="32"/>
          <w:szCs w:val="32"/>
        </w:rPr>
      </w:pPr>
    </w:p>
    <w:p w14:paraId="000F1721">
      <w:pPr>
        <w:spacing w:line="560" w:lineRule="exact"/>
        <w:ind w:firstLine="640" w:firstLineChars="200"/>
        <w:rPr>
          <w:rFonts w:hint="eastAsia" w:ascii="仿宋_GB2312" w:hAnsi="黑体" w:eastAsia="仿宋_GB2312" w:cs="宋体"/>
          <w:sz w:val="32"/>
          <w:szCs w:val="32"/>
        </w:rPr>
      </w:pPr>
    </w:p>
    <w:p w14:paraId="00C610DD">
      <w:pPr>
        <w:spacing w:line="560" w:lineRule="exact"/>
        <w:ind w:firstLine="640" w:firstLineChars="200"/>
        <w:rPr>
          <w:rFonts w:hint="eastAsia" w:ascii="仿宋_GB2312" w:hAnsi="黑体" w:eastAsia="仿宋_GB2312" w:cs="宋体"/>
          <w:sz w:val="32"/>
          <w:szCs w:val="32"/>
        </w:rPr>
      </w:pPr>
    </w:p>
    <w:p w14:paraId="514ADCE4">
      <w:pPr>
        <w:spacing w:line="560" w:lineRule="exact"/>
        <w:ind w:firstLine="640" w:firstLineChars="200"/>
        <w:rPr>
          <w:rFonts w:hint="eastAsia" w:ascii="仿宋_GB2312" w:hAnsi="黑体" w:eastAsia="仿宋_GB2312" w:cs="宋体"/>
          <w:sz w:val="32"/>
          <w:szCs w:val="32"/>
        </w:rPr>
      </w:pPr>
    </w:p>
    <w:p w14:paraId="727D4658">
      <w:pPr>
        <w:spacing w:line="560" w:lineRule="exact"/>
        <w:ind w:firstLine="640" w:firstLineChars="200"/>
        <w:rPr>
          <w:rFonts w:hint="eastAsia" w:ascii="仿宋_GB2312" w:hAnsi="黑体" w:eastAsia="仿宋_GB2312" w:cs="宋体"/>
          <w:sz w:val="32"/>
          <w:szCs w:val="32"/>
        </w:rPr>
      </w:pPr>
    </w:p>
    <w:p w14:paraId="0CDCFFC2">
      <w:pPr>
        <w:spacing w:line="560" w:lineRule="exact"/>
        <w:ind w:firstLine="640" w:firstLineChars="200"/>
        <w:rPr>
          <w:rFonts w:hint="eastAsia" w:ascii="仿宋_GB2312" w:hAnsi="黑体" w:eastAsia="仿宋_GB2312" w:cs="宋体"/>
          <w:sz w:val="32"/>
          <w:szCs w:val="32"/>
        </w:rPr>
      </w:pPr>
    </w:p>
    <w:p w14:paraId="430C5CBD">
      <w:pPr>
        <w:spacing w:line="560" w:lineRule="exact"/>
        <w:ind w:firstLine="640" w:firstLineChars="200"/>
        <w:rPr>
          <w:rFonts w:hint="eastAsia" w:ascii="仿宋_GB2312" w:hAnsi="黑体" w:eastAsia="仿宋_GB2312" w:cs="宋体"/>
          <w:sz w:val="32"/>
          <w:szCs w:val="32"/>
        </w:rPr>
      </w:pPr>
    </w:p>
    <w:p w14:paraId="1F7EC116">
      <w:pPr>
        <w:spacing w:line="560" w:lineRule="exact"/>
        <w:ind w:firstLine="640" w:firstLineChars="200"/>
        <w:rPr>
          <w:rFonts w:hint="eastAsia" w:ascii="仿宋_GB2312" w:hAnsi="黑体" w:eastAsia="仿宋_GB2312" w:cs="宋体"/>
          <w:sz w:val="32"/>
          <w:szCs w:val="32"/>
        </w:rPr>
      </w:pPr>
    </w:p>
    <w:p w14:paraId="00F9680C">
      <w:pPr>
        <w:spacing w:line="560" w:lineRule="exact"/>
        <w:ind w:firstLine="640" w:firstLineChars="200"/>
        <w:rPr>
          <w:rFonts w:hint="eastAsia" w:ascii="仿宋_GB2312" w:hAnsi="黑体" w:eastAsia="仿宋_GB2312" w:cs="宋体"/>
          <w:sz w:val="32"/>
          <w:szCs w:val="32"/>
        </w:rPr>
      </w:pPr>
    </w:p>
    <w:p w14:paraId="548CDDF5">
      <w:pPr>
        <w:spacing w:line="560" w:lineRule="exact"/>
        <w:ind w:firstLine="640" w:firstLineChars="200"/>
        <w:rPr>
          <w:rFonts w:hint="eastAsia" w:ascii="仿宋_GB2312" w:hAnsi="黑体" w:eastAsia="仿宋_GB2312" w:cs="宋体"/>
          <w:sz w:val="32"/>
          <w:szCs w:val="32"/>
        </w:rPr>
      </w:pPr>
    </w:p>
    <w:p w14:paraId="3972BA59">
      <w:pPr>
        <w:snapToGrid w:val="0"/>
        <w:spacing w:line="240" w:lineRule="atLeast"/>
        <w:jc w:val="center"/>
        <w:rPr>
          <w:rFonts w:hint="eastAsia" w:ascii="黑体" w:eastAsia="黑体"/>
          <w:b/>
          <w:sz w:val="32"/>
          <w:szCs w:val="32"/>
        </w:rPr>
      </w:pPr>
      <w:bookmarkStart w:id="676" w:name="_Hlk218433441"/>
      <w:r>
        <w:rPr>
          <w:rFonts w:hint="eastAsia" w:ascii="黑体" w:eastAsia="黑体"/>
          <w:b/>
          <w:sz w:val="32"/>
          <w:szCs w:val="32"/>
        </w:rPr>
        <w:t>北京市永定河休闲森林公园园区</w:t>
      </w:r>
    </w:p>
    <w:p w14:paraId="19E73392">
      <w:pPr>
        <w:snapToGrid w:val="0"/>
        <w:spacing w:line="240" w:lineRule="atLeast"/>
        <w:jc w:val="center"/>
        <w:rPr>
          <w:rFonts w:hint="eastAsia" w:ascii="黑体" w:eastAsia="黑体"/>
          <w:b/>
          <w:sz w:val="30"/>
          <w:szCs w:val="30"/>
        </w:rPr>
      </w:pPr>
      <w:r>
        <w:rPr>
          <w:rFonts w:hint="eastAsia" w:ascii="黑体" w:eastAsia="黑体"/>
          <w:b/>
          <w:sz w:val="32"/>
          <w:szCs w:val="32"/>
        </w:rPr>
        <w:t>微消服务情况季度考核评分表</w:t>
      </w:r>
    </w:p>
    <w:p w14:paraId="60AA006E">
      <w:pPr>
        <w:snapToGrid w:val="0"/>
        <w:spacing w:line="240" w:lineRule="atLeast"/>
        <w:rPr>
          <w:rFonts w:hint="eastAsia"/>
          <w:sz w:val="24"/>
        </w:rPr>
      </w:pPr>
      <w:r>
        <w:rPr>
          <w:sz w:val="24"/>
        </w:rPr>
        <w:t xml:space="preserve">                             </w:t>
      </w:r>
      <w:r>
        <w:rPr>
          <w:rFonts w:hint="eastAsia"/>
          <w:sz w:val="24"/>
        </w:rPr>
        <w:t xml:space="preserve">                </w:t>
      </w:r>
    </w:p>
    <w:p w14:paraId="1FD763DD">
      <w:pPr>
        <w:snapToGrid w:val="0"/>
        <w:spacing w:line="240" w:lineRule="atLeast"/>
        <w:ind w:firstLine="5760" w:firstLineChars="2400"/>
        <w:rPr>
          <w:rFonts w:hint="eastAsia"/>
          <w:sz w:val="24"/>
        </w:rPr>
      </w:pPr>
      <w:r>
        <w:rPr>
          <w:rFonts w:hint="eastAsia"/>
          <w:sz w:val="24"/>
        </w:rPr>
        <w:t>考核时间：    月</w:t>
      </w:r>
      <w:r>
        <w:rPr>
          <w:sz w:val="24"/>
        </w:rPr>
        <w:t xml:space="preserve">  </w:t>
      </w:r>
      <w:r>
        <w:rPr>
          <w:rFonts w:hint="eastAsia"/>
          <w:sz w:val="24"/>
        </w:rPr>
        <w:t xml:space="preserve"> </w:t>
      </w:r>
      <w:r>
        <w:rPr>
          <w:sz w:val="24"/>
        </w:rPr>
        <w:t xml:space="preserve">  </w:t>
      </w:r>
      <w:r>
        <w:rPr>
          <w:rFonts w:hint="eastAsia"/>
          <w:sz w:val="24"/>
        </w:rPr>
        <w:t>日</w:t>
      </w:r>
    </w:p>
    <w:p w14:paraId="58977D8F">
      <w:pPr>
        <w:snapToGrid w:val="0"/>
        <w:spacing w:line="240" w:lineRule="atLeast"/>
        <w:rPr>
          <w:rFonts w:hint="eastAsia"/>
          <w:sz w:val="24"/>
        </w:rPr>
      </w:pPr>
    </w:p>
    <w:tbl>
      <w:tblPr>
        <w:tblStyle w:val="44"/>
        <w:tblpPr w:leftFromText="180" w:rightFromText="180" w:vertAnchor="text" w:horzAnchor="page" w:tblpX="1292" w:tblpY="32"/>
        <w:tblOverlap w:val="never"/>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943"/>
        <w:gridCol w:w="709"/>
        <w:gridCol w:w="5670"/>
        <w:gridCol w:w="850"/>
      </w:tblGrid>
      <w:tr w14:paraId="0A45F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008" w:type="dxa"/>
            <w:noWrap w:val="0"/>
            <w:vAlign w:val="center"/>
          </w:tcPr>
          <w:p w14:paraId="3DC95F2A">
            <w:pPr>
              <w:jc w:val="center"/>
              <w:rPr>
                <w:rFonts w:hint="eastAsia"/>
                <w:szCs w:val="21"/>
              </w:rPr>
            </w:pPr>
            <w:r>
              <w:rPr>
                <w:rFonts w:hint="eastAsia"/>
                <w:szCs w:val="21"/>
              </w:rPr>
              <w:t>项目类别</w:t>
            </w:r>
          </w:p>
        </w:tc>
        <w:tc>
          <w:tcPr>
            <w:tcW w:w="943" w:type="dxa"/>
            <w:noWrap w:val="0"/>
            <w:vAlign w:val="center"/>
          </w:tcPr>
          <w:p w14:paraId="221130B0">
            <w:pPr>
              <w:jc w:val="center"/>
              <w:rPr>
                <w:rFonts w:hint="eastAsia"/>
                <w:szCs w:val="21"/>
              </w:rPr>
            </w:pPr>
            <w:r>
              <w:rPr>
                <w:rFonts w:hint="eastAsia"/>
                <w:szCs w:val="21"/>
              </w:rPr>
              <w:t>项目总分值</w:t>
            </w:r>
          </w:p>
        </w:tc>
        <w:tc>
          <w:tcPr>
            <w:tcW w:w="709" w:type="dxa"/>
            <w:noWrap w:val="0"/>
            <w:vAlign w:val="top"/>
          </w:tcPr>
          <w:p w14:paraId="0D0CE8FF">
            <w:pPr>
              <w:jc w:val="center"/>
              <w:rPr>
                <w:rFonts w:hint="eastAsia"/>
                <w:szCs w:val="21"/>
              </w:rPr>
            </w:pPr>
            <w:r>
              <w:rPr>
                <w:rFonts w:hint="eastAsia"/>
                <w:szCs w:val="21"/>
              </w:rPr>
              <w:t>小项分值</w:t>
            </w:r>
          </w:p>
        </w:tc>
        <w:tc>
          <w:tcPr>
            <w:tcW w:w="5670" w:type="dxa"/>
            <w:noWrap w:val="0"/>
            <w:vAlign w:val="top"/>
          </w:tcPr>
          <w:p w14:paraId="1C3AD621">
            <w:pPr>
              <w:spacing w:line="600" w:lineRule="auto"/>
              <w:jc w:val="center"/>
              <w:rPr>
                <w:rFonts w:hint="eastAsia"/>
                <w:szCs w:val="21"/>
              </w:rPr>
            </w:pPr>
            <w:r>
              <w:rPr>
                <w:rFonts w:hint="eastAsia"/>
                <w:szCs w:val="21"/>
              </w:rPr>
              <w:t>评分标准</w:t>
            </w:r>
          </w:p>
        </w:tc>
        <w:tc>
          <w:tcPr>
            <w:tcW w:w="850" w:type="dxa"/>
            <w:noWrap w:val="0"/>
            <w:vAlign w:val="top"/>
          </w:tcPr>
          <w:p w14:paraId="2962228D">
            <w:pPr>
              <w:spacing w:line="600" w:lineRule="auto"/>
              <w:jc w:val="center"/>
              <w:rPr>
                <w:szCs w:val="21"/>
              </w:rPr>
            </w:pPr>
            <w:r>
              <w:rPr>
                <w:rFonts w:hint="eastAsia"/>
                <w:szCs w:val="21"/>
              </w:rPr>
              <w:t>得分</w:t>
            </w:r>
          </w:p>
        </w:tc>
      </w:tr>
      <w:tr w14:paraId="1FDF8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008" w:type="dxa"/>
            <w:vMerge w:val="restart"/>
            <w:noWrap w:val="0"/>
            <w:vAlign w:val="center"/>
          </w:tcPr>
          <w:p w14:paraId="529A2DF5">
            <w:pPr>
              <w:jc w:val="center"/>
              <w:rPr>
                <w:szCs w:val="21"/>
              </w:rPr>
            </w:pPr>
            <w:r>
              <w:rPr>
                <w:rFonts w:hint="eastAsia"/>
                <w:szCs w:val="21"/>
              </w:rPr>
              <w:t>人员上岗情况</w:t>
            </w:r>
          </w:p>
        </w:tc>
        <w:tc>
          <w:tcPr>
            <w:tcW w:w="943" w:type="dxa"/>
            <w:vMerge w:val="restart"/>
            <w:noWrap w:val="0"/>
            <w:vAlign w:val="center"/>
          </w:tcPr>
          <w:p w14:paraId="0FDE5639">
            <w:pPr>
              <w:jc w:val="center"/>
              <w:rPr>
                <w:szCs w:val="21"/>
              </w:rPr>
            </w:pPr>
            <w:r>
              <w:rPr>
                <w:rFonts w:hint="eastAsia"/>
                <w:szCs w:val="21"/>
              </w:rPr>
              <w:t>20</w:t>
            </w:r>
          </w:p>
        </w:tc>
        <w:tc>
          <w:tcPr>
            <w:tcW w:w="709" w:type="dxa"/>
            <w:noWrap w:val="0"/>
            <w:vAlign w:val="top"/>
          </w:tcPr>
          <w:p w14:paraId="78FA7016">
            <w:pPr>
              <w:jc w:val="center"/>
              <w:rPr>
                <w:szCs w:val="21"/>
              </w:rPr>
            </w:pPr>
            <w:r>
              <w:rPr>
                <w:rFonts w:hint="eastAsia"/>
                <w:szCs w:val="21"/>
              </w:rPr>
              <w:t>5</w:t>
            </w:r>
          </w:p>
        </w:tc>
        <w:tc>
          <w:tcPr>
            <w:tcW w:w="5670" w:type="dxa"/>
            <w:noWrap w:val="0"/>
            <w:vAlign w:val="top"/>
          </w:tcPr>
          <w:p w14:paraId="715F0DC6">
            <w:pPr>
              <w:spacing w:line="360" w:lineRule="auto"/>
              <w:jc w:val="center"/>
              <w:rPr>
                <w:rFonts w:hint="eastAsia"/>
                <w:szCs w:val="21"/>
              </w:rPr>
            </w:pPr>
            <w:r>
              <w:rPr>
                <w:rFonts w:hint="eastAsia"/>
                <w:szCs w:val="21"/>
              </w:rPr>
              <w:t>人员上岗率高。保安缺员时，能及时补充到位</w:t>
            </w:r>
          </w:p>
        </w:tc>
        <w:tc>
          <w:tcPr>
            <w:tcW w:w="850" w:type="dxa"/>
            <w:noWrap w:val="0"/>
            <w:vAlign w:val="top"/>
          </w:tcPr>
          <w:p w14:paraId="36D33CA3">
            <w:pPr>
              <w:jc w:val="center"/>
              <w:rPr>
                <w:szCs w:val="21"/>
              </w:rPr>
            </w:pPr>
          </w:p>
        </w:tc>
      </w:tr>
      <w:tr w14:paraId="58D21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008" w:type="dxa"/>
            <w:vMerge w:val="continue"/>
            <w:noWrap w:val="0"/>
            <w:vAlign w:val="center"/>
          </w:tcPr>
          <w:p w14:paraId="3BC50E3D">
            <w:pPr>
              <w:jc w:val="center"/>
              <w:rPr>
                <w:szCs w:val="21"/>
              </w:rPr>
            </w:pPr>
          </w:p>
        </w:tc>
        <w:tc>
          <w:tcPr>
            <w:tcW w:w="943" w:type="dxa"/>
            <w:vMerge w:val="continue"/>
            <w:noWrap w:val="0"/>
            <w:vAlign w:val="center"/>
          </w:tcPr>
          <w:p w14:paraId="7D83874B">
            <w:pPr>
              <w:jc w:val="center"/>
              <w:rPr>
                <w:szCs w:val="21"/>
              </w:rPr>
            </w:pPr>
          </w:p>
        </w:tc>
        <w:tc>
          <w:tcPr>
            <w:tcW w:w="709" w:type="dxa"/>
            <w:noWrap w:val="0"/>
            <w:vAlign w:val="top"/>
          </w:tcPr>
          <w:p w14:paraId="5A3B2B1B">
            <w:pPr>
              <w:jc w:val="center"/>
              <w:rPr>
                <w:rFonts w:hint="eastAsia"/>
                <w:szCs w:val="21"/>
              </w:rPr>
            </w:pPr>
            <w:r>
              <w:rPr>
                <w:rFonts w:hint="eastAsia"/>
                <w:szCs w:val="21"/>
              </w:rPr>
              <w:t>5</w:t>
            </w:r>
          </w:p>
        </w:tc>
        <w:tc>
          <w:tcPr>
            <w:tcW w:w="5670" w:type="dxa"/>
            <w:noWrap w:val="0"/>
            <w:vAlign w:val="top"/>
          </w:tcPr>
          <w:p w14:paraId="730D0C2C">
            <w:pPr>
              <w:spacing w:line="360" w:lineRule="auto"/>
              <w:jc w:val="center"/>
              <w:rPr>
                <w:szCs w:val="21"/>
              </w:rPr>
            </w:pPr>
            <w:r>
              <w:rPr>
                <w:rFonts w:hint="eastAsia"/>
                <w:szCs w:val="21"/>
              </w:rPr>
              <w:t>微消队员持证上岗，日常训练、出操情况</w:t>
            </w:r>
          </w:p>
        </w:tc>
        <w:tc>
          <w:tcPr>
            <w:tcW w:w="850" w:type="dxa"/>
            <w:noWrap w:val="0"/>
            <w:vAlign w:val="top"/>
          </w:tcPr>
          <w:p w14:paraId="5CB0127B">
            <w:pPr>
              <w:jc w:val="center"/>
              <w:rPr>
                <w:szCs w:val="21"/>
              </w:rPr>
            </w:pPr>
          </w:p>
        </w:tc>
      </w:tr>
      <w:tr w14:paraId="05908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008" w:type="dxa"/>
            <w:vMerge w:val="continue"/>
            <w:noWrap w:val="0"/>
            <w:vAlign w:val="center"/>
          </w:tcPr>
          <w:p w14:paraId="447A56AD">
            <w:pPr>
              <w:jc w:val="center"/>
              <w:rPr>
                <w:szCs w:val="21"/>
              </w:rPr>
            </w:pPr>
          </w:p>
        </w:tc>
        <w:tc>
          <w:tcPr>
            <w:tcW w:w="943" w:type="dxa"/>
            <w:vMerge w:val="continue"/>
            <w:noWrap w:val="0"/>
            <w:vAlign w:val="center"/>
          </w:tcPr>
          <w:p w14:paraId="65F7F2FB">
            <w:pPr>
              <w:jc w:val="center"/>
              <w:rPr>
                <w:szCs w:val="21"/>
              </w:rPr>
            </w:pPr>
          </w:p>
        </w:tc>
        <w:tc>
          <w:tcPr>
            <w:tcW w:w="709" w:type="dxa"/>
            <w:noWrap w:val="0"/>
            <w:vAlign w:val="top"/>
          </w:tcPr>
          <w:p w14:paraId="32D5F53F">
            <w:pPr>
              <w:jc w:val="center"/>
              <w:rPr>
                <w:szCs w:val="21"/>
              </w:rPr>
            </w:pPr>
            <w:r>
              <w:rPr>
                <w:rFonts w:hint="eastAsia"/>
                <w:szCs w:val="21"/>
              </w:rPr>
              <w:t>5</w:t>
            </w:r>
          </w:p>
        </w:tc>
        <w:tc>
          <w:tcPr>
            <w:tcW w:w="5670" w:type="dxa"/>
            <w:noWrap w:val="0"/>
            <w:vAlign w:val="top"/>
          </w:tcPr>
          <w:p w14:paraId="4CBB844C">
            <w:pPr>
              <w:spacing w:line="360" w:lineRule="auto"/>
              <w:jc w:val="center"/>
              <w:rPr>
                <w:rFonts w:hint="eastAsia"/>
                <w:szCs w:val="21"/>
              </w:rPr>
            </w:pPr>
            <w:r>
              <w:rPr>
                <w:rFonts w:hint="eastAsia"/>
                <w:szCs w:val="21"/>
              </w:rPr>
              <w:t>按时上岗、不迟到、不做与工作无关的事</w:t>
            </w:r>
          </w:p>
        </w:tc>
        <w:tc>
          <w:tcPr>
            <w:tcW w:w="850" w:type="dxa"/>
            <w:noWrap w:val="0"/>
            <w:vAlign w:val="top"/>
          </w:tcPr>
          <w:p w14:paraId="511A43F9">
            <w:pPr>
              <w:jc w:val="center"/>
              <w:rPr>
                <w:szCs w:val="21"/>
              </w:rPr>
            </w:pPr>
          </w:p>
        </w:tc>
      </w:tr>
      <w:tr w14:paraId="45D6F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008" w:type="dxa"/>
            <w:vMerge w:val="continue"/>
            <w:noWrap w:val="0"/>
            <w:vAlign w:val="center"/>
          </w:tcPr>
          <w:p w14:paraId="5D92813F">
            <w:pPr>
              <w:jc w:val="center"/>
              <w:rPr>
                <w:szCs w:val="21"/>
              </w:rPr>
            </w:pPr>
          </w:p>
        </w:tc>
        <w:tc>
          <w:tcPr>
            <w:tcW w:w="943" w:type="dxa"/>
            <w:vMerge w:val="continue"/>
            <w:noWrap w:val="0"/>
            <w:vAlign w:val="center"/>
          </w:tcPr>
          <w:p w14:paraId="41C3F800">
            <w:pPr>
              <w:jc w:val="center"/>
              <w:rPr>
                <w:szCs w:val="21"/>
              </w:rPr>
            </w:pPr>
          </w:p>
        </w:tc>
        <w:tc>
          <w:tcPr>
            <w:tcW w:w="709" w:type="dxa"/>
            <w:noWrap w:val="0"/>
            <w:vAlign w:val="top"/>
          </w:tcPr>
          <w:p w14:paraId="1A1DCF5B">
            <w:pPr>
              <w:jc w:val="center"/>
              <w:rPr>
                <w:rFonts w:hint="eastAsia"/>
                <w:szCs w:val="21"/>
              </w:rPr>
            </w:pPr>
            <w:r>
              <w:rPr>
                <w:rFonts w:hint="eastAsia"/>
                <w:szCs w:val="21"/>
              </w:rPr>
              <w:t>5</w:t>
            </w:r>
          </w:p>
        </w:tc>
        <w:tc>
          <w:tcPr>
            <w:tcW w:w="5670" w:type="dxa"/>
            <w:noWrap w:val="0"/>
            <w:vAlign w:val="top"/>
          </w:tcPr>
          <w:p w14:paraId="1DB7C19B">
            <w:pPr>
              <w:spacing w:line="360" w:lineRule="auto"/>
              <w:jc w:val="center"/>
              <w:rPr>
                <w:szCs w:val="21"/>
              </w:rPr>
            </w:pPr>
            <w:r>
              <w:rPr>
                <w:rFonts w:hint="eastAsia"/>
                <w:szCs w:val="21"/>
              </w:rPr>
              <w:t>服装规范整洁、精神面貌和</w:t>
            </w:r>
            <w:r>
              <w:rPr>
                <w:rFonts w:hint="eastAsia"/>
                <w:color w:val="000000"/>
                <w:szCs w:val="21"/>
              </w:rPr>
              <w:t>个人卫生</w:t>
            </w:r>
            <w:r>
              <w:rPr>
                <w:rFonts w:hint="eastAsia"/>
                <w:szCs w:val="21"/>
              </w:rPr>
              <w:t>好、仪表大方</w:t>
            </w:r>
          </w:p>
        </w:tc>
        <w:tc>
          <w:tcPr>
            <w:tcW w:w="850" w:type="dxa"/>
            <w:noWrap w:val="0"/>
            <w:vAlign w:val="top"/>
          </w:tcPr>
          <w:p w14:paraId="09DFF53B">
            <w:pPr>
              <w:jc w:val="center"/>
              <w:rPr>
                <w:szCs w:val="21"/>
              </w:rPr>
            </w:pPr>
          </w:p>
        </w:tc>
      </w:tr>
      <w:tr w14:paraId="0F434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008" w:type="dxa"/>
            <w:vMerge w:val="restart"/>
            <w:noWrap w:val="0"/>
            <w:vAlign w:val="center"/>
          </w:tcPr>
          <w:p w14:paraId="3DFF586B">
            <w:pPr>
              <w:jc w:val="center"/>
              <w:rPr>
                <w:szCs w:val="21"/>
              </w:rPr>
            </w:pPr>
            <w:r>
              <w:rPr>
                <w:rFonts w:hint="eastAsia"/>
                <w:szCs w:val="21"/>
              </w:rPr>
              <w:t>岗位工作情况</w:t>
            </w:r>
          </w:p>
        </w:tc>
        <w:tc>
          <w:tcPr>
            <w:tcW w:w="943" w:type="dxa"/>
            <w:vMerge w:val="restart"/>
            <w:noWrap w:val="0"/>
            <w:vAlign w:val="center"/>
          </w:tcPr>
          <w:p w14:paraId="30A9156E">
            <w:pPr>
              <w:jc w:val="center"/>
              <w:rPr>
                <w:rFonts w:hint="eastAsia"/>
                <w:szCs w:val="21"/>
              </w:rPr>
            </w:pPr>
            <w:r>
              <w:rPr>
                <w:rFonts w:hint="eastAsia"/>
                <w:szCs w:val="21"/>
              </w:rPr>
              <w:t>20</w:t>
            </w:r>
          </w:p>
        </w:tc>
        <w:tc>
          <w:tcPr>
            <w:tcW w:w="709" w:type="dxa"/>
            <w:noWrap w:val="0"/>
            <w:vAlign w:val="top"/>
          </w:tcPr>
          <w:p w14:paraId="5AC2124E">
            <w:pPr>
              <w:jc w:val="center"/>
              <w:rPr>
                <w:rFonts w:hint="eastAsia"/>
                <w:szCs w:val="21"/>
              </w:rPr>
            </w:pPr>
            <w:r>
              <w:rPr>
                <w:rFonts w:hint="eastAsia"/>
                <w:szCs w:val="21"/>
              </w:rPr>
              <w:t>5</w:t>
            </w:r>
          </w:p>
        </w:tc>
        <w:tc>
          <w:tcPr>
            <w:tcW w:w="5670" w:type="dxa"/>
            <w:noWrap w:val="0"/>
            <w:vAlign w:val="center"/>
          </w:tcPr>
          <w:p w14:paraId="76078E7A">
            <w:pPr>
              <w:spacing w:line="360" w:lineRule="auto"/>
              <w:jc w:val="center"/>
              <w:rPr>
                <w:rFonts w:ascii="宋体" w:hAnsi="宋体" w:cs="宋体"/>
                <w:color w:val="000000"/>
                <w:szCs w:val="21"/>
              </w:rPr>
            </w:pPr>
            <w:r>
              <w:rPr>
                <w:rFonts w:hint="eastAsia"/>
                <w:color w:val="000000"/>
                <w:szCs w:val="21"/>
              </w:rPr>
              <w:t>做好负责区域的森林防火工作，服从指挥，讲礼貌</w:t>
            </w:r>
          </w:p>
        </w:tc>
        <w:tc>
          <w:tcPr>
            <w:tcW w:w="850" w:type="dxa"/>
            <w:noWrap w:val="0"/>
            <w:vAlign w:val="top"/>
          </w:tcPr>
          <w:p w14:paraId="5388291D">
            <w:pPr>
              <w:jc w:val="center"/>
              <w:rPr>
                <w:szCs w:val="21"/>
              </w:rPr>
            </w:pPr>
          </w:p>
        </w:tc>
      </w:tr>
      <w:tr w14:paraId="2236C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008" w:type="dxa"/>
            <w:vMerge w:val="continue"/>
            <w:noWrap w:val="0"/>
            <w:vAlign w:val="center"/>
          </w:tcPr>
          <w:p w14:paraId="73D88076">
            <w:pPr>
              <w:jc w:val="center"/>
              <w:rPr>
                <w:szCs w:val="21"/>
              </w:rPr>
            </w:pPr>
          </w:p>
        </w:tc>
        <w:tc>
          <w:tcPr>
            <w:tcW w:w="943" w:type="dxa"/>
            <w:vMerge w:val="continue"/>
            <w:noWrap w:val="0"/>
            <w:vAlign w:val="center"/>
          </w:tcPr>
          <w:p w14:paraId="02CB7141">
            <w:pPr>
              <w:jc w:val="center"/>
              <w:rPr>
                <w:szCs w:val="21"/>
              </w:rPr>
            </w:pPr>
          </w:p>
        </w:tc>
        <w:tc>
          <w:tcPr>
            <w:tcW w:w="709" w:type="dxa"/>
            <w:noWrap w:val="0"/>
            <w:vAlign w:val="top"/>
          </w:tcPr>
          <w:p w14:paraId="6FD55BDF">
            <w:pPr>
              <w:jc w:val="center"/>
              <w:rPr>
                <w:rFonts w:hint="eastAsia"/>
                <w:szCs w:val="21"/>
              </w:rPr>
            </w:pPr>
            <w:r>
              <w:rPr>
                <w:rFonts w:hint="eastAsia"/>
                <w:szCs w:val="21"/>
              </w:rPr>
              <w:t>5</w:t>
            </w:r>
          </w:p>
        </w:tc>
        <w:tc>
          <w:tcPr>
            <w:tcW w:w="5670" w:type="dxa"/>
            <w:noWrap w:val="0"/>
            <w:vAlign w:val="center"/>
          </w:tcPr>
          <w:p w14:paraId="16CF6D91">
            <w:pPr>
              <w:spacing w:line="360" w:lineRule="auto"/>
              <w:jc w:val="center"/>
              <w:rPr>
                <w:rFonts w:hint="eastAsia"/>
                <w:color w:val="000000"/>
                <w:szCs w:val="21"/>
              </w:rPr>
            </w:pPr>
            <w:r>
              <w:rPr>
                <w:rFonts w:hint="eastAsia"/>
                <w:color w:val="000000"/>
                <w:szCs w:val="21"/>
              </w:rPr>
              <w:t>防火巡查情况</w:t>
            </w:r>
          </w:p>
        </w:tc>
        <w:tc>
          <w:tcPr>
            <w:tcW w:w="850" w:type="dxa"/>
            <w:noWrap w:val="0"/>
            <w:vAlign w:val="top"/>
          </w:tcPr>
          <w:p w14:paraId="5D69E0C3">
            <w:pPr>
              <w:jc w:val="center"/>
              <w:rPr>
                <w:szCs w:val="21"/>
              </w:rPr>
            </w:pPr>
          </w:p>
        </w:tc>
      </w:tr>
      <w:tr w14:paraId="56D21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008" w:type="dxa"/>
            <w:vMerge w:val="continue"/>
            <w:noWrap w:val="0"/>
            <w:vAlign w:val="center"/>
          </w:tcPr>
          <w:p w14:paraId="4F820D96">
            <w:pPr>
              <w:jc w:val="center"/>
              <w:rPr>
                <w:szCs w:val="21"/>
              </w:rPr>
            </w:pPr>
          </w:p>
        </w:tc>
        <w:tc>
          <w:tcPr>
            <w:tcW w:w="943" w:type="dxa"/>
            <w:vMerge w:val="continue"/>
            <w:noWrap w:val="0"/>
            <w:vAlign w:val="center"/>
          </w:tcPr>
          <w:p w14:paraId="7A638617">
            <w:pPr>
              <w:jc w:val="center"/>
              <w:rPr>
                <w:szCs w:val="21"/>
              </w:rPr>
            </w:pPr>
          </w:p>
        </w:tc>
        <w:tc>
          <w:tcPr>
            <w:tcW w:w="709" w:type="dxa"/>
            <w:noWrap w:val="0"/>
            <w:vAlign w:val="top"/>
          </w:tcPr>
          <w:p w14:paraId="19AF0E1E">
            <w:pPr>
              <w:jc w:val="center"/>
              <w:rPr>
                <w:rFonts w:hint="eastAsia"/>
                <w:szCs w:val="21"/>
              </w:rPr>
            </w:pPr>
            <w:r>
              <w:rPr>
                <w:rFonts w:hint="eastAsia"/>
                <w:szCs w:val="21"/>
              </w:rPr>
              <w:t>5</w:t>
            </w:r>
          </w:p>
        </w:tc>
        <w:tc>
          <w:tcPr>
            <w:tcW w:w="5670" w:type="dxa"/>
            <w:noWrap w:val="0"/>
            <w:vAlign w:val="center"/>
          </w:tcPr>
          <w:p w14:paraId="462B6140">
            <w:pPr>
              <w:spacing w:line="360" w:lineRule="auto"/>
              <w:jc w:val="center"/>
              <w:rPr>
                <w:rFonts w:ascii="宋体" w:hAnsi="宋体" w:cs="宋体"/>
                <w:color w:val="000000"/>
                <w:szCs w:val="21"/>
              </w:rPr>
            </w:pPr>
            <w:r>
              <w:rPr>
                <w:rFonts w:hint="eastAsia"/>
                <w:color w:val="000000"/>
                <w:szCs w:val="21"/>
              </w:rPr>
              <w:t>服务态度好，使用文明用语，无游客投诉现象</w:t>
            </w:r>
          </w:p>
        </w:tc>
        <w:tc>
          <w:tcPr>
            <w:tcW w:w="850" w:type="dxa"/>
            <w:noWrap w:val="0"/>
            <w:vAlign w:val="top"/>
          </w:tcPr>
          <w:p w14:paraId="2D037A26">
            <w:pPr>
              <w:jc w:val="center"/>
              <w:rPr>
                <w:szCs w:val="21"/>
              </w:rPr>
            </w:pPr>
          </w:p>
        </w:tc>
      </w:tr>
      <w:tr w14:paraId="2EB68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008" w:type="dxa"/>
            <w:vMerge w:val="continue"/>
            <w:noWrap w:val="0"/>
            <w:vAlign w:val="center"/>
          </w:tcPr>
          <w:p w14:paraId="26BAEAFF">
            <w:pPr>
              <w:jc w:val="center"/>
              <w:rPr>
                <w:szCs w:val="21"/>
              </w:rPr>
            </w:pPr>
          </w:p>
        </w:tc>
        <w:tc>
          <w:tcPr>
            <w:tcW w:w="943" w:type="dxa"/>
            <w:vMerge w:val="continue"/>
            <w:noWrap w:val="0"/>
            <w:vAlign w:val="center"/>
          </w:tcPr>
          <w:p w14:paraId="57D20AC2">
            <w:pPr>
              <w:jc w:val="center"/>
              <w:rPr>
                <w:szCs w:val="21"/>
              </w:rPr>
            </w:pPr>
          </w:p>
        </w:tc>
        <w:tc>
          <w:tcPr>
            <w:tcW w:w="709" w:type="dxa"/>
            <w:noWrap w:val="0"/>
            <w:vAlign w:val="top"/>
          </w:tcPr>
          <w:p w14:paraId="0D46BF80">
            <w:pPr>
              <w:jc w:val="center"/>
              <w:rPr>
                <w:rFonts w:hint="eastAsia"/>
                <w:szCs w:val="21"/>
              </w:rPr>
            </w:pPr>
            <w:r>
              <w:rPr>
                <w:rFonts w:hint="eastAsia"/>
                <w:szCs w:val="21"/>
              </w:rPr>
              <w:t>5</w:t>
            </w:r>
          </w:p>
        </w:tc>
        <w:tc>
          <w:tcPr>
            <w:tcW w:w="5670" w:type="dxa"/>
            <w:noWrap w:val="0"/>
            <w:vAlign w:val="center"/>
          </w:tcPr>
          <w:p w14:paraId="369798F2">
            <w:pPr>
              <w:spacing w:line="360" w:lineRule="auto"/>
              <w:jc w:val="center"/>
              <w:rPr>
                <w:rFonts w:ascii="宋体" w:hAnsi="宋体" w:cs="宋体"/>
                <w:color w:val="000000"/>
                <w:szCs w:val="21"/>
              </w:rPr>
            </w:pPr>
            <w:r>
              <w:rPr>
                <w:rFonts w:hint="eastAsia"/>
                <w:color w:val="000000"/>
                <w:szCs w:val="21"/>
              </w:rPr>
              <w:t>按时巡逻，查找隐患，打点不遗漏，保障园内安全有序</w:t>
            </w:r>
          </w:p>
        </w:tc>
        <w:tc>
          <w:tcPr>
            <w:tcW w:w="850" w:type="dxa"/>
            <w:noWrap w:val="0"/>
            <w:vAlign w:val="top"/>
          </w:tcPr>
          <w:p w14:paraId="047D9686">
            <w:pPr>
              <w:jc w:val="center"/>
              <w:rPr>
                <w:szCs w:val="21"/>
              </w:rPr>
            </w:pPr>
          </w:p>
        </w:tc>
      </w:tr>
      <w:tr w14:paraId="66245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008" w:type="dxa"/>
            <w:vMerge w:val="restart"/>
            <w:noWrap w:val="0"/>
            <w:vAlign w:val="center"/>
          </w:tcPr>
          <w:p w14:paraId="78EF1C04">
            <w:pPr>
              <w:jc w:val="center"/>
              <w:rPr>
                <w:szCs w:val="21"/>
              </w:rPr>
            </w:pPr>
            <w:r>
              <w:rPr>
                <w:rFonts w:hint="eastAsia"/>
                <w:szCs w:val="21"/>
              </w:rPr>
              <w:t>安全防护情况</w:t>
            </w:r>
          </w:p>
        </w:tc>
        <w:tc>
          <w:tcPr>
            <w:tcW w:w="943" w:type="dxa"/>
            <w:vMerge w:val="restart"/>
            <w:noWrap w:val="0"/>
            <w:vAlign w:val="center"/>
          </w:tcPr>
          <w:p w14:paraId="5B39547A">
            <w:pPr>
              <w:jc w:val="center"/>
              <w:rPr>
                <w:szCs w:val="21"/>
              </w:rPr>
            </w:pPr>
            <w:r>
              <w:rPr>
                <w:rFonts w:hint="eastAsia"/>
                <w:szCs w:val="21"/>
              </w:rPr>
              <w:t>20</w:t>
            </w:r>
          </w:p>
        </w:tc>
        <w:tc>
          <w:tcPr>
            <w:tcW w:w="709" w:type="dxa"/>
            <w:noWrap w:val="0"/>
            <w:vAlign w:val="top"/>
          </w:tcPr>
          <w:p w14:paraId="1C75080F">
            <w:pPr>
              <w:jc w:val="center"/>
              <w:rPr>
                <w:szCs w:val="21"/>
              </w:rPr>
            </w:pPr>
            <w:r>
              <w:rPr>
                <w:rFonts w:hint="eastAsia"/>
                <w:szCs w:val="21"/>
              </w:rPr>
              <w:t>5</w:t>
            </w:r>
          </w:p>
        </w:tc>
        <w:tc>
          <w:tcPr>
            <w:tcW w:w="5670" w:type="dxa"/>
            <w:noWrap w:val="0"/>
            <w:vAlign w:val="center"/>
          </w:tcPr>
          <w:p w14:paraId="6BB05E25">
            <w:pPr>
              <w:spacing w:line="360" w:lineRule="auto"/>
              <w:jc w:val="center"/>
              <w:rPr>
                <w:rFonts w:hint="eastAsia" w:ascii="宋体" w:hAnsi="宋体" w:cs="宋体"/>
                <w:color w:val="000000"/>
                <w:szCs w:val="21"/>
              </w:rPr>
            </w:pPr>
            <w:r>
              <w:rPr>
                <w:rFonts w:hint="eastAsia"/>
                <w:color w:val="000000"/>
                <w:szCs w:val="21"/>
              </w:rPr>
              <w:t>对违反公园规定、违法乱纪的现象及时制止</w:t>
            </w:r>
          </w:p>
        </w:tc>
        <w:tc>
          <w:tcPr>
            <w:tcW w:w="850" w:type="dxa"/>
            <w:noWrap w:val="0"/>
            <w:vAlign w:val="top"/>
          </w:tcPr>
          <w:p w14:paraId="0CA35376">
            <w:pPr>
              <w:jc w:val="center"/>
              <w:rPr>
                <w:szCs w:val="21"/>
              </w:rPr>
            </w:pPr>
          </w:p>
        </w:tc>
      </w:tr>
      <w:tr w14:paraId="3A036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008" w:type="dxa"/>
            <w:vMerge w:val="continue"/>
            <w:noWrap w:val="0"/>
            <w:vAlign w:val="top"/>
          </w:tcPr>
          <w:p w14:paraId="10FE39C4">
            <w:pPr>
              <w:jc w:val="center"/>
              <w:rPr>
                <w:szCs w:val="21"/>
              </w:rPr>
            </w:pPr>
          </w:p>
        </w:tc>
        <w:tc>
          <w:tcPr>
            <w:tcW w:w="943" w:type="dxa"/>
            <w:vMerge w:val="continue"/>
            <w:noWrap w:val="0"/>
            <w:vAlign w:val="top"/>
          </w:tcPr>
          <w:p w14:paraId="342B1BF4">
            <w:pPr>
              <w:jc w:val="center"/>
              <w:rPr>
                <w:szCs w:val="21"/>
              </w:rPr>
            </w:pPr>
          </w:p>
        </w:tc>
        <w:tc>
          <w:tcPr>
            <w:tcW w:w="709" w:type="dxa"/>
            <w:noWrap w:val="0"/>
            <w:vAlign w:val="top"/>
          </w:tcPr>
          <w:p w14:paraId="581EEC61">
            <w:pPr>
              <w:jc w:val="center"/>
              <w:rPr>
                <w:rFonts w:hint="eastAsia"/>
                <w:szCs w:val="21"/>
              </w:rPr>
            </w:pPr>
            <w:r>
              <w:rPr>
                <w:rFonts w:hint="eastAsia"/>
                <w:szCs w:val="21"/>
              </w:rPr>
              <w:t>5</w:t>
            </w:r>
          </w:p>
        </w:tc>
        <w:tc>
          <w:tcPr>
            <w:tcW w:w="5670" w:type="dxa"/>
            <w:noWrap w:val="0"/>
            <w:vAlign w:val="center"/>
          </w:tcPr>
          <w:p w14:paraId="0A719005">
            <w:pPr>
              <w:spacing w:line="360" w:lineRule="auto"/>
              <w:jc w:val="center"/>
              <w:rPr>
                <w:rFonts w:hint="eastAsia" w:ascii="宋体" w:hAnsi="宋体" w:cs="宋体"/>
                <w:color w:val="000000"/>
                <w:szCs w:val="21"/>
              </w:rPr>
            </w:pPr>
            <w:r>
              <w:rPr>
                <w:rFonts w:hint="eastAsia"/>
                <w:color w:val="000000"/>
                <w:szCs w:val="21"/>
              </w:rPr>
              <w:t>观察发现不明人员或隐患后、及时问询处置上报</w:t>
            </w:r>
          </w:p>
        </w:tc>
        <w:tc>
          <w:tcPr>
            <w:tcW w:w="850" w:type="dxa"/>
            <w:noWrap w:val="0"/>
            <w:vAlign w:val="top"/>
          </w:tcPr>
          <w:p w14:paraId="249F4DE9">
            <w:pPr>
              <w:jc w:val="center"/>
              <w:rPr>
                <w:szCs w:val="21"/>
              </w:rPr>
            </w:pPr>
          </w:p>
        </w:tc>
      </w:tr>
      <w:tr w14:paraId="4048C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008" w:type="dxa"/>
            <w:vMerge w:val="continue"/>
            <w:noWrap w:val="0"/>
            <w:vAlign w:val="top"/>
          </w:tcPr>
          <w:p w14:paraId="00C83FB7">
            <w:pPr>
              <w:jc w:val="center"/>
              <w:rPr>
                <w:szCs w:val="21"/>
              </w:rPr>
            </w:pPr>
          </w:p>
        </w:tc>
        <w:tc>
          <w:tcPr>
            <w:tcW w:w="943" w:type="dxa"/>
            <w:vMerge w:val="continue"/>
            <w:noWrap w:val="0"/>
            <w:vAlign w:val="top"/>
          </w:tcPr>
          <w:p w14:paraId="47FE79AA">
            <w:pPr>
              <w:jc w:val="center"/>
              <w:rPr>
                <w:szCs w:val="21"/>
              </w:rPr>
            </w:pPr>
          </w:p>
        </w:tc>
        <w:tc>
          <w:tcPr>
            <w:tcW w:w="709" w:type="dxa"/>
            <w:noWrap w:val="0"/>
            <w:vAlign w:val="top"/>
          </w:tcPr>
          <w:p w14:paraId="08E63D23">
            <w:pPr>
              <w:jc w:val="center"/>
              <w:rPr>
                <w:rFonts w:hint="eastAsia"/>
                <w:szCs w:val="21"/>
              </w:rPr>
            </w:pPr>
            <w:r>
              <w:rPr>
                <w:rFonts w:hint="eastAsia"/>
                <w:szCs w:val="21"/>
              </w:rPr>
              <w:t>5</w:t>
            </w:r>
          </w:p>
        </w:tc>
        <w:tc>
          <w:tcPr>
            <w:tcW w:w="5670" w:type="dxa"/>
            <w:noWrap w:val="0"/>
            <w:vAlign w:val="center"/>
          </w:tcPr>
          <w:p w14:paraId="25E7E2E8">
            <w:pPr>
              <w:spacing w:line="360" w:lineRule="auto"/>
              <w:jc w:val="center"/>
              <w:rPr>
                <w:rFonts w:hint="eastAsia" w:ascii="宋体" w:hAnsi="宋体" w:cs="宋体"/>
                <w:color w:val="000000"/>
                <w:szCs w:val="21"/>
              </w:rPr>
            </w:pPr>
            <w:r>
              <w:rPr>
                <w:rFonts w:hint="eastAsia"/>
                <w:color w:val="000000"/>
                <w:szCs w:val="21"/>
              </w:rPr>
              <w:t>接受相关部门的安全防火、防汛查岗和巡视情况</w:t>
            </w:r>
          </w:p>
        </w:tc>
        <w:tc>
          <w:tcPr>
            <w:tcW w:w="850" w:type="dxa"/>
            <w:noWrap w:val="0"/>
            <w:vAlign w:val="top"/>
          </w:tcPr>
          <w:p w14:paraId="364DA815">
            <w:pPr>
              <w:jc w:val="center"/>
              <w:rPr>
                <w:szCs w:val="21"/>
              </w:rPr>
            </w:pPr>
          </w:p>
        </w:tc>
      </w:tr>
      <w:tr w14:paraId="7DECF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008" w:type="dxa"/>
            <w:vMerge w:val="continue"/>
            <w:noWrap w:val="0"/>
            <w:vAlign w:val="top"/>
          </w:tcPr>
          <w:p w14:paraId="2DB728A2">
            <w:pPr>
              <w:jc w:val="center"/>
              <w:rPr>
                <w:szCs w:val="21"/>
              </w:rPr>
            </w:pPr>
          </w:p>
        </w:tc>
        <w:tc>
          <w:tcPr>
            <w:tcW w:w="943" w:type="dxa"/>
            <w:vMerge w:val="continue"/>
            <w:noWrap w:val="0"/>
            <w:vAlign w:val="top"/>
          </w:tcPr>
          <w:p w14:paraId="3AFEE734">
            <w:pPr>
              <w:jc w:val="center"/>
              <w:rPr>
                <w:szCs w:val="21"/>
              </w:rPr>
            </w:pPr>
          </w:p>
        </w:tc>
        <w:tc>
          <w:tcPr>
            <w:tcW w:w="709" w:type="dxa"/>
            <w:noWrap w:val="0"/>
            <w:vAlign w:val="top"/>
          </w:tcPr>
          <w:p w14:paraId="068C90BC">
            <w:pPr>
              <w:jc w:val="center"/>
              <w:rPr>
                <w:szCs w:val="21"/>
              </w:rPr>
            </w:pPr>
            <w:r>
              <w:rPr>
                <w:rFonts w:hint="eastAsia"/>
                <w:szCs w:val="21"/>
              </w:rPr>
              <w:t>5</w:t>
            </w:r>
          </w:p>
        </w:tc>
        <w:tc>
          <w:tcPr>
            <w:tcW w:w="5670" w:type="dxa"/>
            <w:noWrap w:val="0"/>
            <w:vAlign w:val="center"/>
          </w:tcPr>
          <w:p w14:paraId="2D273F56">
            <w:pPr>
              <w:spacing w:line="360" w:lineRule="auto"/>
              <w:jc w:val="center"/>
              <w:rPr>
                <w:rFonts w:hint="eastAsia" w:ascii="宋体" w:hAnsi="宋体" w:cs="宋体"/>
                <w:color w:val="000000"/>
                <w:szCs w:val="21"/>
              </w:rPr>
            </w:pPr>
            <w:r>
              <w:rPr>
                <w:rFonts w:hint="eastAsia"/>
                <w:color w:val="000000"/>
                <w:szCs w:val="21"/>
              </w:rPr>
              <w:t>熟练掌握消防器材的使用，做好安保设施设备维护、保养</w:t>
            </w:r>
          </w:p>
        </w:tc>
        <w:tc>
          <w:tcPr>
            <w:tcW w:w="850" w:type="dxa"/>
            <w:noWrap w:val="0"/>
            <w:vAlign w:val="top"/>
          </w:tcPr>
          <w:p w14:paraId="29EE2DD8">
            <w:pPr>
              <w:jc w:val="center"/>
              <w:rPr>
                <w:szCs w:val="21"/>
              </w:rPr>
            </w:pPr>
          </w:p>
        </w:tc>
      </w:tr>
      <w:tr w14:paraId="04789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008" w:type="dxa"/>
            <w:vMerge w:val="restart"/>
            <w:noWrap w:val="0"/>
            <w:vAlign w:val="center"/>
          </w:tcPr>
          <w:p w14:paraId="0C016527">
            <w:pPr>
              <w:jc w:val="center"/>
              <w:rPr>
                <w:rFonts w:hint="eastAsia"/>
                <w:szCs w:val="21"/>
              </w:rPr>
            </w:pPr>
            <w:r>
              <w:rPr>
                <w:rFonts w:hint="eastAsia"/>
                <w:szCs w:val="21"/>
              </w:rPr>
              <w:t>配合公园专项治理工作情况</w:t>
            </w:r>
          </w:p>
        </w:tc>
        <w:tc>
          <w:tcPr>
            <w:tcW w:w="943" w:type="dxa"/>
            <w:vMerge w:val="restart"/>
            <w:noWrap w:val="0"/>
            <w:vAlign w:val="center"/>
          </w:tcPr>
          <w:p w14:paraId="68E20562">
            <w:pPr>
              <w:jc w:val="center"/>
              <w:rPr>
                <w:szCs w:val="21"/>
              </w:rPr>
            </w:pPr>
            <w:r>
              <w:rPr>
                <w:rFonts w:hint="eastAsia"/>
                <w:szCs w:val="21"/>
              </w:rPr>
              <w:t>20</w:t>
            </w:r>
          </w:p>
        </w:tc>
        <w:tc>
          <w:tcPr>
            <w:tcW w:w="709" w:type="dxa"/>
            <w:noWrap w:val="0"/>
            <w:vAlign w:val="top"/>
          </w:tcPr>
          <w:p w14:paraId="6E355F26">
            <w:pPr>
              <w:jc w:val="center"/>
              <w:rPr>
                <w:szCs w:val="21"/>
              </w:rPr>
            </w:pPr>
            <w:r>
              <w:rPr>
                <w:rFonts w:hint="eastAsia"/>
                <w:szCs w:val="21"/>
              </w:rPr>
              <w:t>5</w:t>
            </w:r>
          </w:p>
        </w:tc>
        <w:tc>
          <w:tcPr>
            <w:tcW w:w="5670" w:type="dxa"/>
            <w:noWrap w:val="0"/>
            <w:vAlign w:val="top"/>
          </w:tcPr>
          <w:p w14:paraId="2F4FF797">
            <w:pPr>
              <w:spacing w:line="360" w:lineRule="auto"/>
              <w:jc w:val="center"/>
              <w:rPr>
                <w:szCs w:val="21"/>
              </w:rPr>
            </w:pPr>
            <w:r>
              <w:rPr>
                <w:rFonts w:hint="eastAsia"/>
                <w:szCs w:val="21"/>
              </w:rPr>
              <w:t>做好公园禁止宠物进入，治理挖野菜、折树枝等专项工作</w:t>
            </w:r>
          </w:p>
        </w:tc>
        <w:tc>
          <w:tcPr>
            <w:tcW w:w="850" w:type="dxa"/>
            <w:noWrap w:val="0"/>
            <w:vAlign w:val="top"/>
          </w:tcPr>
          <w:p w14:paraId="50E64D9E">
            <w:pPr>
              <w:jc w:val="center"/>
              <w:rPr>
                <w:szCs w:val="21"/>
              </w:rPr>
            </w:pPr>
          </w:p>
        </w:tc>
      </w:tr>
      <w:tr w14:paraId="09C7D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008" w:type="dxa"/>
            <w:vMerge w:val="continue"/>
            <w:noWrap w:val="0"/>
            <w:vAlign w:val="center"/>
          </w:tcPr>
          <w:p w14:paraId="1BB63EA2">
            <w:pPr>
              <w:jc w:val="center"/>
              <w:rPr>
                <w:szCs w:val="21"/>
              </w:rPr>
            </w:pPr>
          </w:p>
        </w:tc>
        <w:tc>
          <w:tcPr>
            <w:tcW w:w="943" w:type="dxa"/>
            <w:vMerge w:val="continue"/>
            <w:noWrap w:val="0"/>
            <w:vAlign w:val="center"/>
          </w:tcPr>
          <w:p w14:paraId="4DFD64A2">
            <w:pPr>
              <w:jc w:val="center"/>
              <w:rPr>
                <w:szCs w:val="21"/>
              </w:rPr>
            </w:pPr>
          </w:p>
        </w:tc>
        <w:tc>
          <w:tcPr>
            <w:tcW w:w="709" w:type="dxa"/>
            <w:noWrap w:val="0"/>
            <w:vAlign w:val="top"/>
          </w:tcPr>
          <w:p w14:paraId="0E183EAE">
            <w:pPr>
              <w:jc w:val="center"/>
              <w:rPr>
                <w:rFonts w:hint="eastAsia"/>
                <w:szCs w:val="21"/>
              </w:rPr>
            </w:pPr>
            <w:r>
              <w:rPr>
                <w:rFonts w:hint="eastAsia"/>
                <w:szCs w:val="21"/>
              </w:rPr>
              <w:t>5</w:t>
            </w:r>
          </w:p>
        </w:tc>
        <w:tc>
          <w:tcPr>
            <w:tcW w:w="5670" w:type="dxa"/>
            <w:noWrap w:val="0"/>
            <w:vAlign w:val="top"/>
          </w:tcPr>
          <w:p w14:paraId="2BAFEAB7">
            <w:pPr>
              <w:spacing w:line="360" w:lineRule="auto"/>
              <w:jc w:val="center"/>
              <w:rPr>
                <w:szCs w:val="21"/>
              </w:rPr>
            </w:pPr>
            <w:r>
              <w:rPr>
                <w:rFonts w:hint="eastAsia"/>
                <w:color w:val="000000"/>
                <w:szCs w:val="21"/>
              </w:rPr>
              <w:t>禁止捕捞、捕抓野生动物，劝阻玩水、上冰游客</w:t>
            </w:r>
          </w:p>
        </w:tc>
        <w:tc>
          <w:tcPr>
            <w:tcW w:w="850" w:type="dxa"/>
            <w:noWrap w:val="0"/>
            <w:vAlign w:val="top"/>
          </w:tcPr>
          <w:p w14:paraId="07DCE5B4">
            <w:pPr>
              <w:jc w:val="center"/>
              <w:rPr>
                <w:szCs w:val="21"/>
              </w:rPr>
            </w:pPr>
          </w:p>
        </w:tc>
      </w:tr>
      <w:tr w14:paraId="66CF0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008" w:type="dxa"/>
            <w:vMerge w:val="continue"/>
            <w:noWrap w:val="0"/>
            <w:vAlign w:val="center"/>
          </w:tcPr>
          <w:p w14:paraId="78DDFCEA">
            <w:pPr>
              <w:jc w:val="center"/>
              <w:rPr>
                <w:szCs w:val="21"/>
              </w:rPr>
            </w:pPr>
          </w:p>
        </w:tc>
        <w:tc>
          <w:tcPr>
            <w:tcW w:w="943" w:type="dxa"/>
            <w:vMerge w:val="continue"/>
            <w:noWrap w:val="0"/>
            <w:vAlign w:val="center"/>
          </w:tcPr>
          <w:p w14:paraId="696DBD38">
            <w:pPr>
              <w:jc w:val="center"/>
              <w:rPr>
                <w:szCs w:val="21"/>
              </w:rPr>
            </w:pPr>
          </w:p>
        </w:tc>
        <w:tc>
          <w:tcPr>
            <w:tcW w:w="709" w:type="dxa"/>
            <w:noWrap w:val="0"/>
            <w:vAlign w:val="top"/>
          </w:tcPr>
          <w:p w14:paraId="7D43FD30">
            <w:pPr>
              <w:jc w:val="center"/>
              <w:rPr>
                <w:szCs w:val="21"/>
              </w:rPr>
            </w:pPr>
            <w:r>
              <w:rPr>
                <w:rFonts w:hint="eastAsia"/>
                <w:szCs w:val="21"/>
              </w:rPr>
              <w:t>5</w:t>
            </w:r>
          </w:p>
        </w:tc>
        <w:tc>
          <w:tcPr>
            <w:tcW w:w="5670" w:type="dxa"/>
            <w:noWrap w:val="0"/>
            <w:vAlign w:val="top"/>
          </w:tcPr>
          <w:p w14:paraId="29A0714A">
            <w:pPr>
              <w:spacing w:line="360" w:lineRule="auto"/>
              <w:jc w:val="center"/>
              <w:rPr>
                <w:szCs w:val="21"/>
              </w:rPr>
            </w:pPr>
            <w:r>
              <w:rPr>
                <w:rFonts w:hint="eastAsia"/>
                <w:color w:val="000000"/>
                <w:szCs w:val="21"/>
              </w:rPr>
              <w:t>做好门区和门前三包工作，及时劝阻其他各种不文明行为</w:t>
            </w:r>
          </w:p>
        </w:tc>
        <w:tc>
          <w:tcPr>
            <w:tcW w:w="850" w:type="dxa"/>
            <w:noWrap w:val="0"/>
            <w:vAlign w:val="top"/>
          </w:tcPr>
          <w:p w14:paraId="6B474D88">
            <w:pPr>
              <w:jc w:val="center"/>
              <w:rPr>
                <w:szCs w:val="21"/>
              </w:rPr>
            </w:pPr>
          </w:p>
        </w:tc>
      </w:tr>
      <w:tr w14:paraId="15E92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008" w:type="dxa"/>
            <w:vMerge w:val="continue"/>
            <w:noWrap w:val="0"/>
            <w:vAlign w:val="center"/>
          </w:tcPr>
          <w:p w14:paraId="2093D558">
            <w:pPr>
              <w:jc w:val="center"/>
              <w:rPr>
                <w:szCs w:val="21"/>
              </w:rPr>
            </w:pPr>
          </w:p>
        </w:tc>
        <w:tc>
          <w:tcPr>
            <w:tcW w:w="943" w:type="dxa"/>
            <w:vMerge w:val="continue"/>
            <w:noWrap w:val="0"/>
            <w:vAlign w:val="center"/>
          </w:tcPr>
          <w:p w14:paraId="62FF40DC">
            <w:pPr>
              <w:jc w:val="center"/>
              <w:rPr>
                <w:szCs w:val="21"/>
              </w:rPr>
            </w:pPr>
          </w:p>
        </w:tc>
        <w:tc>
          <w:tcPr>
            <w:tcW w:w="709" w:type="dxa"/>
            <w:noWrap w:val="0"/>
            <w:vAlign w:val="top"/>
          </w:tcPr>
          <w:p w14:paraId="53CD582B">
            <w:pPr>
              <w:jc w:val="center"/>
              <w:rPr>
                <w:rFonts w:hint="eastAsia"/>
                <w:szCs w:val="21"/>
              </w:rPr>
            </w:pPr>
            <w:r>
              <w:rPr>
                <w:rFonts w:hint="eastAsia"/>
                <w:szCs w:val="21"/>
              </w:rPr>
              <w:t>5</w:t>
            </w:r>
          </w:p>
        </w:tc>
        <w:tc>
          <w:tcPr>
            <w:tcW w:w="5670" w:type="dxa"/>
            <w:noWrap w:val="0"/>
            <w:vAlign w:val="top"/>
          </w:tcPr>
          <w:p w14:paraId="2076AAD9">
            <w:pPr>
              <w:spacing w:line="360" w:lineRule="auto"/>
              <w:jc w:val="center"/>
              <w:rPr>
                <w:szCs w:val="21"/>
              </w:rPr>
            </w:pPr>
            <w:r>
              <w:rPr>
                <w:rFonts w:hint="eastAsia"/>
                <w:szCs w:val="21"/>
              </w:rPr>
              <w:t>交派的其它工作任务完成情况</w:t>
            </w:r>
          </w:p>
        </w:tc>
        <w:tc>
          <w:tcPr>
            <w:tcW w:w="850" w:type="dxa"/>
            <w:noWrap w:val="0"/>
            <w:vAlign w:val="top"/>
          </w:tcPr>
          <w:p w14:paraId="4F77B845">
            <w:pPr>
              <w:jc w:val="center"/>
              <w:rPr>
                <w:szCs w:val="21"/>
              </w:rPr>
            </w:pPr>
          </w:p>
        </w:tc>
      </w:tr>
      <w:tr w14:paraId="0471F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008" w:type="dxa"/>
            <w:vMerge w:val="restart"/>
            <w:noWrap w:val="0"/>
            <w:vAlign w:val="center"/>
          </w:tcPr>
          <w:p w14:paraId="2D58E99D">
            <w:pPr>
              <w:jc w:val="center"/>
              <w:rPr>
                <w:szCs w:val="21"/>
              </w:rPr>
            </w:pPr>
            <w:r>
              <w:rPr>
                <w:rFonts w:hint="eastAsia"/>
                <w:szCs w:val="21"/>
              </w:rPr>
              <w:t>公物使用、宿舍卫生和下班后情况</w:t>
            </w:r>
          </w:p>
        </w:tc>
        <w:tc>
          <w:tcPr>
            <w:tcW w:w="943" w:type="dxa"/>
            <w:vMerge w:val="restart"/>
            <w:noWrap w:val="0"/>
            <w:vAlign w:val="center"/>
          </w:tcPr>
          <w:p w14:paraId="4C6361D2">
            <w:pPr>
              <w:jc w:val="center"/>
              <w:rPr>
                <w:szCs w:val="21"/>
              </w:rPr>
            </w:pPr>
            <w:r>
              <w:rPr>
                <w:rFonts w:hint="eastAsia"/>
                <w:szCs w:val="21"/>
              </w:rPr>
              <w:t>20</w:t>
            </w:r>
          </w:p>
        </w:tc>
        <w:tc>
          <w:tcPr>
            <w:tcW w:w="709" w:type="dxa"/>
            <w:noWrap w:val="0"/>
            <w:vAlign w:val="top"/>
          </w:tcPr>
          <w:p w14:paraId="33EA8733">
            <w:pPr>
              <w:jc w:val="center"/>
              <w:rPr>
                <w:rFonts w:hint="eastAsia"/>
                <w:szCs w:val="21"/>
              </w:rPr>
            </w:pPr>
            <w:r>
              <w:rPr>
                <w:rFonts w:hint="eastAsia"/>
                <w:szCs w:val="21"/>
              </w:rPr>
              <w:t>5</w:t>
            </w:r>
          </w:p>
        </w:tc>
        <w:tc>
          <w:tcPr>
            <w:tcW w:w="5670" w:type="dxa"/>
            <w:noWrap w:val="0"/>
            <w:vAlign w:val="top"/>
          </w:tcPr>
          <w:p w14:paraId="3CF58E9A">
            <w:pPr>
              <w:spacing w:line="360" w:lineRule="auto"/>
              <w:jc w:val="center"/>
              <w:rPr>
                <w:rFonts w:hint="eastAsia"/>
                <w:szCs w:val="21"/>
              </w:rPr>
            </w:pPr>
            <w:r>
              <w:rPr>
                <w:rFonts w:hint="eastAsia"/>
                <w:szCs w:val="21"/>
              </w:rPr>
              <w:t>爱护公共设施和器材物品</w:t>
            </w:r>
          </w:p>
        </w:tc>
        <w:tc>
          <w:tcPr>
            <w:tcW w:w="850" w:type="dxa"/>
            <w:noWrap w:val="0"/>
            <w:vAlign w:val="top"/>
          </w:tcPr>
          <w:p w14:paraId="522DF2F1">
            <w:pPr>
              <w:jc w:val="center"/>
              <w:rPr>
                <w:szCs w:val="21"/>
              </w:rPr>
            </w:pPr>
          </w:p>
        </w:tc>
      </w:tr>
      <w:tr w14:paraId="00F33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008" w:type="dxa"/>
            <w:vMerge w:val="continue"/>
            <w:noWrap w:val="0"/>
            <w:vAlign w:val="center"/>
          </w:tcPr>
          <w:p w14:paraId="325EF123">
            <w:pPr>
              <w:jc w:val="center"/>
              <w:rPr>
                <w:szCs w:val="21"/>
              </w:rPr>
            </w:pPr>
          </w:p>
        </w:tc>
        <w:tc>
          <w:tcPr>
            <w:tcW w:w="943" w:type="dxa"/>
            <w:vMerge w:val="continue"/>
            <w:noWrap w:val="0"/>
            <w:vAlign w:val="center"/>
          </w:tcPr>
          <w:p w14:paraId="5D273563">
            <w:pPr>
              <w:jc w:val="center"/>
              <w:rPr>
                <w:szCs w:val="21"/>
              </w:rPr>
            </w:pPr>
          </w:p>
        </w:tc>
        <w:tc>
          <w:tcPr>
            <w:tcW w:w="709" w:type="dxa"/>
            <w:noWrap w:val="0"/>
            <w:vAlign w:val="top"/>
          </w:tcPr>
          <w:p w14:paraId="4067AC40">
            <w:pPr>
              <w:jc w:val="center"/>
              <w:rPr>
                <w:rFonts w:hint="eastAsia"/>
                <w:szCs w:val="21"/>
              </w:rPr>
            </w:pPr>
            <w:r>
              <w:rPr>
                <w:rFonts w:hint="eastAsia"/>
                <w:szCs w:val="21"/>
              </w:rPr>
              <w:t>5</w:t>
            </w:r>
          </w:p>
        </w:tc>
        <w:tc>
          <w:tcPr>
            <w:tcW w:w="5670" w:type="dxa"/>
            <w:noWrap w:val="0"/>
            <w:vAlign w:val="top"/>
          </w:tcPr>
          <w:p w14:paraId="661B8209">
            <w:pPr>
              <w:spacing w:line="360" w:lineRule="auto"/>
              <w:jc w:val="center"/>
              <w:rPr>
                <w:rFonts w:hint="eastAsia"/>
                <w:szCs w:val="21"/>
              </w:rPr>
            </w:pPr>
            <w:r>
              <w:rPr>
                <w:rFonts w:hint="eastAsia"/>
                <w:szCs w:val="21"/>
              </w:rPr>
              <w:t>对巡逻车和巡更器材及时维护充电，确保正常使用</w:t>
            </w:r>
          </w:p>
        </w:tc>
        <w:tc>
          <w:tcPr>
            <w:tcW w:w="850" w:type="dxa"/>
            <w:noWrap w:val="0"/>
            <w:vAlign w:val="top"/>
          </w:tcPr>
          <w:p w14:paraId="5D0FF856">
            <w:pPr>
              <w:jc w:val="center"/>
              <w:rPr>
                <w:szCs w:val="21"/>
              </w:rPr>
            </w:pPr>
          </w:p>
        </w:tc>
      </w:tr>
      <w:tr w14:paraId="27248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008" w:type="dxa"/>
            <w:vMerge w:val="continue"/>
            <w:noWrap w:val="0"/>
            <w:vAlign w:val="center"/>
          </w:tcPr>
          <w:p w14:paraId="1A2D8AD4">
            <w:pPr>
              <w:jc w:val="center"/>
              <w:rPr>
                <w:szCs w:val="21"/>
              </w:rPr>
            </w:pPr>
          </w:p>
        </w:tc>
        <w:tc>
          <w:tcPr>
            <w:tcW w:w="943" w:type="dxa"/>
            <w:vMerge w:val="continue"/>
            <w:noWrap w:val="0"/>
            <w:vAlign w:val="center"/>
          </w:tcPr>
          <w:p w14:paraId="668A16F0">
            <w:pPr>
              <w:jc w:val="center"/>
              <w:rPr>
                <w:szCs w:val="21"/>
              </w:rPr>
            </w:pPr>
          </w:p>
        </w:tc>
        <w:tc>
          <w:tcPr>
            <w:tcW w:w="709" w:type="dxa"/>
            <w:noWrap w:val="0"/>
            <w:vAlign w:val="top"/>
          </w:tcPr>
          <w:p w14:paraId="33DACF4F">
            <w:pPr>
              <w:jc w:val="center"/>
              <w:rPr>
                <w:rFonts w:hint="eastAsia"/>
                <w:szCs w:val="21"/>
              </w:rPr>
            </w:pPr>
            <w:r>
              <w:rPr>
                <w:rFonts w:hint="eastAsia"/>
                <w:szCs w:val="21"/>
              </w:rPr>
              <w:t>5</w:t>
            </w:r>
          </w:p>
        </w:tc>
        <w:tc>
          <w:tcPr>
            <w:tcW w:w="5670" w:type="dxa"/>
            <w:noWrap w:val="0"/>
            <w:vAlign w:val="top"/>
          </w:tcPr>
          <w:p w14:paraId="425AF6D1">
            <w:pPr>
              <w:spacing w:line="360" w:lineRule="auto"/>
              <w:jc w:val="center"/>
              <w:rPr>
                <w:rFonts w:hint="eastAsia"/>
                <w:szCs w:val="21"/>
              </w:rPr>
            </w:pPr>
            <w:r>
              <w:rPr>
                <w:rFonts w:hint="eastAsia"/>
                <w:color w:val="000000"/>
                <w:szCs w:val="21"/>
              </w:rPr>
              <w:t>宿舍干净整洁，卫生状况好，宿舍内无吸烟</w:t>
            </w:r>
          </w:p>
        </w:tc>
        <w:tc>
          <w:tcPr>
            <w:tcW w:w="850" w:type="dxa"/>
            <w:noWrap w:val="0"/>
            <w:vAlign w:val="top"/>
          </w:tcPr>
          <w:p w14:paraId="53C2CA6A">
            <w:pPr>
              <w:jc w:val="center"/>
              <w:rPr>
                <w:szCs w:val="21"/>
              </w:rPr>
            </w:pPr>
          </w:p>
        </w:tc>
      </w:tr>
      <w:tr w14:paraId="55264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008" w:type="dxa"/>
            <w:vMerge w:val="continue"/>
            <w:noWrap w:val="0"/>
            <w:vAlign w:val="center"/>
          </w:tcPr>
          <w:p w14:paraId="18DD30A6">
            <w:pPr>
              <w:jc w:val="center"/>
              <w:rPr>
                <w:szCs w:val="21"/>
              </w:rPr>
            </w:pPr>
          </w:p>
        </w:tc>
        <w:tc>
          <w:tcPr>
            <w:tcW w:w="943" w:type="dxa"/>
            <w:vMerge w:val="continue"/>
            <w:noWrap w:val="0"/>
            <w:vAlign w:val="center"/>
          </w:tcPr>
          <w:p w14:paraId="11BAFF84">
            <w:pPr>
              <w:jc w:val="center"/>
              <w:rPr>
                <w:szCs w:val="21"/>
              </w:rPr>
            </w:pPr>
          </w:p>
        </w:tc>
        <w:tc>
          <w:tcPr>
            <w:tcW w:w="709" w:type="dxa"/>
            <w:noWrap w:val="0"/>
            <w:vAlign w:val="top"/>
          </w:tcPr>
          <w:p w14:paraId="60EF33BB">
            <w:pPr>
              <w:jc w:val="center"/>
              <w:rPr>
                <w:rFonts w:hint="eastAsia"/>
                <w:szCs w:val="21"/>
              </w:rPr>
            </w:pPr>
            <w:r>
              <w:rPr>
                <w:rFonts w:hint="eastAsia"/>
                <w:szCs w:val="21"/>
              </w:rPr>
              <w:t>5</w:t>
            </w:r>
          </w:p>
        </w:tc>
        <w:tc>
          <w:tcPr>
            <w:tcW w:w="5670" w:type="dxa"/>
            <w:noWrap w:val="0"/>
            <w:vAlign w:val="top"/>
          </w:tcPr>
          <w:p w14:paraId="65889C82">
            <w:pPr>
              <w:spacing w:line="360" w:lineRule="auto"/>
              <w:jc w:val="center"/>
              <w:rPr>
                <w:rFonts w:hint="eastAsia"/>
                <w:szCs w:val="21"/>
              </w:rPr>
            </w:pPr>
            <w:r>
              <w:rPr>
                <w:rFonts w:hint="eastAsia"/>
                <w:szCs w:val="21"/>
              </w:rPr>
              <w:t>下班后外出请假，不惹是生非、没有违法乱纪</w:t>
            </w:r>
          </w:p>
        </w:tc>
        <w:tc>
          <w:tcPr>
            <w:tcW w:w="850" w:type="dxa"/>
            <w:noWrap w:val="0"/>
            <w:vAlign w:val="top"/>
          </w:tcPr>
          <w:p w14:paraId="3598A7AD">
            <w:pPr>
              <w:jc w:val="center"/>
              <w:rPr>
                <w:szCs w:val="21"/>
              </w:rPr>
            </w:pPr>
          </w:p>
        </w:tc>
      </w:tr>
      <w:tr w14:paraId="25436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008" w:type="dxa"/>
            <w:noWrap w:val="0"/>
            <w:vAlign w:val="center"/>
          </w:tcPr>
          <w:p w14:paraId="7C280F0D">
            <w:pPr>
              <w:jc w:val="center"/>
              <w:rPr>
                <w:szCs w:val="21"/>
              </w:rPr>
            </w:pPr>
            <w:r>
              <w:rPr>
                <w:rFonts w:hint="eastAsia"/>
                <w:szCs w:val="21"/>
              </w:rPr>
              <w:t>合计</w:t>
            </w:r>
          </w:p>
        </w:tc>
        <w:tc>
          <w:tcPr>
            <w:tcW w:w="943" w:type="dxa"/>
            <w:noWrap w:val="0"/>
            <w:vAlign w:val="center"/>
          </w:tcPr>
          <w:p w14:paraId="5245D56F">
            <w:pPr>
              <w:jc w:val="center"/>
              <w:rPr>
                <w:szCs w:val="21"/>
              </w:rPr>
            </w:pPr>
            <w:r>
              <w:rPr>
                <w:szCs w:val="21"/>
              </w:rPr>
              <w:t>100</w:t>
            </w:r>
          </w:p>
        </w:tc>
        <w:tc>
          <w:tcPr>
            <w:tcW w:w="709" w:type="dxa"/>
            <w:noWrap w:val="0"/>
            <w:vAlign w:val="center"/>
          </w:tcPr>
          <w:p w14:paraId="31966C20">
            <w:pPr>
              <w:jc w:val="center"/>
              <w:rPr>
                <w:szCs w:val="21"/>
              </w:rPr>
            </w:pPr>
            <w:r>
              <w:rPr>
                <w:rFonts w:hint="eastAsia"/>
                <w:szCs w:val="21"/>
              </w:rPr>
              <w:t>100</w:t>
            </w:r>
          </w:p>
        </w:tc>
        <w:tc>
          <w:tcPr>
            <w:tcW w:w="5670" w:type="dxa"/>
            <w:noWrap w:val="0"/>
            <w:vAlign w:val="top"/>
          </w:tcPr>
          <w:p w14:paraId="1D1527C6">
            <w:pPr>
              <w:jc w:val="center"/>
              <w:rPr>
                <w:szCs w:val="21"/>
              </w:rPr>
            </w:pPr>
            <w:r>
              <w:rPr>
                <w:szCs w:val="21"/>
              </w:rPr>
              <w:t>——</w:t>
            </w:r>
          </w:p>
        </w:tc>
        <w:tc>
          <w:tcPr>
            <w:tcW w:w="850" w:type="dxa"/>
            <w:noWrap w:val="0"/>
            <w:vAlign w:val="top"/>
          </w:tcPr>
          <w:p w14:paraId="75D0DD15">
            <w:pPr>
              <w:jc w:val="center"/>
              <w:rPr>
                <w:szCs w:val="21"/>
              </w:rPr>
            </w:pPr>
          </w:p>
        </w:tc>
      </w:tr>
    </w:tbl>
    <w:p w14:paraId="6F941E86">
      <w:pPr>
        <w:ind w:firstLine="210" w:firstLineChars="100"/>
        <w:rPr>
          <w:rFonts w:hint="eastAsia"/>
          <w:szCs w:val="21"/>
        </w:rPr>
      </w:pPr>
    </w:p>
    <w:p w14:paraId="2F401662">
      <w:pPr>
        <w:ind w:firstLine="210" w:firstLineChars="100"/>
        <w:rPr>
          <w:rFonts w:hint="eastAsia"/>
          <w:szCs w:val="21"/>
        </w:rPr>
      </w:pPr>
    </w:p>
    <w:p w14:paraId="3188BFFE">
      <w:pPr>
        <w:ind w:firstLine="210" w:firstLineChars="100"/>
        <w:rPr>
          <w:rFonts w:hint="eastAsia"/>
          <w:szCs w:val="21"/>
        </w:rPr>
      </w:pPr>
    </w:p>
    <w:p w14:paraId="13E3359A">
      <w:pPr>
        <w:ind w:firstLine="210" w:firstLineChars="100"/>
        <w:rPr>
          <w:rFonts w:hint="eastAsia"/>
          <w:szCs w:val="21"/>
        </w:rPr>
      </w:pPr>
    </w:p>
    <w:p w14:paraId="2790BC0F">
      <w:pPr>
        <w:ind w:firstLine="210" w:firstLineChars="100"/>
        <w:rPr>
          <w:rFonts w:hint="eastAsia"/>
          <w:szCs w:val="21"/>
        </w:rPr>
      </w:pPr>
    </w:p>
    <w:p w14:paraId="05F39529">
      <w:pPr>
        <w:ind w:firstLine="210" w:firstLineChars="100"/>
        <w:rPr>
          <w:rFonts w:hint="eastAsia"/>
          <w:szCs w:val="21"/>
        </w:rPr>
      </w:pPr>
      <w:r>
        <w:rPr>
          <w:rFonts w:hint="eastAsia"/>
          <w:szCs w:val="21"/>
        </w:rPr>
        <w:t>考核人签字：</w:t>
      </w:r>
      <w:r>
        <w:rPr>
          <w:rFonts w:hint="eastAsia"/>
          <w:szCs w:val="21"/>
        </w:rPr>
        <w:tab/>
      </w:r>
    </w:p>
    <w:p w14:paraId="52F98E88">
      <w:pPr>
        <w:ind w:firstLine="210" w:firstLineChars="100"/>
        <w:rPr>
          <w:rFonts w:hint="eastAsia"/>
          <w:szCs w:val="21"/>
        </w:rPr>
      </w:pPr>
    </w:p>
    <w:p w14:paraId="0D22DB6E">
      <w:pPr>
        <w:ind w:firstLine="210" w:firstLineChars="100"/>
        <w:rPr>
          <w:rFonts w:hint="eastAsia"/>
          <w:szCs w:val="21"/>
        </w:rPr>
      </w:pPr>
    </w:p>
    <w:bookmarkEnd w:id="676"/>
    <w:p w14:paraId="1C2EEBD0">
      <w:pPr>
        <w:spacing w:line="560" w:lineRule="exact"/>
        <w:rPr>
          <w:rFonts w:hint="eastAsia" w:ascii="宋体" w:hAnsi="宋体" w:cs="宋体"/>
          <w:sz w:val="30"/>
          <w:szCs w:val="30"/>
        </w:rPr>
      </w:pPr>
    </w:p>
    <w:bookmarkEnd w:id="670"/>
    <w:p w14:paraId="2AE6850B">
      <w:pPr>
        <w:spacing w:line="360" w:lineRule="auto"/>
        <w:jc w:val="center"/>
        <w:outlineLvl w:val="0"/>
        <w:rPr>
          <w:b/>
          <w:sz w:val="36"/>
          <w:szCs w:val="36"/>
        </w:rPr>
      </w:pPr>
      <w:bookmarkStart w:id="677" w:name="_Toc207110995"/>
      <w:r>
        <w:rPr>
          <w:b/>
          <w:sz w:val="36"/>
          <w:szCs w:val="36"/>
        </w:rPr>
        <w:t>第六章   响应文件格式</w:t>
      </w:r>
      <w:bookmarkEnd w:id="677"/>
    </w:p>
    <w:p w14:paraId="1E01C10C">
      <w:pPr>
        <w:widowControl/>
        <w:spacing w:line="360" w:lineRule="auto"/>
        <w:jc w:val="left"/>
        <w:rPr>
          <w:b/>
          <w:sz w:val="24"/>
        </w:rPr>
      </w:pPr>
    </w:p>
    <w:p w14:paraId="73D4C43A">
      <w:pPr>
        <w:tabs>
          <w:tab w:val="left" w:pos="900"/>
          <w:tab w:val="left" w:pos="1980"/>
        </w:tabs>
        <w:snapToGrid w:val="0"/>
        <w:spacing w:line="360" w:lineRule="auto"/>
        <w:ind w:left="142"/>
        <w:rPr>
          <w:b/>
          <w:kern w:val="0"/>
          <w:sz w:val="24"/>
        </w:rPr>
      </w:pPr>
      <w:r>
        <w:rPr>
          <w:rFonts w:hint="eastAsia"/>
          <w:b/>
          <w:kern w:val="0"/>
          <w:sz w:val="24"/>
        </w:rPr>
        <w:t>供应商编制文件须知</w:t>
      </w:r>
    </w:p>
    <w:p w14:paraId="6A70BF46">
      <w:pPr>
        <w:tabs>
          <w:tab w:val="left" w:pos="900"/>
          <w:tab w:val="left" w:pos="1980"/>
        </w:tabs>
        <w:snapToGrid w:val="0"/>
        <w:spacing w:line="360" w:lineRule="auto"/>
        <w:ind w:left="142"/>
        <w:rPr>
          <w:sz w:val="24"/>
        </w:rPr>
      </w:pPr>
      <w:r>
        <w:rPr>
          <w:sz w:val="24"/>
        </w:rPr>
        <w:t>1、供应商按照本部分的顺序编制响应文件，编制中涉及格式资料的，应按照本部分提供的内容和格式（所有表格的格式可扩展）填写提交。</w:t>
      </w:r>
    </w:p>
    <w:p w14:paraId="122278F4">
      <w:pPr>
        <w:tabs>
          <w:tab w:val="left" w:pos="900"/>
          <w:tab w:val="left" w:pos="1980"/>
        </w:tabs>
        <w:snapToGrid w:val="0"/>
        <w:spacing w:line="360" w:lineRule="auto"/>
        <w:ind w:left="142"/>
        <w:rPr>
          <w:kern w:val="0"/>
          <w:sz w:val="24"/>
        </w:rPr>
      </w:pPr>
      <w:r>
        <w:rPr>
          <w:sz w:val="24"/>
        </w:rPr>
        <w:t>2、</w:t>
      </w:r>
      <w:r>
        <w:rPr>
          <w:kern w:val="0"/>
          <w:sz w:val="24"/>
        </w:rPr>
        <w:t>对于竞争性磋商文件中标记了“实质性格式”文件的，供应商</w:t>
      </w:r>
      <w:r>
        <w:rPr>
          <w:sz w:val="24"/>
        </w:rPr>
        <w:t>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。未标记“实质性格式”的文件和竞争性磋商文件未提供格式的内容，可由供应商自行编写。</w:t>
      </w:r>
    </w:p>
    <w:p w14:paraId="6FA6C57D">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6D1D7763">
      <w:pPr>
        <w:tabs>
          <w:tab w:val="left" w:pos="900"/>
          <w:tab w:val="left" w:pos="1980"/>
        </w:tabs>
        <w:snapToGrid w:val="0"/>
        <w:spacing w:line="360" w:lineRule="auto"/>
        <w:ind w:left="142"/>
        <w:rPr>
          <w:sz w:val="24"/>
        </w:rPr>
      </w:pPr>
    </w:p>
    <w:p w14:paraId="4C9FAB62">
      <w:pPr>
        <w:widowControl/>
        <w:jc w:val="left"/>
        <w:rPr>
          <w:sz w:val="24"/>
        </w:rPr>
      </w:pPr>
      <w:r>
        <w:rPr>
          <w:sz w:val="24"/>
        </w:rPr>
        <w:br w:type="page"/>
      </w:r>
    </w:p>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14:paraId="511EA950">
      <w:pPr>
        <w:rPr>
          <w:b/>
          <w:spacing w:val="20"/>
          <w:szCs w:val="21"/>
        </w:rPr>
      </w:pPr>
    </w:p>
    <w:p w14:paraId="0BBDEEF2">
      <w:pPr>
        <w:rPr>
          <w:b/>
          <w:sz w:val="24"/>
        </w:rPr>
      </w:pPr>
      <w:r>
        <w:rPr>
          <w:b/>
          <w:spacing w:val="20"/>
          <w:sz w:val="24"/>
        </w:rPr>
        <w:t>响应文件</w:t>
      </w:r>
      <w:r>
        <w:rPr>
          <w:b/>
          <w:sz w:val="24"/>
        </w:rPr>
        <w:t>封面</w:t>
      </w:r>
    </w:p>
    <w:p w14:paraId="57F46A39">
      <w:pPr>
        <w:jc w:val="center"/>
        <w:rPr>
          <w:szCs w:val="21"/>
        </w:rPr>
      </w:pPr>
    </w:p>
    <w:p w14:paraId="35C8CFAE">
      <w:pPr>
        <w:jc w:val="center"/>
        <w:rPr>
          <w:b/>
          <w:spacing w:val="60"/>
          <w:sz w:val="84"/>
          <w:szCs w:val="84"/>
        </w:rPr>
      </w:pPr>
      <w:r>
        <w:rPr>
          <w:b/>
          <w:spacing w:val="60"/>
          <w:sz w:val="84"/>
          <w:szCs w:val="84"/>
        </w:rPr>
        <w:t>响 应 文 件</w:t>
      </w:r>
    </w:p>
    <w:p w14:paraId="51A8F12B">
      <w:pPr>
        <w:jc w:val="center"/>
        <w:rPr>
          <w:b/>
          <w:spacing w:val="60"/>
          <w:sz w:val="52"/>
          <w:szCs w:val="52"/>
        </w:rPr>
      </w:pPr>
    </w:p>
    <w:p w14:paraId="7630F774">
      <w:pPr>
        <w:ind w:firstLine="542" w:firstLineChars="150"/>
        <w:rPr>
          <w:b/>
          <w:spacing w:val="20"/>
          <w:sz w:val="32"/>
          <w:szCs w:val="32"/>
        </w:rPr>
      </w:pPr>
    </w:p>
    <w:p w14:paraId="1F04E734">
      <w:pPr>
        <w:ind w:firstLine="542" w:firstLineChars="150"/>
        <w:rPr>
          <w:b/>
          <w:spacing w:val="20"/>
          <w:sz w:val="32"/>
          <w:szCs w:val="32"/>
        </w:rPr>
      </w:pPr>
    </w:p>
    <w:p w14:paraId="23F663DA">
      <w:pPr>
        <w:ind w:firstLine="542" w:firstLineChars="150"/>
        <w:rPr>
          <w:b/>
          <w:spacing w:val="20"/>
          <w:sz w:val="32"/>
          <w:szCs w:val="32"/>
        </w:rPr>
      </w:pPr>
      <w:r>
        <w:rPr>
          <w:b/>
          <w:spacing w:val="20"/>
          <w:sz w:val="32"/>
          <w:szCs w:val="32"/>
        </w:rPr>
        <w:t>项目名称:</w:t>
      </w:r>
    </w:p>
    <w:p w14:paraId="6E111929">
      <w:pPr>
        <w:ind w:firstLine="542" w:firstLineChars="150"/>
        <w:rPr>
          <w:b/>
          <w:spacing w:val="20"/>
          <w:sz w:val="32"/>
          <w:szCs w:val="32"/>
        </w:rPr>
      </w:pPr>
      <w:r>
        <w:rPr>
          <w:b/>
          <w:spacing w:val="20"/>
          <w:sz w:val="32"/>
          <w:szCs w:val="32"/>
        </w:rPr>
        <w:t>项目编号：</w:t>
      </w:r>
    </w:p>
    <w:p w14:paraId="6703E6E7">
      <w:pPr>
        <w:ind w:firstLine="542" w:firstLineChars="150"/>
        <w:rPr>
          <w:b/>
          <w:spacing w:val="20"/>
          <w:sz w:val="32"/>
          <w:szCs w:val="32"/>
        </w:rPr>
      </w:pPr>
    </w:p>
    <w:p w14:paraId="31C30035">
      <w:pPr>
        <w:ind w:firstLine="542" w:firstLineChars="150"/>
        <w:rPr>
          <w:b/>
          <w:spacing w:val="20"/>
          <w:sz w:val="32"/>
          <w:szCs w:val="32"/>
        </w:rPr>
      </w:pPr>
    </w:p>
    <w:p w14:paraId="3CAFFD19">
      <w:pPr>
        <w:jc w:val="center"/>
        <w:rPr>
          <w:b/>
          <w:sz w:val="32"/>
          <w:szCs w:val="32"/>
        </w:rPr>
      </w:pPr>
    </w:p>
    <w:p w14:paraId="5241B25E">
      <w:pPr>
        <w:jc w:val="center"/>
        <w:rPr>
          <w:b/>
          <w:sz w:val="32"/>
          <w:szCs w:val="32"/>
        </w:rPr>
      </w:pPr>
    </w:p>
    <w:p w14:paraId="39B50D25">
      <w:pPr>
        <w:jc w:val="center"/>
        <w:rPr>
          <w:b/>
          <w:sz w:val="32"/>
          <w:szCs w:val="32"/>
        </w:rPr>
      </w:pPr>
    </w:p>
    <w:p w14:paraId="0ADEFD06">
      <w:pPr>
        <w:jc w:val="center"/>
        <w:rPr>
          <w:b/>
          <w:spacing w:val="20"/>
          <w:sz w:val="32"/>
          <w:szCs w:val="32"/>
        </w:rPr>
      </w:pPr>
    </w:p>
    <w:p w14:paraId="77E7D5C2">
      <w:pPr>
        <w:jc w:val="center"/>
        <w:rPr>
          <w:b/>
          <w:spacing w:val="20"/>
          <w:sz w:val="32"/>
          <w:szCs w:val="32"/>
        </w:rPr>
      </w:pPr>
    </w:p>
    <w:p w14:paraId="6AB89587">
      <w:pPr>
        <w:jc w:val="center"/>
        <w:rPr>
          <w:b/>
          <w:spacing w:val="20"/>
          <w:sz w:val="32"/>
          <w:szCs w:val="32"/>
        </w:rPr>
      </w:pPr>
    </w:p>
    <w:p w14:paraId="2882C758">
      <w:pPr>
        <w:spacing w:line="360" w:lineRule="auto"/>
        <w:ind w:firstLine="1445" w:firstLineChars="400"/>
        <w:jc w:val="left"/>
        <w:rPr>
          <w:b/>
          <w:spacing w:val="20"/>
          <w:sz w:val="32"/>
          <w:szCs w:val="32"/>
        </w:rPr>
      </w:pPr>
      <w:r>
        <w:rPr>
          <w:b/>
          <w:spacing w:val="20"/>
          <w:sz w:val="32"/>
          <w:szCs w:val="32"/>
        </w:rPr>
        <w:t>供应商名称：</w:t>
      </w:r>
    </w:p>
    <w:p w14:paraId="19436538">
      <w:pPr>
        <w:jc w:val="center"/>
        <w:rPr>
          <w:b/>
          <w:sz w:val="32"/>
          <w:szCs w:val="32"/>
        </w:rPr>
      </w:pPr>
    </w:p>
    <w:p w14:paraId="02911A01">
      <w:pPr>
        <w:rPr>
          <w:b/>
        </w:rPr>
      </w:pPr>
      <w:r>
        <w:rPr>
          <w:b/>
          <w:spacing w:val="20"/>
          <w:sz w:val="32"/>
          <w:szCs w:val="32"/>
        </w:rPr>
        <w:br w:type="page"/>
      </w:r>
    </w:p>
    <w:p w14:paraId="7AA8762E">
      <w:pPr>
        <w:tabs>
          <w:tab w:val="left" w:pos="360"/>
        </w:tabs>
        <w:snapToGrid w:val="0"/>
        <w:spacing w:line="360" w:lineRule="auto"/>
        <w:outlineLvl w:val="1"/>
        <w:rPr>
          <w:sz w:val="24"/>
        </w:rPr>
      </w:pPr>
      <w:r>
        <w:rPr>
          <w:sz w:val="24"/>
        </w:rPr>
        <w:t>1 满足《中华人民共和国政府采购法》第二十二条规定及法律法规的其他规定</w:t>
      </w:r>
    </w:p>
    <w:p w14:paraId="52AD2F6E">
      <w:pPr>
        <w:spacing w:line="360" w:lineRule="auto"/>
        <w:outlineLvl w:val="2"/>
        <w:rPr>
          <w:color w:val="000000"/>
          <w:sz w:val="24"/>
        </w:rPr>
      </w:pPr>
      <w:r>
        <w:rPr>
          <w:color w:val="000000"/>
          <w:sz w:val="24"/>
        </w:rPr>
        <w:t>1-1营业执照等证明文件</w:t>
      </w:r>
    </w:p>
    <w:p w14:paraId="197C5B2E">
      <w:pPr>
        <w:tabs>
          <w:tab w:val="left" w:pos="1080"/>
        </w:tabs>
        <w:snapToGrid w:val="0"/>
        <w:rPr>
          <w:sz w:val="24"/>
        </w:rPr>
      </w:pPr>
    </w:p>
    <w:p w14:paraId="7D51B707">
      <w:pPr>
        <w:widowControl/>
        <w:jc w:val="left"/>
        <w:rPr>
          <w:color w:val="000000"/>
          <w:sz w:val="24"/>
          <w:szCs w:val="20"/>
        </w:rPr>
      </w:pPr>
      <w:r>
        <w:rPr>
          <w:color w:val="000000"/>
          <w:sz w:val="24"/>
        </w:rPr>
        <w:br w:type="page"/>
      </w:r>
    </w:p>
    <w:p w14:paraId="38F3CDFA">
      <w:pPr>
        <w:pStyle w:val="7"/>
        <w:rPr>
          <w:rFonts w:ascii="Times New Roman"/>
          <w:b w:val="0"/>
          <w:bCs/>
          <w:color w:val="000000"/>
          <w:szCs w:val="24"/>
          <w:u w:val="none"/>
        </w:rPr>
      </w:pPr>
      <w:r>
        <w:rPr>
          <w:rFonts w:ascii="Times New Roman"/>
          <w:b w:val="0"/>
          <w:color w:val="000000"/>
          <w:szCs w:val="24"/>
          <w:u w:val="none"/>
        </w:rPr>
        <w:t>1-2 供应商资格声明书</w:t>
      </w:r>
    </w:p>
    <w:p w14:paraId="18BEB221">
      <w:pPr>
        <w:jc w:val="center"/>
        <w:rPr>
          <w:b/>
          <w:color w:val="000000"/>
          <w:sz w:val="36"/>
          <w:szCs w:val="36"/>
        </w:rPr>
      </w:pPr>
      <w:r>
        <w:rPr>
          <w:rFonts w:hint="eastAsia"/>
          <w:b/>
          <w:color w:val="000000"/>
          <w:sz w:val="36"/>
          <w:szCs w:val="36"/>
        </w:rPr>
        <w:t>供应商资格声明书</w:t>
      </w:r>
    </w:p>
    <w:p w14:paraId="4E352091">
      <w:pPr>
        <w:tabs>
          <w:tab w:val="left" w:pos="5580"/>
        </w:tabs>
        <w:spacing w:line="360" w:lineRule="auto"/>
        <w:rPr>
          <w:sz w:val="24"/>
        </w:rPr>
      </w:pPr>
    </w:p>
    <w:p w14:paraId="291686D1">
      <w:pPr>
        <w:tabs>
          <w:tab w:val="left" w:pos="5580"/>
        </w:tabs>
        <w:spacing w:line="360" w:lineRule="auto"/>
        <w:rPr>
          <w:sz w:val="24"/>
        </w:rPr>
      </w:pPr>
      <w:r>
        <w:rPr>
          <w:sz w:val="24"/>
        </w:rPr>
        <w:t>致：</w:t>
      </w:r>
      <w:r>
        <w:rPr>
          <w:sz w:val="24"/>
          <w:u w:val="single"/>
        </w:rPr>
        <w:t>采购人或采购代理机构</w:t>
      </w:r>
    </w:p>
    <w:p w14:paraId="5D7A4159">
      <w:pPr>
        <w:spacing w:line="360" w:lineRule="auto"/>
        <w:ind w:firstLine="480" w:firstLineChars="200"/>
        <w:rPr>
          <w:sz w:val="24"/>
        </w:rPr>
      </w:pPr>
      <w:r>
        <w:rPr>
          <w:sz w:val="24"/>
        </w:rPr>
        <w:t>在参与本次项目磋商中，我单位承诺：</w:t>
      </w:r>
    </w:p>
    <w:p w14:paraId="08A71380">
      <w:pPr>
        <w:spacing w:line="360" w:lineRule="auto"/>
        <w:rPr>
          <w:sz w:val="24"/>
          <w:szCs w:val="22"/>
        </w:rPr>
      </w:pPr>
      <w:r>
        <w:rPr>
          <w:sz w:val="24"/>
          <w:szCs w:val="22"/>
        </w:rPr>
        <w:t>具有良好的商业信誉和健全的财务会计制度；</w:t>
      </w:r>
    </w:p>
    <w:p w14:paraId="3692271E">
      <w:pPr>
        <w:spacing w:line="360" w:lineRule="auto"/>
        <w:rPr>
          <w:sz w:val="24"/>
          <w:szCs w:val="22"/>
        </w:rPr>
      </w:pPr>
      <w:r>
        <w:rPr>
          <w:sz w:val="24"/>
          <w:szCs w:val="22"/>
        </w:rPr>
        <w:t>具有履行合同所必需的设备和专业技术能力；</w:t>
      </w:r>
    </w:p>
    <w:p w14:paraId="4F800603">
      <w:pPr>
        <w:spacing w:line="360" w:lineRule="auto"/>
        <w:rPr>
          <w:sz w:val="24"/>
          <w:szCs w:val="22"/>
        </w:rPr>
      </w:pPr>
      <w:r>
        <w:rPr>
          <w:sz w:val="24"/>
          <w:szCs w:val="22"/>
        </w:rPr>
        <w:t>有依法缴纳税收和社会保障资金的良好记录；</w:t>
      </w:r>
    </w:p>
    <w:p w14:paraId="422276D8">
      <w:pPr>
        <w:spacing w:line="360" w:lineRule="auto"/>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83626CD">
      <w:pPr>
        <w:spacing w:line="360" w:lineRule="auto"/>
        <w:rPr>
          <w:sz w:val="24"/>
          <w:szCs w:val="22"/>
        </w:rPr>
      </w:pPr>
      <w:r>
        <w:rPr>
          <w:sz w:val="24"/>
          <w:szCs w:val="22"/>
        </w:rPr>
        <w:t>我单位不属于政府采购法律、行政法规规定的公益一类事业单位、或使用事业编制且由财政拨款保障的群团组织（仅适用于政府购买服务项目）；</w:t>
      </w:r>
    </w:p>
    <w:p w14:paraId="491E989B">
      <w:pPr>
        <w:spacing w:line="360" w:lineRule="auto"/>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79046F6D">
      <w:pPr>
        <w:spacing w:line="360" w:lineRule="auto"/>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6D59E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0" w:hRule="atLeast"/>
          <w:jc w:val="center"/>
        </w:trPr>
        <w:tc>
          <w:tcPr>
            <w:tcW w:w="950" w:type="dxa"/>
            <w:noWrap w:val="0"/>
            <w:vAlign w:val="center"/>
          </w:tcPr>
          <w:p w14:paraId="317818EE">
            <w:pPr>
              <w:jc w:val="center"/>
              <w:rPr>
                <w:sz w:val="24"/>
              </w:rPr>
            </w:pPr>
            <w:r>
              <w:rPr>
                <w:sz w:val="24"/>
              </w:rPr>
              <w:t>序号</w:t>
            </w:r>
          </w:p>
        </w:tc>
        <w:tc>
          <w:tcPr>
            <w:tcW w:w="4574" w:type="dxa"/>
            <w:noWrap w:val="0"/>
            <w:vAlign w:val="center"/>
          </w:tcPr>
          <w:p w14:paraId="635062E9">
            <w:pPr>
              <w:jc w:val="center"/>
              <w:rPr>
                <w:sz w:val="24"/>
              </w:rPr>
            </w:pPr>
            <w:r>
              <w:rPr>
                <w:sz w:val="24"/>
              </w:rPr>
              <w:t>单位名称</w:t>
            </w:r>
          </w:p>
        </w:tc>
        <w:tc>
          <w:tcPr>
            <w:tcW w:w="2976" w:type="dxa"/>
            <w:noWrap w:val="0"/>
            <w:vAlign w:val="center"/>
          </w:tcPr>
          <w:p w14:paraId="1F4D26BF">
            <w:pPr>
              <w:jc w:val="center"/>
              <w:rPr>
                <w:sz w:val="24"/>
              </w:rPr>
            </w:pPr>
            <w:r>
              <w:rPr>
                <w:sz w:val="24"/>
              </w:rPr>
              <w:t>相互关系</w:t>
            </w:r>
          </w:p>
        </w:tc>
      </w:tr>
      <w:tr w14:paraId="7B6F72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0982580A">
            <w:pPr>
              <w:jc w:val="center"/>
              <w:rPr>
                <w:sz w:val="24"/>
              </w:rPr>
            </w:pPr>
            <w:r>
              <w:rPr>
                <w:sz w:val="24"/>
              </w:rPr>
              <w:t>1</w:t>
            </w:r>
          </w:p>
        </w:tc>
        <w:tc>
          <w:tcPr>
            <w:tcW w:w="4574" w:type="dxa"/>
            <w:noWrap w:val="0"/>
            <w:vAlign w:val="center"/>
          </w:tcPr>
          <w:p w14:paraId="1F6737E2">
            <w:pPr>
              <w:jc w:val="center"/>
              <w:rPr>
                <w:sz w:val="24"/>
              </w:rPr>
            </w:pPr>
          </w:p>
        </w:tc>
        <w:tc>
          <w:tcPr>
            <w:tcW w:w="2976" w:type="dxa"/>
            <w:noWrap w:val="0"/>
            <w:vAlign w:val="center"/>
          </w:tcPr>
          <w:p w14:paraId="69A78F65">
            <w:pPr>
              <w:jc w:val="center"/>
              <w:rPr>
                <w:sz w:val="24"/>
              </w:rPr>
            </w:pPr>
          </w:p>
        </w:tc>
      </w:tr>
      <w:tr w14:paraId="3AD72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697AD5D6">
            <w:pPr>
              <w:jc w:val="center"/>
              <w:rPr>
                <w:sz w:val="24"/>
              </w:rPr>
            </w:pPr>
            <w:r>
              <w:rPr>
                <w:sz w:val="24"/>
              </w:rPr>
              <w:t>2</w:t>
            </w:r>
          </w:p>
        </w:tc>
        <w:tc>
          <w:tcPr>
            <w:tcW w:w="4574" w:type="dxa"/>
            <w:noWrap w:val="0"/>
            <w:vAlign w:val="center"/>
          </w:tcPr>
          <w:p w14:paraId="340693DF">
            <w:pPr>
              <w:jc w:val="center"/>
              <w:rPr>
                <w:sz w:val="24"/>
              </w:rPr>
            </w:pPr>
          </w:p>
        </w:tc>
        <w:tc>
          <w:tcPr>
            <w:tcW w:w="2976" w:type="dxa"/>
            <w:noWrap w:val="0"/>
            <w:vAlign w:val="center"/>
          </w:tcPr>
          <w:p w14:paraId="29F365B9">
            <w:pPr>
              <w:jc w:val="center"/>
              <w:rPr>
                <w:sz w:val="24"/>
              </w:rPr>
            </w:pPr>
          </w:p>
        </w:tc>
      </w:tr>
      <w:tr w14:paraId="77ECA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24031EE5">
            <w:pPr>
              <w:jc w:val="center"/>
              <w:rPr>
                <w:sz w:val="24"/>
              </w:rPr>
            </w:pPr>
            <w:r>
              <w:rPr>
                <w:sz w:val="24"/>
              </w:rPr>
              <w:t>…</w:t>
            </w:r>
          </w:p>
        </w:tc>
        <w:tc>
          <w:tcPr>
            <w:tcW w:w="4574" w:type="dxa"/>
            <w:noWrap w:val="0"/>
            <w:vAlign w:val="center"/>
          </w:tcPr>
          <w:p w14:paraId="7DACA7F3">
            <w:pPr>
              <w:jc w:val="center"/>
              <w:rPr>
                <w:sz w:val="24"/>
              </w:rPr>
            </w:pPr>
          </w:p>
        </w:tc>
        <w:tc>
          <w:tcPr>
            <w:tcW w:w="2976" w:type="dxa"/>
            <w:noWrap w:val="0"/>
            <w:vAlign w:val="center"/>
          </w:tcPr>
          <w:p w14:paraId="0F69430D">
            <w:pPr>
              <w:jc w:val="center"/>
              <w:rPr>
                <w:sz w:val="24"/>
              </w:rPr>
            </w:pPr>
          </w:p>
        </w:tc>
      </w:tr>
    </w:tbl>
    <w:p w14:paraId="4616D577"/>
    <w:p w14:paraId="3B83342E">
      <w:pPr>
        <w:ind w:firstLine="480" w:firstLineChars="200"/>
        <w:rPr>
          <w:sz w:val="24"/>
        </w:rPr>
      </w:pPr>
      <w:r>
        <w:rPr>
          <w:sz w:val="24"/>
        </w:rPr>
        <w:t>上述声明真实有效，否则我方负全部责任。</w:t>
      </w:r>
    </w:p>
    <w:p w14:paraId="21D1AFEC">
      <w:pPr>
        <w:autoSpaceDE w:val="0"/>
        <w:autoSpaceDN w:val="0"/>
        <w:adjustRightInd w:val="0"/>
        <w:snapToGrid w:val="0"/>
        <w:spacing w:before="25" w:after="25" w:line="360" w:lineRule="auto"/>
        <w:ind w:right="360"/>
        <w:jc w:val="right"/>
        <w:rPr>
          <w:color w:val="000000"/>
          <w:sz w:val="24"/>
          <w:lang w:val="zh-CN"/>
        </w:rPr>
      </w:pPr>
      <w:r>
        <w:rPr>
          <w:color w:val="000000"/>
          <w:sz w:val="24"/>
        </w:rPr>
        <w:t>供应商名称（加盖公章）</w:t>
      </w:r>
      <w:r>
        <w:rPr>
          <w:color w:val="000000"/>
          <w:sz w:val="24"/>
          <w:lang w:val="zh-CN"/>
        </w:rPr>
        <w:t>：</w:t>
      </w:r>
      <w:r>
        <w:rPr>
          <w:sz w:val="24"/>
        </w:rPr>
        <w:t>______</w:t>
      </w:r>
    </w:p>
    <w:p w14:paraId="19753E13">
      <w:pPr>
        <w:spacing w:line="360" w:lineRule="auto"/>
        <w:ind w:right="360" w:firstLine="480"/>
        <w:jc w:val="right"/>
        <w:rPr>
          <w:sz w:val="24"/>
        </w:rPr>
      </w:pPr>
      <w:r>
        <w:rPr>
          <w:color w:val="000000"/>
          <w:sz w:val="24"/>
          <w:szCs w:val="20"/>
        </w:rPr>
        <w:t xml:space="preserve">日期：____年____月____日   </w:t>
      </w:r>
    </w:p>
    <w:p w14:paraId="539BA1D0">
      <w:pPr>
        <w:spacing w:line="360" w:lineRule="auto"/>
        <w:rPr>
          <w:sz w:val="24"/>
        </w:rPr>
      </w:pPr>
      <w:r>
        <w:rPr>
          <w:rFonts w:hint="eastAsia"/>
          <w:sz w:val="24"/>
        </w:rPr>
        <w:t>说明：供应商承诺不实的，依据《政府采购法》第七十七条“提供虚假材料谋取中标、成交的”有关规定予以处理。</w:t>
      </w:r>
    </w:p>
    <w:p w14:paraId="4069A3EF">
      <w:pPr>
        <w:tabs>
          <w:tab w:val="left" w:pos="5580"/>
        </w:tabs>
        <w:spacing w:line="360" w:lineRule="auto"/>
        <w:rPr>
          <w:sz w:val="24"/>
        </w:rPr>
        <w:sectPr>
          <w:footerReference r:id="rId8" w:type="default"/>
          <w:pgSz w:w="11907" w:h="16840"/>
          <w:pgMar w:top="1440" w:right="1196" w:bottom="1440" w:left="1196" w:header="851" w:footer="851" w:gutter="0"/>
          <w:cols w:space="720" w:num="1"/>
          <w:docGrid w:linePitch="462" w:charSpace="0"/>
        </w:sectPr>
      </w:pPr>
    </w:p>
    <w:p w14:paraId="08BE8C0E">
      <w:pPr>
        <w:tabs>
          <w:tab w:val="left" w:pos="360"/>
        </w:tabs>
        <w:snapToGrid w:val="0"/>
        <w:spacing w:line="360" w:lineRule="auto"/>
        <w:outlineLvl w:val="1"/>
        <w:rPr>
          <w:sz w:val="24"/>
        </w:rPr>
      </w:pPr>
      <w:r>
        <w:rPr>
          <w:sz w:val="24"/>
        </w:rPr>
        <w:t>2 落实政府采购政策需满足的资格要求（如有）</w:t>
      </w:r>
    </w:p>
    <w:p w14:paraId="5342D669">
      <w:pPr>
        <w:spacing w:line="360" w:lineRule="auto"/>
        <w:outlineLvl w:val="2"/>
        <w:rPr>
          <w:color w:val="000000"/>
          <w:sz w:val="24"/>
          <w:szCs w:val="20"/>
        </w:rPr>
      </w:pPr>
      <w:r>
        <w:rPr>
          <w:color w:val="000000"/>
          <w:sz w:val="24"/>
          <w:szCs w:val="20"/>
        </w:rPr>
        <w:t>2-1中小企业声明函</w:t>
      </w:r>
    </w:p>
    <w:p w14:paraId="333365EC">
      <w:pPr>
        <w:tabs>
          <w:tab w:val="left" w:pos="5580"/>
        </w:tabs>
        <w:spacing w:line="360" w:lineRule="auto"/>
        <w:rPr>
          <w:sz w:val="24"/>
        </w:rPr>
      </w:pPr>
    </w:p>
    <w:p w14:paraId="283D6118">
      <w:pPr>
        <w:tabs>
          <w:tab w:val="left" w:pos="5580"/>
        </w:tabs>
        <w:spacing w:line="360" w:lineRule="auto"/>
        <w:rPr>
          <w:sz w:val="24"/>
        </w:rPr>
      </w:pPr>
      <w:r>
        <w:rPr>
          <w:sz w:val="24"/>
        </w:rPr>
        <w:t>说明：</w:t>
      </w:r>
    </w:p>
    <w:p w14:paraId="7D3C1853">
      <w:pPr>
        <w:tabs>
          <w:tab w:val="left" w:pos="5580"/>
        </w:tabs>
        <w:spacing w:line="360" w:lineRule="auto"/>
        <w:rPr>
          <w:sz w:val="24"/>
        </w:rPr>
      </w:pPr>
      <w:r>
        <w:rPr>
          <w:sz w:val="24"/>
        </w:rPr>
        <w:t>（1）如本项目（包）不专门面向中小企业预留采购份额，</w:t>
      </w:r>
      <w:r>
        <w:rPr>
          <w:rFonts w:hint="eastAsia"/>
          <w:sz w:val="24"/>
        </w:rPr>
        <w:t>供应商非必须</w:t>
      </w:r>
      <w:r>
        <w:rPr>
          <w:sz w:val="24"/>
        </w:rPr>
        <w:t>提供</w:t>
      </w:r>
      <w:r>
        <w:rPr>
          <w:rFonts w:hint="eastAsia"/>
          <w:sz w:val="24"/>
        </w:rPr>
        <w:t>；当小微企业拟享受中小企业扶持政策时，仍应提供</w:t>
      </w:r>
      <w:r>
        <w:rPr>
          <w:sz w:val="24"/>
        </w:rPr>
        <w:t>《中小企业声明函》</w:t>
      </w:r>
      <w:r>
        <w:rPr>
          <w:rFonts w:hint="eastAsia"/>
          <w:sz w:val="24"/>
        </w:rPr>
        <w:t>，</w:t>
      </w:r>
      <w:r>
        <w:rPr>
          <w:color w:val="000000"/>
          <w:sz w:val="24"/>
        </w:rPr>
        <w:t>否则不得享受相关中小企业扶持政策</w:t>
      </w:r>
      <w:r>
        <w:rPr>
          <w:sz w:val="24"/>
        </w:rPr>
        <w:t>。</w:t>
      </w:r>
    </w:p>
    <w:p w14:paraId="63BD16C8">
      <w:pPr>
        <w:tabs>
          <w:tab w:val="left" w:pos="5580"/>
        </w:tabs>
        <w:spacing w:line="360" w:lineRule="auto"/>
        <w:rPr>
          <w:sz w:val="24"/>
        </w:rPr>
      </w:pPr>
      <w:r>
        <w:rPr>
          <w:sz w:val="24"/>
        </w:rPr>
        <w:t>（2）如本项目（包）专门面向中小/小微企业采购，须提供《中小企业声明函》（实质性格式）。</w:t>
      </w:r>
    </w:p>
    <w:p w14:paraId="6C679362">
      <w:pPr>
        <w:tabs>
          <w:tab w:val="left" w:pos="5580"/>
        </w:tabs>
        <w:spacing w:line="360" w:lineRule="auto"/>
        <w:rPr>
          <w:sz w:val="24"/>
        </w:rPr>
      </w:pPr>
      <w:r>
        <w:rPr>
          <w:sz w:val="24"/>
        </w:rPr>
        <w:t>（</w:t>
      </w:r>
      <w:r>
        <w:rPr>
          <w:rFonts w:hint="eastAsia"/>
          <w:sz w:val="24"/>
        </w:rPr>
        <w:t>3</w:t>
      </w:r>
      <w:r>
        <w:rPr>
          <w:sz w:val="24"/>
        </w:rPr>
        <w:t>）其他</w:t>
      </w:r>
    </w:p>
    <w:p w14:paraId="6AE2A0BF">
      <w:pPr>
        <w:tabs>
          <w:tab w:val="left" w:pos="5580"/>
        </w:tabs>
        <w:spacing w:line="360" w:lineRule="auto"/>
        <w:rPr>
          <w:sz w:val="24"/>
        </w:rPr>
      </w:pPr>
      <w:r>
        <w:rPr>
          <w:sz w:val="24"/>
        </w:rPr>
        <w:t>1）中小企业参加政府采购活动，应当出具此格式文件。《中小企业声明函》由参加政府采购活动的供应商出具。联合体响应的，《中小企业声明函》由牵头人出具。</w:t>
      </w:r>
    </w:p>
    <w:p w14:paraId="64FFC089">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402B4580">
      <w:pPr>
        <w:tabs>
          <w:tab w:val="left" w:pos="5580"/>
        </w:tabs>
        <w:spacing w:line="360" w:lineRule="auto"/>
        <w:rPr>
          <w:sz w:val="24"/>
        </w:rPr>
      </w:pPr>
      <w:r>
        <w:rPr>
          <w:sz w:val="24"/>
        </w:rPr>
        <w:t>3）对于多标的的采购项目，供应商应充分、准确地了解所投产品制造企业信息。对相关情况了解不清楚的，不建议填报本声明函。</w:t>
      </w:r>
    </w:p>
    <w:p w14:paraId="075F9354">
      <w:pPr>
        <w:tabs>
          <w:tab w:val="left" w:pos="5580"/>
        </w:tabs>
        <w:spacing w:line="360" w:lineRule="auto"/>
        <w:rPr>
          <w:sz w:val="24"/>
        </w:rPr>
      </w:pPr>
      <w:r>
        <w:rPr>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2C024E43">
      <w:pPr>
        <w:tabs>
          <w:tab w:val="left" w:pos="5580"/>
        </w:tabs>
        <w:spacing w:line="360" w:lineRule="auto"/>
        <w:rPr>
          <w:sz w:val="24"/>
        </w:rPr>
      </w:pPr>
    </w:p>
    <w:p w14:paraId="2DF78F61">
      <w:pPr>
        <w:widowControl/>
        <w:jc w:val="left"/>
        <w:rPr>
          <w:color w:val="000000"/>
          <w:sz w:val="24"/>
        </w:rPr>
      </w:pPr>
    </w:p>
    <w:p w14:paraId="30D6D9FB">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2D96B20E">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751181D">
      <w:pPr>
        <w:spacing w:line="360" w:lineRule="auto"/>
        <w:ind w:firstLine="504"/>
        <w:rPr>
          <w:spacing w:val="6"/>
          <w:sz w:val="24"/>
        </w:rPr>
      </w:pPr>
      <w:r>
        <w:rPr>
          <w:spacing w:val="6"/>
          <w:sz w:val="24"/>
        </w:rPr>
        <w:t>1.</w:t>
      </w:r>
      <w:r>
        <w:rPr>
          <w:spacing w:val="6"/>
          <w:sz w:val="24"/>
          <w:u w:val="single"/>
        </w:rPr>
        <w:t xml:space="preserve"> （标的名称） </w:t>
      </w:r>
      <w:r>
        <w:rPr>
          <w:spacing w:val="6"/>
          <w:sz w:val="24"/>
        </w:rPr>
        <w:t>，属于</w:t>
      </w:r>
      <w:r>
        <w:rPr>
          <w:spacing w:val="6"/>
          <w:sz w:val="24"/>
          <w:u w:val="single"/>
        </w:rPr>
        <w:t>（竞争性磋商文件中明确的所属行业）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w:t>
      </w:r>
      <w:r>
        <w:rPr>
          <w:spacing w:val="6"/>
          <w:sz w:val="24"/>
          <w:vertAlign w:val="superscript"/>
        </w:rPr>
        <w:t>1</w:t>
      </w:r>
      <w:r>
        <w:rPr>
          <w:spacing w:val="6"/>
          <w:sz w:val="24"/>
        </w:rPr>
        <w:t>，属于（中型企业、小型企业、微型企业）；</w:t>
      </w:r>
    </w:p>
    <w:p w14:paraId="1A369CE7">
      <w:pPr>
        <w:spacing w:line="360" w:lineRule="auto"/>
        <w:ind w:firstLine="504"/>
        <w:rPr>
          <w:spacing w:val="6"/>
          <w:sz w:val="24"/>
        </w:rPr>
      </w:pPr>
      <w:r>
        <w:rPr>
          <w:spacing w:val="6"/>
          <w:sz w:val="24"/>
        </w:rPr>
        <w:t xml:space="preserve">2. </w:t>
      </w:r>
      <w:r>
        <w:rPr>
          <w:spacing w:val="6"/>
          <w:sz w:val="24"/>
          <w:u w:val="single"/>
        </w:rPr>
        <w:t xml:space="preserve">（标的名称） </w:t>
      </w:r>
      <w:r>
        <w:rPr>
          <w:spacing w:val="6"/>
          <w:sz w:val="24"/>
        </w:rPr>
        <w:t>，属于</w:t>
      </w:r>
      <w:r>
        <w:rPr>
          <w:spacing w:val="6"/>
          <w:sz w:val="24"/>
          <w:u w:val="single"/>
        </w:rPr>
        <w:t>（竞争性磋商文件中明确的所属行业）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万元，属于</w:t>
      </w:r>
      <w:r>
        <w:rPr>
          <w:spacing w:val="6"/>
          <w:sz w:val="24"/>
          <w:u w:val="single"/>
        </w:rPr>
        <w:t>（中型企业、小型企业、微型企业）</w:t>
      </w:r>
      <w:r>
        <w:rPr>
          <w:spacing w:val="6"/>
          <w:sz w:val="24"/>
        </w:rPr>
        <w:t>；</w:t>
      </w:r>
    </w:p>
    <w:p w14:paraId="668EF5E1">
      <w:pPr>
        <w:spacing w:line="360" w:lineRule="auto"/>
        <w:ind w:firstLine="504"/>
        <w:rPr>
          <w:spacing w:val="6"/>
          <w:sz w:val="24"/>
        </w:rPr>
      </w:pPr>
    </w:p>
    <w:p w14:paraId="01791EE7">
      <w:pPr>
        <w:spacing w:line="360" w:lineRule="auto"/>
        <w:ind w:firstLine="504"/>
        <w:rPr>
          <w:spacing w:val="6"/>
          <w:sz w:val="24"/>
        </w:rPr>
      </w:pPr>
      <w:r>
        <w:rPr>
          <w:spacing w:val="6"/>
          <w:sz w:val="24"/>
        </w:rPr>
        <w:t>……</w:t>
      </w:r>
    </w:p>
    <w:p w14:paraId="4941A065">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76D13CE5">
      <w:pPr>
        <w:spacing w:line="360" w:lineRule="auto"/>
        <w:ind w:firstLine="504"/>
        <w:rPr>
          <w:spacing w:val="6"/>
          <w:sz w:val="24"/>
        </w:rPr>
      </w:pPr>
      <w:r>
        <w:rPr>
          <w:spacing w:val="6"/>
          <w:sz w:val="24"/>
        </w:rPr>
        <w:t>本企业对上述声明内容的真实性负责。如有虚假，将依法承担相应责任。</w:t>
      </w:r>
    </w:p>
    <w:p w14:paraId="42E0B90D">
      <w:pPr>
        <w:spacing w:line="360" w:lineRule="auto"/>
        <w:ind w:right="360" w:firstLine="480"/>
        <w:jc w:val="right"/>
        <w:rPr>
          <w:color w:val="000000"/>
          <w:sz w:val="24"/>
        </w:rPr>
      </w:pPr>
    </w:p>
    <w:p w14:paraId="45106D49">
      <w:pPr>
        <w:spacing w:line="360" w:lineRule="auto"/>
        <w:ind w:right="360" w:firstLine="480"/>
        <w:jc w:val="right"/>
        <w:rPr>
          <w:color w:val="000000"/>
          <w:sz w:val="24"/>
        </w:rPr>
      </w:pPr>
      <w:r>
        <w:rPr>
          <w:color w:val="000000"/>
          <w:sz w:val="24"/>
        </w:rPr>
        <w:t>企业名称（盖章）：</w:t>
      </w:r>
      <w:r>
        <w:rPr>
          <w:sz w:val="24"/>
        </w:rPr>
        <w:t>______</w:t>
      </w:r>
    </w:p>
    <w:p w14:paraId="780484AD">
      <w:pPr>
        <w:spacing w:line="360" w:lineRule="auto"/>
        <w:ind w:right="360" w:firstLine="480"/>
        <w:jc w:val="right"/>
        <w:rPr>
          <w:color w:val="000000"/>
          <w:sz w:val="24"/>
        </w:rPr>
      </w:pPr>
      <w:r>
        <w:rPr>
          <w:color w:val="000000"/>
          <w:sz w:val="24"/>
        </w:rPr>
        <w:t>日 期：</w:t>
      </w:r>
      <w:r>
        <w:rPr>
          <w:sz w:val="24"/>
        </w:rPr>
        <w:t>______</w:t>
      </w:r>
    </w:p>
    <w:p w14:paraId="1F3FD090">
      <w:pPr>
        <w:adjustRightInd w:val="0"/>
        <w:snapToGrid w:val="0"/>
        <w:jc w:val="left"/>
        <w:rPr>
          <w:color w:val="000000"/>
          <w:sz w:val="24"/>
          <w:szCs w:val="21"/>
        </w:rPr>
      </w:pPr>
    </w:p>
    <w:p w14:paraId="41C49004">
      <w:pPr>
        <w:adjustRightInd w:val="0"/>
        <w:snapToGrid w:val="0"/>
        <w:jc w:val="left"/>
        <w:rPr>
          <w:color w:val="000000"/>
          <w:sz w:val="24"/>
          <w:szCs w:val="21"/>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11ACF460">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14:paraId="12F62BE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0A215062">
      <w:pPr>
        <w:adjustRightInd w:val="0"/>
        <w:snapToGrid w:val="0"/>
        <w:jc w:val="left"/>
        <w:rPr>
          <w:color w:val="000000"/>
          <w:szCs w:val="21"/>
          <w:vertAlign w:val="superscript"/>
        </w:rPr>
      </w:pPr>
    </w:p>
    <w:p w14:paraId="75FB7C38">
      <w:pPr>
        <w:spacing w:line="360" w:lineRule="auto"/>
        <w:ind w:right="360" w:firstLine="480"/>
        <w:jc w:val="right"/>
        <w:rPr>
          <w:color w:val="000000"/>
          <w:sz w:val="24"/>
        </w:rPr>
      </w:pPr>
    </w:p>
    <w:p w14:paraId="2BCFB11F">
      <w:pPr>
        <w:spacing w:line="360" w:lineRule="auto"/>
        <w:ind w:right="360" w:firstLine="480"/>
        <w:jc w:val="right"/>
        <w:rPr>
          <w:color w:val="000000"/>
          <w:sz w:val="24"/>
        </w:rPr>
      </w:pPr>
    </w:p>
    <w:p w14:paraId="5F4D6036">
      <w:pPr>
        <w:spacing w:line="360" w:lineRule="auto"/>
        <w:jc w:val="center"/>
        <w:outlineLvl w:val="2"/>
        <w:rPr>
          <w:b/>
          <w:color w:val="000000"/>
          <w:sz w:val="36"/>
          <w:szCs w:val="36"/>
        </w:rPr>
      </w:pPr>
      <w:r>
        <w:rPr>
          <w:color w:val="000000"/>
          <w:sz w:val="24"/>
          <w:szCs w:val="20"/>
        </w:rPr>
        <w:br w:type="page"/>
      </w:r>
      <w:r>
        <w:rPr>
          <w:b/>
          <w:bCs/>
          <w:color w:val="000000"/>
          <w:sz w:val="36"/>
          <w:szCs w:val="36"/>
        </w:rPr>
        <w:t>残疾人福利性单位声明函格式</w:t>
      </w:r>
    </w:p>
    <w:p w14:paraId="3B35F9D8">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（请进行勾选）</w:t>
      </w:r>
      <w:r>
        <w:rPr>
          <w:spacing w:val="6"/>
          <w:sz w:val="24"/>
        </w:rPr>
        <w:t>：</w:t>
      </w:r>
    </w:p>
    <w:p w14:paraId="5D335C2E">
      <w:pPr>
        <w:spacing w:line="588" w:lineRule="exact"/>
        <w:ind w:firstLine="482"/>
        <w:rPr>
          <w:b/>
          <w:spacing w:val="6"/>
          <w:sz w:val="24"/>
        </w:rPr>
      </w:pPr>
      <w:r>
        <w:rPr>
          <w:b/>
          <w:sz w:val="24"/>
        </w:rPr>
        <w:t>□</w:t>
      </w:r>
      <w:r>
        <w:rPr>
          <w:b/>
          <w:spacing w:val="6"/>
          <w:sz w:val="24"/>
        </w:rPr>
        <w:t>不属于符合条件的残疾人福利性单位。</w:t>
      </w:r>
    </w:p>
    <w:p w14:paraId="44EA624A">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z w:val="24"/>
        </w:rPr>
        <w:t>______</w:t>
      </w:r>
      <w:r>
        <w:rPr>
          <w:spacing w:val="6"/>
          <w:sz w:val="24"/>
        </w:rPr>
        <w:t>单位的</w:t>
      </w:r>
      <w:r>
        <w:rPr>
          <w:sz w:val="24"/>
        </w:rPr>
        <w:t>______</w:t>
      </w:r>
      <w:r>
        <w:rPr>
          <w:spacing w:val="6"/>
          <w:sz w:val="24"/>
        </w:rPr>
        <w:t>项目采购活动提供本单位制造的货物（由本单位承担工程/提供服务），或者提供其他残疾人福利性单位制造的货物（不包括使用非残疾人福利性单位注册商标的货物）。</w:t>
      </w:r>
    </w:p>
    <w:p w14:paraId="7BD42CA5">
      <w:pPr>
        <w:spacing w:line="588" w:lineRule="exact"/>
        <w:ind w:firstLine="506" w:firstLineChars="200"/>
        <w:rPr>
          <w:spacing w:val="6"/>
          <w:sz w:val="24"/>
        </w:rPr>
      </w:pPr>
      <w:r>
        <w:rPr>
          <w:b/>
          <w:spacing w:val="6"/>
          <w:sz w:val="24"/>
        </w:rPr>
        <w:t>本单位对上述声明的真实性负责。如有虚假，将依法承担相应责任。</w:t>
      </w:r>
    </w:p>
    <w:p w14:paraId="48C6D1E5">
      <w:pPr>
        <w:spacing w:line="588" w:lineRule="exact"/>
        <w:ind w:firstLine="504" w:firstLineChars="200"/>
        <w:rPr>
          <w:spacing w:val="6"/>
          <w:sz w:val="24"/>
        </w:rPr>
      </w:pPr>
    </w:p>
    <w:p w14:paraId="57A7C5ED">
      <w:pPr>
        <w:spacing w:line="588" w:lineRule="exact"/>
        <w:ind w:firstLine="504" w:firstLineChars="200"/>
        <w:rPr>
          <w:spacing w:val="6"/>
          <w:sz w:val="24"/>
        </w:rPr>
      </w:pPr>
    </w:p>
    <w:p w14:paraId="56C94D76">
      <w:pPr>
        <w:tabs>
          <w:tab w:val="left" w:pos="4860"/>
        </w:tabs>
        <w:spacing w:line="588" w:lineRule="exact"/>
        <w:ind w:right="1560" w:firstLine="504" w:firstLineChars="200"/>
        <w:jc w:val="right"/>
        <w:rPr>
          <w:spacing w:val="6"/>
          <w:sz w:val="24"/>
        </w:rPr>
      </w:pPr>
      <w:r>
        <w:rPr>
          <w:spacing w:val="6"/>
          <w:sz w:val="24"/>
        </w:rPr>
        <w:t xml:space="preserve">          单位名称（盖章）：</w:t>
      </w:r>
      <w:r>
        <w:rPr>
          <w:sz w:val="24"/>
        </w:rPr>
        <w:t>______</w:t>
      </w:r>
    </w:p>
    <w:p w14:paraId="60DE3271">
      <w:pPr>
        <w:tabs>
          <w:tab w:val="left" w:pos="4860"/>
        </w:tabs>
        <w:spacing w:line="588" w:lineRule="exact"/>
        <w:ind w:right="1560" w:firstLine="504" w:firstLineChars="200"/>
        <w:jc w:val="right"/>
        <w:rPr>
          <w:color w:val="000000"/>
          <w:sz w:val="24"/>
        </w:rPr>
        <w:sectPr>
          <w:headerReference r:id="rId10" w:type="first"/>
          <w:footerReference r:id="rId12" w:type="first"/>
          <w:headerReference r:id="rId9" w:type="even"/>
          <w:footerReference r:id="rId11" w:type="even"/>
          <w:pgSz w:w="11907" w:h="16840"/>
          <w:pgMar w:top="1440" w:right="1196" w:bottom="1440" w:left="1196" w:header="851" w:footer="851" w:gutter="0"/>
          <w:cols w:space="720" w:num="1"/>
          <w:docGrid w:linePitch="462" w:charSpace="0"/>
        </w:sectPr>
      </w:pPr>
      <w:r>
        <w:rPr>
          <w:spacing w:val="6"/>
          <w:sz w:val="24"/>
        </w:rPr>
        <w:t xml:space="preserve">       日  期：</w:t>
      </w:r>
      <w:r>
        <w:rPr>
          <w:sz w:val="24"/>
        </w:rPr>
        <w:t>______</w:t>
      </w:r>
    </w:p>
    <w:p w14:paraId="103E62D7">
      <w:pPr>
        <w:tabs>
          <w:tab w:val="left" w:pos="360"/>
        </w:tabs>
        <w:snapToGrid w:val="0"/>
        <w:spacing w:line="360" w:lineRule="auto"/>
        <w:outlineLvl w:val="1"/>
        <w:rPr>
          <w:sz w:val="24"/>
        </w:rPr>
      </w:pPr>
      <w:r>
        <w:rPr>
          <w:sz w:val="24"/>
        </w:rPr>
        <w:t>3 本项目的特定资格要求</w:t>
      </w:r>
    </w:p>
    <w:p w14:paraId="3FDA6BC6">
      <w:pPr>
        <w:widowControl/>
        <w:spacing w:line="360" w:lineRule="auto"/>
        <w:jc w:val="left"/>
        <w:rPr>
          <w:rFonts w:hint="eastAsia" w:eastAsia="宋体"/>
          <w:sz w:val="24"/>
          <w:lang w:val="en-US" w:eastAsia="zh-CN"/>
        </w:rPr>
      </w:pPr>
      <w:r>
        <w:rPr>
          <w:rFonts w:hint="eastAsia"/>
          <w:sz w:val="24"/>
          <w:lang w:val="en-US" w:eastAsia="zh-CN"/>
        </w:rPr>
        <w:t>无</w:t>
      </w:r>
      <w:bookmarkStart w:id="755" w:name="_GoBack"/>
      <w:bookmarkEnd w:id="755"/>
    </w:p>
    <w:p w14:paraId="354E9B6F">
      <w:pPr>
        <w:widowControl/>
        <w:spacing w:line="360" w:lineRule="auto"/>
        <w:jc w:val="left"/>
        <w:rPr>
          <w:sz w:val="24"/>
        </w:rPr>
      </w:pPr>
    </w:p>
    <w:p w14:paraId="0E5D3E4E">
      <w:pPr>
        <w:widowControl/>
        <w:spacing w:line="360" w:lineRule="auto"/>
        <w:jc w:val="left"/>
        <w:rPr>
          <w:sz w:val="24"/>
        </w:rPr>
      </w:pPr>
    </w:p>
    <w:p w14:paraId="56CCC609">
      <w:pPr>
        <w:widowControl/>
        <w:spacing w:line="360" w:lineRule="auto"/>
        <w:jc w:val="left"/>
        <w:rPr>
          <w:sz w:val="24"/>
        </w:rPr>
      </w:pPr>
    </w:p>
    <w:p w14:paraId="537713B0">
      <w:pPr>
        <w:widowControl/>
        <w:spacing w:line="360" w:lineRule="auto"/>
        <w:jc w:val="left"/>
        <w:rPr>
          <w:sz w:val="24"/>
        </w:rPr>
      </w:pPr>
    </w:p>
    <w:p w14:paraId="55BA44A2">
      <w:pPr>
        <w:widowControl/>
        <w:spacing w:line="360" w:lineRule="auto"/>
        <w:jc w:val="left"/>
        <w:rPr>
          <w:sz w:val="24"/>
        </w:rPr>
      </w:pPr>
    </w:p>
    <w:p w14:paraId="63429F1F">
      <w:pPr>
        <w:widowControl/>
        <w:spacing w:line="360" w:lineRule="auto"/>
        <w:jc w:val="left"/>
        <w:rPr>
          <w:sz w:val="24"/>
        </w:rPr>
      </w:pPr>
    </w:p>
    <w:p w14:paraId="5D30BDF5">
      <w:pPr>
        <w:widowControl/>
        <w:spacing w:line="360" w:lineRule="auto"/>
        <w:jc w:val="left"/>
        <w:rPr>
          <w:sz w:val="24"/>
        </w:rPr>
      </w:pPr>
    </w:p>
    <w:p w14:paraId="1C5B623C">
      <w:pPr>
        <w:widowControl/>
        <w:spacing w:line="360" w:lineRule="auto"/>
        <w:jc w:val="left"/>
        <w:rPr>
          <w:sz w:val="24"/>
        </w:rPr>
      </w:pPr>
    </w:p>
    <w:p w14:paraId="4C6A6495">
      <w:pPr>
        <w:widowControl/>
        <w:spacing w:line="360" w:lineRule="auto"/>
        <w:jc w:val="left"/>
        <w:rPr>
          <w:sz w:val="24"/>
        </w:rPr>
      </w:pPr>
    </w:p>
    <w:p w14:paraId="71D15AE3">
      <w:pPr>
        <w:widowControl/>
        <w:spacing w:line="360" w:lineRule="auto"/>
        <w:jc w:val="left"/>
        <w:rPr>
          <w:sz w:val="24"/>
        </w:rPr>
      </w:pPr>
    </w:p>
    <w:p w14:paraId="7F57D459">
      <w:pPr>
        <w:widowControl/>
        <w:spacing w:line="360" w:lineRule="auto"/>
        <w:jc w:val="left"/>
        <w:rPr>
          <w:sz w:val="24"/>
        </w:rPr>
      </w:pPr>
    </w:p>
    <w:p w14:paraId="2B8CBE60">
      <w:pPr>
        <w:widowControl/>
        <w:spacing w:line="360" w:lineRule="auto"/>
        <w:jc w:val="left"/>
        <w:rPr>
          <w:sz w:val="24"/>
        </w:rPr>
      </w:pPr>
    </w:p>
    <w:p w14:paraId="50845A25">
      <w:pPr>
        <w:widowControl/>
        <w:spacing w:line="360" w:lineRule="auto"/>
        <w:jc w:val="left"/>
        <w:rPr>
          <w:sz w:val="24"/>
        </w:rPr>
      </w:pPr>
    </w:p>
    <w:p w14:paraId="3CFC01EF">
      <w:pPr>
        <w:widowControl/>
        <w:spacing w:line="360" w:lineRule="auto"/>
        <w:jc w:val="left"/>
        <w:rPr>
          <w:sz w:val="24"/>
        </w:rPr>
      </w:pPr>
    </w:p>
    <w:p w14:paraId="0B4F74F8">
      <w:pPr>
        <w:widowControl/>
        <w:spacing w:line="360" w:lineRule="auto"/>
        <w:jc w:val="left"/>
        <w:rPr>
          <w:sz w:val="24"/>
        </w:rPr>
      </w:pPr>
    </w:p>
    <w:p w14:paraId="4DB171D7">
      <w:pPr>
        <w:widowControl/>
        <w:spacing w:line="360" w:lineRule="auto"/>
        <w:jc w:val="left"/>
        <w:rPr>
          <w:sz w:val="24"/>
        </w:rPr>
      </w:pPr>
    </w:p>
    <w:p w14:paraId="1B35B3B2">
      <w:pPr>
        <w:widowControl/>
        <w:spacing w:line="360" w:lineRule="auto"/>
        <w:jc w:val="left"/>
        <w:rPr>
          <w:sz w:val="24"/>
        </w:rPr>
      </w:pPr>
    </w:p>
    <w:p w14:paraId="67767137">
      <w:pPr>
        <w:widowControl/>
        <w:spacing w:line="360" w:lineRule="auto"/>
        <w:jc w:val="left"/>
        <w:rPr>
          <w:sz w:val="24"/>
        </w:rPr>
      </w:pPr>
    </w:p>
    <w:p w14:paraId="681054BD">
      <w:pPr>
        <w:widowControl/>
        <w:spacing w:line="360" w:lineRule="auto"/>
        <w:jc w:val="left"/>
        <w:rPr>
          <w:sz w:val="24"/>
        </w:rPr>
      </w:pPr>
    </w:p>
    <w:p w14:paraId="6E0184DA">
      <w:pPr>
        <w:widowControl/>
        <w:spacing w:line="360" w:lineRule="auto"/>
        <w:jc w:val="left"/>
        <w:rPr>
          <w:sz w:val="24"/>
        </w:rPr>
      </w:pPr>
    </w:p>
    <w:p w14:paraId="09F6902F">
      <w:pPr>
        <w:widowControl/>
        <w:spacing w:line="360" w:lineRule="auto"/>
        <w:jc w:val="left"/>
        <w:rPr>
          <w:sz w:val="24"/>
        </w:rPr>
      </w:pPr>
    </w:p>
    <w:p w14:paraId="770223EF">
      <w:pPr>
        <w:widowControl/>
        <w:spacing w:line="360" w:lineRule="auto"/>
        <w:jc w:val="left"/>
        <w:rPr>
          <w:sz w:val="24"/>
        </w:rPr>
      </w:pPr>
    </w:p>
    <w:p w14:paraId="4ADD3F57">
      <w:pPr>
        <w:widowControl/>
        <w:spacing w:line="360" w:lineRule="auto"/>
        <w:jc w:val="left"/>
        <w:rPr>
          <w:sz w:val="24"/>
        </w:rPr>
      </w:pPr>
    </w:p>
    <w:p w14:paraId="5992FADA">
      <w:pPr>
        <w:widowControl/>
        <w:spacing w:line="360" w:lineRule="auto"/>
        <w:jc w:val="left"/>
        <w:rPr>
          <w:sz w:val="24"/>
        </w:rPr>
      </w:pPr>
    </w:p>
    <w:p w14:paraId="41A23F1F">
      <w:pPr>
        <w:widowControl/>
        <w:spacing w:line="360" w:lineRule="auto"/>
        <w:jc w:val="left"/>
        <w:rPr>
          <w:sz w:val="24"/>
        </w:rPr>
      </w:pPr>
    </w:p>
    <w:p w14:paraId="0430D2E3">
      <w:pPr>
        <w:widowControl/>
        <w:spacing w:line="360" w:lineRule="auto"/>
        <w:jc w:val="left"/>
        <w:rPr>
          <w:sz w:val="24"/>
        </w:rPr>
      </w:pPr>
    </w:p>
    <w:p w14:paraId="14334C49">
      <w:pPr>
        <w:widowControl/>
        <w:spacing w:line="360" w:lineRule="auto"/>
        <w:jc w:val="left"/>
        <w:rPr>
          <w:sz w:val="24"/>
        </w:rPr>
      </w:pPr>
    </w:p>
    <w:p w14:paraId="35522246">
      <w:pPr>
        <w:widowControl/>
        <w:spacing w:line="360" w:lineRule="auto"/>
        <w:jc w:val="left"/>
        <w:rPr>
          <w:sz w:val="24"/>
        </w:rPr>
      </w:pPr>
    </w:p>
    <w:p w14:paraId="381D2DB2">
      <w:pPr>
        <w:widowControl/>
        <w:spacing w:line="360" w:lineRule="auto"/>
        <w:jc w:val="left"/>
        <w:rPr>
          <w:sz w:val="24"/>
        </w:rPr>
      </w:pPr>
    </w:p>
    <w:p w14:paraId="386156E0">
      <w:pPr>
        <w:widowControl/>
        <w:spacing w:line="360" w:lineRule="auto"/>
        <w:jc w:val="left"/>
        <w:rPr>
          <w:sz w:val="24"/>
        </w:rPr>
      </w:pPr>
    </w:p>
    <w:p w14:paraId="7028E77D">
      <w:pPr>
        <w:widowControl/>
        <w:spacing w:line="360" w:lineRule="auto"/>
        <w:jc w:val="left"/>
        <w:rPr>
          <w:sz w:val="24"/>
        </w:rPr>
      </w:pPr>
    </w:p>
    <w:p w14:paraId="09B44EC9">
      <w:pPr>
        <w:widowControl/>
        <w:spacing w:line="360" w:lineRule="auto"/>
        <w:jc w:val="left"/>
        <w:rPr>
          <w:sz w:val="24"/>
        </w:rPr>
      </w:pPr>
      <w:r>
        <w:rPr>
          <w:sz w:val="24"/>
        </w:rPr>
        <w:t>4 磋商保证金凭证/交款单据电子件</w:t>
      </w:r>
    </w:p>
    <w:p w14:paraId="27AFAA04">
      <w:pPr>
        <w:tabs>
          <w:tab w:val="left" w:pos="360"/>
        </w:tabs>
        <w:snapToGrid w:val="0"/>
        <w:spacing w:line="360" w:lineRule="auto"/>
        <w:outlineLvl w:val="1"/>
        <w:rPr>
          <w:sz w:val="24"/>
        </w:rPr>
      </w:pPr>
      <w:r>
        <w:rPr>
          <w:b/>
          <w:sz w:val="24"/>
        </w:rPr>
        <w:br w:type="page"/>
      </w:r>
      <w:bookmarkStart w:id="678" w:name="_Hlt520343392"/>
      <w:bookmarkEnd w:id="678"/>
      <w:bookmarkStart w:id="679" w:name="_Hlt520274065"/>
      <w:bookmarkEnd w:id="679"/>
      <w:bookmarkStart w:id="680" w:name="_Hlt520343000"/>
      <w:bookmarkEnd w:id="680"/>
      <w:bookmarkStart w:id="681" w:name="_Hlt520271212"/>
      <w:bookmarkEnd w:id="681"/>
      <w:bookmarkStart w:id="682" w:name="_Hlt520274393"/>
      <w:bookmarkEnd w:id="682"/>
      <w:bookmarkStart w:id="683" w:name="_Hlt520350918"/>
      <w:bookmarkEnd w:id="683"/>
      <w:bookmarkStart w:id="684" w:name="_Hlt520273711"/>
      <w:bookmarkEnd w:id="684"/>
      <w:bookmarkStart w:id="685" w:name="_Hlt520355504"/>
      <w:bookmarkEnd w:id="685"/>
      <w:bookmarkStart w:id="686" w:name="_Hlt520274407"/>
      <w:bookmarkEnd w:id="686"/>
      <w:bookmarkStart w:id="687" w:name="_Hlt520274121"/>
      <w:bookmarkEnd w:id="687"/>
      <w:bookmarkStart w:id="688" w:name="_Ref467988698"/>
      <w:bookmarkStart w:id="689" w:name="_Toc480942349"/>
      <w:bookmarkStart w:id="690" w:name="_Toc226965829"/>
      <w:bookmarkStart w:id="691" w:name="_Toc520356217"/>
      <w:bookmarkStart w:id="692" w:name="_Toc142311058"/>
      <w:bookmarkStart w:id="693" w:name="_Toc150774761"/>
      <w:bookmarkStart w:id="694" w:name="_Toc195842921"/>
      <w:bookmarkStart w:id="695" w:name="_Toc127151556"/>
      <w:bookmarkStart w:id="696" w:name="_Toc150480794"/>
      <w:bookmarkStart w:id="697" w:name="_Toc226309800"/>
      <w:bookmarkStart w:id="698" w:name="_Toc226337252"/>
      <w:bookmarkStart w:id="699" w:name="_Toc226965746"/>
      <w:r>
        <w:rPr>
          <w:sz w:val="24"/>
        </w:rPr>
        <w:t xml:space="preserve">5  </w:t>
      </w:r>
      <w:bookmarkEnd w:id="688"/>
      <w:bookmarkEnd w:id="689"/>
      <w:r>
        <w:rPr>
          <w:sz w:val="24"/>
        </w:rPr>
        <w:t>响应书</w:t>
      </w:r>
      <w:bookmarkEnd w:id="690"/>
      <w:bookmarkEnd w:id="691"/>
      <w:bookmarkEnd w:id="692"/>
      <w:bookmarkEnd w:id="693"/>
      <w:bookmarkEnd w:id="694"/>
      <w:bookmarkEnd w:id="695"/>
      <w:bookmarkEnd w:id="696"/>
      <w:bookmarkEnd w:id="697"/>
      <w:bookmarkEnd w:id="698"/>
      <w:bookmarkEnd w:id="699"/>
    </w:p>
    <w:p w14:paraId="2E138CB8">
      <w:pPr>
        <w:tabs>
          <w:tab w:val="left" w:pos="5580"/>
        </w:tabs>
        <w:spacing w:line="360" w:lineRule="auto"/>
        <w:rPr>
          <w:color w:val="000000"/>
          <w:sz w:val="24"/>
        </w:rPr>
      </w:pPr>
    </w:p>
    <w:p w14:paraId="723126D0">
      <w:pPr>
        <w:spacing w:line="360" w:lineRule="auto"/>
        <w:jc w:val="center"/>
        <w:rPr>
          <w:b/>
          <w:color w:val="000000"/>
          <w:sz w:val="36"/>
          <w:szCs w:val="36"/>
        </w:rPr>
      </w:pPr>
      <w:r>
        <w:rPr>
          <w:rFonts w:hint="eastAsia"/>
          <w:b/>
          <w:color w:val="000000"/>
          <w:sz w:val="36"/>
          <w:szCs w:val="36"/>
        </w:rPr>
        <w:t>响应书</w:t>
      </w:r>
    </w:p>
    <w:p w14:paraId="383078B6">
      <w:pPr>
        <w:tabs>
          <w:tab w:val="left" w:pos="5580"/>
        </w:tabs>
        <w:spacing w:line="360" w:lineRule="auto"/>
        <w:rPr>
          <w:color w:val="000000"/>
          <w:sz w:val="24"/>
        </w:rPr>
      </w:pPr>
      <w:r>
        <w:rPr>
          <w:color w:val="000000"/>
          <w:sz w:val="24"/>
        </w:rPr>
        <w:t>致：</w:t>
      </w:r>
      <w:r>
        <w:rPr>
          <w:color w:val="000000"/>
          <w:sz w:val="24"/>
          <w:u w:val="single"/>
        </w:rPr>
        <w:t>（采购人或采购代理机构）</w:t>
      </w:r>
    </w:p>
    <w:p w14:paraId="451AA6CB">
      <w:pPr>
        <w:tabs>
          <w:tab w:val="left" w:pos="5580"/>
        </w:tabs>
        <w:spacing w:line="360" w:lineRule="auto"/>
        <w:rPr>
          <w:color w:val="000000"/>
          <w:sz w:val="24"/>
          <w:szCs w:val="20"/>
        </w:rPr>
      </w:pPr>
    </w:p>
    <w:p w14:paraId="15A8B483">
      <w:pPr>
        <w:tabs>
          <w:tab w:val="left" w:pos="5580"/>
        </w:tabs>
        <w:spacing w:line="360" w:lineRule="auto"/>
        <w:ind w:firstLine="408"/>
        <w:rPr>
          <w:color w:val="000000"/>
          <w:sz w:val="24"/>
          <w:szCs w:val="20"/>
        </w:rPr>
      </w:pPr>
      <w:r>
        <w:rPr>
          <w:color w:val="000000"/>
          <w:sz w:val="24"/>
          <w:szCs w:val="20"/>
        </w:rPr>
        <w:t>我方参加你方就</w:t>
      </w:r>
      <w:r>
        <w:rPr>
          <w:sz w:val="24"/>
        </w:rPr>
        <w:t>______</w:t>
      </w:r>
      <w:r>
        <w:rPr>
          <w:color w:val="000000"/>
          <w:sz w:val="24"/>
          <w:szCs w:val="20"/>
        </w:rPr>
        <w:t>（项目名称，项目编号）组织的采购活动，并对此项目进行磋商。</w:t>
      </w:r>
    </w:p>
    <w:p w14:paraId="188B59A8">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已详细审查全部竞争性磋商文件</w:t>
      </w:r>
      <w:r>
        <w:rPr>
          <w:color w:val="000000"/>
          <w:sz w:val="24"/>
          <w:szCs w:val="20"/>
        </w:rPr>
        <w:t>，自愿参与磋商并承诺如下：</w:t>
      </w:r>
    </w:p>
    <w:p w14:paraId="2E4B3D59">
      <w:pPr>
        <w:tabs>
          <w:tab w:val="left" w:pos="720"/>
          <w:tab w:val="left" w:pos="900"/>
        </w:tabs>
        <w:spacing w:line="360" w:lineRule="auto"/>
        <w:ind w:left="360" w:firstLine="72" w:firstLineChars="30"/>
        <w:rPr>
          <w:color w:val="000000"/>
          <w:sz w:val="24"/>
          <w:szCs w:val="20"/>
        </w:rPr>
      </w:pPr>
      <w:r>
        <w:rPr>
          <w:color w:val="000000"/>
          <w:sz w:val="24"/>
          <w:szCs w:val="20"/>
        </w:rPr>
        <w:t>（1）本响应有效期为自提交响应文件的截止之日起</w:t>
      </w:r>
      <w:r>
        <w:rPr>
          <w:sz w:val="24"/>
        </w:rPr>
        <w:t>______</w:t>
      </w:r>
      <w:r>
        <w:rPr>
          <w:color w:val="000000"/>
          <w:sz w:val="24"/>
          <w:szCs w:val="20"/>
        </w:rPr>
        <w:t>个日历日。</w:t>
      </w:r>
    </w:p>
    <w:p w14:paraId="23EFB825">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（2）除合同条款及采购需求偏离表列出的偏离外，我方响应竞争性磋商文件的全部要求。</w:t>
      </w:r>
    </w:p>
    <w:p w14:paraId="43FB31E2">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19596A8B">
      <w:pPr>
        <w:tabs>
          <w:tab w:val="left" w:pos="5580"/>
        </w:tabs>
        <w:spacing w:line="360" w:lineRule="auto"/>
        <w:ind w:firstLine="420" w:firstLineChars="175"/>
        <w:rPr>
          <w:color w:val="000000"/>
          <w:sz w:val="24"/>
        </w:rPr>
      </w:pPr>
      <w:r>
        <w:rPr>
          <w:color w:val="000000"/>
          <w:sz w:val="24"/>
          <w:szCs w:val="20"/>
        </w:rPr>
        <w:t>（4）如我方成交，我方将在法律规定的期限内与你方签订合同，按照竞争性磋商文件要求提交履约保证金，并在合同约定的期限内完成合同规定的全部义务。</w:t>
      </w:r>
    </w:p>
    <w:p w14:paraId="60EA31E5">
      <w:pPr>
        <w:spacing w:line="360" w:lineRule="auto"/>
        <w:ind w:left="420"/>
        <w:rPr>
          <w:color w:val="000000"/>
          <w:sz w:val="24"/>
        </w:rPr>
      </w:pPr>
      <w:r>
        <w:rPr>
          <w:color w:val="000000"/>
          <w:sz w:val="24"/>
        </w:rPr>
        <w:t>2. 其他补充条款（如有）：</w:t>
      </w:r>
      <w:r>
        <w:rPr>
          <w:sz w:val="24"/>
        </w:rPr>
        <w:t>______</w:t>
      </w:r>
      <w:r>
        <w:rPr>
          <w:color w:val="000000"/>
          <w:sz w:val="24"/>
        </w:rPr>
        <w:t>。</w:t>
      </w:r>
    </w:p>
    <w:p w14:paraId="7FE0BADB">
      <w:pPr>
        <w:spacing w:line="360" w:lineRule="auto"/>
        <w:ind w:firstLine="480" w:firstLineChars="200"/>
        <w:rPr>
          <w:color w:val="000000"/>
          <w:sz w:val="24"/>
        </w:rPr>
      </w:pPr>
      <w:r>
        <w:rPr>
          <w:color w:val="000000"/>
          <w:sz w:val="24"/>
        </w:rPr>
        <w:t>与本磋商有关的一切正式往来信函请寄：</w:t>
      </w:r>
    </w:p>
    <w:p w14:paraId="71EE6D86">
      <w:pPr>
        <w:tabs>
          <w:tab w:val="left" w:pos="5580"/>
        </w:tabs>
        <w:spacing w:line="360" w:lineRule="auto"/>
        <w:ind w:left="420"/>
        <w:rPr>
          <w:color w:val="000000"/>
          <w:sz w:val="24"/>
          <w:szCs w:val="20"/>
        </w:rPr>
      </w:pPr>
    </w:p>
    <w:p w14:paraId="024BED42">
      <w:pPr>
        <w:tabs>
          <w:tab w:val="left" w:pos="5580"/>
        </w:tabs>
        <w:spacing w:line="360" w:lineRule="auto"/>
        <w:ind w:left="420"/>
        <w:rPr>
          <w:color w:val="000000"/>
          <w:sz w:val="24"/>
          <w:szCs w:val="20"/>
        </w:rPr>
      </w:pPr>
      <w:r>
        <w:rPr>
          <w:color w:val="000000"/>
          <w:sz w:val="24"/>
          <w:szCs w:val="20"/>
        </w:rPr>
        <w:t>地址</w:t>
      </w:r>
      <w:r>
        <w:rPr>
          <w:bCs/>
          <w:color w:val="000000"/>
          <w:sz w:val="24"/>
        </w:rPr>
        <w:t>_________________________</w:t>
      </w:r>
      <w:r>
        <w:rPr>
          <w:color w:val="000000"/>
          <w:sz w:val="24"/>
          <w:szCs w:val="20"/>
        </w:rPr>
        <w:t xml:space="preserve">      传   真</w:t>
      </w:r>
      <w:r>
        <w:rPr>
          <w:bCs/>
          <w:color w:val="000000"/>
          <w:sz w:val="24"/>
        </w:rPr>
        <w:t>_________________________</w:t>
      </w:r>
    </w:p>
    <w:p w14:paraId="0E87BEC1">
      <w:pPr>
        <w:tabs>
          <w:tab w:val="left" w:pos="5580"/>
        </w:tabs>
        <w:spacing w:line="360" w:lineRule="auto"/>
        <w:ind w:left="420"/>
        <w:rPr>
          <w:color w:val="000000"/>
          <w:sz w:val="24"/>
          <w:szCs w:val="20"/>
        </w:rPr>
      </w:pPr>
      <w:r>
        <w:rPr>
          <w:color w:val="000000"/>
          <w:sz w:val="24"/>
          <w:szCs w:val="20"/>
        </w:rPr>
        <w:t>电话</w:t>
      </w:r>
      <w:r>
        <w:rPr>
          <w:bCs/>
          <w:color w:val="000000"/>
          <w:sz w:val="24"/>
        </w:rPr>
        <w:t>_________________________</w:t>
      </w:r>
      <w:r>
        <w:rPr>
          <w:color w:val="000000"/>
          <w:sz w:val="24"/>
          <w:szCs w:val="20"/>
        </w:rPr>
        <w:t xml:space="preserve">      电子函件</w:t>
      </w:r>
      <w:r>
        <w:rPr>
          <w:bCs/>
          <w:color w:val="000000"/>
          <w:sz w:val="24"/>
        </w:rPr>
        <w:t>_________________________</w:t>
      </w:r>
    </w:p>
    <w:p w14:paraId="3F60CE83">
      <w:pPr>
        <w:tabs>
          <w:tab w:val="left" w:pos="5580"/>
        </w:tabs>
        <w:spacing w:line="360" w:lineRule="auto"/>
        <w:ind w:left="420"/>
        <w:rPr>
          <w:color w:val="000000"/>
          <w:sz w:val="24"/>
          <w:szCs w:val="20"/>
        </w:rPr>
      </w:pPr>
    </w:p>
    <w:p w14:paraId="781B130F">
      <w:pPr>
        <w:tabs>
          <w:tab w:val="left" w:pos="5580"/>
        </w:tabs>
        <w:spacing w:line="360" w:lineRule="auto"/>
        <w:ind w:left="420"/>
        <w:rPr>
          <w:color w:val="000000"/>
          <w:sz w:val="24"/>
          <w:szCs w:val="20"/>
        </w:rPr>
      </w:pPr>
    </w:p>
    <w:p w14:paraId="7897B02A">
      <w:pPr>
        <w:tabs>
          <w:tab w:val="left" w:pos="5580"/>
        </w:tabs>
        <w:spacing w:line="360" w:lineRule="auto"/>
        <w:ind w:left="420"/>
        <w:rPr>
          <w:color w:val="000000"/>
          <w:sz w:val="24"/>
          <w:szCs w:val="20"/>
        </w:rPr>
      </w:pPr>
    </w:p>
    <w:p w14:paraId="37E8FF52">
      <w:pPr>
        <w:autoSpaceDE w:val="0"/>
        <w:autoSpaceDN w:val="0"/>
        <w:adjustRightInd w:val="0"/>
        <w:snapToGrid w:val="0"/>
        <w:spacing w:before="25" w:after="25" w:line="360" w:lineRule="auto"/>
        <w:ind w:right="360" w:firstLine="360" w:firstLineChars="150"/>
        <w:rPr>
          <w:color w:val="000000"/>
          <w:sz w:val="24"/>
          <w:lang w:val="zh-CN"/>
        </w:rPr>
      </w:pPr>
      <w:r>
        <w:rPr>
          <w:color w:val="000000"/>
          <w:sz w:val="24"/>
        </w:rPr>
        <w:t>供应商名称（加盖公章）</w:t>
      </w:r>
      <w:r>
        <w:rPr>
          <w:color w:val="000000"/>
          <w:sz w:val="24"/>
          <w:lang w:val="zh-CN"/>
        </w:rPr>
        <w:t>：</w:t>
      </w:r>
      <w:r>
        <w:rPr>
          <w:sz w:val="24"/>
        </w:rPr>
        <w:t>______</w:t>
      </w:r>
    </w:p>
    <w:p w14:paraId="38B20AEE">
      <w:pPr>
        <w:tabs>
          <w:tab w:val="left" w:pos="5580"/>
        </w:tabs>
        <w:spacing w:line="360" w:lineRule="auto"/>
        <w:ind w:firstLine="360" w:firstLineChars="150"/>
        <w:rPr>
          <w:color w:val="000000"/>
          <w:sz w:val="24"/>
          <w:szCs w:val="20"/>
        </w:rPr>
      </w:pPr>
      <w:r>
        <w:rPr>
          <w:color w:val="000000"/>
          <w:sz w:val="24"/>
          <w:szCs w:val="20"/>
        </w:rPr>
        <w:t xml:space="preserve">日期：____年____月____日  </w:t>
      </w:r>
    </w:p>
    <w:p w14:paraId="531A088D">
      <w:pPr>
        <w:tabs>
          <w:tab w:val="left" w:pos="5580"/>
        </w:tabs>
        <w:spacing w:line="360" w:lineRule="auto"/>
        <w:ind w:left="420"/>
        <w:jc w:val="left"/>
        <w:rPr>
          <w:color w:val="000000"/>
          <w:sz w:val="24"/>
          <w:szCs w:val="20"/>
        </w:rPr>
      </w:pPr>
    </w:p>
    <w:p w14:paraId="7F744E02">
      <w:pPr>
        <w:widowControl/>
        <w:jc w:val="left"/>
        <w:rPr>
          <w:b/>
          <w:color w:val="000000"/>
          <w:sz w:val="24"/>
          <w:szCs w:val="20"/>
        </w:rPr>
      </w:pPr>
      <w:r>
        <w:rPr>
          <w:b/>
          <w:color w:val="000000"/>
          <w:sz w:val="24"/>
          <w:szCs w:val="20"/>
        </w:rPr>
        <w:br w:type="page"/>
      </w:r>
    </w:p>
    <w:p w14:paraId="6D819B4D">
      <w:pPr>
        <w:widowControl/>
        <w:jc w:val="left"/>
        <w:rPr>
          <w:color w:val="000000"/>
          <w:sz w:val="24"/>
        </w:rPr>
      </w:pPr>
      <w:bookmarkStart w:id="700" w:name="_Hlt520356243"/>
      <w:bookmarkEnd w:id="700"/>
      <w:bookmarkStart w:id="701" w:name="_Hlt520355938"/>
      <w:bookmarkEnd w:id="701"/>
      <w:bookmarkStart w:id="702" w:name="_Toc265228395"/>
      <w:bookmarkStart w:id="703" w:name="_Toc520356218"/>
      <w:bookmarkStart w:id="704" w:name="_Ref467988705"/>
      <w:bookmarkStart w:id="705" w:name="_Toc226337253"/>
      <w:bookmarkStart w:id="706" w:name="_Toc226965747"/>
      <w:bookmarkStart w:id="707" w:name="_Toc305158825"/>
      <w:bookmarkStart w:id="708" w:name="_Toc226965830"/>
      <w:bookmarkStart w:id="709" w:name="_Toc480942350"/>
      <w:bookmarkStart w:id="710" w:name="_Toc195842922"/>
      <w:bookmarkStart w:id="711" w:name="_Toc305158899"/>
      <w:bookmarkStart w:id="712" w:name="_Toc142311059"/>
      <w:bookmarkStart w:id="713" w:name="_Toc226309801"/>
      <w:bookmarkStart w:id="714" w:name="_Toc150480795"/>
      <w:bookmarkStart w:id="715" w:name="_Toc127151557"/>
      <w:bookmarkStart w:id="716" w:name="_Toc264969247"/>
      <w:bookmarkStart w:id="717" w:name="_Toc150774762"/>
    </w:p>
    <w:p w14:paraId="69825711">
      <w:pPr>
        <w:tabs>
          <w:tab w:val="left" w:pos="360"/>
        </w:tabs>
        <w:snapToGrid w:val="0"/>
        <w:spacing w:line="360" w:lineRule="auto"/>
        <w:outlineLvl w:val="1"/>
        <w:rPr>
          <w:rFonts w:hint="eastAsia"/>
          <w:sz w:val="24"/>
        </w:rPr>
      </w:pPr>
      <w:r>
        <w:rPr>
          <w:sz w:val="24"/>
        </w:rPr>
        <w:t>6  授权委托书</w:t>
      </w:r>
      <w:r>
        <w:rPr>
          <w:rFonts w:hint="eastAsia"/>
          <w:sz w:val="24"/>
        </w:rPr>
        <w:t>（实质性格式）</w:t>
      </w:r>
    </w:p>
    <w:p w14:paraId="5DC4AC72">
      <w:pPr>
        <w:autoSpaceDE w:val="0"/>
        <w:autoSpaceDN w:val="0"/>
        <w:adjustRightInd w:val="0"/>
        <w:spacing w:line="360" w:lineRule="auto"/>
        <w:jc w:val="center"/>
        <w:rPr>
          <w:b/>
          <w:color w:val="000000"/>
          <w:sz w:val="36"/>
          <w:szCs w:val="36"/>
        </w:rPr>
      </w:pPr>
      <w:r>
        <w:rPr>
          <w:rFonts w:hint="eastAsia"/>
          <w:b/>
          <w:color w:val="000000"/>
          <w:sz w:val="36"/>
          <w:szCs w:val="36"/>
        </w:rPr>
        <w:t>授权委托书</w:t>
      </w:r>
    </w:p>
    <w:p w14:paraId="30232033">
      <w:pPr>
        <w:spacing w:line="360" w:lineRule="auto"/>
        <w:ind w:firstLine="420"/>
        <w:rPr>
          <w:color w:val="000000"/>
          <w:sz w:val="24"/>
          <w:szCs w:val="20"/>
        </w:rPr>
      </w:pPr>
      <w:r>
        <w:rPr>
          <w:color w:val="000000"/>
          <w:sz w:val="24"/>
          <w:szCs w:val="20"/>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7712AAFE">
      <w:pPr>
        <w:spacing w:line="360" w:lineRule="auto"/>
        <w:ind w:firstLine="420"/>
        <w:rPr>
          <w:color w:val="000000"/>
          <w:sz w:val="24"/>
          <w:szCs w:val="20"/>
        </w:rPr>
      </w:pPr>
      <w:r>
        <w:rPr>
          <w:color w:val="000000"/>
          <w:sz w:val="24"/>
          <w:szCs w:val="20"/>
        </w:rPr>
        <w:t>委托期限：自本授权委托书签署之日起至响应有效期届满之日止。</w:t>
      </w:r>
    </w:p>
    <w:p w14:paraId="5DE30550">
      <w:pPr>
        <w:spacing w:line="360" w:lineRule="auto"/>
        <w:ind w:firstLine="420"/>
        <w:rPr>
          <w:color w:val="000000"/>
          <w:sz w:val="24"/>
          <w:szCs w:val="20"/>
        </w:rPr>
      </w:pPr>
      <w:r>
        <w:rPr>
          <w:color w:val="000000"/>
          <w:sz w:val="24"/>
          <w:szCs w:val="20"/>
        </w:rPr>
        <w:t>代理人无转委托权。</w:t>
      </w:r>
      <w:r>
        <w:rPr>
          <w:color w:val="000000"/>
          <w:sz w:val="24"/>
          <w:szCs w:val="20"/>
        </w:rPr>
        <w:cr/>
      </w:r>
    </w:p>
    <w:p w14:paraId="1F4FF944">
      <w:pPr>
        <w:spacing w:line="360" w:lineRule="auto"/>
        <w:rPr>
          <w:color w:val="000000"/>
          <w:sz w:val="24"/>
          <w:lang w:val="zh-CN"/>
        </w:rPr>
      </w:pPr>
      <w:r>
        <w:rPr>
          <w:color w:val="000000"/>
          <w:sz w:val="24"/>
        </w:rPr>
        <w:t>供应商名称（加盖公章）</w:t>
      </w:r>
      <w:r>
        <w:rPr>
          <w:color w:val="000000"/>
          <w:sz w:val="24"/>
          <w:lang w:val="zh-CN"/>
        </w:rPr>
        <w:t>：</w:t>
      </w:r>
      <w:r>
        <w:rPr>
          <w:color w:val="000000"/>
          <w:sz w:val="24"/>
          <w:szCs w:val="20"/>
        </w:rPr>
        <w:t>______________</w:t>
      </w:r>
    </w:p>
    <w:p w14:paraId="32360AA5">
      <w:pPr>
        <w:spacing w:line="360" w:lineRule="auto"/>
        <w:rPr>
          <w:color w:val="000000"/>
          <w:sz w:val="24"/>
          <w:szCs w:val="20"/>
        </w:rPr>
      </w:pPr>
      <w:r>
        <w:rPr>
          <w:color w:val="000000"/>
          <w:sz w:val="24"/>
          <w:szCs w:val="20"/>
        </w:rPr>
        <w:t>法定代表人（单位负责人）（签字</w:t>
      </w:r>
      <w:r>
        <w:rPr>
          <w:rFonts w:hint="eastAsia" w:ascii="宋体" w:hAnsi="宋体"/>
          <w:color w:val="000000"/>
          <w:sz w:val="24"/>
          <w:szCs w:val="20"/>
        </w:rPr>
        <w:t>或签章</w:t>
      </w:r>
      <w:r>
        <w:rPr>
          <w:color w:val="000000"/>
          <w:sz w:val="24"/>
          <w:szCs w:val="20"/>
        </w:rPr>
        <w:t>）：______________</w:t>
      </w:r>
    </w:p>
    <w:p w14:paraId="607D08F5">
      <w:pPr>
        <w:autoSpaceDE w:val="0"/>
        <w:autoSpaceDN w:val="0"/>
        <w:adjustRightInd w:val="0"/>
        <w:snapToGrid w:val="0"/>
        <w:spacing w:line="360" w:lineRule="auto"/>
        <w:rPr>
          <w:color w:val="000000"/>
          <w:sz w:val="24"/>
          <w:lang w:val="zh-CN"/>
        </w:rPr>
      </w:pPr>
      <w:r>
        <w:rPr>
          <w:color w:val="000000"/>
          <w:sz w:val="24"/>
        </w:rPr>
        <w:t>委托代理人（签字</w:t>
      </w:r>
      <w:r>
        <w:rPr>
          <w:rFonts w:hint="eastAsia" w:ascii="宋体" w:hAnsi="宋体"/>
          <w:color w:val="000000"/>
          <w:sz w:val="24"/>
          <w:szCs w:val="20"/>
        </w:rPr>
        <w:t>或签章</w:t>
      </w:r>
      <w:r>
        <w:rPr>
          <w:color w:val="000000"/>
          <w:sz w:val="24"/>
        </w:rPr>
        <w:t>）：</w:t>
      </w:r>
      <w:r>
        <w:rPr>
          <w:color w:val="000000"/>
          <w:sz w:val="24"/>
          <w:szCs w:val="20"/>
        </w:rPr>
        <w:t>______________</w:t>
      </w:r>
      <w:r>
        <w:rPr>
          <w:color w:val="000000"/>
          <w:sz w:val="24"/>
          <w:lang w:val="zh-CN"/>
        </w:rPr>
        <w:t xml:space="preserve">        </w:t>
      </w:r>
    </w:p>
    <w:p w14:paraId="56ADD56B">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w:t>
      </w:r>
      <w:r>
        <w:rPr>
          <w:color w:val="000000"/>
          <w:sz w:val="24"/>
        </w:rPr>
        <w:t>年</w:t>
      </w:r>
      <w:r>
        <w:rPr>
          <w:color w:val="000000"/>
          <w:sz w:val="24"/>
          <w:szCs w:val="20"/>
        </w:rPr>
        <w:t>____</w:t>
      </w:r>
      <w:r>
        <w:rPr>
          <w:color w:val="000000"/>
          <w:sz w:val="24"/>
        </w:rPr>
        <w:t>月</w:t>
      </w:r>
      <w:r>
        <w:rPr>
          <w:color w:val="000000"/>
          <w:sz w:val="24"/>
          <w:szCs w:val="20"/>
        </w:rPr>
        <w:t>____</w:t>
      </w:r>
      <w:r>
        <w:rPr>
          <w:color w:val="000000"/>
          <w:sz w:val="24"/>
        </w:rPr>
        <w:t>日</w:t>
      </w:r>
    </w:p>
    <w:p w14:paraId="02A167B7">
      <w:pPr>
        <w:tabs>
          <w:tab w:val="left" w:pos="5580"/>
        </w:tabs>
        <w:spacing w:line="360" w:lineRule="auto"/>
        <w:ind w:firstLine="480" w:firstLineChars="200"/>
        <w:rPr>
          <w:color w:val="000000"/>
          <w:sz w:val="24"/>
          <w:szCs w:val="20"/>
        </w:rPr>
      </w:pPr>
    </w:p>
    <w:p w14:paraId="5F4AE33E">
      <w:pPr>
        <w:tabs>
          <w:tab w:val="left" w:pos="5580"/>
        </w:tabs>
        <w:spacing w:line="360" w:lineRule="auto"/>
        <w:jc w:val="left"/>
        <w:rPr>
          <w:color w:val="000000"/>
          <w:sz w:val="24"/>
          <w:szCs w:val="20"/>
        </w:rPr>
      </w:pPr>
      <w:r>
        <w:rPr>
          <w:color w:val="000000"/>
          <w:sz w:val="24"/>
          <w:szCs w:val="20"/>
        </w:rPr>
        <w:t>法定代表人（单位负责人）有效期内的身份证</w:t>
      </w:r>
      <w:r>
        <w:rPr>
          <w:b/>
          <w:color w:val="000000"/>
          <w:sz w:val="24"/>
          <w:szCs w:val="20"/>
        </w:rPr>
        <w:t>正反面</w:t>
      </w:r>
      <w:r>
        <w:rPr>
          <w:color w:val="000000"/>
          <w:sz w:val="24"/>
          <w:szCs w:val="20"/>
        </w:rPr>
        <w:t>电子件：</w:t>
      </w:r>
    </w:p>
    <w:tbl>
      <w:tblPr>
        <w:tblStyle w:val="4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1D02AF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4068A3B5">
            <w:pPr>
              <w:tabs>
                <w:tab w:val="left" w:pos="5580"/>
              </w:tabs>
              <w:spacing w:line="360" w:lineRule="auto"/>
              <w:jc w:val="left"/>
              <w:rPr>
                <w:color w:val="000000"/>
                <w:sz w:val="24"/>
                <w:szCs w:val="20"/>
              </w:rPr>
            </w:pPr>
          </w:p>
          <w:p w14:paraId="42774F4F">
            <w:pPr>
              <w:tabs>
                <w:tab w:val="left" w:pos="5580"/>
              </w:tabs>
              <w:spacing w:line="360" w:lineRule="auto"/>
              <w:jc w:val="left"/>
              <w:rPr>
                <w:color w:val="000000"/>
                <w:sz w:val="24"/>
                <w:szCs w:val="20"/>
              </w:rPr>
            </w:pPr>
          </w:p>
          <w:p w14:paraId="45DA99F9">
            <w:pPr>
              <w:tabs>
                <w:tab w:val="left" w:pos="5580"/>
              </w:tabs>
              <w:spacing w:line="360" w:lineRule="auto"/>
              <w:jc w:val="left"/>
              <w:rPr>
                <w:color w:val="000000"/>
                <w:sz w:val="24"/>
                <w:szCs w:val="20"/>
              </w:rPr>
            </w:pPr>
          </w:p>
        </w:tc>
        <w:tc>
          <w:tcPr>
            <w:tcW w:w="4536" w:type="dxa"/>
            <w:noWrap w:val="0"/>
            <w:vAlign w:val="top"/>
          </w:tcPr>
          <w:p w14:paraId="68230B01">
            <w:pPr>
              <w:tabs>
                <w:tab w:val="left" w:pos="5580"/>
              </w:tabs>
              <w:spacing w:line="360" w:lineRule="auto"/>
              <w:jc w:val="left"/>
              <w:rPr>
                <w:color w:val="000000"/>
                <w:sz w:val="24"/>
                <w:szCs w:val="20"/>
              </w:rPr>
            </w:pPr>
          </w:p>
          <w:p w14:paraId="7360B71C">
            <w:pPr>
              <w:tabs>
                <w:tab w:val="left" w:pos="5580"/>
              </w:tabs>
              <w:spacing w:line="360" w:lineRule="auto"/>
              <w:jc w:val="left"/>
              <w:rPr>
                <w:color w:val="000000"/>
                <w:sz w:val="24"/>
                <w:szCs w:val="20"/>
              </w:rPr>
            </w:pPr>
          </w:p>
          <w:p w14:paraId="1CB19C70">
            <w:pPr>
              <w:tabs>
                <w:tab w:val="left" w:pos="5580"/>
              </w:tabs>
              <w:spacing w:line="360" w:lineRule="auto"/>
              <w:jc w:val="left"/>
              <w:rPr>
                <w:color w:val="000000"/>
                <w:sz w:val="24"/>
                <w:szCs w:val="20"/>
              </w:rPr>
            </w:pPr>
          </w:p>
        </w:tc>
      </w:tr>
    </w:tbl>
    <w:p w14:paraId="2B4B0C9E">
      <w:pPr>
        <w:tabs>
          <w:tab w:val="left" w:pos="5580"/>
        </w:tabs>
        <w:spacing w:line="360" w:lineRule="auto"/>
        <w:jc w:val="left"/>
        <w:rPr>
          <w:color w:val="000000"/>
          <w:sz w:val="24"/>
          <w:szCs w:val="20"/>
        </w:rPr>
      </w:pPr>
      <w:r>
        <w:rPr>
          <w:color w:val="000000"/>
          <w:sz w:val="24"/>
          <w:szCs w:val="20"/>
        </w:rPr>
        <w:t>委托代理人有效期内的身份证</w:t>
      </w:r>
      <w:r>
        <w:rPr>
          <w:b/>
          <w:color w:val="000000"/>
          <w:sz w:val="24"/>
          <w:szCs w:val="20"/>
        </w:rPr>
        <w:t>正反面</w:t>
      </w:r>
      <w:r>
        <w:rPr>
          <w:color w:val="000000"/>
          <w:sz w:val="24"/>
          <w:szCs w:val="20"/>
        </w:rPr>
        <w:t>电子件：</w:t>
      </w:r>
    </w:p>
    <w:tbl>
      <w:tblPr>
        <w:tblStyle w:val="4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04D43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556F99AA">
            <w:pPr>
              <w:tabs>
                <w:tab w:val="left" w:pos="5580"/>
              </w:tabs>
              <w:spacing w:line="360" w:lineRule="auto"/>
              <w:jc w:val="left"/>
              <w:rPr>
                <w:color w:val="000000"/>
                <w:sz w:val="24"/>
                <w:szCs w:val="20"/>
              </w:rPr>
            </w:pPr>
          </w:p>
          <w:p w14:paraId="0B0A5C2B">
            <w:pPr>
              <w:tabs>
                <w:tab w:val="left" w:pos="5580"/>
              </w:tabs>
              <w:spacing w:line="360" w:lineRule="auto"/>
              <w:jc w:val="left"/>
              <w:rPr>
                <w:color w:val="000000"/>
                <w:sz w:val="24"/>
                <w:szCs w:val="20"/>
              </w:rPr>
            </w:pPr>
          </w:p>
          <w:p w14:paraId="19CF7D7A">
            <w:pPr>
              <w:tabs>
                <w:tab w:val="left" w:pos="5580"/>
              </w:tabs>
              <w:spacing w:line="360" w:lineRule="auto"/>
              <w:jc w:val="left"/>
              <w:rPr>
                <w:color w:val="000000"/>
                <w:sz w:val="24"/>
                <w:szCs w:val="20"/>
              </w:rPr>
            </w:pPr>
          </w:p>
        </w:tc>
        <w:tc>
          <w:tcPr>
            <w:tcW w:w="4536" w:type="dxa"/>
            <w:noWrap w:val="0"/>
            <w:vAlign w:val="top"/>
          </w:tcPr>
          <w:p w14:paraId="249283D4">
            <w:pPr>
              <w:tabs>
                <w:tab w:val="left" w:pos="5580"/>
              </w:tabs>
              <w:spacing w:line="360" w:lineRule="auto"/>
              <w:jc w:val="left"/>
              <w:rPr>
                <w:color w:val="000000"/>
                <w:sz w:val="24"/>
                <w:szCs w:val="20"/>
              </w:rPr>
            </w:pPr>
          </w:p>
          <w:p w14:paraId="3B1253AA">
            <w:pPr>
              <w:tabs>
                <w:tab w:val="left" w:pos="5580"/>
              </w:tabs>
              <w:spacing w:line="360" w:lineRule="auto"/>
              <w:jc w:val="left"/>
              <w:rPr>
                <w:color w:val="000000"/>
                <w:sz w:val="24"/>
                <w:szCs w:val="20"/>
              </w:rPr>
            </w:pPr>
          </w:p>
          <w:p w14:paraId="417AE472">
            <w:pPr>
              <w:tabs>
                <w:tab w:val="left" w:pos="5580"/>
              </w:tabs>
              <w:spacing w:line="360" w:lineRule="auto"/>
              <w:jc w:val="left"/>
              <w:rPr>
                <w:color w:val="000000"/>
                <w:sz w:val="24"/>
                <w:szCs w:val="20"/>
              </w:rPr>
            </w:pPr>
          </w:p>
        </w:tc>
      </w:tr>
    </w:tbl>
    <w:p w14:paraId="68BA30A1">
      <w:pPr>
        <w:tabs>
          <w:tab w:val="left" w:pos="5580"/>
        </w:tabs>
        <w:spacing w:line="360" w:lineRule="auto"/>
        <w:jc w:val="left"/>
        <w:rPr>
          <w:color w:val="000000"/>
          <w:sz w:val="24"/>
          <w:szCs w:val="20"/>
        </w:rPr>
      </w:pPr>
      <w:r>
        <w:rPr>
          <w:color w:val="000000"/>
          <w:sz w:val="24"/>
          <w:szCs w:val="20"/>
        </w:rPr>
        <w:t>说明：</w:t>
      </w:r>
    </w:p>
    <w:p w14:paraId="5361994D">
      <w:pPr>
        <w:tabs>
          <w:tab w:val="left" w:pos="5580"/>
        </w:tabs>
        <w:spacing w:line="360" w:lineRule="auto"/>
        <w:jc w:val="left"/>
        <w:rPr>
          <w:color w:val="000000"/>
          <w:sz w:val="24"/>
          <w:szCs w:val="20"/>
        </w:rPr>
      </w:pPr>
      <w:r>
        <w:rPr>
          <w:color w:val="000000"/>
          <w:sz w:val="24"/>
          <w:szCs w:val="20"/>
        </w:rPr>
        <w:t>1.若供应商为事业单位或其他组织或分支机构（仅当磋商文件注明允许分支机构响应的），则法定代表人（单位负责人）处的签署人可为单位负责人。</w:t>
      </w:r>
    </w:p>
    <w:p w14:paraId="00B5D387">
      <w:pPr>
        <w:tabs>
          <w:tab w:val="left" w:pos="5580"/>
        </w:tabs>
        <w:spacing w:line="360" w:lineRule="auto"/>
        <w:jc w:val="left"/>
        <w:rPr>
          <w:color w:val="000000"/>
          <w:sz w:val="24"/>
          <w:szCs w:val="20"/>
        </w:rPr>
      </w:pPr>
      <w:r>
        <w:rPr>
          <w:color w:val="000000"/>
          <w:sz w:val="24"/>
          <w:szCs w:val="20"/>
        </w:rPr>
        <w:t>2.若响应文件中签字之处均为法定代表人（单位负责人）本人签署，则可不提供本《授权委托书》，但须提供《法定代表人（单位负责人）身份证明》。</w:t>
      </w:r>
    </w:p>
    <w:p w14:paraId="224BA888">
      <w:pPr>
        <w:tabs>
          <w:tab w:val="left" w:pos="5580"/>
        </w:tabs>
        <w:spacing w:line="360" w:lineRule="auto"/>
        <w:jc w:val="left"/>
        <w:rPr>
          <w:color w:val="000000"/>
          <w:sz w:val="24"/>
          <w:szCs w:val="20"/>
        </w:rPr>
      </w:pPr>
      <w:r>
        <w:rPr>
          <w:color w:val="000000"/>
          <w:sz w:val="24"/>
          <w:szCs w:val="20"/>
        </w:rPr>
        <w:t>3.供应商为自然人的情形，可不提供本《授权委托书》。</w:t>
      </w:r>
    </w:p>
    <w:p w14:paraId="26583AC5">
      <w:pPr>
        <w:widowControl/>
        <w:jc w:val="left"/>
        <w:rPr>
          <w:color w:val="000000"/>
          <w:sz w:val="30"/>
          <w:szCs w:val="30"/>
        </w:rPr>
      </w:pPr>
      <w:r>
        <w:rPr>
          <w:color w:val="000000"/>
          <w:sz w:val="30"/>
          <w:szCs w:val="30"/>
        </w:rPr>
        <w:br w:type="page"/>
      </w:r>
    </w:p>
    <w:p w14:paraId="354A0B5C">
      <w:pPr>
        <w:autoSpaceDE w:val="0"/>
        <w:autoSpaceDN w:val="0"/>
        <w:adjustRightInd w:val="0"/>
        <w:spacing w:line="360" w:lineRule="auto"/>
        <w:jc w:val="center"/>
        <w:rPr>
          <w:b/>
          <w:color w:val="000000"/>
          <w:sz w:val="36"/>
          <w:szCs w:val="36"/>
        </w:rPr>
      </w:pPr>
      <w:r>
        <w:rPr>
          <w:rFonts w:hint="eastAsia"/>
          <w:b/>
          <w:color w:val="000000"/>
          <w:sz w:val="36"/>
          <w:szCs w:val="36"/>
        </w:rPr>
        <w:t>法定代表人（单位负责人）身份证明</w:t>
      </w:r>
    </w:p>
    <w:p w14:paraId="4237C2CF">
      <w:pPr>
        <w:kinsoku w:val="0"/>
        <w:overflowPunct w:val="0"/>
        <w:spacing w:line="200" w:lineRule="exact"/>
        <w:rPr>
          <w:sz w:val="20"/>
          <w:szCs w:val="20"/>
        </w:rPr>
      </w:pPr>
    </w:p>
    <w:p w14:paraId="5E78B7A4">
      <w:pPr>
        <w:tabs>
          <w:tab w:val="left" w:pos="5580"/>
        </w:tabs>
        <w:spacing w:line="360" w:lineRule="auto"/>
        <w:rPr>
          <w:color w:val="000000"/>
          <w:sz w:val="24"/>
        </w:rPr>
      </w:pPr>
      <w:r>
        <w:rPr>
          <w:color w:val="000000"/>
          <w:sz w:val="24"/>
        </w:rPr>
        <w:t>致：</w:t>
      </w:r>
      <w:r>
        <w:rPr>
          <w:color w:val="000000"/>
          <w:sz w:val="24"/>
          <w:szCs w:val="20"/>
        </w:rPr>
        <w:t>____</w:t>
      </w:r>
      <w:r>
        <w:rPr>
          <w:color w:val="000000"/>
          <w:sz w:val="24"/>
        </w:rPr>
        <w:t>（采购人或采购代理机构）</w:t>
      </w:r>
    </w:p>
    <w:p w14:paraId="39A65842">
      <w:pPr>
        <w:pStyle w:val="20"/>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70A489AD">
      <w:pPr>
        <w:pStyle w:val="20"/>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color w:val="000000"/>
          <w:szCs w:val="20"/>
        </w:rPr>
        <w:t>____</w:t>
      </w:r>
      <w:r>
        <w:rPr>
          <w:rFonts w:ascii="Times New Roman" w:hAnsi="Times New Roman"/>
        </w:rPr>
        <w:t>性别：</w:t>
      </w:r>
      <w:r>
        <w:rPr>
          <w:rFonts w:ascii="Times New Roman" w:hAnsi="Times New Roman"/>
          <w:color w:val="000000"/>
          <w:szCs w:val="20"/>
        </w:rPr>
        <w:t>____</w:t>
      </w:r>
      <w:r>
        <w:rPr>
          <w:rFonts w:ascii="Times New Roman" w:hAnsi="Times New Roman"/>
        </w:rPr>
        <w:t>年龄：</w:t>
      </w:r>
      <w:r>
        <w:rPr>
          <w:rFonts w:ascii="Times New Roman" w:hAnsi="Times New Roman"/>
          <w:color w:val="000000"/>
          <w:szCs w:val="20"/>
        </w:rPr>
        <w:t>____</w:t>
      </w:r>
      <w:r>
        <w:rPr>
          <w:rFonts w:ascii="Times New Roman" w:hAnsi="Times New Roman"/>
        </w:rPr>
        <w:t>职务：</w:t>
      </w:r>
      <w:r>
        <w:rPr>
          <w:rFonts w:ascii="Times New Roman" w:hAnsi="Times New Roman"/>
          <w:color w:val="000000"/>
          <w:szCs w:val="20"/>
        </w:rPr>
        <w:t>____</w:t>
      </w:r>
    </w:p>
    <w:p w14:paraId="4A379CFF">
      <w:pPr>
        <w:pStyle w:val="20"/>
        <w:tabs>
          <w:tab w:val="left" w:pos="2412"/>
          <w:tab w:val="left" w:pos="3883"/>
          <w:tab w:val="left" w:pos="5352"/>
          <w:tab w:val="left" w:pos="6821"/>
        </w:tabs>
        <w:kinsoku w:val="0"/>
        <w:overflowPunct w:val="0"/>
        <w:spacing w:line="335" w:lineRule="exact"/>
        <w:rPr>
          <w:rFonts w:ascii="Times New Roman" w:hAnsi="Times New Roman"/>
        </w:rPr>
      </w:pPr>
    </w:p>
    <w:p w14:paraId="6F581C6E">
      <w:pPr>
        <w:pStyle w:val="20"/>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color w:val="000000"/>
          <w:szCs w:val="20"/>
        </w:rPr>
        <w:t>__________</w:t>
      </w:r>
      <w:r>
        <w:rPr>
          <w:rFonts w:ascii="Times New Roman" w:hAnsi="Times New Roman"/>
        </w:rPr>
        <w:t>（供应商名称）的法定代表人（单位负责人）。</w:t>
      </w:r>
    </w:p>
    <w:p w14:paraId="09B01F8C">
      <w:pPr>
        <w:pStyle w:val="20"/>
        <w:tabs>
          <w:tab w:val="left" w:pos="2412"/>
          <w:tab w:val="left" w:pos="3883"/>
          <w:tab w:val="left" w:pos="5352"/>
          <w:tab w:val="left" w:pos="6821"/>
        </w:tabs>
        <w:kinsoku w:val="0"/>
        <w:overflowPunct w:val="0"/>
        <w:spacing w:line="335" w:lineRule="exact"/>
        <w:rPr>
          <w:rFonts w:ascii="Times New Roman" w:hAnsi="Times New Roman"/>
        </w:rPr>
      </w:pPr>
    </w:p>
    <w:p w14:paraId="7ED09234">
      <w:pPr>
        <w:pStyle w:val="20"/>
        <w:tabs>
          <w:tab w:val="left" w:pos="2412"/>
          <w:tab w:val="left" w:pos="3883"/>
          <w:tab w:val="left" w:pos="5352"/>
          <w:tab w:val="left" w:pos="6821"/>
        </w:tabs>
        <w:kinsoku w:val="0"/>
        <w:overflowPunct w:val="0"/>
        <w:spacing w:line="335" w:lineRule="exact"/>
        <w:rPr>
          <w:rFonts w:ascii="Times New Roman" w:hAnsi="Times New Roman"/>
        </w:rPr>
      </w:pPr>
    </w:p>
    <w:p w14:paraId="1095D77E">
      <w:pPr>
        <w:pStyle w:val="20"/>
        <w:tabs>
          <w:tab w:val="left" w:pos="2412"/>
          <w:tab w:val="left" w:pos="3883"/>
          <w:tab w:val="left" w:pos="5352"/>
          <w:tab w:val="left" w:pos="6821"/>
        </w:tabs>
        <w:kinsoku w:val="0"/>
        <w:overflowPunct w:val="0"/>
        <w:spacing w:line="335" w:lineRule="exact"/>
        <w:rPr>
          <w:rFonts w:ascii="Times New Roman" w:hAnsi="Times New Roman"/>
        </w:rPr>
      </w:pPr>
    </w:p>
    <w:p w14:paraId="7AC217A3">
      <w:pPr>
        <w:pStyle w:val="20"/>
        <w:kinsoku w:val="0"/>
        <w:overflowPunct w:val="0"/>
        <w:spacing w:line="583" w:lineRule="auto"/>
        <w:ind w:right="-46"/>
        <w:rPr>
          <w:rFonts w:ascii="Times New Roman" w:hAnsi="Times New Roman"/>
          <w:spacing w:val="-3"/>
        </w:rPr>
      </w:pPr>
      <w:r>
        <w:rPr>
          <w:rFonts w:ascii="Times New Roman" w:hAnsi="Times New Roman"/>
        </w:rPr>
        <w:t>附：</w:t>
      </w:r>
      <w:r>
        <w:rPr>
          <w:rFonts w:ascii="Times New Roman" w:hAnsi="Times New Roman"/>
          <w:spacing w:val="-3"/>
        </w:rPr>
        <w:t>法</w:t>
      </w:r>
      <w:r>
        <w:rPr>
          <w:rFonts w:ascii="Times New Roman" w:hAnsi="Times New Roman"/>
        </w:rPr>
        <w:t>定</w:t>
      </w:r>
      <w:r>
        <w:rPr>
          <w:rFonts w:ascii="Times New Roman" w:hAnsi="Times New Roman"/>
          <w:spacing w:val="-3"/>
        </w:rPr>
        <w:t>代</w:t>
      </w:r>
      <w:r>
        <w:rPr>
          <w:rFonts w:ascii="Times New Roman" w:hAnsi="Times New Roman"/>
        </w:rPr>
        <w:t>表</w:t>
      </w:r>
      <w:r>
        <w:rPr>
          <w:rFonts w:ascii="Times New Roman" w:hAnsi="Times New Roman"/>
          <w:spacing w:val="-3"/>
        </w:rPr>
        <w:t>人</w:t>
      </w:r>
      <w:r>
        <w:rPr>
          <w:rFonts w:ascii="Times New Roman" w:hAnsi="Times New Roman"/>
        </w:rPr>
        <w:t>（</w:t>
      </w:r>
      <w:r>
        <w:rPr>
          <w:rFonts w:ascii="Times New Roman" w:hAnsi="Times New Roman"/>
          <w:spacing w:val="-3"/>
        </w:rPr>
        <w:t>单</w:t>
      </w:r>
      <w:r>
        <w:rPr>
          <w:rFonts w:ascii="Times New Roman" w:hAnsi="Times New Roman"/>
        </w:rPr>
        <w:t>位</w:t>
      </w:r>
      <w:r>
        <w:rPr>
          <w:rFonts w:ascii="Times New Roman" w:hAnsi="Times New Roman"/>
          <w:spacing w:val="-3"/>
        </w:rPr>
        <w:t>负</w:t>
      </w:r>
      <w:r>
        <w:rPr>
          <w:rFonts w:ascii="Times New Roman" w:hAnsi="Times New Roman"/>
        </w:rPr>
        <w:t>责人</w:t>
      </w:r>
      <w:r>
        <w:rPr>
          <w:rFonts w:ascii="Times New Roman" w:hAnsi="Times New Roman"/>
          <w:spacing w:val="-3"/>
        </w:rPr>
        <w:t>）有效期内的身份证正反面电子件。</w:t>
      </w:r>
    </w:p>
    <w:tbl>
      <w:tblPr>
        <w:tblStyle w:val="4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103"/>
        <w:gridCol w:w="4260"/>
      </w:tblGrid>
      <w:tr w14:paraId="7FCFB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103" w:type="dxa"/>
            <w:noWrap w:val="0"/>
            <w:vAlign w:val="top"/>
          </w:tcPr>
          <w:p w14:paraId="7F01451F">
            <w:pPr>
              <w:tabs>
                <w:tab w:val="left" w:pos="5580"/>
              </w:tabs>
              <w:spacing w:line="360" w:lineRule="auto"/>
              <w:jc w:val="left"/>
              <w:rPr>
                <w:color w:val="000000"/>
                <w:sz w:val="24"/>
                <w:szCs w:val="20"/>
              </w:rPr>
            </w:pPr>
          </w:p>
          <w:p w14:paraId="496793F2">
            <w:pPr>
              <w:tabs>
                <w:tab w:val="left" w:pos="5580"/>
              </w:tabs>
              <w:spacing w:line="360" w:lineRule="auto"/>
              <w:jc w:val="left"/>
              <w:rPr>
                <w:color w:val="000000"/>
                <w:sz w:val="24"/>
                <w:szCs w:val="20"/>
              </w:rPr>
            </w:pPr>
          </w:p>
          <w:p w14:paraId="01519C55">
            <w:pPr>
              <w:tabs>
                <w:tab w:val="left" w:pos="5580"/>
              </w:tabs>
              <w:spacing w:line="360" w:lineRule="auto"/>
              <w:jc w:val="left"/>
              <w:rPr>
                <w:color w:val="000000"/>
                <w:sz w:val="24"/>
                <w:szCs w:val="20"/>
              </w:rPr>
            </w:pPr>
          </w:p>
        </w:tc>
        <w:tc>
          <w:tcPr>
            <w:tcW w:w="4260" w:type="dxa"/>
            <w:noWrap w:val="0"/>
            <w:vAlign w:val="top"/>
          </w:tcPr>
          <w:p w14:paraId="08D77F31">
            <w:pPr>
              <w:tabs>
                <w:tab w:val="left" w:pos="5580"/>
              </w:tabs>
              <w:spacing w:line="360" w:lineRule="auto"/>
              <w:jc w:val="left"/>
              <w:rPr>
                <w:color w:val="000000"/>
                <w:sz w:val="24"/>
                <w:szCs w:val="20"/>
              </w:rPr>
            </w:pPr>
          </w:p>
          <w:p w14:paraId="56F07DEC">
            <w:pPr>
              <w:tabs>
                <w:tab w:val="left" w:pos="5580"/>
              </w:tabs>
              <w:spacing w:line="360" w:lineRule="auto"/>
              <w:jc w:val="left"/>
              <w:rPr>
                <w:color w:val="000000"/>
                <w:sz w:val="24"/>
                <w:szCs w:val="20"/>
              </w:rPr>
            </w:pPr>
          </w:p>
          <w:p w14:paraId="5988971F">
            <w:pPr>
              <w:tabs>
                <w:tab w:val="left" w:pos="5580"/>
              </w:tabs>
              <w:spacing w:line="360" w:lineRule="auto"/>
              <w:jc w:val="left"/>
              <w:rPr>
                <w:color w:val="000000"/>
                <w:sz w:val="24"/>
                <w:szCs w:val="20"/>
              </w:rPr>
            </w:pPr>
          </w:p>
        </w:tc>
      </w:tr>
    </w:tbl>
    <w:p w14:paraId="21D6A6E7">
      <w:pPr>
        <w:pStyle w:val="20"/>
        <w:kinsoku w:val="0"/>
        <w:overflowPunct w:val="0"/>
        <w:spacing w:line="583" w:lineRule="auto"/>
        <w:ind w:right="4305"/>
        <w:rPr>
          <w:rFonts w:ascii="Times New Roman" w:hAnsi="Times New Roman"/>
          <w:spacing w:val="-3"/>
        </w:rPr>
      </w:pPr>
    </w:p>
    <w:p w14:paraId="2FD6F931">
      <w:pPr>
        <w:pStyle w:val="20"/>
        <w:kinsoku w:val="0"/>
        <w:overflowPunct w:val="0"/>
        <w:spacing w:line="583" w:lineRule="auto"/>
        <w:ind w:right="4305"/>
        <w:rPr>
          <w:rFonts w:ascii="Times New Roman" w:hAnsi="Times New Roman"/>
          <w:spacing w:val="-3"/>
        </w:rPr>
      </w:pPr>
    </w:p>
    <w:p w14:paraId="4397B811">
      <w:pPr>
        <w:pStyle w:val="20"/>
        <w:kinsoku w:val="0"/>
        <w:overflowPunct w:val="0"/>
        <w:spacing w:line="583" w:lineRule="auto"/>
        <w:ind w:right="4305"/>
        <w:rPr>
          <w:rFonts w:ascii="Times New Roman" w:hAnsi="Times New Roman"/>
          <w:spacing w:val="-3"/>
        </w:rPr>
      </w:pPr>
    </w:p>
    <w:p w14:paraId="26B180F0">
      <w:pPr>
        <w:autoSpaceDE w:val="0"/>
        <w:autoSpaceDN w:val="0"/>
        <w:adjustRightInd w:val="0"/>
        <w:snapToGrid w:val="0"/>
        <w:spacing w:line="360" w:lineRule="auto"/>
        <w:rPr>
          <w:color w:val="000000"/>
          <w:sz w:val="24"/>
          <w:lang w:val="zh-CN"/>
        </w:rPr>
      </w:pPr>
      <w:r>
        <w:rPr>
          <w:color w:val="000000"/>
          <w:sz w:val="24"/>
        </w:rPr>
        <w:t>供应商名称（加盖公章）</w:t>
      </w:r>
      <w:r>
        <w:rPr>
          <w:color w:val="000000"/>
          <w:sz w:val="24"/>
          <w:lang w:val="zh-CN"/>
        </w:rPr>
        <w:t>：</w:t>
      </w:r>
      <w:r>
        <w:rPr>
          <w:sz w:val="24"/>
        </w:rPr>
        <w:t>______</w:t>
      </w:r>
    </w:p>
    <w:p w14:paraId="7240FFB6">
      <w:pPr>
        <w:autoSpaceDE w:val="0"/>
        <w:autoSpaceDN w:val="0"/>
        <w:adjustRightInd w:val="0"/>
        <w:snapToGrid w:val="0"/>
        <w:spacing w:line="360" w:lineRule="auto"/>
        <w:rPr>
          <w:color w:val="000000"/>
          <w:sz w:val="24"/>
          <w:lang w:val="zh-CN"/>
        </w:rPr>
      </w:pPr>
      <w:r>
        <w:rPr>
          <w:spacing w:val="-3"/>
          <w:sz w:val="24"/>
        </w:rPr>
        <w:t>法定代表人（</w:t>
      </w:r>
      <w:r>
        <w:rPr>
          <w:sz w:val="24"/>
        </w:rPr>
        <w:t>单位负责人</w:t>
      </w:r>
      <w:r>
        <w:rPr>
          <w:spacing w:val="-3"/>
          <w:sz w:val="24"/>
        </w:rPr>
        <w:t>）（签字</w:t>
      </w:r>
      <w:r>
        <w:rPr>
          <w:rFonts w:hint="eastAsia" w:ascii="宋体" w:hAnsi="宋体"/>
          <w:color w:val="000000"/>
          <w:sz w:val="24"/>
          <w:szCs w:val="20"/>
        </w:rPr>
        <w:t>或签章</w:t>
      </w:r>
      <w:r>
        <w:rPr>
          <w:spacing w:val="-3"/>
          <w:sz w:val="24"/>
        </w:rPr>
        <w:t>）：</w:t>
      </w:r>
      <w:r>
        <w:rPr>
          <w:sz w:val="24"/>
        </w:rPr>
        <w:t>______</w:t>
      </w:r>
    </w:p>
    <w:p w14:paraId="2030BC10">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____年____月____日</w:t>
      </w:r>
    </w:p>
    <w:p w14:paraId="1920433B">
      <w:pPr>
        <w:widowControl/>
        <w:jc w:val="left"/>
        <w:rPr>
          <w:i/>
          <w:color w:val="000000"/>
          <w:sz w:val="24"/>
          <w:szCs w:val="20"/>
          <w:u w:val="single"/>
        </w:rPr>
      </w:pPr>
    </w:p>
    <w:p w14:paraId="22D7D75A">
      <w:pPr>
        <w:widowControl/>
        <w:jc w:val="left"/>
        <w:rPr>
          <w:color w:val="000000"/>
          <w:sz w:val="24"/>
          <w:szCs w:val="20"/>
        </w:rPr>
      </w:pPr>
      <w:r>
        <w:rPr>
          <w:color w:val="000000"/>
          <w:sz w:val="24"/>
          <w:szCs w:val="20"/>
        </w:rPr>
        <w:br w:type="page"/>
      </w:r>
    </w:p>
    <w:p w14:paraId="619479E1">
      <w:pPr>
        <w:tabs>
          <w:tab w:val="left" w:pos="360"/>
        </w:tabs>
        <w:snapToGrid w:val="0"/>
        <w:spacing w:line="360" w:lineRule="auto"/>
        <w:outlineLvl w:val="1"/>
        <w:rPr>
          <w:sz w:val="24"/>
        </w:rPr>
      </w:pPr>
      <w:r>
        <w:rPr>
          <w:sz w:val="24"/>
        </w:rPr>
        <w:t>7  报价一览表</w:t>
      </w:r>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p>
    <w:p w14:paraId="4615F3FD">
      <w:pPr>
        <w:spacing w:line="360" w:lineRule="exact"/>
        <w:jc w:val="center"/>
        <w:rPr>
          <w:b/>
          <w:color w:val="000000"/>
          <w:sz w:val="36"/>
          <w:szCs w:val="36"/>
        </w:rPr>
      </w:pPr>
      <w:bookmarkStart w:id="718" w:name="_Toc265228396"/>
      <w:bookmarkStart w:id="719" w:name="_Toc226965748"/>
      <w:bookmarkStart w:id="720" w:name="_Toc164608827"/>
      <w:bookmarkStart w:id="721" w:name="_Toc226337254"/>
      <w:bookmarkStart w:id="722" w:name="_Toc164608672"/>
      <w:bookmarkStart w:id="723" w:name="_Toc264969248"/>
      <w:bookmarkStart w:id="724" w:name="_Toc226965831"/>
      <w:bookmarkStart w:id="725" w:name="_Toc305158900"/>
      <w:bookmarkStart w:id="726" w:name="_Toc226309802"/>
      <w:bookmarkStart w:id="727" w:name="_Toc305158826"/>
      <w:bookmarkStart w:id="728" w:name="_Toc195842923"/>
      <w:r>
        <w:rPr>
          <w:rFonts w:hint="eastAsia"/>
          <w:b/>
          <w:color w:val="000000"/>
          <w:sz w:val="36"/>
          <w:szCs w:val="36"/>
        </w:rPr>
        <w:t>报价一览表</w:t>
      </w:r>
      <w:bookmarkEnd w:id="718"/>
      <w:bookmarkEnd w:id="719"/>
      <w:bookmarkEnd w:id="720"/>
      <w:bookmarkEnd w:id="721"/>
      <w:bookmarkEnd w:id="722"/>
      <w:bookmarkEnd w:id="723"/>
      <w:bookmarkEnd w:id="724"/>
      <w:bookmarkEnd w:id="725"/>
      <w:bookmarkEnd w:id="726"/>
      <w:bookmarkEnd w:id="727"/>
      <w:bookmarkEnd w:id="728"/>
    </w:p>
    <w:p w14:paraId="259C53F2">
      <w:pPr>
        <w:tabs>
          <w:tab w:val="left" w:pos="1800"/>
          <w:tab w:val="left" w:pos="5580"/>
        </w:tabs>
        <w:spacing w:line="360" w:lineRule="auto"/>
        <w:jc w:val="left"/>
        <w:rPr>
          <w:color w:val="000000"/>
          <w:sz w:val="24"/>
        </w:rPr>
      </w:pPr>
    </w:p>
    <w:p w14:paraId="7D26E060">
      <w:pPr>
        <w:tabs>
          <w:tab w:val="left" w:pos="1800"/>
          <w:tab w:val="left" w:pos="5580"/>
        </w:tabs>
        <w:spacing w:line="360" w:lineRule="auto"/>
        <w:jc w:val="left"/>
        <w:rPr>
          <w:i/>
          <w:color w:val="FF0000"/>
          <w:sz w:val="24"/>
        </w:rPr>
      </w:pPr>
    </w:p>
    <w:p w14:paraId="795FADDF">
      <w:pPr>
        <w:tabs>
          <w:tab w:val="left" w:pos="1800"/>
          <w:tab w:val="left" w:pos="5580"/>
        </w:tabs>
        <w:spacing w:line="360" w:lineRule="auto"/>
        <w:ind w:firstLine="240" w:firstLineChars="100"/>
        <w:jc w:val="left"/>
        <w:rPr>
          <w:color w:val="000000"/>
          <w:sz w:val="24"/>
          <w:u w:val="single"/>
        </w:rPr>
      </w:pPr>
      <w:r>
        <w:rPr>
          <w:color w:val="000000"/>
          <w:sz w:val="24"/>
        </w:rPr>
        <w:t>项目编号：</w:t>
      </w:r>
      <w:r>
        <w:rPr>
          <w:sz w:val="24"/>
        </w:rPr>
        <w:t>___________</w:t>
      </w:r>
      <w:r>
        <w:rPr>
          <w:color w:val="000000"/>
          <w:sz w:val="24"/>
        </w:rPr>
        <w:t xml:space="preserve">     项目名称：</w:t>
      </w:r>
      <w:r>
        <w:rPr>
          <w:sz w:val="24"/>
        </w:rPr>
        <w:t>___________</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93"/>
        <w:gridCol w:w="1557"/>
        <w:gridCol w:w="1175"/>
        <w:gridCol w:w="1275"/>
        <w:gridCol w:w="2410"/>
        <w:gridCol w:w="2272"/>
      </w:tblGrid>
      <w:tr w14:paraId="6B0EF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393" w:type="dxa"/>
            <w:vMerge w:val="restart"/>
            <w:tcBorders>
              <w:top w:val="single" w:color="auto" w:sz="4" w:space="0"/>
              <w:left w:val="single" w:color="auto" w:sz="4" w:space="0"/>
              <w:bottom w:val="single" w:color="auto" w:sz="4" w:space="0"/>
              <w:right w:val="single" w:color="auto" w:sz="4" w:space="0"/>
            </w:tcBorders>
            <w:noWrap w:val="0"/>
            <w:vAlign w:val="center"/>
          </w:tcPr>
          <w:p w14:paraId="54111BF7">
            <w:pPr>
              <w:tabs>
                <w:tab w:val="left" w:pos="5580"/>
              </w:tabs>
              <w:jc w:val="center"/>
              <w:rPr>
                <w:b/>
                <w:sz w:val="24"/>
              </w:rPr>
            </w:pPr>
            <w:r>
              <w:rPr>
                <w:rFonts w:hint="eastAsia"/>
                <w:b/>
                <w:sz w:val="24"/>
              </w:rPr>
              <w:t>序号</w:t>
            </w:r>
          </w:p>
        </w:tc>
        <w:tc>
          <w:tcPr>
            <w:tcW w:w="1557" w:type="dxa"/>
            <w:vMerge w:val="restart"/>
            <w:tcBorders>
              <w:top w:val="single" w:color="auto" w:sz="4" w:space="0"/>
              <w:left w:val="single" w:color="auto" w:sz="4" w:space="0"/>
              <w:bottom w:val="single" w:color="auto" w:sz="4" w:space="0"/>
              <w:right w:val="single" w:color="auto" w:sz="4" w:space="0"/>
            </w:tcBorders>
            <w:noWrap w:val="0"/>
            <w:vAlign w:val="center"/>
          </w:tcPr>
          <w:p w14:paraId="7FDBA792">
            <w:pPr>
              <w:tabs>
                <w:tab w:val="left" w:pos="5580"/>
              </w:tabs>
              <w:jc w:val="center"/>
              <w:rPr>
                <w:b/>
                <w:sz w:val="24"/>
              </w:rPr>
            </w:pPr>
            <w:r>
              <w:rPr>
                <w:rFonts w:hint="eastAsia"/>
                <w:b/>
                <w:sz w:val="24"/>
              </w:rPr>
              <w:t>供应商名称</w:t>
            </w:r>
          </w:p>
        </w:tc>
        <w:tc>
          <w:tcPr>
            <w:tcW w:w="1175" w:type="dxa"/>
            <w:vMerge w:val="restart"/>
            <w:tcBorders>
              <w:top w:val="single" w:color="auto" w:sz="4" w:space="0"/>
              <w:left w:val="single" w:color="auto" w:sz="4" w:space="0"/>
              <w:right w:val="single" w:color="auto" w:sz="4" w:space="0"/>
            </w:tcBorders>
            <w:noWrap w:val="0"/>
            <w:vAlign w:val="center"/>
          </w:tcPr>
          <w:p w14:paraId="5DFBF1A3">
            <w:pPr>
              <w:tabs>
                <w:tab w:val="left" w:pos="5580"/>
              </w:tabs>
              <w:jc w:val="center"/>
              <w:rPr>
                <w:rFonts w:hint="eastAsia"/>
                <w:b/>
                <w:sz w:val="24"/>
              </w:rPr>
            </w:pPr>
            <w:r>
              <w:rPr>
                <w:rFonts w:hint="eastAsia"/>
                <w:b/>
                <w:sz w:val="24"/>
              </w:rPr>
              <w:t>工期</w:t>
            </w:r>
          </w:p>
        </w:tc>
        <w:tc>
          <w:tcPr>
            <w:tcW w:w="1275" w:type="dxa"/>
            <w:vMerge w:val="restart"/>
            <w:tcBorders>
              <w:top w:val="single" w:color="auto" w:sz="4" w:space="0"/>
              <w:left w:val="single" w:color="auto" w:sz="4" w:space="0"/>
              <w:right w:val="single" w:color="auto" w:sz="4" w:space="0"/>
            </w:tcBorders>
            <w:noWrap w:val="0"/>
            <w:vAlign w:val="center"/>
          </w:tcPr>
          <w:p w14:paraId="26FAC7AA">
            <w:pPr>
              <w:tabs>
                <w:tab w:val="left" w:pos="5580"/>
              </w:tabs>
              <w:jc w:val="center"/>
              <w:rPr>
                <w:rFonts w:hint="eastAsia"/>
                <w:b/>
                <w:sz w:val="24"/>
              </w:rPr>
            </w:pPr>
            <w:r>
              <w:rPr>
                <w:rFonts w:hint="eastAsia"/>
                <w:b/>
                <w:sz w:val="24"/>
              </w:rPr>
              <w:t>质量标准</w:t>
            </w:r>
          </w:p>
        </w:tc>
        <w:tc>
          <w:tcPr>
            <w:tcW w:w="4682" w:type="dxa"/>
            <w:gridSpan w:val="2"/>
            <w:tcBorders>
              <w:top w:val="single" w:color="auto" w:sz="4" w:space="0"/>
              <w:left w:val="single" w:color="auto" w:sz="4" w:space="0"/>
              <w:bottom w:val="single" w:color="auto" w:sz="4" w:space="0"/>
              <w:right w:val="single" w:color="auto" w:sz="4" w:space="0"/>
            </w:tcBorders>
            <w:noWrap w:val="0"/>
            <w:vAlign w:val="center"/>
          </w:tcPr>
          <w:p w14:paraId="7C5B559A">
            <w:pPr>
              <w:tabs>
                <w:tab w:val="left" w:pos="5580"/>
              </w:tabs>
              <w:jc w:val="center"/>
              <w:rPr>
                <w:b/>
                <w:sz w:val="24"/>
              </w:rPr>
            </w:pPr>
            <w:r>
              <w:rPr>
                <w:rFonts w:hint="eastAsia"/>
                <w:b/>
                <w:sz w:val="24"/>
              </w:rPr>
              <w:t>报价</w:t>
            </w:r>
          </w:p>
        </w:tc>
      </w:tr>
      <w:tr w14:paraId="3BF78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393" w:type="dxa"/>
            <w:vMerge w:val="continue"/>
            <w:tcBorders>
              <w:top w:val="single" w:color="auto" w:sz="4" w:space="0"/>
              <w:left w:val="single" w:color="auto" w:sz="4" w:space="0"/>
              <w:bottom w:val="single" w:color="auto" w:sz="4" w:space="0"/>
              <w:right w:val="single" w:color="auto" w:sz="4" w:space="0"/>
            </w:tcBorders>
            <w:noWrap w:val="0"/>
            <w:vAlign w:val="center"/>
          </w:tcPr>
          <w:p w14:paraId="2708E6FA">
            <w:pPr>
              <w:widowControl/>
              <w:jc w:val="left"/>
              <w:rPr>
                <w:b/>
                <w:sz w:val="24"/>
              </w:rPr>
            </w:pPr>
          </w:p>
        </w:tc>
        <w:tc>
          <w:tcPr>
            <w:tcW w:w="1557" w:type="dxa"/>
            <w:vMerge w:val="continue"/>
            <w:tcBorders>
              <w:top w:val="single" w:color="auto" w:sz="4" w:space="0"/>
              <w:left w:val="single" w:color="auto" w:sz="4" w:space="0"/>
              <w:bottom w:val="single" w:color="auto" w:sz="4" w:space="0"/>
              <w:right w:val="single" w:color="auto" w:sz="4" w:space="0"/>
            </w:tcBorders>
            <w:noWrap w:val="0"/>
            <w:vAlign w:val="center"/>
          </w:tcPr>
          <w:p w14:paraId="35D2C9BE">
            <w:pPr>
              <w:widowControl/>
              <w:jc w:val="left"/>
              <w:rPr>
                <w:b/>
                <w:sz w:val="24"/>
              </w:rPr>
            </w:pPr>
          </w:p>
        </w:tc>
        <w:tc>
          <w:tcPr>
            <w:tcW w:w="1175" w:type="dxa"/>
            <w:vMerge w:val="continue"/>
            <w:tcBorders>
              <w:left w:val="single" w:color="auto" w:sz="4" w:space="0"/>
              <w:bottom w:val="single" w:color="auto" w:sz="4" w:space="0"/>
              <w:right w:val="single" w:color="auto" w:sz="4" w:space="0"/>
            </w:tcBorders>
            <w:noWrap w:val="0"/>
            <w:vAlign w:val="top"/>
          </w:tcPr>
          <w:p w14:paraId="48097496">
            <w:pPr>
              <w:tabs>
                <w:tab w:val="left" w:pos="5580"/>
              </w:tabs>
              <w:jc w:val="center"/>
              <w:rPr>
                <w:rFonts w:hint="eastAsia"/>
                <w:b/>
                <w:sz w:val="24"/>
              </w:rPr>
            </w:pPr>
          </w:p>
        </w:tc>
        <w:tc>
          <w:tcPr>
            <w:tcW w:w="1275" w:type="dxa"/>
            <w:vMerge w:val="continue"/>
            <w:tcBorders>
              <w:left w:val="single" w:color="auto" w:sz="4" w:space="0"/>
              <w:bottom w:val="single" w:color="auto" w:sz="4" w:space="0"/>
              <w:right w:val="single" w:color="auto" w:sz="4" w:space="0"/>
            </w:tcBorders>
            <w:noWrap w:val="0"/>
            <w:vAlign w:val="top"/>
          </w:tcPr>
          <w:p w14:paraId="460D1A3C">
            <w:pPr>
              <w:tabs>
                <w:tab w:val="left" w:pos="5580"/>
              </w:tabs>
              <w:jc w:val="center"/>
              <w:rPr>
                <w:rFonts w:hint="eastAsia"/>
                <w:b/>
                <w:sz w:val="24"/>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754748E7">
            <w:pPr>
              <w:tabs>
                <w:tab w:val="left" w:pos="5580"/>
              </w:tabs>
              <w:jc w:val="center"/>
              <w:rPr>
                <w:b/>
                <w:sz w:val="24"/>
              </w:rPr>
            </w:pPr>
            <w:r>
              <w:rPr>
                <w:rFonts w:hint="eastAsia"/>
                <w:b/>
                <w:sz w:val="24"/>
              </w:rPr>
              <w:t>大写</w:t>
            </w:r>
          </w:p>
        </w:tc>
        <w:tc>
          <w:tcPr>
            <w:tcW w:w="2272" w:type="dxa"/>
            <w:tcBorders>
              <w:top w:val="single" w:color="auto" w:sz="4" w:space="0"/>
              <w:left w:val="single" w:color="auto" w:sz="4" w:space="0"/>
              <w:bottom w:val="single" w:color="auto" w:sz="4" w:space="0"/>
              <w:right w:val="single" w:color="auto" w:sz="4" w:space="0"/>
            </w:tcBorders>
            <w:noWrap w:val="0"/>
            <w:vAlign w:val="center"/>
          </w:tcPr>
          <w:p w14:paraId="5DF0A2AC">
            <w:pPr>
              <w:tabs>
                <w:tab w:val="left" w:pos="5580"/>
              </w:tabs>
              <w:jc w:val="center"/>
              <w:rPr>
                <w:b/>
                <w:sz w:val="24"/>
              </w:rPr>
            </w:pPr>
            <w:r>
              <w:rPr>
                <w:rFonts w:hint="eastAsia"/>
                <w:b/>
                <w:sz w:val="24"/>
              </w:rPr>
              <w:t>小写</w:t>
            </w:r>
          </w:p>
        </w:tc>
      </w:tr>
      <w:tr w14:paraId="45122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393" w:type="dxa"/>
            <w:tcBorders>
              <w:top w:val="single" w:color="auto" w:sz="4" w:space="0"/>
              <w:left w:val="single" w:color="auto" w:sz="4" w:space="0"/>
              <w:bottom w:val="single" w:color="auto" w:sz="4" w:space="0"/>
              <w:right w:val="single" w:color="auto" w:sz="4" w:space="0"/>
            </w:tcBorders>
            <w:noWrap w:val="0"/>
            <w:vAlign w:val="center"/>
          </w:tcPr>
          <w:p w14:paraId="0B15D9D7">
            <w:pPr>
              <w:tabs>
                <w:tab w:val="left" w:pos="5580"/>
              </w:tabs>
              <w:jc w:val="center"/>
              <w:rPr>
                <w:sz w:val="24"/>
              </w:rPr>
            </w:pPr>
          </w:p>
        </w:tc>
        <w:tc>
          <w:tcPr>
            <w:tcW w:w="1557" w:type="dxa"/>
            <w:tcBorders>
              <w:top w:val="single" w:color="auto" w:sz="4" w:space="0"/>
              <w:left w:val="single" w:color="auto" w:sz="4" w:space="0"/>
              <w:bottom w:val="single" w:color="auto" w:sz="4" w:space="0"/>
              <w:right w:val="single" w:color="auto" w:sz="4" w:space="0"/>
            </w:tcBorders>
            <w:noWrap w:val="0"/>
            <w:vAlign w:val="center"/>
          </w:tcPr>
          <w:p w14:paraId="3A63DD6E">
            <w:pPr>
              <w:tabs>
                <w:tab w:val="left" w:pos="5580"/>
              </w:tabs>
              <w:jc w:val="center"/>
              <w:rPr>
                <w:sz w:val="24"/>
              </w:rPr>
            </w:pPr>
          </w:p>
        </w:tc>
        <w:tc>
          <w:tcPr>
            <w:tcW w:w="1175" w:type="dxa"/>
            <w:tcBorders>
              <w:top w:val="single" w:color="auto" w:sz="4" w:space="0"/>
              <w:left w:val="single" w:color="auto" w:sz="4" w:space="0"/>
              <w:bottom w:val="single" w:color="auto" w:sz="4" w:space="0"/>
              <w:right w:val="single" w:color="auto" w:sz="4" w:space="0"/>
            </w:tcBorders>
            <w:noWrap w:val="0"/>
            <w:vAlign w:val="top"/>
          </w:tcPr>
          <w:p w14:paraId="2BC454CE">
            <w:pPr>
              <w:tabs>
                <w:tab w:val="left" w:pos="5580"/>
              </w:tabs>
              <w:jc w:val="center"/>
              <w:rPr>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14615602">
            <w:pPr>
              <w:tabs>
                <w:tab w:val="left" w:pos="5580"/>
              </w:tabs>
              <w:jc w:val="center"/>
              <w:rPr>
                <w:sz w:val="24"/>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13B1BD99">
            <w:pPr>
              <w:tabs>
                <w:tab w:val="left" w:pos="5580"/>
              </w:tabs>
              <w:jc w:val="center"/>
              <w:rPr>
                <w:sz w:val="24"/>
              </w:rPr>
            </w:pPr>
          </w:p>
        </w:tc>
        <w:tc>
          <w:tcPr>
            <w:tcW w:w="2272" w:type="dxa"/>
            <w:tcBorders>
              <w:top w:val="single" w:color="auto" w:sz="4" w:space="0"/>
              <w:left w:val="single" w:color="auto" w:sz="4" w:space="0"/>
              <w:bottom w:val="single" w:color="auto" w:sz="4" w:space="0"/>
              <w:right w:val="single" w:color="auto" w:sz="4" w:space="0"/>
            </w:tcBorders>
            <w:noWrap w:val="0"/>
            <w:vAlign w:val="center"/>
          </w:tcPr>
          <w:p w14:paraId="4FFC874A">
            <w:pPr>
              <w:tabs>
                <w:tab w:val="left" w:pos="5580"/>
              </w:tabs>
              <w:jc w:val="center"/>
              <w:rPr>
                <w:sz w:val="24"/>
              </w:rPr>
            </w:pPr>
          </w:p>
        </w:tc>
      </w:tr>
    </w:tbl>
    <w:p w14:paraId="2F5E2914">
      <w:pPr>
        <w:autoSpaceDE w:val="0"/>
        <w:autoSpaceDN w:val="0"/>
        <w:adjustRightInd w:val="0"/>
        <w:jc w:val="left"/>
        <w:rPr>
          <w:color w:val="000000"/>
          <w:kern w:val="0"/>
          <w:sz w:val="24"/>
        </w:rPr>
      </w:pPr>
    </w:p>
    <w:p w14:paraId="6D5F7513">
      <w:pPr>
        <w:autoSpaceDE w:val="0"/>
        <w:autoSpaceDN w:val="0"/>
        <w:adjustRightInd w:val="0"/>
        <w:jc w:val="left"/>
        <w:rPr>
          <w:color w:val="000000"/>
          <w:sz w:val="24"/>
          <w:szCs w:val="20"/>
        </w:rPr>
      </w:pPr>
    </w:p>
    <w:p w14:paraId="7731DE6A">
      <w:pPr>
        <w:tabs>
          <w:tab w:val="left" w:pos="5580"/>
        </w:tabs>
        <w:ind w:firstLine="480" w:firstLineChars="200"/>
        <w:rPr>
          <w:color w:val="000000"/>
          <w:sz w:val="24"/>
          <w:szCs w:val="20"/>
        </w:rPr>
      </w:pPr>
    </w:p>
    <w:p w14:paraId="03818BD6">
      <w:pPr>
        <w:autoSpaceDE w:val="0"/>
        <w:autoSpaceDN w:val="0"/>
        <w:adjustRightInd w:val="0"/>
        <w:snapToGrid w:val="0"/>
        <w:spacing w:before="25" w:after="25" w:line="360" w:lineRule="auto"/>
        <w:rPr>
          <w:color w:val="000000"/>
          <w:sz w:val="24"/>
          <w:lang w:val="zh-CN"/>
        </w:rPr>
      </w:pPr>
    </w:p>
    <w:p w14:paraId="1CFD7885">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655F6633">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sz w:val="24"/>
        </w:rPr>
        <w:t>___________</w:t>
      </w:r>
    </w:p>
    <w:p w14:paraId="6F534272">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____年____月____日</w:t>
      </w:r>
    </w:p>
    <w:p w14:paraId="1DA30D3A">
      <w:pPr>
        <w:autoSpaceDE w:val="0"/>
        <w:autoSpaceDN w:val="0"/>
        <w:adjustRightInd w:val="0"/>
        <w:snapToGrid w:val="0"/>
        <w:spacing w:before="25" w:after="25" w:line="360" w:lineRule="auto"/>
        <w:rPr>
          <w:color w:val="000000"/>
          <w:sz w:val="24"/>
          <w:lang w:val="zh-CN"/>
        </w:rPr>
      </w:pPr>
      <w:r>
        <w:rPr>
          <w:color w:val="000000"/>
          <w:sz w:val="24"/>
          <w:szCs w:val="20"/>
        </w:rPr>
        <w:t xml:space="preserve">  </w:t>
      </w:r>
    </w:p>
    <w:p w14:paraId="02B0F770">
      <w:pPr>
        <w:widowControl/>
        <w:jc w:val="left"/>
        <w:rPr>
          <w:color w:val="000000"/>
          <w:sz w:val="24"/>
          <w:szCs w:val="20"/>
        </w:rPr>
      </w:pPr>
      <w:bookmarkStart w:id="729" w:name="_Toc264969249"/>
      <w:bookmarkStart w:id="730" w:name="_Toc305158827"/>
      <w:bookmarkStart w:id="731" w:name="_Toc226965832"/>
      <w:bookmarkStart w:id="732" w:name="_Toc265228397"/>
      <w:bookmarkStart w:id="733" w:name="_Toc150480796"/>
      <w:bookmarkStart w:id="734" w:name="_Toc150774763"/>
      <w:bookmarkStart w:id="735" w:name="_Toc226965749"/>
      <w:bookmarkStart w:id="736" w:name="_Toc127151558"/>
      <w:bookmarkStart w:id="737" w:name="_Toc305158901"/>
      <w:bookmarkStart w:id="738" w:name="_Toc142311060"/>
      <w:bookmarkStart w:id="739" w:name="_Toc226337255"/>
      <w:bookmarkStart w:id="740" w:name="_Toc195842924"/>
      <w:bookmarkStart w:id="741" w:name="_Toc226309803"/>
      <w:r>
        <w:rPr>
          <w:color w:val="000000"/>
          <w:sz w:val="24"/>
          <w:szCs w:val="20"/>
        </w:rPr>
        <w:br w:type="page"/>
      </w:r>
    </w:p>
    <w:p w14:paraId="1F8F5525">
      <w:pPr>
        <w:tabs>
          <w:tab w:val="left" w:pos="360"/>
        </w:tabs>
        <w:snapToGrid w:val="0"/>
        <w:spacing w:line="360" w:lineRule="auto"/>
        <w:outlineLvl w:val="1"/>
        <w:rPr>
          <w:sz w:val="24"/>
        </w:rPr>
      </w:pPr>
      <w:r>
        <w:rPr>
          <w:sz w:val="24"/>
        </w:rPr>
        <w:t>8  分项报价表</w:t>
      </w:r>
      <w:bookmarkEnd w:id="729"/>
      <w:bookmarkEnd w:id="730"/>
      <w:bookmarkEnd w:id="731"/>
      <w:bookmarkEnd w:id="732"/>
      <w:bookmarkEnd w:id="733"/>
      <w:bookmarkEnd w:id="734"/>
      <w:bookmarkEnd w:id="735"/>
      <w:bookmarkEnd w:id="736"/>
      <w:bookmarkEnd w:id="737"/>
      <w:bookmarkEnd w:id="738"/>
      <w:bookmarkEnd w:id="739"/>
      <w:bookmarkEnd w:id="740"/>
      <w:bookmarkEnd w:id="741"/>
    </w:p>
    <w:p w14:paraId="150E66B7">
      <w:pPr>
        <w:autoSpaceDE w:val="0"/>
        <w:autoSpaceDN w:val="0"/>
        <w:adjustRightInd w:val="0"/>
        <w:snapToGrid w:val="0"/>
        <w:spacing w:before="25" w:after="25" w:line="360" w:lineRule="auto"/>
        <w:rPr>
          <w:rFonts w:hint="eastAsia"/>
          <w:color w:val="000000"/>
          <w:sz w:val="24"/>
        </w:rPr>
      </w:pPr>
      <w:bookmarkStart w:id="742" w:name="_Toc305158829"/>
      <w:bookmarkStart w:id="743" w:name="_Toc226965751"/>
      <w:bookmarkStart w:id="744" w:name="_Toc226965834"/>
      <w:bookmarkStart w:id="745" w:name="_Toc264969251"/>
      <w:bookmarkStart w:id="746" w:name="_Toc226337257"/>
      <w:bookmarkStart w:id="747" w:name="_Toc265228399"/>
      <w:bookmarkStart w:id="748" w:name="_Toc150774764"/>
      <w:bookmarkStart w:id="749" w:name="_Toc305158903"/>
      <w:bookmarkStart w:id="750" w:name="_Toc150480797"/>
      <w:bookmarkStart w:id="751" w:name="_Toc195842926"/>
      <w:bookmarkStart w:id="752" w:name="_Toc127151561"/>
      <w:bookmarkStart w:id="753" w:name="_Toc226309805"/>
      <w:bookmarkStart w:id="754" w:name="_Toc142311061"/>
    </w:p>
    <w:p w14:paraId="62118F60">
      <w:pPr>
        <w:autoSpaceDE w:val="0"/>
        <w:autoSpaceDN w:val="0"/>
        <w:adjustRightInd w:val="0"/>
        <w:snapToGrid w:val="0"/>
        <w:spacing w:before="25" w:after="25" w:line="360" w:lineRule="auto"/>
        <w:jc w:val="center"/>
        <w:rPr>
          <w:rFonts w:hint="eastAsia"/>
          <w:b/>
          <w:color w:val="000000"/>
          <w:sz w:val="24"/>
        </w:rPr>
      </w:pPr>
    </w:p>
    <w:p w14:paraId="5574196B">
      <w:pPr>
        <w:autoSpaceDE w:val="0"/>
        <w:autoSpaceDN w:val="0"/>
        <w:adjustRightInd w:val="0"/>
        <w:snapToGrid w:val="0"/>
        <w:spacing w:before="25" w:after="25" w:line="360" w:lineRule="auto"/>
        <w:jc w:val="center"/>
        <w:rPr>
          <w:rFonts w:hint="eastAsia"/>
          <w:b/>
          <w:color w:val="000000"/>
          <w:sz w:val="24"/>
        </w:rPr>
      </w:pPr>
    </w:p>
    <w:p w14:paraId="20929D1A">
      <w:pPr>
        <w:autoSpaceDE w:val="0"/>
        <w:autoSpaceDN w:val="0"/>
        <w:adjustRightInd w:val="0"/>
        <w:snapToGrid w:val="0"/>
        <w:spacing w:before="25" w:after="25" w:line="360" w:lineRule="auto"/>
        <w:rPr>
          <w:rFonts w:hint="eastAsia" w:eastAsia="宋体"/>
          <w:color w:val="000000"/>
          <w:sz w:val="24"/>
          <w:lang w:eastAsia="zh-CN"/>
        </w:rPr>
      </w:pPr>
      <w:r>
        <w:rPr>
          <w:rFonts w:hint="eastAsia"/>
          <w:b/>
          <w:color w:val="000000"/>
          <w:sz w:val="24"/>
          <w:lang w:val="en-US" w:eastAsia="zh-CN"/>
        </w:rPr>
        <w:t xml:space="preserve"> </w:t>
      </w:r>
    </w:p>
    <w:p w14:paraId="583300D8">
      <w:pPr>
        <w:autoSpaceDE w:val="0"/>
        <w:autoSpaceDN w:val="0"/>
        <w:adjustRightInd w:val="0"/>
        <w:snapToGrid w:val="0"/>
        <w:spacing w:before="25" w:after="25" w:line="360" w:lineRule="auto"/>
        <w:rPr>
          <w:rFonts w:hint="eastAsia"/>
          <w:color w:val="000000"/>
          <w:sz w:val="24"/>
        </w:rPr>
      </w:pPr>
    </w:p>
    <w:p w14:paraId="19A47A7D">
      <w:pPr>
        <w:autoSpaceDE w:val="0"/>
        <w:autoSpaceDN w:val="0"/>
        <w:adjustRightInd w:val="0"/>
        <w:snapToGrid w:val="0"/>
        <w:spacing w:before="25" w:after="25" w:line="360" w:lineRule="auto"/>
        <w:rPr>
          <w:rFonts w:hint="eastAsia"/>
          <w:color w:val="000000"/>
          <w:sz w:val="24"/>
        </w:rPr>
      </w:pPr>
    </w:p>
    <w:p w14:paraId="608E5292">
      <w:pPr>
        <w:autoSpaceDE w:val="0"/>
        <w:autoSpaceDN w:val="0"/>
        <w:adjustRightInd w:val="0"/>
        <w:snapToGrid w:val="0"/>
        <w:spacing w:before="25" w:after="25" w:line="360" w:lineRule="auto"/>
        <w:rPr>
          <w:color w:val="000000"/>
          <w:sz w:val="24"/>
        </w:rPr>
      </w:pPr>
    </w:p>
    <w:p w14:paraId="0B4AB61D">
      <w:pPr>
        <w:autoSpaceDE w:val="0"/>
        <w:autoSpaceDN w:val="0"/>
        <w:adjustRightInd w:val="0"/>
        <w:snapToGrid w:val="0"/>
        <w:spacing w:before="25" w:after="25" w:line="360" w:lineRule="auto"/>
        <w:rPr>
          <w:color w:val="000000"/>
          <w:sz w:val="24"/>
        </w:rPr>
      </w:pPr>
    </w:p>
    <w:p w14:paraId="026A5874">
      <w:pPr>
        <w:tabs>
          <w:tab w:val="left" w:pos="360"/>
        </w:tabs>
        <w:snapToGrid w:val="0"/>
        <w:spacing w:line="360" w:lineRule="auto"/>
        <w:outlineLvl w:val="1"/>
        <w:rPr>
          <w:sz w:val="24"/>
        </w:rPr>
      </w:pPr>
      <w:r>
        <w:rPr>
          <w:color w:val="000000"/>
          <w:sz w:val="24"/>
          <w:szCs w:val="20"/>
        </w:rPr>
        <w:br w:type="page"/>
      </w:r>
      <w:bookmarkEnd w:id="742"/>
      <w:bookmarkEnd w:id="743"/>
      <w:bookmarkEnd w:id="744"/>
      <w:bookmarkEnd w:id="745"/>
      <w:bookmarkEnd w:id="746"/>
      <w:bookmarkEnd w:id="747"/>
      <w:bookmarkEnd w:id="748"/>
      <w:bookmarkEnd w:id="749"/>
      <w:bookmarkEnd w:id="750"/>
      <w:bookmarkEnd w:id="751"/>
      <w:bookmarkEnd w:id="752"/>
      <w:bookmarkEnd w:id="753"/>
      <w:bookmarkEnd w:id="754"/>
    </w:p>
    <w:p w14:paraId="4705117A">
      <w:pPr>
        <w:tabs>
          <w:tab w:val="left" w:pos="360"/>
        </w:tabs>
        <w:snapToGrid w:val="0"/>
        <w:spacing w:line="360" w:lineRule="auto"/>
        <w:outlineLvl w:val="1"/>
        <w:rPr>
          <w:color w:val="000000"/>
          <w:sz w:val="24"/>
          <w:szCs w:val="20"/>
        </w:rPr>
      </w:pPr>
      <w:r>
        <w:rPr>
          <w:rFonts w:hint="eastAsia"/>
          <w:sz w:val="24"/>
        </w:rPr>
        <w:t>9</w:t>
      </w:r>
      <w:r>
        <w:rPr>
          <w:sz w:val="24"/>
        </w:rPr>
        <w:t xml:space="preserve">  竞争性磋商文件要求提供或供应商认为应附的其他材料</w:t>
      </w:r>
    </w:p>
    <w:p w14:paraId="1C83E3A4">
      <w:pPr>
        <w:widowControl/>
        <w:jc w:val="left"/>
        <w:rPr>
          <w:b/>
          <w:sz w:val="36"/>
          <w:szCs w:val="36"/>
        </w:rPr>
      </w:pPr>
    </w:p>
    <w:p w14:paraId="069A3583">
      <w:pPr>
        <w:widowControl/>
        <w:jc w:val="left"/>
        <w:rPr>
          <w:b/>
          <w:sz w:val="36"/>
          <w:szCs w:val="36"/>
        </w:rPr>
      </w:pPr>
    </w:p>
    <w:p w14:paraId="31BAF04F"/>
    <w:p w14:paraId="49B0C584"/>
    <w:p w14:paraId="78D2C63C"/>
    <w:p w14:paraId="4D236095"/>
    <w:p w14:paraId="632FC7CA"/>
    <w:p w14:paraId="5E15014E"/>
    <w:p w14:paraId="40425240"/>
    <w:p w14:paraId="67E69D4B"/>
    <w:p w14:paraId="03857548"/>
    <w:p w14:paraId="504FD307"/>
    <w:p w14:paraId="4FABF0CA"/>
    <w:p w14:paraId="40093BCA"/>
    <w:p w14:paraId="19350BCC"/>
    <w:p w14:paraId="4D7B98F0"/>
    <w:p w14:paraId="02A0022E"/>
    <w:p w14:paraId="01B173AF"/>
    <w:p w14:paraId="0C46C294"/>
    <w:p w14:paraId="687D1352"/>
    <w:p w14:paraId="59E7FA94"/>
    <w:p w14:paraId="692A658E"/>
    <w:p w14:paraId="1143E53C"/>
    <w:p w14:paraId="33DE19A8"/>
    <w:p w14:paraId="54EEBF09"/>
    <w:p w14:paraId="08F4BD39"/>
    <w:p w14:paraId="109FC08B"/>
    <w:p w14:paraId="42735312"/>
    <w:p w14:paraId="528F6B47"/>
    <w:p w14:paraId="1644F264"/>
    <w:p w14:paraId="241FF0F7"/>
    <w:p w14:paraId="0863662E"/>
    <w:p w14:paraId="7DEE5EB1"/>
    <w:p w14:paraId="08B22CC8">
      <w:pPr>
        <w:tabs>
          <w:tab w:val="left" w:pos="3631"/>
        </w:tabs>
        <w:jc w:val="left"/>
      </w:pPr>
      <w:r>
        <w:rPr>
          <w:rFonts w:hint="eastAsia"/>
        </w:rPr>
        <w:tab/>
      </w:r>
    </w:p>
    <w:sectPr>
      <w:headerReference r:id="rId14" w:type="first"/>
      <w:footerReference r:id="rId16" w:type="first"/>
      <w:headerReference r:id="rId13" w:type="even"/>
      <w:footerReference r:id="rId15" w:type="even"/>
      <w:pgSz w:w="11907" w:h="16840"/>
      <w:pgMar w:top="1440" w:right="1196" w:bottom="1440" w:left="1196"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书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2000000000000000000"/>
    <w:charset w:val="86"/>
    <w:family w:val="script"/>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ˎ̥">
    <w:altName w:val="宋体"/>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方正仿宋_GBK">
    <w:altName w:val="微软雅黑"/>
    <w:panose1 w:val="02000000000000000000"/>
    <w:charset w:val="86"/>
    <w:family w:val="auto"/>
    <w:pitch w:val="default"/>
    <w:sig w:usb0="00000000" w:usb1="00000000" w:usb2="00000000" w:usb3="00000000" w:csb0="00040000" w:csb1="00000000"/>
  </w:font>
  <w:font w:name="KSOFDA5758CF">
    <w:panose1 w:val="020B07030202040202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9D061">
    <w:pPr>
      <w:pStyle w:val="30"/>
      <w:framePr w:wrap="around" w:vAnchor="text" w:hAnchor="margin" w:xAlign="center" w:y="1"/>
      <w:rPr>
        <w:rStyle w:val="47"/>
      </w:rPr>
    </w:pPr>
    <w:r>
      <w:fldChar w:fldCharType="begin"/>
    </w:r>
    <w:r>
      <w:rPr>
        <w:rStyle w:val="47"/>
      </w:rPr>
      <w:instrText xml:space="preserve">PAGE  </w:instrText>
    </w:r>
    <w:r>
      <w:fldChar w:fldCharType="separate"/>
    </w:r>
    <w:r>
      <w:rPr>
        <w:rStyle w:val="47"/>
      </w:rPr>
      <w:t>1</w:t>
    </w:r>
    <w:r>
      <w:fldChar w:fldCharType="end"/>
    </w:r>
  </w:p>
  <w:p w14:paraId="4D10E68B">
    <w:pPr>
      <w:pStyle w:val="3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03C43">
    <w:pPr>
      <w:pStyle w:val="30"/>
      <w:jc w:val="center"/>
      <w:rPr>
        <w:rFonts w:ascii="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0791E7">
                          <w:pPr>
                            <w:pStyle w:val="30"/>
                            <w:jc w:val="center"/>
                          </w:pPr>
                          <w:r>
                            <w:rPr>
                              <w:rFonts w:ascii="Times New Roman"/>
                            </w:rPr>
                            <w:fldChar w:fldCharType="begin"/>
                          </w:r>
                          <w:r>
                            <w:rPr>
                              <w:rFonts w:ascii="Times New Roman"/>
                            </w:rPr>
                            <w:instrText xml:space="preserve">PAGE   \* MERGEFORMAT</w:instrText>
                          </w:r>
                          <w:r>
                            <w:rPr>
                              <w:rFonts w:ascii="Times New Roman"/>
                            </w:rPr>
                            <w:fldChar w:fldCharType="separate"/>
                          </w:r>
                          <w:r>
                            <w:t>2</w:t>
                          </w:r>
                          <w:r>
                            <w:rPr>
                              <w:rFonts w:ascii="Times New Roma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80791E7">
                    <w:pPr>
                      <w:pStyle w:val="30"/>
                      <w:jc w:val="center"/>
                    </w:pPr>
                    <w:r>
                      <w:rPr>
                        <w:rFonts w:ascii="Times New Roman"/>
                      </w:rPr>
                      <w:fldChar w:fldCharType="begin"/>
                    </w:r>
                    <w:r>
                      <w:rPr>
                        <w:rFonts w:ascii="Times New Roman"/>
                      </w:rPr>
                      <w:instrText xml:space="preserve">PAGE   \* MERGEFORMAT</w:instrText>
                    </w:r>
                    <w:r>
                      <w:rPr>
                        <w:rFonts w:ascii="Times New Roman"/>
                      </w:rPr>
                      <w:fldChar w:fldCharType="separate"/>
                    </w:r>
                    <w:r>
                      <w:t>2</w:t>
                    </w:r>
                    <w:r>
                      <w:rPr>
                        <w:rFonts w:ascii="Times New Roma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367A3">
    <w:pPr>
      <w:pStyle w:val="3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D02349">
                          <w:pPr>
                            <w:pStyle w:val="30"/>
                            <w:jc w:val="center"/>
                          </w:pPr>
                          <w:r>
                            <w:fldChar w:fldCharType="begin"/>
                          </w:r>
                          <w:r>
                            <w:instrText xml:space="preserve">PAGE   \* MERGEFORMAT</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1CD02349">
                    <w:pPr>
                      <w:pStyle w:val="30"/>
                      <w:jc w:val="center"/>
                    </w:pPr>
                    <w:r>
                      <w:fldChar w:fldCharType="begin"/>
                    </w:r>
                    <w:r>
                      <w:instrText xml:space="preserve">PAGE   \* MERGEFORMAT</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7BA93">
    <w:pPr>
      <w:pStyle w:val="30"/>
      <w:jc w:val="center"/>
    </w:pPr>
    <w:r>
      <w:fldChar w:fldCharType="begin"/>
    </w:r>
    <w:r>
      <w:instrText xml:space="preserve">PAGE   \* MERGEFORMAT</w:instrText>
    </w:r>
    <w:r>
      <w:fldChar w:fldCharType="separate"/>
    </w:r>
    <w:r>
      <w:t>1</w:t>
    </w:r>
    <w:r>
      <w:fldChar w:fldCharType="end"/>
    </w:r>
  </w:p>
  <w:p w14:paraId="4998A0B4">
    <w:pPr>
      <w:pStyle w:val="20"/>
      <w:spacing w:before="0" w:line="14" w:lineRule="auto"/>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6677B">
    <w:pPr>
      <w:pStyle w:val="30"/>
      <w:framePr w:wrap="around" w:vAnchor="text" w:hAnchor="margin" w:xAlign="right" w:y="1"/>
      <w:rPr>
        <w:rStyle w:val="47"/>
      </w:rPr>
    </w:pPr>
    <w:r>
      <w:fldChar w:fldCharType="begin"/>
    </w:r>
    <w:r>
      <w:rPr>
        <w:rStyle w:val="47"/>
      </w:rPr>
      <w:instrText xml:space="preserve">PAGE  </w:instrText>
    </w:r>
    <w:r>
      <w:fldChar w:fldCharType="separate"/>
    </w:r>
    <w:r>
      <w:rPr>
        <w:rStyle w:val="47"/>
      </w:rPr>
      <w:t>1</w:t>
    </w:r>
    <w:r>
      <w:fldChar w:fldCharType="end"/>
    </w:r>
  </w:p>
  <w:p w14:paraId="604015BB">
    <w:pPr>
      <w:pStyle w:val="30"/>
      <w:ind w:right="360"/>
    </w:pPr>
  </w:p>
  <w:p w14:paraId="6E2BADB9"/>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9BC50">
    <w:pPr>
      <w:pStyle w:val="3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B12D7">
    <w:pPr>
      <w:pStyle w:val="30"/>
      <w:framePr w:wrap="around" w:vAnchor="text" w:hAnchor="margin" w:xAlign="right" w:y="1"/>
      <w:rPr>
        <w:rStyle w:val="47"/>
      </w:rPr>
    </w:pPr>
    <w:r>
      <w:fldChar w:fldCharType="begin"/>
    </w:r>
    <w:r>
      <w:rPr>
        <w:rStyle w:val="47"/>
      </w:rPr>
      <w:instrText xml:space="preserve">PAGE  </w:instrText>
    </w:r>
    <w:r>
      <w:fldChar w:fldCharType="separate"/>
    </w:r>
    <w:r>
      <w:rPr>
        <w:rStyle w:val="47"/>
      </w:rPr>
      <w:t>1</w:t>
    </w:r>
    <w:r>
      <w:fldChar w:fldCharType="end"/>
    </w:r>
  </w:p>
  <w:p w14:paraId="7DF124BC">
    <w:pPr>
      <w:pStyle w:val="30"/>
      <w:ind w:right="360"/>
    </w:pPr>
  </w:p>
  <w:p w14:paraId="7DBB4325"/>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BA121">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CBDE2">
    <w:pPr>
      <w:pStyle w:val="31"/>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C680A">
    <w:pPr>
      <w:pStyle w:val="31"/>
      <w:pBdr>
        <w:bottom w:val="none" w:color="auto" w:sz="0" w:space="1"/>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A3146">
    <w:pPr>
      <w:pStyle w:val="31"/>
    </w:pPr>
  </w:p>
  <w:p w14:paraId="335901C2"/>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B3ACF">
    <w:pPr>
      <w:pStyle w:val="3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D74B6">
    <w:pPr>
      <w:pStyle w:val="31"/>
    </w:pPr>
  </w:p>
  <w:p w14:paraId="18C69F8E"/>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9F07E">
    <w:pPr>
      <w:pStyle w:val="3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4D7DD6"/>
    <w:multiLevelType w:val="singleLevel"/>
    <w:tmpl w:val="A44D7DD6"/>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MGI3ZWY3MzA4Zjc3NjRkNGYyNTkzZTc2NWQ0NzUwMjgifQ=="/>
    <w:docVar w:name="KSO_WPS_MARK_KEY" w:val="a72c167b-5142-466b-a510-a2f47a34ca66"/>
    <w:docVar w:name="VTCASE" w:val="4"/>
    <w:docVar w:name="VTCommandPending" w:val="NONE"/>
  </w:docVars>
  <w:rsids>
    <w:rsidRoot w:val="00172A27"/>
    <w:rsid w:val="00013888"/>
    <w:rsid w:val="0039159A"/>
    <w:rsid w:val="005404C9"/>
    <w:rsid w:val="005E3268"/>
    <w:rsid w:val="006437F3"/>
    <w:rsid w:val="0070474F"/>
    <w:rsid w:val="007200E8"/>
    <w:rsid w:val="00732CE8"/>
    <w:rsid w:val="00814650"/>
    <w:rsid w:val="008A3AA0"/>
    <w:rsid w:val="00A53461"/>
    <w:rsid w:val="00AA6188"/>
    <w:rsid w:val="00AB2753"/>
    <w:rsid w:val="00AF5D29"/>
    <w:rsid w:val="00B24DEF"/>
    <w:rsid w:val="00FC765F"/>
    <w:rsid w:val="00FF3CC2"/>
    <w:rsid w:val="1CA473E9"/>
    <w:rsid w:val="21AC158E"/>
    <w:rsid w:val="27195324"/>
    <w:rsid w:val="29EC326F"/>
    <w:rsid w:val="354151BE"/>
    <w:rsid w:val="37651242"/>
    <w:rsid w:val="3D917579"/>
    <w:rsid w:val="491D32BE"/>
    <w:rsid w:val="502D14BC"/>
    <w:rsid w:val="57EA58F1"/>
    <w:rsid w:val="5DC12D95"/>
    <w:rsid w:val="62EE79D5"/>
    <w:rsid w:val="65444892"/>
    <w:rsid w:val="66A3383B"/>
    <w:rsid w:val="6B04590A"/>
    <w:rsid w:val="7243427E"/>
    <w:rsid w:val="741333F3"/>
    <w:rsid w:val="788943F6"/>
    <w:rsid w:val="7B69075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56"/>
    <w:qFormat/>
    <w:uiPriority w:val="1"/>
    <w:pPr>
      <w:keepNext/>
      <w:keepLines/>
      <w:autoSpaceDE w:val="0"/>
      <w:autoSpaceDN w:val="0"/>
      <w:adjustRightInd w:val="0"/>
      <w:spacing w:before="240" w:beforeLines="0" w:after="120" w:afterLines="0" w:line="300" w:lineRule="auto"/>
      <w:jc w:val="center"/>
      <w:outlineLvl w:val="0"/>
    </w:pPr>
    <w:rPr>
      <w:rFonts w:ascii="宋体"/>
      <w:b/>
      <w:kern w:val="44"/>
      <w:sz w:val="32"/>
      <w:szCs w:val="20"/>
    </w:rPr>
  </w:style>
  <w:style w:type="paragraph" w:styleId="6">
    <w:name w:val="heading 2"/>
    <w:basedOn w:val="1"/>
    <w:next w:val="1"/>
    <w:link w:val="57"/>
    <w:qFormat/>
    <w:uiPriority w:val="1"/>
    <w:pPr>
      <w:keepNext/>
      <w:keepLines/>
      <w:autoSpaceDE w:val="0"/>
      <w:autoSpaceDN w:val="0"/>
      <w:adjustRightInd w:val="0"/>
      <w:spacing w:before="120" w:beforeLines="0" w:line="300" w:lineRule="auto"/>
      <w:jc w:val="center"/>
      <w:outlineLvl w:val="1"/>
    </w:pPr>
    <w:rPr>
      <w:rFonts w:ascii="Arial" w:hAnsi="Arial" w:eastAsia="黑体"/>
      <w:b/>
      <w:kern w:val="0"/>
      <w:sz w:val="30"/>
      <w:szCs w:val="20"/>
    </w:rPr>
  </w:style>
  <w:style w:type="paragraph" w:styleId="7">
    <w:name w:val="heading 3"/>
    <w:basedOn w:val="1"/>
    <w:next w:val="1"/>
    <w:link w:val="58"/>
    <w:qFormat/>
    <w:uiPriority w:val="1"/>
    <w:pPr>
      <w:keepNext/>
      <w:keepLines/>
      <w:autoSpaceDE w:val="0"/>
      <w:autoSpaceDN w:val="0"/>
      <w:adjustRightInd w:val="0"/>
      <w:spacing w:before="360" w:beforeLines="0" w:after="120" w:afterLines="0"/>
      <w:jc w:val="left"/>
      <w:outlineLvl w:val="2"/>
    </w:pPr>
    <w:rPr>
      <w:rFonts w:ascii="宋体"/>
      <w:b/>
      <w:kern w:val="0"/>
      <w:sz w:val="24"/>
      <w:szCs w:val="20"/>
      <w:u w:val="single"/>
    </w:rPr>
  </w:style>
  <w:style w:type="paragraph" w:styleId="8">
    <w:name w:val="heading 4"/>
    <w:basedOn w:val="1"/>
    <w:next w:val="1"/>
    <w:link w:val="59"/>
    <w:qFormat/>
    <w:uiPriority w:val="1"/>
    <w:pPr>
      <w:keepNext/>
      <w:keepLines/>
      <w:adjustRightInd w:val="0"/>
      <w:spacing w:before="280" w:beforeLines="0" w:after="290" w:afterLines="0" w:line="376" w:lineRule="atLeast"/>
      <w:textAlignment w:val="baseline"/>
      <w:outlineLvl w:val="3"/>
    </w:pPr>
    <w:rPr>
      <w:rFonts w:ascii="Arial" w:hAnsi="Arial" w:eastAsia="黑体"/>
      <w:b/>
      <w:kern w:val="0"/>
      <w:sz w:val="28"/>
      <w:szCs w:val="20"/>
    </w:rPr>
  </w:style>
  <w:style w:type="paragraph" w:styleId="9">
    <w:name w:val="heading 5"/>
    <w:basedOn w:val="1"/>
    <w:next w:val="1"/>
    <w:link w:val="60"/>
    <w:qFormat/>
    <w:uiPriority w:val="0"/>
    <w:pPr>
      <w:keepNext/>
      <w:keepLines/>
      <w:adjustRightInd w:val="0"/>
      <w:spacing w:before="280" w:beforeLines="0" w:after="290" w:afterLines="0" w:line="376" w:lineRule="atLeast"/>
      <w:textAlignment w:val="baseline"/>
      <w:outlineLvl w:val="4"/>
    </w:pPr>
    <w:rPr>
      <w:b/>
      <w:kern w:val="0"/>
      <w:sz w:val="28"/>
      <w:szCs w:val="20"/>
    </w:rPr>
  </w:style>
  <w:style w:type="paragraph" w:styleId="10">
    <w:name w:val="heading 6"/>
    <w:basedOn w:val="1"/>
    <w:next w:val="1"/>
    <w:link w:val="61"/>
    <w:qFormat/>
    <w:uiPriority w:val="0"/>
    <w:pPr>
      <w:keepNext/>
      <w:keepLines/>
      <w:adjustRightInd w:val="0"/>
      <w:spacing w:before="240" w:beforeLines="0" w:after="64" w:afterLines="0" w:line="320" w:lineRule="atLeast"/>
      <w:textAlignment w:val="baseline"/>
      <w:outlineLvl w:val="5"/>
    </w:pPr>
    <w:rPr>
      <w:rFonts w:ascii="Arial" w:hAnsi="Arial" w:eastAsia="黑体"/>
      <w:b/>
      <w:kern w:val="0"/>
      <w:sz w:val="24"/>
      <w:szCs w:val="20"/>
    </w:rPr>
  </w:style>
  <w:style w:type="paragraph" w:styleId="11">
    <w:name w:val="heading 7"/>
    <w:basedOn w:val="1"/>
    <w:next w:val="1"/>
    <w:link w:val="62"/>
    <w:qFormat/>
    <w:uiPriority w:val="0"/>
    <w:pPr>
      <w:keepNext/>
      <w:keepLines/>
      <w:adjustRightInd w:val="0"/>
      <w:spacing w:before="240" w:beforeLines="0" w:after="64" w:afterLines="0" w:line="320" w:lineRule="atLeast"/>
      <w:textAlignment w:val="baseline"/>
      <w:outlineLvl w:val="6"/>
    </w:pPr>
    <w:rPr>
      <w:b/>
      <w:kern w:val="0"/>
      <w:sz w:val="24"/>
      <w:szCs w:val="20"/>
    </w:rPr>
  </w:style>
  <w:style w:type="paragraph" w:styleId="12">
    <w:name w:val="heading 8"/>
    <w:basedOn w:val="1"/>
    <w:next w:val="1"/>
    <w:link w:val="63"/>
    <w:qFormat/>
    <w:uiPriority w:val="0"/>
    <w:pPr>
      <w:keepNext/>
      <w:keepLines/>
      <w:adjustRightInd w:val="0"/>
      <w:spacing w:before="240" w:beforeLines="0" w:after="64" w:afterLines="0" w:line="320" w:lineRule="atLeast"/>
      <w:textAlignment w:val="baseline"/>
      <w:outlineLvl w:val="7"/>
    </w:pPr>
    <w:rPr>
      <w:rFonts w:ascii="Arial" w:hAnsi="Arial" w:eastAsia="黑体"/>
      <w:kern w:val="0"/>
      <w:sz w:val="24"/>
      <w:szCs w:val="20"/>
    </w:rPr>
  </w:style>
  <w:style w:type="paragraph" w:styleId="13">
    <w:name w:val="heading 9"/>
    <w:basedOn w:val="1"/>
    <w:next w:val="1"/>
    <w:link w:val="64"/>
    <w:qFormat/>
    <w:uiPriority w:val="0"/>
    <w:pPr>
      <w:keepNext/>
      <w:keepLines/>
      <w:adjustRightInd w:val="0"/>
      <w:spacing w:before="240" w:beforeLines="0" w:after="64" w:afterLines="0" w:line="320" w:lineRule="atLeast"/>
      <w:textAlignment w:val="baseline"/>
      <w:outlineLvl w:val="8"/>
    </w:pPr>
    <w:rPr>
      <w:rFonts w:ascii="Arial" w:hAnsi="Arial" w:eastAsia="黑体"/>
      <w:kern w:val="0"/>
      <w:szCs w:val="20"/>
    </w:rPr>
  </w:style>
  <w:style w:type="character" w:default="1" w:styleId="45">
    <w:name w:val="Default Paragraph Font"/>
    <w:unhideWhenUsed/>
    <w:qFormat/>
    <w:uiPriority w:val="1"/>
  </w:style>
  <w:style w:type="table" w:default="1" w:styleId="44">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1"/>
    <w:link w:val="55"/>
    <w:qFormat/>
    <w:uiPriority w:val="0"/>
    <w:pPr>
      <w:spacing w:after="120" w:afterLines="0" w:line="480" w:lineRule="exact"/>
      <w:ind w:left="420" w:leftChars="200" w:firstLine="420" w:firstLineChars="200"/>
    </w:pPr>
    <w:rPr>
      <w:szCs w:val="20"/>
    </w:rPr>
  </w:style>
  <w:style w:type="paragraph" w:styleId="3">
    <w:name w:val="Body Text Indent"/>
    <w:basedOn w:val="1"/>
    <w:next w:val="4"/>
    <w:link w:val="53"/>
    <w:qFormat/>
    <w:uiPriority w:val="99"/>
    <w:pPr>
      <w:spacing w:line="360" w:lineRule="auto"/>
      <w:ind w:firstLine="570"/>
    </w:pPr>
    <w:rPr>
      <w:sz w:val="24"/>
    </w:rPr>
  </w:style>
  <w:style w:type="paragraph" w:styleId="4">
    <w:name w:val="Normal Indent"/>
    <w:basedOn w:val="1"/>
    <w:next w:val="3"/>
    <w:link w:val="54"/>
    <w:qFormat/>
    <w:uiPriority w:val="0"/>
    <w:pPr>
      <w:autoSpaceDE w:val="0"/>
      <w:autoSpaceDN w:val="0"/>
      <w:adjustRightInd w:val="0"/>
      <w:ind w:firstLine="420"/>
      <w:jc w:val="left"/>
    </w:pPr>
    <w:rPr>
      <w:rFonts w:ascii="宋体"/>
      <w:sz w:val="24"/>
    </w:rPr>
  </w:style>
  <w:style w:type="paragraph" w:styleId="14">
    <w:name w:val="toc 7"/>
    <w:basedOn w:val="1"/>
    <w:next w:val="1"/>
    <w:qFormat/>
    <w:uiPriority w:val="0"/>
    <w:pPr>
      <w:ind w:left="2520" w:leftChars="1200"/>
    </w:pPr>
  </w:style>
  <w:style w:type="paragraph" w:styleId="15">
    <w:name w:val="table of authorities"/>
    <w:basedOn w:val="1"/>
    <w:next w:val="1"/>
    <w:qFormat/>
    <w:uiPriority w:val="99"/>
    <w:pPr>
      <w:ind w:left="420" w:leftChars="200"/>
    </w:pPr>
  </w:style>
  <w:style w:type="paragraph" w:styleId="16">
    <w:name w:val="caption"/>
    <w:basedOn w:val="1"/>
    <w:next w:val="1"/>
    <w:qFormat/>
    <w:uiPriority w:val="0"/>
    <w:pPr>
      <w:spacing w:line="480" w:lineRule="auto"/>
    </w:pPr>
    <w:rPr>
      <w:rFonts w:ascii="华文中宋" w:hAnsi="华文中宋" w:eastAsia="华文中宋"/>
      <w:sz w:val="36"/>
      <w:szCs w:val="20"/>
    </w:rPr>
  </w:style>
  <w:style w:type="paragraph" w:styleId="17">
    <w:name w:val="Document Map"/>
    <w:basedOn w:val="1"/>
    <w:link w:val="65"/>
    <w:qFormat/>
    <w:uiPriority w:val="0"/>
    <w:pPr>
      <w:shd w:val="clear" w:color="auto" w:fill="000080"/>
    </w:pPr>
  </w:style>
  <w:style w:type="paragraph" w:styleId="18">
    <w:name w:val="annotation text"/>
    <w:basedOn w:val="1"/>
    <w:link w:val="66"/>
    <w:qFormat/>
    <w:uiPriority w:val="0"/>
    <w:pPr>
      <w:jc w:val="left"/>
    </w:pPr>
  </w:style>
  <w:style w:type="paragraph" w:styleId="19">
    <w:name w:val="Body Text 3"/>
    <w:basedOn w:val="1"/>
    <w:link w:val="67"/>
    <w:qFormat/>
    <w:uiPriority w:val="0"/>
    <w:pPr>
      <w:spacing w:after="120" w:afterLines="0"/>
    </w:pPr>
    <w:rPr>
      <w:sz w:val="16"/>
      <w:szCs w:val="16"/>
    </w:rPr>
  </w:style>
  <w:style w:type="paragraph" w:styleId="20">
    <w:name w:val="Body Text"/>
    <w:basedOn w:val="1"/>
    <w:link w:val="68"/>
    <w:qFormat/>
    <w:uiPriority w:val="1"/>
    <w:pPr>
      <w:tabs>
        <w:tab w:val="left" w:pos="567"/>
      </w:tabs>
      <w:spacing w:before="120" w:beforeLines="0" w:line="22" w:lineRule="atLeast"/>
    </w:pPr>
    <w:rPr>
      <w:rFonts w:ascii="宋体" w:hAnsi="宋体"/>
      <w:sz w:val="24"/>
    </w:rPr>
  </w:style>
  <w:style w:type="paragraph" w:styleId="21">
    <w:name w:val="List 2"/>
    <w:basedOn w:val="1"/>
    <w:qFormat/>
    <w:uiPriority w:val="0"/>
    <w:pPr>
      <w:ind w:left="100" w:leftChars="200" w:hanging="200" w:hangingChars="200"/>
    </w:pPr>
  </w:style>
  <w:style w:type="paragraph" w:styleId="22">
    <w:name w:val="Block Text"/>
    <w:basedOn w:val="1"/>
    <w:qFormat/>
    <w:uiPriority w:val="0"/>
    <w:pPr>
      <w:widowControl/>
      <w:ind w:left="480" w:right="-341" w:firstLine="513"/>
    </w:pPr>
    <w:rPr>
      <w:kern w:val="0"/>
      <w:sz w:val="24"/>
      <w:szCs w:val="20"/>
    </w:rPr>
  </w:style>
  <w:style w:type="paragraph" w:styleId="23">
    <w:name w:val="toc 5"/>
    <w:basedOn w:val="1"/>
    <w:next w:val="1"/>
    <w:qFormat/>
    <w:uiPriority w:val="0"/>
    <w:pPr>
      <w:ind w:left="1680" w:leftChars="800"/>
    </w:pPr>
  </w:style>
  <w:style w:type="paragraph" w:styleId="24">
    <w:name w:val="toc 3"/>
    <w:basedOn w:val="1"/>
    <w:next w:val="1"/>
    <w:qFormat/>
    <w:uiPriority w:val="39"/>
    <w:pPr>
      <w:ind w:left="840" w:leftChars="400"/>
    </w:pPr>
  </w:style>
  <w:style w:type="paragraph" w:styleId="25">
    <w:name w:val="Plain Text"/>
    <w:basedOn w:val="1"/>
    <w:link w:val="69"/>
    <w:qFormat/>
    <w:uiPriority w:val="0"/>
    <w:rPr>
      <w:rFonts w:hint="eastAsia" w:ascii="宋体" w:hAnsi="Courier New"/>
      <w:szCs w:val="20"/>
    </w:rPr>
  </w:style>
  <w:style w:type="paragraph" w:styleId="26">
    <w:name w:val="toc 8"/>
    <w:basedOn w:val="1"/>
    <w:next w:val="1"/>
    <w:qFormat/>
    <w:uiPriority w:val="0"/>
    <w:pPr>
      <w:ind w:left="2940" w:leftChars="1400"/>
    </w:pPr>
  </w:style>
  <w:style w:type="paragraph" w:styleId="27">
    <w:name w:val="Date"/>
    <w:basedOn w:val="1"/>
    <w:next w:val="1"/>
    <w:link w:val="70"/>
    <w:qFormat/>
    <w:uiPriority w:val="0"/>
    <w:pPr>
      <w:ind w:left="100" w:leftChars="2500"/>
    </w:pPr>
    <w:rPr>
      <w:rFonts w:ascii="仿宋_GB2312" w:hAnsi="宋体" w:eastAsia="仿宋_GB2312"/>
      <w:color w:val="000000"/>
      <w:sz w:val="24"/>
    </w:rPr>
  </w:style>
  <w:style w:type="paragraph" w:styleId="28">
    <w:name w:val="Body Text Indent 2"/>
    <w:basedOn w:val="1"/>
    <w:link w:val="71"/>
    <w:qFormat/>
    <w:uiPriority w:val="0"/>
    <w:pPr>
      <w:ind w:firstLine="480" w:firstLineChars="200"/>
    </w:pPr>
    <w:rPr>
      <w:rFonts w:ascii="仿宋_GB2312" w:eastAsia="仿宋_GB2312"/>
      <w:sz w:val="24"/>
    </w:rPr>
  </w:style>
  <w:style w:type="paragraph" w:styleId="29">
    <w:name w:val="Balloon Text"/>
    <w:basedOn w:val="1"/>
    <w:link w:val="72"/>
    <w:qFormat/>
    <w:uiPriority w:val="0"/>
    <w:rPr>
      <w:sz w:val="18"/>
      <w:szCs w:val="18"/>
    </w:rPr>
  </w:style>
  <w:style w:type="paragraph" w:styleId="30">
    <w:name w:val="footer"/>
    <w:basedOn w:val="1"/>
    <w:link w:val="73"/>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1">
    <w:name w:val="header"/>
    <w:basedOn w:val="1"/>
    <w:link w:val="74"/>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3">
    <w:name w:val="toc 4"/>
    <w:basedOn w:val="1"/>
    <w:next w:val="1"/>
    <w:qFormat/>
    <w:uiPriority w:val="0"/>
    <w:pPr>
      <w:ind w:left="1260" w:leftChars="600"/>
    </w:pPr>
  </w:style>
  <w:style w:type="paragraph" w:styleId="34">
    <w:name w:val="toc 6"/>
    <w:basedOn w:val="1"/>
    <w:next w:val="1"/>
    <w:qFormat/>
    <w:uiPriority w:val="0"/>
    <w:pPr>
      <w:ind w:left="2100" w:leftChars="1000"/>
    </w:pPr>
  </w:style>
  <w:style w:type="paragraph" w:styleId="35">
    <w:name w:val="Body Text Indent 3"/>
    <w:basedOn w:val="1"/>
    <w:link w:val="75"/>
    <w:qFormat/>
    <w:uiPriority w:val="0"/>
    <w:pPr>
      <w:autoSpaceDE w:val="0"/>
      <w:autoSpaceDN w:val="0"/>
      <w:adjustRightInd w:val="0"/>
      <w:spacing w:before="120" w:beforeLines="0" w:line="22" w:lineRule="atLeast"/>
      <w:ind w:left="720" w:firstLine="480"/>
      <w:jc w:val="left"/>
    </w:pPr>
    <w:rPr>
      <w:rFonts w:ascii="宋体"/>
      <w:kern w:val="0"/>
      <w:sz w:val="24"/>
      <w:szCs w:val="20"/>
    </w:rPr>
  </w:style>
  <w:style w:type="paragraph" w:styleId="36">
    <w:name w:val="toc 2"/>
    <w:basedOn w:val="1"/>
    <w:next w:val="1"/>
    <w:qFormat/>
    <w:uiPriority w:val="39"/>
    <w:pPr>
      <w:tabs>
        <w:tab w:val="right" w:leader="dot" w:pos="8937"/>
      </w:tabs>
      <w:spacing w:line="312" w:lineRule="auto"/>
      <w:ind w:left="420" w:leftChars="200"/>
    </w:pPr>
  </w:style>
  <w:style w:type="paragraph" w:styleId="37">
    <w:name w:val="toc 9"/>
    <w:basedOn w:val="1"/>
    <w:next w:val="1"/>
    <w:qFormat/>
    <w:uiPriority w:val="0"/>
    <w:pPr>
      <w:ind w:left="3360" w:leftChars="1600"/>
    </w:pPr>
  </w:style>
  <w:style w:type="paragraph" w:styleId="38">
    <w:name w:val="HTML Preformatted"/>
    <w:basedOn w:val="1"/>
    <w:link w:val="7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9">
    <w:name w:val="Normal (Web)"/>
    <w:basedOn w:val="1"/>
    <w:unhideWhenUsed/>
    <w:qFormat/>
    <w:uiPriority w:val="0"/>
    <w:pPr>
      <w:widowControl/>
      <w:spacing w:before="100" w:beforeLines="0" w:beforeAutospacing="1" w:after="100" w:afterLines="0" w:afterAutospacing="1"/>
      <w:jc w:val="left"/>
    </w:pPr>
    <w:rPr>
      <w:rFonts w:ascii="宋体" w:hAnsi="宋体" w:cs="宋体"/>
      <w:kern w:val="0"/>
      <w:sz w:val="24"/>
    </w:rPr>
  </w:style>
  <w:style w:type="paragraph" w:styleId="40">
    <w:name w:val="index 1"/>
    <w:basedOn w:val="1"/>
    <w:next w:val="1"/>
    <w:qFormat/>
    <w:uiPriority w:val="0"/>
    <w:rPr>
      <w:szCs w:val="20"/>
    </w:rPr>
  </w:style>
  <w:style w:type="paragraph" w:styleId="41">
    <w:name w:val="Title"/>
    <w:basedOn w:val="1"/>
    <w:link w:val="77"/>
    <w:qFormat/>
    <w:uiPriority w:val="0"/>
    <w:pPr>
      <w:jc w:val="center"/>
      <w:outlineLvl w:val="0"/>
    </w:pPr>
    <w:rPr>
      <w:b/>
      <w:sz w:val="32"/>
      <w:szCs w:val="20"/>
    </w:rPr>
  </w:style>
  <w:style w:type="paragraph" w:styleId="42">
    <w:name w:val="annotation subject"/>
    <w:basedOn w:val="18"/>
    <w:next w:val="18"/>
    <w:link w:val="78"/>
    <w:qFormat/>
    <w:uiPriority w:val="0"/>
    <w:rPr>
      <w:b/>
      <w:bCs/>
    </w:rPr>
  </w:style>
  <w:style w:type="paragraph" w:styleId="43">
    <w:name w:val="Body Text First Indent"/>
    <w:basedOn w:val="20"/>
    <w:uiPriority w:val="0"/>
    <w:pPr>
      <w:spacing w:after="120" w:line="240" w:lineRule="auto"/>
      <w:ind w:firstLine="420" w:firstLineChars="100"/>
    </w:pPr>
  </w:style>
  <w:style w:type="character" w:styleId="46">
    <w:name w:val="Strong"/>
    <w:qFormat/>
    <w:uiPriority w:val="0"/>
    <w:rPr>
      <w:b/>
      <w:bCs/>
    </w:rPr>
  </w:style>
  <w:style w:type="character" w:styleId="47">
    <w:name w:val="page number"/>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0"/>
    <w:rPr>
      <w:sz w:val="21"/>
      <w:szCs w:val="21"/>
    </w:rPr>
  </w:style>
  <w:style w:type="character" w:styleId="52">
    <w:name w:val="HTML Cite"/>
    <w:qFormat/>
    <w:uiPriority w:val="0"/>
    <w:rPr>
      <w:i/>
      <w:iCs/>
    </w:rPr>
  </w:style>
  <w:style w:type="character" w:customStyle="1" w:styleId="53">
    <w:name w:val="正文文本缩进 字符1"/>
    <w:link w:val="3"/>
    <w:qFormat/>
    <w:uiPriority w:val="0"/>
    <w:rPr>
      <w:rFonts w:eastAsia="宋体"/>
      <w:kern w:val="2"/>
      <w:sz w:val="24"/>
      <w:szCs w:val="24"/>
      <w:lang w:val="en-US" w:eastAsia="zh-CN" w:bidi="ar-SA"/>
    </w:rPr>
  </w:style>
  <w:style w:type="character" w:customStyle="1" w:styleId="54">
    <w:name w:val="正文缩进 字符"/>
    <w:link w:val="4"/>
    <w:qFormat/>
    <w:uiPriority w:val="0"/>
    <w:rPr>
      <w:rFonts w:ascii="宋体" w:eastAsia="宋体"/>
      <w:kern w:val="2"/>
      <w:sz w:val="24"/>
      <w:szCs w:val="24"/>
      <w:lang w:val="en-US" w:eastAsia="zh-CN" w:bidi="ar-SA"/>
    </w:rPr>
  </w:style>
  <w:style w:type="character" w:customStyle="1" w:styleId="55">
    <w:name w:val="正文文本首行缩进 2 字符1"/>
    <w:link w:val="2"/>
    <w:qFormat/>
    <w:uiPriority w:val="0"/>
    <w:rPr>
      <w:rFonts w:eastAsia="宋体"/>
      <w:kern w:val="2"/>
      <w:sz w:val="24"/>
      <w:szCs w:val="24"/>
      <w:lang w:val="en-US" w:eastAsia="zh-CN" w:bidi="ar-SA"/>
    </w:rPr>
  </w:style>
  <w:style w:type="character" w:customStyle="1" w:styleId="56">
    <w:name w:val="标题 1 字符1"/>
    <w:link w:val="5"/>
    <w:qFormat/>
    <w:uiPriority w:val="0"/>
    <w:rPr>
      <w:rFonts w:ascii="宋体"/>
      <w:b/>
      <w:kern w:val="44"/>
      <w:sz w:val="32"/>
    </w:rPr>
  </w:style>
  <w:style w:type="character" w:customStyle="1" w:styleId="57">
    <w:name w:val="标题 2 字符1"/>
    <w:link w:val="6"/>
    <w:qFormat/>
    <w:uiPriority w:val="0"/>
    <w:rPr>
      <w:rFonts w:ascii="Arial" w:hAnsi="Arial" w:eastAsia="黑体"/>
      <w:b/>
      <w:sz w:val="30"/>
      <w:lang w:val="en-US" w:eastAsia="zh-CN" w:bidi="ar-SA"/>
    </w:rPr>
  </w:style>
  <w:style w:type="character" w:customStyle="1" w:styleId="58">
    <w:name w:val="标题 3 字符1"/>
    <w:link w:val="7"/>
    <w:qFormat/>
    <w:uiPriority w:val="0"/>
    <w:rPr>
      <w:rFonts w:ascii="宋体" w:eastAsia="宋体"/>
      <w:b/>
      <w:sz w:val="24"/>
      <w:u w:val="single"/>
      <w:lang w:val="en-US" w:eastAsia="zh-CN" w:bidi="ar-SA"/>
    </w:rPr>
  </w:style>
  <w:style w:type="character" w:customStyle="1" w:styleId="59">
    <w:name w:val="标题 4 字符1"/>
    <w:link w:val="8"/>
    <w:qFormat/>
    <w:uiPriority w:val="0"/>
    <w:rPr>
      <w:rFonts w:ascii="Arial" w:hAnsi="Arial" w:eastAsia="黑体"/>
      <w:b/>
      <w:sz w:val="28"/>
    </w:rPr>
  </w:style>
  <w:style w:type="character" w:customStyle="1" w:styleId="60">
    <w:name w:val="标题 5 字符1"/>
    <w:link w:val="9"/>
    <w:qFormat/>
    <w:uiPriority w:val="0"/>
    <w:rPr>
      <w:b/>
      <w:sz w:val="28"/>
    </w:rPr>
  </w:style>
  <w:style w:type="character" w:customStyle="1" w:styleId="61">
    <w:name w:val="标题 6 字符1"/>
    <w:link w:val="10"/>
    <w:qFormat/>
    <w:uiPriority w:val="0"/>
    <w:rPr>
      <w:rFonts w:ascii="Arial" w:hAnsi="Arial" w:eastAsia="黑体"/>
      <w:b/>
      <w:sz w:val="24"/>
    </w:rPr>
  </w:style>
  <w:style w:type="character" w:customStyle="1" w:styleId="62">
    <w:name w:val="标题 7 字符1"/>
    <w:link w:val="11"/>
    <w:qFormat/>
    <w:uiPriority w:val="0"/>
    <w:rPr>
      <w:b/>
      <w:sz w:val="24"/>
    </w:rPr>
  </w:style>
  <w:style w:type="character" w:customStyle="1" w:styleId="63">
    <w:name w:val="标题 8 字符1"/>
    <w:link w:val="12"/>
    <w:qFormat/>
    <w:uiPriority w:val="0"/>
    <w:rPr>
      <w:rFonts w:ascii="Arial" w:hAnsi="Arial" w:eastAsia="黑体"/>
      <w:sz w:val="24"/>
    </w:rPr>
  </w:style>
  <w:style w:type="character" w:customStyle="1" w:styleId="64">
    <w:name w:val="标题 9 字符1"/>
    <w:link w:val="13"/>
    <w:qFormat/>
    <w:uiPriority w:val="0"/>
    <w:rPr>
      <w:rFonts w:ascii="Arial" w:hAnsi="Arial" w:eastAsia="黑体"/>
      <w:sz w:val="21"/>
    </w:rPr>
  </w:style>
  <w:style w:type="character" w:customStyle="1" w:styleId="65">
    <w:name w:val="文档结构图 字符"/>
    <w:link w:val="17"/>
    <w:qFormat/>
    <w:uiPriority w:val="0"/>
    <w:rPr>
      <w:kern w:val="2"/>
      <w:sz w:val="21"/>
      <w:szCs w:val="24"/>
      <w:shd w:val="clear" w:color="auto" w:fill="000080"/>
    </w:rPr>
  </w:style>
  <w:style w:type="character" w:customStyle="1" w:styleId="66">
    <w:name w:val="批注文字 字符1"/>
    <w:link w:val="18"/>
    <w:qFormat/>
    <w:uiPriority w:val="99"/>
    <w:rPr>
      <w:kern w:val="2"/>
      <w:sz w:val="21"/>
      <w:szCs w:val="24"/>
    </w:rPr>
  </w:style>
  <w:style w:type="character" w:customStyle="1" w:styleId="67">
    <w:name w:val="正文文本 3 字符"/>
    <w:link w:val="19"/>
    <w:qFormat/>
    <w:uiPriority w:val="0"/>
    <w:rPr>
      <w:kern w:val="2"/>
      <w:sz w:val="16"/>
      <w:szCs w:val="16"/>
    </w:rPr>
  </w:style>
  <w:style w:type="character" w:customStyle="1" w:styleId="68">
    <w:name w:val="正文文本 字符1"/>
    <w:link w:val="20"/>
    <w:qFormat/>
    <w:uiPriority w:val="0"/>
    <w:rPr>
      <w:rFonts w:ascii="宋体" w:hAnsi="宋体"/>
      <w:kern w:val="2"/>
      <w:sz w:val="24"/>
      <w:szCs w:val="24"/>
    </w:rPr>
  </w:style>
  <w:style w:type="character" w:customStyle="1" w:styleId="69">
    <w:name w:val="纯文本 字符2"/>
    <w:link w:val="25"/>
    <w:qFormat/>
    <w:uiPriority w:val="0"/>
    <w:rPr>
      <w:rFonts w:hint="eastAsia" w:ascii="宋体" w:hAnsi="Courier New" w:eastAsia="宋体" w:cs="宋体"/>
      <w:kern w:val="2"/>
      <w:sz w:val="21"/>
    </w:rPr>
  </w:style>
  <w:style w:type="character" w:customStyle="1" w:styleId="70">
    <w:name w:val="日期 字符"/>
    <w:link w:val="27"/>
    <w:qFormat/>
    <w:uiPriority w:val="0"/>
    <w:rPr>
      <w:rFonts w:ascii="仿宋_GB2312" w:hAnsi="宋体" w:eastAsia="仿宋_GB2312"/>
      <w:color w:val="000000"/>
      <w:kern w:val="2"/>
      <w:sz w:val="24"/>
      <w:szCs w:val="24"/>
    </w:rPr>
  </w:style>
  <w:style w:type="character" w:customStyle="1" w:styleId="71">
    <w:name w:val="正文文本缩进 2 字符"/>
    <w:link w:val="28"/>
    <w:qFormat/>
    <w:uiPriority w:val="0"/>
    <w:rPr>
      <w:rFonts w:ascii="仿宋_GB2312" w:eastAsia="仿宋_GB2312"/>
      <w:kern w:val="2"/>
      <w:sz w:val="24"/>
      <w:szCs w:val="24"/>
    </w:rPr>
  </w:style>
  <w:style w:type="character" w:customStyle="1" w:styleId="72">
    <w:name w:val="批注框文本 字符"/>
    <w:link w:val="29"/>
    <w:qFormat/>
    <w:uiPriority w:val="0"/>
    <w:rPr>
      <w:kern w:val="2"/>
      <w:sz w:val="18"/>
      <w:szCs w:val="18"/>
    </w:rPr>
  </w:style>
  <w:style w:type="character" w:customStyle="1" w:styleId="73">
    <w:name w:val="页脚 字符1"/>
    <w:link w:val="30"/>
    <w:qFormat/>
    <w:uiPriority w:val="99"/>
    <w:rPr>
      <w:rFonts w:ascii="宋体" w:eastAsia="宋体"/>
      <w:sz w:val="18"/>
      <w:lang w:val="en-US" w:eastAsia="zh-CN" w:bidi="ar-SA"/>
    </w:rPr>
  </w:style>
  <w:style w:type="character" w:customStyle="1" w:styleId="74">
    <w:name w:val="页眉 字符1"/>
    <w:link w:val="31"/>
    <w:qFormat/>
    <w:uiPriority w:val="99"/>
    <w:rPr>
      <w:rFonts w:eastAsia="宋体"/>
      <w:kern w:val="2"/>
      <w:sz w:val="18"/>
      <w:szCs w:val="18"/>
      <w:lang w:val="en-US" w:eastAsia="zh-CN" w:bidi="ar-SA"/>
    </w:rPr>
  </w:style>
  <w:style w:type="character" w:customStyle="1" w:styleId="75">
    <w:name w:val="正文文本缩进 3 字符"/>
    <w:link w:val="35"/>
    <w:qFormat/>
    <w:uiPriority w:val="0"/>
    <w:rPr>
      <w:rFonts w:ascii="宋体"/>
      <w:sz w:val="24"/>
    </w:rPr>
  </w:style>
  <w:style w:type="character" w:customStyle="1" w:styleId="76">
    <w:name w:val="HTML 预设格式 字符1"/>
    <w:link w:val="38"/>
    <w:qFormat/>
    <w:uiPriority w:val="0"/>
    <w:rPr>
      <w:rFonts w:ascii="宋体" w:hAnsi="宋体" w:cs="宋体"/>
      <w:sz w:val="24"/>
      <w:szCs w:val="24"/>
    </w:rPr>
  </w:style>
  <w:style w:type="character" w:customStyle="1" w:styleId="77">
    <w:name w:val="标题 字符"/>
    <w:link w:val="41"/>
    <w:qFormat/>
    <w:uiPriority w:val="0"/>
    <w:rPr>
      <w:b/>
      <w:kern w:val="2"/>
      <w:sz w:val="32"/>
    </w:rPr>
  </w:style>
  <w:style w:type="character" w:customStyle="1" w:styleId="78">
    <w:name w:val="批注主题 字符1"/>
    <w:link w:val="42"/>
    <w:qFormat/>
    <w:uiPriority w:val="0"/>
    <w:rPr>
      <w:rFonts w:ascii="Times New Roman" w:hAnsi="Times New Roman" w:eastAsia="宋体" w:cs="Times New Roman"/>
      <w:b/>
      <w:bCs/>
      <w:kern w:val="2"/>
      <w:sz w:val="21"/>
      <w:szCs w:val="24"/>
      <w:lang w:val="en-US" w:eastAsia="zh-CN" w:bidi="ar-SA"/>
    </w:rPr>
  </w:style>
  <w:style w:type="character" w:customStyle="1" w:styleId="79">
    <w:name w:val="正文格式 Char"/>
    <w:link w:val="80"/>
    <w:qFormat/>
    <w:locked/>
    <w:uiPriority w:val="0"/>
    <w:rPr>
      <w:rFonts w:ascii="宋体" w:hAnsi="宋体"/>
      <w:sz w:val="24"/>
      <w:szCs w:val="24"/>
      <w:lang w:val="en-GB"/>
    </w:rPr>
  </w:style>
  <w:style w:type="paragraph" w:customStyle="1" w:styleId="80">
    <w:name w:val="正文格式"/>
    <w:basedOn w:val="1"/>
    <w:link w:val="79"/>
    <w:qFormat/>
    <w:uiPriority w:val="0"/>
    <w:pPr>
      <w:spacing w:before="156" w:beforeLines="50" w:line="360" w:lineRule="auto"/>
      <w:ind w:firstLine="480" w:firstLineChars="200"/>
    </w:pPr>
    <w:rPr>
      <w:rFonts w:ascii="宋体" w:hAnsi="宋体"/>
      <w:kern w:val="0"/>
      <w:sz w:val="24"/>
      <w:lang w:val="en-GB"/>
    </w:rPr>
  </w:style>
  <w:style w:type="character" w:customStyle="1" w:styleId="81">
    <w:name w:val="标题 2 Char Char"/>
    <w:qFormat/>
    <w:uiPriority w:val="0"/>
    <w:rPr>
      <w:rFonts w:ascii="Arial" w:hAnsi="Arial" w:eastAsia="黑体"/>
      <w:b/>
      <w:bCs/>
      <w:kern w:val="2"/>
      <w:sz w:val="32"/>
      <w:szCs w:val="32"/>
      <w:lang w:val="en-US" w:eastAsia="zh-CN" w:bidi="ar-SA"/>
    </w:rPr>
  </w:style>
  <w:style w:type="character" w:customStyle="1" w:styleId="82">
    <w:name w:val="正文文本首行缩进 2 字符"/>
    <w:uiPriority w:val="0"/>
  </w:style>
  <w:style w:type="character" w:customStyle="1" w:styleId="83">
    <w:name w:val="apple-style-span"/>
    <w:qFormat/>
    <w:uiPriority w:val="0"/>
    <w:rPr>
      <w:rFonts w:cs="Times New Roman"/>
    </w:rPr>
  </w:style>
  <w:style w:type="character" w:customStyle="1" w:styleId="84">
    <w:name w:val="正文文本缩进 Char1"/>
    <w:link w:val="85"/>
    <w:qFormat/>
    <w:uiPriority w:val="0"/>
    <w:rPr>
      <w:rFonts w:ascii="宋体" w:hAnsi="宋体" w:eastAsia="宋体"/>
      <w:sz w:val="24"/>
      <w:szCs w:val="24"/>
      <w:lang w:bidi="ar-SA"/>
    </w:rPr>
  </w:style>
  <w:style w:type="paragraph" w:customStyle="1" w:styleId="85">
    <w:name w:val="正文文本缩进1"/>
    <w:basedOn w:val="1"/>
    <w:link w:val="84"/>
    <w:qFormat/>
    <w:uiPriority w:val="0"/>
    <w:pPr>
      <w:spacing w:line="480" w:lineRule="exact"/>
      <w:ind w:firstLine="480" w:firstLineChars="200"/>
    </w:pPr>
    <w:rPr>
      <w:rFonts w:ascii="宋体" w:hAnsi="宋体"/>
      <w:kern w:val="0"/>
      <w:sz w:val="24"/>
    </w:rPr>
  </w:style>
  <w:style w:type="character" w:customStyle="1" w:styleId="86">
    <w:name w:val="正文大标题 Char"/>
    <w:link w:val="87"/>
    <w:qFormat/>
    <w:uiPriority w:val="0"/>
    <w:rPr>
      <w:rFonts w:ascii="宋体" w:hAnsi="宋体"/>
      <w:b/>
      <w:color w:val="000000"/>
      <w:kern w:val="2"/>
      <w:sz w:val="28"/>
      <w:szCs w:val="21"/>
    </w:rPr>
  </w:style>
  <w:style w:type="paragraph" w:customStyle="1" w:styleId="87">
    <w:name w:val="正文大标题"/>
    <w:basedOn w:val="88"/>
    <w:next w:val="4"/>
    <w:link w:val="86"/>
    <w:qFormat/>
    <w:uiPriority w:val="0"/>
    <w:pPr>
      <w:jc w:val="center"/>
    </w:pPr>
    <w:rPr>
      <w:i w:val="0"/>
      <w:color w:val="000000"/>
      <w:sz w:val="28"/>
      <w:szCs w:val="21"/>
    </w:rPr>
  </w:style>
  <w:style w:type="paragraph" w:customStyle="1" w:styleId="88">
    <w:name w:val="正文小标题"/>
    <w:basedOn w:val="1"/>
    <w:next w:val="4"/>
    <w:link w:val="89"/>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89">
    <w:name w:val="正文小标题 Char"/>
    <w:link w:val="88"/>
    <w:qFormat/>
    <w:uiPriority w:val="0"/>
    <w:rPr>
      <w:rFonts w:ascii="宋体" w:hAnsi="宋体"/>
      <w:b/>
      <w:i/>
      <w:color w:val="FF0000"/>
      <w:kern w:val="2"/>
      <w:sz w:val="24"/>
    </w:rPr>
  </w:style>
  <w:style w:type="character" w:customStyle="1" w:styleId="90">
    <w:name w:val="标题 7 字符"/>
    <w:uiPriority w:val="0"/>
    <w:rPr>
      <w:rFonts w:ascii="方正书宋_GBK" w:hAnsi="方正书宋_GBK" w:eastAsia="方正书宋_GBK" w:cs="方正书宋_GBK"/>
      <w:b/>
      <w:sz w:val="24"/>
      <w:szCs w:val="22"/>
      <w:lang w:eastAsia="en-US"/>
    </w:rPr>
  </w:style>
  <w:style w:type="character" w:customStyle="1" w:styleId="91">
    <w:name w:val="标题 1 字符"/>
    <w:uiPriority w:val="1"/>
    <w:rPr>
      <w:rFonts w:ascii="方正黑体_GBK" w:hAnsi="方正黑体_GBK" w:eastAsia="方正黑体_GBK" w:cs="方正黑体_GBK"/>
      <w:sz w:val="28"/>
      <w:szCs w:val="28"/>
      <w:lang w:eastAsia="en-US"/>
    </w:rPr>
  </w:style>
  <w:style w:type="character" w:customStyle="1" w:styleId="92">
    <w:name w:val="bjh-p"/>
    <w:qFormat/>
    <w:uiPriority w:val="0"/>
  </w:style>
  <w:style w:type="character" w:customStyle="1" w:styleId="93">
    <w:name w:val="text_f5gtg"/>
    <w:qFormat/>
    <w:uiPriority w:val="0"/>
  </w:style>
  <w:style w:type="character" w:customStyle="1" w:styleId="94">
    <w:name w:val="纯文本 字符"/>
    <w:qFormat/>
    <w:uiPriority w:val="99"/>
    <w:rPr>
      <w:rFonts w:ascii="宋体" w:hAnsi="Courier New" w:eastAsia="宋体" w:cs="Times New Roman"/>
      <w:kern w:val="2"/>
      <w:sz w:val="21"/>
      <w:szCs w:val="21"/>
      <w:lang w:val="en-US" w:eastAsia="zh-CN" w:bidi="ar-SA"/>
    </w:rPr>
  </w:style>
  <w:style w:type="character" w:customStyle="1" w:styleId="95">
    <w:name w:val="black1"/>
    <w:qFormat/>
    <w:uiPriority w:val="0"/>
    <w:rPr>
      <w:color w:val="000000"/>
    </w:rPr>
  </w:style>
  <w:style w:type="character" w:customStyle="1" w:styleId="96">
    <w:name w:val="标题 5 字符"/>
    <w:uiPriority w:val="0"/>
    <w:rPr>
      <w:rFonts w:ascii="方正书宋_GBK" w:hAnsi="方正书宋_GBK" w:eastAsia="方正书宋_GBK" w:cs="方正书宋_GBK"/>
      <w:b/>
      <w:sz w:val="28"/>
      <w:szCs w:val="22"/>
      <w:lang w:eastAsia="en-US"/>
    </w:rPr>
  </w:style>
  <w:style w:type="character" w:customStyle="1" w:styleId="97">
    <w:name w:val="正文文本缩进 字符"/>
    <w:semiHidden/>
    <w:uiPriority w:val="99"/>
    <w:rPr>
      <w:rFonts w:ascii="方正书宋_GBK" w:hAnsi="方正书宋_GBK" w:eastAsia="方正书宋_GBK" w:cs="方正书宋_GBK"/>
      <w:sz w:val="22"/>
      <w:szCs w:val="22"/>
      <w:lang w:eastAsia="en-US"/>
    </w:rPr>
  </w:style>
  <w:style w:type="character" w:customStyle="1" w:styleId="98">
    <w:name w:val="段1 Char"/>
    <w:qFormat/>
    <w:uiPriority w:val="0"/>
    <w:rPr>
      <w:rFonts w:ascii="宋体" w:eastAsia="宋体"/>
      <w:sz w:val="24"/>
      <w:lang w:val="en-US" w:eastAsia="zh-CN" w:bidi="ar-SA"/>
    </w:rPr>
  </w:style>
  <w:style w:type="character" w:customStyle="1" w:styleId="99">
    <w:name w:val="页脚 Char"/>
    <w:qFormat/>
    <w:uiPriority w:val="0"/>
    <w:rPr>
      <w:rFonts w:ascii="宋体" w:eastAsia="宋体"/>
      <w:sz w:val="18"/>
      <w:lang w:val="en-US" w:eastAsia="zh-CN" w:bidi="ar-SA"/>
    </w:rPr>
  </w:style>
  <w:style w:type="character" w:customStyle="1" w:styleId="100">
    <w:name w:val="chanpin拷贝"/>
    <w:qFormat/>
    <w:uiPriority w:val="0"/>
  </w:style>
  <w:style w:type="character" w:customStyle="1" w:styleId="101">
    <w:name w:val="列出段落 Char"/>
    <w:qFormat/>
    <w:uiPriority w:val="0"/>
    <w:rPr>
      <w:rFonts w:ascii="Calibri" w:hAnsi="Calibri" w:eastAsia="宋体"/>
      <w:kern w:val="2"/>
      <w:sz w:val="21"/>
      <w:szCs w:val="22"/>
      <w:lang w:val="en-US" w:eastAsia="zh-CN" w:bidi="ar-SA"/>
    </w:rPr>
  </w:style>
  <w:style w:type="character" w:customStyle="1" w:styleId="102">
    <w:name w:val="标题 2 字符"/>
    <w:uiPriority w:val="1"/>
    <w:rPr>
      <w:rFonts w:ascii="方正黑体_GBK" w:hAnsi="方正黑体_GBK" w:eastAsia="方正黑体_GBK" w:cs="方正黑体_GBK"/>
      <w:sz w:val="26"/>
      <w:szCs w:val="26"/>
      <w:lang w:eastAsia="en-US"/>
    </w:rPr>
  </w:style>
  <w:style w:type="character" w:customStyle="1" w:styleId="103">
    <w:name w:val="批注文字 Char2"/>
    <w:qFormat/>
    <w:uiPriority w:val="99"/>
    <w:rPr>
      <w:kern w:val="2"/>
      <w:sz w:val="21"/>
      <w:szCs w:val="24"/>
    </w:rPr>
  </w:style>
  <w:style w:type="character" w:customStyle="1" w:styleId="104">
    <w:name w:val="标题 4 字符"/>
    <w:uiPriority w:val="1"/>
    <w:rPr>
      <w:rFonts w:eastAsia="Times New Roman"/>
      <w:sz w:val="23"/>
      <w:szCs w:val="23"/>
      <w:lang w:eastAsia="en-US"/>
    </w:rPr>
  </w:style>
  <w:style w:type="character" w:customStyle="1" w:styleId="105">
    <w:name w:val="页眉 Char"/>
    <w:qFormat/>
    <w:uiPriority w:val="0"/>
    <w:rPr>
      <w:rFonts w:eastAsia="宋体"/>
      <w:kern w:val="2"/>
      <w:sz w:val="18"/>
      <w:szCs w:val="18"/>
      <w:lang w:val="en-US" w:eastAsia="zh-CN" w:bidi="ar-SA"/>
    </w:rPr>
  </w:style>
  <w:style w:type="character" w:customStyle="1" w:styleId="106">
    <w:name w:val="标题 2 Char"/>
    <w:qFormat/>
    <w:uiPriority w:val="0"/>
    <w:rPr>
      <w:rFonts w:ascii="Arial" w:hAnsi="Arial" w:eastAsia="黑体"/>
      <w:b/>
      <w:sz w:val="30"/>
      <w:lang w:val="en-US" w:eastAsia="zh-CN" w:bidi="ar-SA"/>
    </w:rPr>
  </w:style>
  <w:style w:type="character" w:customStyle="1" w:styleId="107">
    <w:name w:val="Char Char111"/>
    <w:qFormat/>
    <w:uiPriority w:val="0"/>
    <w:rPr>
      <w:rFonts w:ascii="宋体" w:eastAsia="宋体"/>
      <w:b/>
      <w:sz w:val="24"/>
      <w:u w:val="single"/>
      <w:lang w:val="en-US" w:eastAsia="zh-CN" w:bidi="ar-SA"/>
    </w:rPr>
  </w:style>
  <w:style w:type="character" w:customStyle="1" w:styleId="108">
    <w:name w:val="正文表格 Char"/>
    <w:link w:val="109"/>
    <w:qFormat/>
    <w:uiPriority w:val="0"/>
    <w:rPr>
      <w:rFonts w:ascii="宋体" w:hAnsi="宋体"/>
      <w:color w:val="000000"/>
      <w:kern w:val="2"/>
      <w:sz w:val="21"/>
      <w:szCs w:val="21"/>
    </w:rPr>
  </w:style>
  <w:style w:type="paragraph" w:customStyle="1" w:styleId="109">
    <w:name w:val="正文表格"/>
    <w:basedOn w:val="1"/>
    <w:link w:val="108"/>
    <w:qFormat/>
    <w:uiPriority w:val="0"/>
    <w:pPr>
      <w:adjustRightInd w:val="0"/>
      <w:snapToGrid w:val="0"/>
      <w:jc w:val="left"/>
    </w:pPr>
    <w:rPr>
      <w:rFonts w:ascii="宋体" w:hAnsi="宋体"/>
      <w:color w:val="000000"/>
      <w:szCs w:val="21"/>
    </w:rPr>
  </w:style>
  <w:style w:type="character" w:customStyle="1" w:styleId="110">
    <w:name w:val="标题 3 字符"/>
    <w:uiPriority w:val="1"/>
    <w:rPr>
      <w:rFonts w:ascii="方正小标宋_GBK" w:hAnsi="方正小标宋_GBK" w:eastAsia="方正小标宋_GBK" w:cs="方正小标宋_GBK"/>
      <w:sz w:val="24"/>
      <w:szCs w:val="24"/>
      <w:lang w:eastAsia="en-US"/>
    </w:rPr>
  </w:style>
  <w:style w:type="character" w:customStyle="1" w:styleId="111">
    <w:name w:val="标题 6 字符"/>
    <w:uiPriority w:val="0"/>
    <w:rPr>
      <w:rFonts w:ascii="Arial" w:hAnsi="Arial" w:eastAsia="黑体" w:cs="方正书宋_GBK"/>
      <w:b/>
      <w:sz w:val="24"/>
      <w:szCs w:val="22"/>
      <w:lang w:eastAsia="en-US"/>
    </w:rPr>
  </w:style>
  <w:style w:type="character" w:customStyle="1" w:styleId="112">
    <w:name w:val="标题 8 字符"/>
    <w:qFormat/>
    <w:uiPriority w:val="0"/>
    <w:rPr>
      <w:rFonts w:ascii="Arial" w:hAnsi="Arial" w:eastAsia="黑体" w:cs="方正书宋_GBK"/>
      <w:sz w:val="24"/>
      <w:szCs w:val="22"/>
      <w:lang w:eastAsia="en-US"/>
    </w:rPr>
  </w:style>
  <w:style w:type="character" w:customStyle="1" w:styleId="113">
    <w:name w:val="标题 9 字符"/>
    <w:uiPriority w:val="0"/>
    <w:rPr>
      <w:rFonts w:ascii="Arial" w:hAnsi="Arial" w:eastAsia="黑体" w:cs="方正书宋_GBK"/>
      <w:sz w:val="21"/>
      <w:szCs w:val="22"/>
      <w:lang w:eastAsia="en-US"/>
    </w:rPr>
  </w:style>
  <w:style w:type="character" w:customStyle="1" w:styleId="114">
    <w:name w:val="正文文本 字符"/>
    <w:uiPriority w:val="1"/>
    <w:rPr>
      <w:rFonts w:ascii="方正书宋_GBK" w:hAnsi="方正书宋_GBK" w:eastAsia="方正书宋_GBK" w:cs="方正书宋_GBK"/>
      <w:sz w:val="22"/>
      <w:szCs w:val="22"/>
      <w:lang w:eastAsia="en-US"/>
    </w:rPr>
  </w:style>
  <w:style w:type="character" w:customStyle="1" w:styleId="115">
    <w:name w:val="页脚 字符"/>
    <w:uiPriority w:val="99"/>
    <w:rPr>
      <w:rFonts w:ascii="方正书宋_GBK" w:hAnsi="方正书宋_GBK" w:eastAsia="方正书宋_GBK" w:cs="方正书宋_GBK"/>
      <w:sz w:val="18"/>
      <w:szCs w:val="18"/>
      <w:lang w:eastAsia="en-US"/>
    </w:rPr>
  </w:style>
  <w:style w:type="character" w:customStyle="1" w:styleId="116">
    <w:name w:val="页眉 字符"/>
    <w:uiPriority w:val="0"/>
    <w:rPr>
      <w:rFonts w:ascii="方正书宋_GBK" w:hAnsi="方正书宋_GBK" w:eastAsia="方正书宋_GBK" w:cs="方正书宋_GBK"/>
      <w:sz w:val="18"/>
      <w:szCs w:val="22"/>
      <w:lang w:eastAsia="en-US"/>
    </w:rPr>
  </w:style>
  <w:style w:type="character" w:customStyle="1" w:styleId="117">
    <w:name w:val="HTML 预设格式 字符"/>
    <w:uiPriority w:val="0"/>
    <w:rPr>
      <w:rFonts w:ascii="宋体" w:hAnsi="宋体"/>
      <w:sz w:val="24"/>
      <w:szCs w:val="24"/>
    </w:rPr>
  </w:style>
  <w:style w:type="character" w:customStyle="1" w:styleId="118">
    <w:name w:val="批注主题 字符"/>
    <w:qFormat/>
    <w:uiPriority w:val="0"/>
    <w:rPr>
      <w:rFonts w:ascii="方正书宋_GBK" w:hAnsi="方正书宋_GBK" w:eastAsia="方正书宋_GBK" w:cs="方正书宋_GBK"/>
      <w:b/>
      <w:bCs/>
      <w:sz w:val="22"/>
      <w:szCs w:val="22"/>
      <w:lang w:val="en-US" w:eastAsia="en-US" w:bidi="ar-SA"/>
    </w:rPr>
  </w:style>
  <w:style w:type="character" w:customStyle="1" w:styleId="119">
    <w:name w:val="批注文字 字符"/>
    <w:qFormat/>
    <w:uiPriority w:val="0"/>
    <w:rPr>
      <w:rFonts w:ascii="Times New Roman" w:hAnsi="Times New Roman" w:eastAsia="宋体" w:cs="Times New Roman"/>
      <w:sz w:val="24"/>
      <w:lang w:val="en-US" w:eastAsia="zh-CN" w:bidi="ar-SA"/>
    </w:rPr>
  </w:style>
  <w:style w:type="character" w:customStyle="1" w:styleId="120">
    <w:name w:val="c21"/>
    <w:qFormat/>
    <w:uiPriority w:val="0"/>
    <w:rPr>
      <w:rFonts w:hint="default" w:ascii="ˎ̥" w:hAnsi="ˎ̥"/>
      <w:color w:val="000000"/>
      <w:sz w:val="20"/>
      <w:szCs w:val="20"/>
      <w:u w:val="none"/>
    </w:rPr>
  </w:style>
  <w:style w:type="character" w:customStyle="1" w:styleId="121">
    <w:name w:val="title4"/>
    <w:qFormat/>
    <w:uiPriority w:val="0"/>
    <w:rPr>
      <w:b/>
      <w:bCs/>
      <w:color w:val="1D87B3"/>
      <w:sz w:val="15"/>
      <w:szCs w:val="15"/>
    </w:rPr>
  </w:style>
  <w:style w:type="character" w:customStyle="1" w:styleId="122">
    <w:name w:val="street-address"/>
    <w:qFormat/>
    <w:uiPriority w:val="0"/>
  </w:style>
  <w:style w:type="character" w:customStyle="1" w:styleId="123">
    <w:name w:val="locality"/>
    <w:qFormat/>
    <w:uiPriority w:val="0"/>
  </w:style>
  <w:style w:type="character" w:customStyle="1" w:styleId="124">
    <w:name w:val="Char Char11"/>
    <w:qFormat/>
    <w:uiPriority w:val="0"/>
    <w:rPr>
      <w:rFonts w:ascii="宋体" w:eastAsia="宋体"/>
      <w:b/>
      <w:sz w:val="24"/>
      <w:u w:val="single"/>
      <w:lang w:val="en-US" w:eastAsia="zh-CN" w:bidi="ar-SA"/>
    </w:rPr>
  </w:style>
  <w:style w:type="character" w:customStyle="1" w:styleId="125">
    <w:name w:val="txt"/>
    <w:qFormat/>
    <w:uiPriority w:val="0"/>
  </w:style>
  <w:style w:type="character" w:customStyle="1" w:styleId="126">
    <w:name w:val="标题 3 Char Char"/>
    <w:qFormat/>
    <w:uiPriority w:val="0"/>
    <w:rPr>
      <w:rFonts w:eastAsia="宋体"/>
      <w:b/>
      <w:bCs/>
      <w:kern w:val="2"/>
      <w:sz w:val="32"/>
      <w:szCs w:val="32"/>
      <w:lang w:val="en-US" w:eastAsia="zh-CN" w:bidi="ar-SA"/>
    </w:rPr>
  </w:style>
  <w:style w:type="character" w:customStyle="1" w:styleId="127">
    <w:name w:val="正文缩进 Char Char"/>
    <w:link w:val="128"/>
    <w:qFormat/>
    <w:uiPriority w:val="0"/>
    <w:rPr>
      <w:rFonts w:ascii="宋体" w:eastAsia="宋体"/>
      <w:snapToGrid w:val="0"/>
      <w:color w:val="000000"/>
      <w:kern w:val="28"/>
      <w:sz w:val="28"/>
      <w:lang w:bidi="ar-SA"/>
    </w:rPr>
  </w:style>
  <w:style w:type="paragraph" w:customStyle="1" w:styleId="128">
    <w:name w:val="正文缩进1"/>
    <w:basedOn w:val="1"/>
    <w:link w:val="12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29">
    <w:name w:val="普通文字1 Char1"/>
    <w:qFormat/>
    <w:uiPriority w:val="0"/>
    <w:rPr>
      <w:rFonts w:ascii="宋体" w:hAnsi="Courier New" w:eastAsia="宋体"/>
      <w:kern w:val="2"/>
      <w:sz w:val="21"/>
      <w:lang w:val="en-US" w:eastAsia="zh-CN" w:bidi="ar-SA"/>
    </w:rPr>
  </w:style>
  <w:style w:type="character" w:customStyle="1" w:styleId="130">
    <w:name w:val="chanpin1"/>
    <w:qFormat/>
    <w:uiPriority w:val="0"/>
    <w:rPr>
      <w:rFonts w:hint="default" w:ascii="ˎ̥" w:hAnsi="ˎ̥"/>
      <w:color w:val="000000"/>
      <w:sz w:val="20"/>
      <w:szCs w:val="20"/>
      <w:u w:val="none"/>
    </w:rPr>
  </w:style>
  <w:style w:type="character" w:customStyle="1" w:styleId="131">
    <w:name w:val="列表段落 字符"/>
    <w:link w:val="132"/>
    <w:qFormat/>
    <w:uiPriority w:val="34"/>
    <w:rPr>
      <w:rFonts w:ascii="Calibri" w:hAnsi="Calibri" w:eastAsia="宋体"/>
      <w:kern w:val="2"/>
      <w:sz w:val="21"/>
      <w:szCs w:val="22"/>
      <w:lang w:val="en-US" w:eastAsia="zh-CN" w:bidi="ar-SA"/>
    </w:rPr>
  </w:style>
  <w:style w:type="paragraph" w:styleId="132">
    <w:name w:val="List Paragraph"/>
    <w:basedOn w:val="1"/>
    <w:link w:val="131"/>
    <w:qFormat/>
    <w:uiPriority w:val="1"/>
    <w:pPr>
      <w:ind w:firstLine="420" w:firstLineChars="200"/>
    </w:pPr>
    <w:rPr>
      <w:rFonts w:ascii="Calibri" w:hAnsi="Calibri"/>
      <w:szCs w:val="22"/>
    </w:rPr>
  </w:style>
  <w:style w:type="character" w:customStyle="1" w:styleId="133">
    <w:name w:val="纯文本 Char1"/>
    <w:qFormat/>
    <w:uiPriority w:val="0"/>
    <w:rPr>
      <w:rFonts w:ascii="宋体" w:hAnsi="Courier New" w:eastAsia="宋体"/>
      <w:kern w:val="2"/>
      <w:sz w:val="21"/>
      <w:lang w:val="en-US" w:eastAsia="zh-CN" w:bidi="ar-SA"/>
    </w:rPr>
  </w:style>
  <w:style w:type="character" w:customStyle="1" w:styleId="134">
    <w:name w:val="中等深浅网格 1 - 强调文字颜色 2 Char"/>
    <w:link w:val="135"/>
    <w:qFormat/>
    <w:uiPriority w:val="0"/>
    <w:rPr>
      <w:kern w:val="2"/>
      <w:sz w:val="21"/>
      <w:szCs w:val="24"/>
      <w:lang w:val="zh-CN" w:eastAsia="zh-CN"/>
    </w:rPr>
  </w:style>
  <w:style w:type="paragraph" w:customStyle="1" w:styleId="135">
    <w:name w:val="1"/>
    <w:link w:val="134"/>
    <w:qFormat/>
    <w:uiPriority w:val="0"/>
    <w:rPr>
      <w:rFonts w:ascii="Times New Roman" w:hAnsi="Times New Roman" w:eastAsia="宋体" w:cs="Times New Roman"/>
      <w:kern w:val="2"/>
      <w:sz w:val="21"/>
      <w:szCs w:val="24"/>
      <w:lang w:val="zh-CN" w:eastAsia="zh-CN" w:bidi="ar-SA"/>
    </w:rPr>
  </w:style>
  <w:style w:type="character" w:customStyle="1" w:styleId="136">
    <w:name w:val="正文重点 Char"/>
    <w:link w:val="137"/>
    <w:qFormat/>
    <w:uiPriority w:val="0"/>
    <w:rPr>
      <w:b/>
      <w:sz w:val="24"/>
    </w:rPr>
  </w:style>
  <w:style w:type="paragraph" w:customStyle="1" w:styleId="137">
    <w:name w:val="正文重点"/>
    <w:basedOn w:val="1"/>
    <w:link w:val="136"/>
    <w:qFormat/>
    <w:uiPriority w:val="0"/>
    <w:pPr>
      <w:adjustRightInd w:val="0"/>
      <w:spacing w:line="360" w:lineRule="auto"/>
      <w:ind w:firstLine="482" w:firstLineChars="200"/>
      <w:jc w:val="left"/>
      <w:textAlignment w:val="baseline"/>
    </w:pPr>
    <w:rPr>
      <w:b/>
      <w:kern w:val="0"/>
      <w:sz w:val="24"/>
      <w:szCs w:val="20"/>
    </w:rPr>
  </w:style>
  <w:style w:type="character" w:customStyle="1" w:styleId="138">
    <w:name w:val="注释 Char"/>
    <w:link w:val="139"/>
    <w:qFormat/>
    <w:uiPriority w:val="0"/>
    <w:rPr>
      <w:rFonts w:ascii="宋体" w:hAnsi="宋体"/>
      <w:kern w:val="2"/>
      <w:sz w:val="21"/>
      <w:szCs w:val="21"/>
    </w:rPr>
  </w:style>
  <w:style w:type="paragraph" w:customStyle="1" w:styleId="139">
    <w:name w:val="注释"/>
    <w:basedOn w:val="1"/>
    <w:link w:val="138"/>
    <w:qFormat/>
    <w:uiPriority w:val="0"/>
    <w:pPr>
      <w:adjustRightInd w:val="0"/>
      <w:snapToGrid w:val="0"/>
      <w:ind w:left="420" w:hanging="420" w:hangingChars="200"/>
      <w:jc w:val="left"/>
    </w:pPr>
    <w:rPr>
      <w:rFonts w:ascii="宋体" w:hAnsi="宋体"/>
      <w:szCs w:val="21"/>
    </w:rPr>
  </w:style>
  <w:style w:type="character" w:customStyle="1" w:styleId="140">
    <w:name w:val="纯文本 字符1"/>
    <w:qFormat/>
    <w:uiPriority w:val="0"/>
    <w:rPr>
      <w:rFonts w:ascii="宋体" w:hAnsi="Courier New"/>
    </w:rPr>
  </w:style>
  <w:style w:type="character" w:customStyle="1" w:styleId="141">
    <w:name w:val="标题 3 Char"/>
    <w:qFormat/>
    <w:uiPriority w:val="0"/>
    <w:rPr>
      <w:rFonts w:ascii="宋体" w:eastAsia="宋体"/>
      <w:b/>
      <w:sz w:val="24"/>
      <w:u w:val="single"/>
      <w:lang w:val="en-US" w:eastAsia="zh-CN" w:bidi="ar-SA"/>
    </w:rPr>
  </w:style>
  <w:style w:type="character" w:customStyle="1" w:styleId="142">
    <w:name w:val="正文缩进 Char"/>
    <w:qFormat/>
    <w:uiPriority w:val="0"/>
    <w:rPr>
      <w:rFonts w:ascii="宋体" w:eastAsia="宋体"/>
      <w:kern w:val="2"/>
      <w:sz w:val="24"/>
      <w:szCs w:val="24"/>
      <w:lang w:val="en-US" w:eastAsia="zh-CN" w:bidi="ar-SA"/>
    </w:rPr>
  </w:style>
  <w:style w:type="character" w:customStyle="1" w:styleId="143">
    <w:name w:val="正文文本缩进 Char"/>
    <w:qFormat/>
    <w:uiPriority w:val="0"/>
    <w:rPr>
      <w:rFonts w:eastAsia="宋体"/>
      <w:kern w:val="2"/>
      <w:sz w:val="24"/>
      <w:szCs w:val="24"/>
      <w:lang w:val="en-US" w:eastAsia="zh-CN" w:bidi="ar-SA"/>
    </w:rPr>
  </w:style>
  <w:style w:type="character" w:customStyle="1" w:styleId="144">
    <w:name w:val="批注文字 Char"/>
    <w:qFormat/>
    <w:uiPriority w:val="99"/>
    <w:rPr>
      <w:kern w:val="2"/>
      <w:sz w:val="21"/>
      <w:szCs w:val="24"/>
    </w:rPr>
  </w:style>
  <w:style w:type="character" w:customStyle="1" w:styleId="145">
    <w:name w:val="标题 Char"/>
    <w:qFormat/>
    <w:uiPriority w:val="0"/>
    <w:rPr>
      <w:b/>
      <w:kern w:val="2"/>
      <w:sz w:val="32"/>
    </w:rPr>
  </w:style>
  <w:style w:type="paragraph" w:customStyle="1" w:styleId="146">
    <w:name w:val="font7"/>
    <w:basedOn w:val="1"/>
    <w:qFormat/>
    <w:uiPriority w:val="0"/>
    <w:pPr>
      <w:widowControl/>
      <w:spacing w:before="100" w:beforeLines="0" w:beforeAutospacing="1" w:after="100" w:afterLines="0" w:afterAutospacing="1"/>
      <w:jc w:val="left"/>
    </w:pPr>
    <w:rPr>
      <w:rFonts w:eastAsia="Arial Unicode MS"/>
      <w:b/>
      <w:bCs/>
      <w:color w:val="000000"/>
      <w:kern w:val="0"/>
      <w:sz w:val="20"/>
      <w:szCs w:val="20"/>
    </w:rPr>
  </w:style>
  <w:style w:type="paragraph" w:customStyle="1" w:styleId="14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textAlignment w:val="top"/>
    </w:pPr>
    <w:rPr>
      <w:rFonts w:eastAsia="Arial Unicode MS"/>
      <w:color w:val="000000"/>
      <w:kern w:val="0"/>
      <w:sz w:val="20"/>
      <w:szCs w:val="20"/>
    </w:rPr>
  </w:style>
  <w:style w:type="paragraph" w:customStyle="1" w:styleId="148">
    <w:name w:val="1 Char Char Char Char"/>
    <w:basedOn w:val="1"/>
    <w:qFormat/>
    <w:uiPriority w:val="0"/>
    <w:rPr>
      <w:rFonts w:ascii="Tahoma" w:hAnsi="Tahoma"/>
      <w:sz w:val="24"/>
      <w:szCs w:val="20"/>
    </w:rPr>
  </w:style>
  <w:style w:type="paragraph" w:customStyle="1" w:styleId="14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eastAsia="Arial Unicode MS"/>
      <w:color w:val="000000"/>
      <w:kern w:val="0"/>
      <w:sz w:val="20"/>
      <w:szCs w:val="20"/>
    </w:rPr>
  </w:style>
  <w:style w:type="paragraph" w:customStyle="1" w:styleId="15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51">
    <w:name w:val="Char Char1 Char Char Char Char Char Char1"/>
    <w:basedOn w:val="1"/>
    <w:qFormat/>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152">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Arial Unicode MS" w:hAnsi="Arial Unicode MS" w:eastAsia="Arial Unicode MS" w:cs="Arial Unicode MS"/>
      <w:b/>
      <w:bCs/>
      <w:color w:val="000000"/>
      <w:kern w:val="0"/>
      <w:sz w:val="32"/>
      <w:szCs w:val="32"/>
    </w:rPr>
  </w:style>
  <w:style w:type="paragraph" w:customStyle="1" w:styleId="153">
    <w:name w:val="Char Char1 Char Char Char Char Char Char"/>
    <w:basedOn w:val="1"/>
    <w:qFormat/>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154">
    <w:name w:val="图文"/>
    <w:basedOn w:val="1"/>
    <w:qFormat/>
    <w:uiPriority w:val="0"/>
    <w:pPr>
      <w:adjustRightInd w:val="0"/>
      <w:snapToGrid w:val="0"/>
      <w:spacing w:after="50" w:afterLines="0" w:line="360" w:lineRule="auto"/>
    </w:pPr>
    <w:rPr>
      <w:sz w:val="24"/>
    </w:rPr>
  </w:style>
  <w:style w:type="paragraph" w:customStyle="1" w:styleId="155">
    <w:name w:val="xl23"/>
    <w:basedOn w:val="1"/>
    <w:qFormat/>
    <w:uiPriority w:val="0"/>
    <w:pPr>
      <w:widowControl/>
      <w:spacing w:before="100" w:beforeLines="0" w:beforeAutospacing="1" w:after="100" w:afterLines="0" w:afterAutospacing="1" w:line="360" w:lineRule="auto"/>
      <w:textAlignment w:val="top"/>
    </w:pPr>
    <w:rPr>
      <w:kern w:val="0"/>
      <w:sz w:val="24"/>
      <w:szCs w:val="20"/>
    </w:rPr>
  </w:style>
  <w:style w:type="paragraph" w:customStyle="1" w:styleId="156">
    <w:name w:val="_Style 155"/>
    <w:unhideWhenUsed/>
    <w:qFormat/>
    <w:uiPriority w:val="99"/>
    <w:rPr>
      <w:rFonts w:ascii="方正书宋_GBK" w:hAnsi="方正书宋_GBK" w:eastAsia="方正书宋_GBK" w:cs="方正书宋_GBK"/>
      <w:sz w:val="22"/>
      <w:szCs w:val="22"/>
      <w:lang w:val="en-US" w:eastAsia="en-US" w:bidi="ar-SA"/>
    </w:rPr>
  </w:style>
  <w:style w:type="paragraph" w:customStyle="1" w:styleId="157">
    <w:name w:val="Char21"/>
    <w:basedOn w:val="1"/>
    <w:qFormat/>
    <w:uiPriority w:val="0"/>
    <w:rPr>
      <w:rFonts w:ascii="Tahoma" w:hAnsi="Tahoma"/>
      <w:sz w:val="24"/>
      <w:szCs w:val="20"/>
    </w:rPr>
  </w:style>
  <w:style w:type="paragraph" w:customStyle="1" w:styleId="158">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Arial Unicode MS" w:hAnsi="Arial Unicode MS" w:eastAsia="Arial Unicode MS" w:cs="Arial Unicode MS"/>
      <w:color w:val="000000"/>
      <w:kern w:val="0"/>
      <w:sz w:val="20"/>
      <w:szCs w:val="20"/>
    </w:rPr>
  </w:style>
  <w:style w:type="paragraph" w:customStyle="1" w:styleId="159">
    <w:name w:val="xl41"/>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jc w:val="center"/>
    </w:pPr>
    <w:rPr>
      <w:rFonts w:ascii="Arial Unicode MS" w:hAnsi="Arial Unicode MS" w:eastAsia="Arial Unicode MS" w:cs="Arial Unicode MS"/>
      <w:color w:val="000000"/>
      <w:kern w:val="0"/>
      <w:sz w:val="20"/>
      <w:szCs w:val="20"/>
    </w:rPr>
  </w:style>
  <w:style w:type="paragraph" w:customStyle="1" w:styleId="160">
    <w:name w:val="Char3 Char Char Char1"/>
    <w:basedOn w:val="1"/>
    <w:qFormat/>
    <w:uiPriority w:val="0"/>
    <w:rPr>
      <w:rFonts w:ascii="Tahoma" w:hAnsi="Tahoma"/>
      <w:sz w:val="24"/>
      <w:szCs w:val="20"/>
    </w:rPr>
  </w:style>
  <w:style w:type="paragraph" w:customStyle="1" w:styleId="161">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Arial Unicode MS" w:hAnsi="Arial Unicode MS" w:eastAsia="Arial Unicode MS" w:cs="Arial Unicode MS"/>
      <w:color w:val="000000"/>
      <w:kern w:val="0"/>
      <w:sz w:val="20"/>
      <w:szCs w:val="20"/>
    </w:rPr>
  </w:style>
  <w:style w:type="paragraph" w:customStyle="1" w:styleId="162">
    <w:name w:val="二级条标题"/>
    <w:basedOn w:val="163"/>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63">
    <w:name w:val="一级条标题"/>
    <w:basedOn w:val="164"/>
    <w:next w:val="1"/>
    <w:qFormat/>
    <w:uiPriority w:val="0"/>
    <w:pPr>
      <w:tabs>
        <w:tab w:val="left" w:pos="360"/>
        <w:tab w:val="left" w:pos="840"/>
      </w:tabs>
      <w:ind w:left="0" w:hanging="840"/>
      <w:outlineLvl w:val="1"/>
    </w:pPr>
  </w:style>
  <w:style w:type="paragraph" w:customStyle="1" w:styleId="164">
    <w:name w:val="章标题"/>
    <w:next w:val="1"/>
    <w:qFormat/>
    <w:uiPriority w:val="0"/>
    <w:pPr>
      <w:spacing w:before="156" w:beforeLines="50" w:after="156" w:afterLines="50" w:line="460" w:lineRule="exact"/>
      <w:jc w:val="both"/>
      <w:outlineLvl w:val="0"/>
    </w:pPr>
    <w:rPr>
      <w:rFonts w:ascii="黑体" w:hAnsi="Times New Roman" w:eastAsia="黑体" w:cs="Times New Roman"/>
      <w:b/>
      <w:sz w:val="28"/>
      <w:lang w:val="en-US" w:eastAsia="zh-CN" w:bidi="ar-SA"/>
    </w:rPr>
  </w:style>
  <w:style w:type="paragraph" w:customStyle="1" w:styleId="165">
    <w:name w:val="List Paragraph1"/>
    <w:basedOn w:val="1"/>
    <w:qFormat/>
    <w:uiPriority w:val="0"/>
    <w:pPr>
      <w:ind w:firstLine="420" w:firstLineChars="200"/>
    </w:pPr>
    <w:rPr>
      <w:rFonts w:ascii="Calibri" w:hAnsi="Calibri"/>
      <w:szCs w:val="22"/>
    </w:rPr>
  </w:style>
  <w:style w:type="paragraph" w:customStyle="1" w:styleId="166">
    <w:name w:val="正文文本样式 加粗"/>
    <w:basedOn w:val="167"/>
    <w:qFormat/>
    <w:uiPriority w:val="0"/>
    <w:rPr>
      <w:b/>
    </w:rPr>
  </w:style>
  <w:style w:type="paragraph" w:customStyle="1" w:styleId="167">
    <w:name w:val="正文文本样式"/>
    <w:basedOn w:val="1"/>
    <w:qFormat/>
    <w:uiPriority w:val="0"/>
    <w:pPr>
      <w:spacing w:line="360" w:lineRule="auto"/>
      <w:ind w:firstLine="482"/>
    </w:pPr>
    <w:rPr>
      <w:rFonts w:cs="宋体"/>
      <w:sz w:val="24"/>
      <w:szCs w:val="20"/>
    </w:rPr>
  </w:style>
  <w:style w:type="paragraph" w:customStyle="1" w:styleId="168">
    <w:name w:val="font9"/>
    <w:basedOn w:val="1"/>
    <w:qFormat/>
    <w:uiPriority w:val="0"/>
    <w:pPr>
      <w:widowControl/>
      <w:spacing w:before="100" w:beforeLines="0" w:beforeAutospacing="1" w:after="100" w:afterLines="0" w:afterAutospacing="1"/>
      <w:jc w:val="left"/>
    </w:pPr>
    <w:rPr>
      <w:rFonts w:hint="eastAsia" w:ascii="宋体" w:hAnsi="宋体" w:cs="Arial Unicode MS"/>
      <w:color w:val="000000"/>
      <w:kern w:val="0"/>
      <w:sz w:val="20"/>
      <w:szCs w:val="20"/>
    </w:rPr>
  </w:style>
  <w:style w:type="paragraph" w:customStyle="1" w:styleId="169">
    <w:name w:val="正文列项_字母"/>
    <w:basedOn w:val="1"/>
    <w:qFormat/>
    <w:uiPriority w:val="0"/>
    <w:pPr>
      <w:autoSpaceDE w:val="0"/>
      <w:autoSpaceDN w:val="0"/>
      <w:spacing w:line="460" w:lineRule="exact"/>
      <w:ind w:left="480" w:leftChars="300" w:hanging="180" w:hangingChars="180"/>
      <w:outlineLvl w:val="6"/>
    </w:pPr>
    <w:rPr>
      <w:rFonts w:ascii="宋体"/>
      <w:kern w:val="0"/>
      <w:sz w:val="28"/>
      <w:szCs w:val="20"/>
    </w:rPr>
  </w:style>
  <w:style w:type="paragraph" w:customStyle="1" w:styleId="170">
    <w:name w:val="样式 标题 1 + 四号 居中 段前: 12 磅 段后: 12 磅 行距: 单倍行距"/>
    <w:basedOn w:val="5"/>
    <w:qFormat/>
    <w:uiPriority w:val="0"/>
    <w:pPr>
      <w:tabs>
        <w:tab w:val="left" w:pos="425"/>
      </w:tabs>
      <w:adjustRightInd w:val="0"/>
      <w:spacing w:before="240" w:beforeLines="0" w:after="240" w:afterLines="0" w:line="240" w:lineRule="auto"/>
      <w:ind w:left="425" w:hanging="425"/>
      <w:jc w:val="center"/>
      <w:textAlignment w:val="baseline"/>
    </w:pPr>
    <w:rPr>
      <w:sz w:val="28"/>
      <w:szCs w:val="20"/>
    </w:rPr>
  </w:style>
  <w:style w:type="paragraph" w:customStyle="1" w:styleId="171">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17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Arial Unicode MS" w:hAnsi="Arial Unicode MS" w:eastAsia="Arial Unicode MS" w:cs="Arial Unicode MS"/>
      <w:b/>
      <w:bCs/>
      <w:color w:val="000000"/>
      <w:kern w:val="0"/>
      <w:sz w:val="20"/>
      <w:szCs w:val="20"/>
    </w:rPr>
  </w:style>
  <w:style w:type="paragraph" w:customStyle="1" w:styleId="173">
    <w:name w:val="Char1 Char Char Char1"/>
    <w:basedOn w:val="1"/>
    <w:qFormat/>
    <w:uiPriority w:val="0"/>
    <w:rPr>
      <w:rFonts w:ascii="Tahoma" w:hAnsi="Tahoma" w:cs="仿宋_GB2312"/>
      <w:sz w:val="24"/>
      <w:szCs w:val="28"/>
    </w:rPr>
  </w:style>
  <w:style w:type="paragraph" w:customStyle="1" w:styleId="174">
    <w:name w:val="xl44"/>
    <w:basedOn w:val="1"/>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jc w:val="left"/>
    </w:pPr>
    <w:rPr>
      <w:rFonts w:ascii="Arial Unicode MS" w:hAnsi="Arial Unicode MS" w:eastAsia="Arial Unicode MS" w:cs="Arial Unicode MS"/>
      <w:kern w:val="0"/>
      <w:sz w:val="24"/>
    </w:rPr>
  </w:style>
  <w:style w:type="paragraph" w:customStyle="1" w:styleId="175">
    <w:name w:val="Char"/>
    <w:basedOn w:val="1"/>
    <w:qFormat/>
    <w:uiPriority w:val="0"/>
    <w:pPr>
      <w:tabs>
        <w:tab w:val="left" w:pos="360"/>
      </w:tabs>
    </w:pPr>
    <w:rPr>
      <w:sz w:val="24"/>
    </w:rPr>
  </w:style>
  <w:style w:type="paragraph" w:customStyle="1" w:styleId="176">
    <w:name w:val="Char Char4"/>
    <w:basedOn w:val="1"/>
    <w:qFormat/>
    <w:uiPriority w:val="0"/>
    <w:pPr>
      <w:widowControl/>
      <w:spacing w:line="400" w:lineRule="exact"/>
      <w:jc w:val="center"/>
    </w:pPr>
  </w:style>
  <w:style w:type="paragraph" w:customStyle="1" w:styleId="177">
    <w:name w:val="Char Char1"/>
    <w:basedOn w:val="17"/>
    <w:qFormat/>
    <w:uiPriority w:val="0"/>
    <w:rPr>
      <w:rFonts w:ascii="Tahoma" w:hAnsi="Tahoma"/>
      <w:sz w:val="24"/>
    </w:rPr>
  </w:style>
  <w:style w:type="paragraph" w:customStyle="1" w:styleId="17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eastAsia="Arial Unicode MS"/>
      <w:color w:val="000000"/>
      <w:kern w:val="0"/>
      <w:sz w:val="22"/>
      <w:szCs w:val="22"/>
    </w:rPr>
  </w:style>
  <w:style w:type="paragraph" w:customStyle="1" w:styleId="17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kern w:val="0"/>
      <w:sz w:val="20"/>
      <w:szCs w:val="20"/>
    </w:rPr>
  </w:style>
  <w:style w:type="paragraph" w:customStyle="1" w:styleId="180">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181">
    <w:name w:val="_Style 160"/>
    <w:qFormat/>
    <w:uiPriority w:val="0"/>
    <w:rPr>
      <w:rFonts w:ascii="Times New Roman" w:hAnsi="Times New Roman" w:eastAsia="宋体" w:cs="Times New Roman"/>
      <w:kern w:val="2"/>
      <w:sz w:val="21"/>
      <w:szCs w:val="24"/>
      <w:lang w:val="en-US" w:eastAsia="zh-CN" w:bidi="ar-SA"/>
    </w:rPr>
  </w:style>
  <w:style w:type="paragraph" w:customStyle="1" w:styleId="182">
    <w:name w:val="font5"/>
    <w:basedOn w:val="1"/>
    <w:qFormat/>
    <w:uiPriority w:val="0"/>
    <w:pPr>
      <w:widowControl/>
      <w:spacing w:before="100" w:beforeLines="0" w:beforeAutospacing="1" w:after="100" w:afterLines="0" w:afterAutospacing="1"/>
      <w:jc w:val="left"/>
    </w:pPr>
    <w:rPr>
      <w:rFonts w:ascii="宋体" w:hAnsi="宋体" w:cs="宋体"/>
      <w:kern w:val="0"/>
      <w:sz w:val="18"/>
      <w:szCs w:val="18"/>
    </w:rPr>
  </w:style>
  <w:style w:type="paragraph" w:customStyle="1" w:styleId="183">
    <w:name w:val="标题1-附件"/>
    <w:basedOn w:val="5"/>
    <w:qFormat/>
    <w:uiPriority w:val="0"/>
    <w:pPr>
      <w:jc w:val="left"/>
    </w:pPr>
    <w:rPr>
      <w:sz w:val="24"/>
      <w:szCs w:val="24"/>
    </w:rPr>
  </w:style>
  <w:style w:type="paragraph" w:customStyle="1" w:styleId="184">
    <w:name w:val="三级条标题"/>
    <w:basedOn w:val="162"/>
    <w:next w:val="1"/>
    <w:qFormat/>
    <w:uiPriority w:val="0"/>
    <w:pPr>
      <w:numPr>
        <w:ilvl w:val="3"/>
      </w:numPr>
      <w:ind w:left="0" w:hanging="840"/>
      <w:outlineLvl w:val="3"/>
    </w:pPr>
  </w:style>
  <w:style w:type="paragraph" w:customStyle="1" w:styleId="185">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86">
    <w:name w:val="default"/>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87">
    <w:name w:val="font6"/>
    <w:basedOn w:val="1"/>
    <w:qFormat/>
    <w:uiPriority w:val="0"/>
    <w:pPr>
      <w:widowControl/>
      <w:spacing w:before="100" w:beforeLines="0" w:beforeAutospacing="1" w:after="100" w:afterLines="0" w:afterAutospacing="1"/>
      <w:jc w:val="left"/>
    </w:pPr>
    <w:rPr>
      <w:rFonts w:ascii="宋体" w:hAnsi="宋体" w:cs="宋体"/>
      <w:kern w:val="0"/>
      <w:sz w:val="20"/>
      <w:szCs w:val="20"/>
    </w:rPr>
  </w:style>
  <w:style w:type="paragraph" w:customStyle="1" w:styleId="188">
    <w:name w:val="Char3"/>
    <w:basedOn w:val="1"/>
    <w:qFormat/>
    <w:uiPriority w:val="0"/>
    <w:pPr>
      <w:tabs>
        <w:tab w:val="left" w:pos="360"/>
      </w:tabs>
    </w:pPr>
    <w:rPr>
      <w:sz w:val="24"/>
    </w:rPr>
  </w:style>
  <w:style w:type="paragraph" w:customStyle="1" w:styleId="189">
    <w:name w:val="列表段落2"/>
    <w:basedOn w:val="1"/>
    <w:qFormat/>
    <w:uiPriority w:val="34"/>
    <w:pPr>
      <w:ind w:firstLine="420" w:firstLineChars="200"/>
    </w:pPr>
  </w:style>
  <w:style w:type="paragraph" w:customStyle="1" w:styleId="190">
    <w:name w:val="xl35"/>
    <w:basedOn w:val="1"/>
    <w:qFormat/>
    <w:uiPriority w:val="0"/>
    <w:pPr>
      <w:widowControl/>
      <w:spacing w:before="100" w:beforeLines="0" w:beforeAutospacing="1" w:after="100" w:afterLines="0" w:afterAutospacing="1"/>
      <w:jc w:val="left"/>
    </w:pPr>
    <w:rPr>
      <w:rFonts w:ascii="Arial Unicode MS" w:hAnsi="Arial Unicode MS" w:eastAsia="Arial Unicode MS" w:cs="Arial Unicode MS"/>
      <w:color w:val="000000"/>
      <w:kern w:val="0"/>
      <w:sz w:val="20"/>
      <w:szCs w:val="20"/>
    </w:rPr>
  </w:style>
  <w:style w:type="paragraph" w:customStyle="1" w:styleId="191">
    <w:name w:val="Char22"/>
    <w:basedOn w:val="1"/>
    <w:qFormat/>
    <w:uiPriority w:val="0"/>
    <w:rPr>
      <w:rFonts w:ascii="Tahoma" w:hAnsi="Tahoma"/>
      <w:sz w:val="24"/>
      <w:szCs w:val="20"/>
    </w:rPr>
  </w:style>
  <w:style w:type="paragraph" w:customStyle="1" w:styleId="192">
    <w:name w:val="项目编号1"/>
    <w:basedOn w:val="1"/>
    <w:qFormat/>
    <w:uiPriority w:val="0"/>
    <w:pPr>
      <w:spacing w:before="100" w:beforeLines="0" w:beforeAutospacing="1" w:after="100" w:afterLines="0" w:afterAutospacing="1" w:line="360" w:lineRule="auto"/>
    </w:pPr>
    <w:rPr>
      <w:sz w:val="24"/>
    </w:rPr>
  </w:style>
  <w:style w:type="paragraph" w:customStyle="1" w:styleId="193">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194">
    <w:name w:val="字元 字元1"/>
    <w:basedOn w:val="1"/>
    <w:qFormat/>
    <w:uiPriority w:val="0"/>
    <w:rPr>
      <w:rFonts w:ascii="Tahoma" w:hAnsi="Tahoma"/>
      <w:sz w:val="24"/>
      <w:szCs w:val="20"/>
    </w:rPr>
  </w:style>
  <w:style w:type="paragraph" w:customStyle="1" w:styleId="195">
    <w:name w:val="正文 + 楷体_GB2312"/>
    <w:basedOn w:val="1"/>
    <w:qFormat/>
    <w:uiPriority w:val="0"/>
    <w:pPr>
      <w:widowControl/>
      <w:jc w:val="left"/>
    </w:pPr>
    <w:rPr>
      <w:rFonts w:ascii="楷体_GB2312" w:eastAsia="楷体_GB2312" w:cs="Arial"/>
      <w:kern w:val="0"/>
      <w:sz w:val="24"/>
    </w:rPr>
  </w:style>
  <w:style w:type="paragraph" w:customStyle="1" w:styleId="19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Arial Unicode MS" w:hAnsi="Arial Unicode MS" w:eastAsia="Arial Unicode MS" w:cs="Arial Unicode MS"/>
      <w:color w:val="000000"/>
      <w:kern w:val="0"/>
      <w:sz w:val="22"/>
      <w:szCs w:val="22"/>
    </w:rPr>
  </w:style>
  <w:style w:type="paragraph" w:customStyle="1" w:styleId="197">
    <w:name w:val="Char Char Char Char Char Char Char Char Char Char"/>
    <w:basedOn w:val="1"/>
    <w:qFormat/>
    <w:uiPriority w:val="0"/>
  </w:style>
  <w:style w:type="paragraph" w:customStyle="1" w:styleId="198">
    <w:name w:val="Char2"/>
    <w:basedOn w:val="1"/>
    <w:qFormat/>
    <w:uiPriority w:val="0"/>
    <w:rPr>
      <w:rFonts w:ascii="Tahoma" w:hAnsi="Tahoma"/>
      <w:sz w:val="24"/>
      <w:szCs w:val="20"/>
    </w:rPr>
  </w:style>
  <w:style w:type="paragraph" w:styleId="199">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Arial Unicode MS" w:hAnsi="Arial Unicode MS" w:eastAsia="Arial Unicode MS" w:cs="Arial Unicode MS"/>
      <w:color w:val="000000"/>
      <w:kern w:val="0"/>
      <w:sz w:val="20"/>
      <w:szCs w:val="20"/>
    </w:rPr>
  </w:style>
  <w:style w:type="paragraph" w:customStyle="1" w:styleId="201">
    <w:name w:val="Char2 Char Char Char Char Char Char"/>
    <w:basedOn w:val="1"/>
    <w:qFormat/>
    <w:uiPriority w:val="0"/>
    <w:pPr>
      <w:widowControl/>
      <w:spacing w:line="400" w:lineRule="exact"/>
      <w:jc w:val="center"/>
    </w:pPr>
  </w:style>
  <w:style w:type="paragraph" w:customStyle="1" w:styleId="202">
    <w:name w:val="表格文字"/>
    <w:basedOn w:val="3"/>
    <w:qFormat/>
    <w:uiPriority w:val="0"/>
    <w:pPr>
      <w:spacing w:before="20" w:beforeLines="0" w:after="20" w:afterLines="0" w:line="240" w:lineRule="auto"/>
      <w:ind w:firstLine="0"/>
    </w:pPr>
    <w:rPr>
      <w:rFonts w:ascii="Century Gothic" w:hAnsi="Century Gothic"/>
      <w:sz w:val="20"/>
      <w:szCs w:val="20"/>
    </w:rPr>
  </w:style>
  <w:style w:type="paragraph" w:customStyle="1" w:styleId="203">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textAlignment w:val="top"/>
    </w:pPr>
    <w:rPr>
      <w:rFonts w:ascii="Arial Unicode MS" w:hAnsi="Arial Unicode MS" w:eastAsia="Arial Unicode MS" w:cs="Arial Unicode MS"/>
      <w:color w:val="000000"/>
      <w:kern w:val="0"/>
      <w:sz w:val="20"/>
      <w:szCs w:val="20"/>
    </w:rPr>
  </w:style>
  <w:style w:type="paragraph" w:customStyle="1" w:styleId="204">
    <w:name w:val="Char1"/>
    <w:basedOn w:val="1"/>
    <w:qFormat/>
    <w:uiPriority w:val="0"/>
    <w:pPr>
      <w:tabs>
        <w:tab w:val="left" w:pos="360"/>
      </w:tabs>
    </w:pPr>
    <w:rPr>
      <w:sz w:val="24"/>
    </w:rPr>
  </w:style>
  <w:style w:type="paragraph" w:customStyle="1" w:styleId="205">
    <w:name w:val="四级条标题"/>
    <w:basedOn w:val="184"/>
    <w:next w:val="1"/>
    <w:qFormat/>
    <w:uiPriority w:val="0"/>
    <w:pPr>
      <w:ind w:left="0" w:hanging="840"/>
      <w:outlineLvl w:val="4"/>
    </w:pPr>
  </w:style>
  <w:style w:type="paragraph" w:customStyle="1" w:styleId="206">
    <w:name w:val="xl47"/>
    <w:basedOn w:val="1"/>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jc w:val="left"/>
    </w:pPr>
    <w:rPr>
      <w:rFonts w:ascii="Arial Unicode MS" w:hAnsi="Arial Unicode MS" w:eastAsia="Arial Unicode MS" w:cs="Arial Unicode MS"/>
      <w:b/>
      <w:bCs/>
      <w:color w:val="000000"/>
      <w:kern w:val="0"/>
      <w:sz w:val="20"/>
      <w:szCs w:val="20"/>
    </w:rPr>
  </w:style>
  <w:style w:type="paragraph" w:customStyle="1" w:styleId="207">
    <w:name w:val="字元 字元2"/>
    <w:basedOn w:val="1"/>
    <w:qFormat/>
    <w:uiPriority w:val="0"/>
    <w:rPr>
      <w:rFonts w:ascii="Tahoma" w:hAnsi="Tahoma"/>
      <w:sz w:val="24"/>
      <w:szCs w:val="20"/>
    </w:rPr>
  </w:style>
  <w:style w:type="paragraph" w:customStyle="1" w:styleId="208">
    <w:name w:val="项目编号3"/>
    <w:basedOn w:val="167"/>
    <w:qFormat/>
    <w:uiPriority w:val="0"/>
  </w:style>
  <w:style w:type="paragraph" w:customStyle="1" w:styleId="209">
    <w:name w:val="项目符号1"/>
    <w:basedOn w:val="167"/>
    <w:qFormat/>
    <w:uiPriority w:val="0"/>
    <w:pPr>
      <w:ind w:left="-25" w:firstLine="0"/>
    </w:pPr>
  </w:style>
  <w:style w:type="paragraph" w:customStyle="1" w:styleId="210">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211">
    <w:name w:val="Revision"/>
    <w:qFormat/>
    <w:uiPriority w:val="0"/>
    <w:rPr>
      <w:rFonts w:ascii="Times New Roman" w:hAnsi="Times New Roman" w:eastAsia="宋体" w:cs="Times New Roman"/>
      <w:kern w:val="2"/>
      <w:sz w:val="21"/>
      <w:szCs w:val="24"/>
      <w:lang w:val="en-US" w:eastAsia="zh-CN" w:bidi="ar-SA"/>
    </w:rPr>
  </w:style>
  <w:style w:type="paragraph" w:customStyle="1" w:styleId="212">
    <w:name w:val="正文须知-3级"/>
    <w:basedOn w:val="1"/>
    <w:qFormat/>
    <w:uiPriority w:val="0"/>
    <w:pPr>
      <w:adjustRightInd w:val="0"/>
      <w:snapToGrid w:val="0"/>
      <w:spacing w:line="300" w:lineRule="auto"/>
      <w:ind w:hanging="355" w:hangingChars="355"/>
    </w:pPr>
    <w:rPr>
      <w:rFonts w:ascii="宋体" w:hAnsi="Calibri"/>
      <w:sz w:val="24"/>
      <w:szCs w:val="21"/>
    </w:rPr>
  </w:style>
  <w:style w:type="paragraph" w:customStyle="1" w:styleId="213">
    <w:name w:val="图中文字"/>
    <w:basedOn w:val="1"/>
    <w:qFormat/>
    <w:uiPriority w:val="0"/>
    <w:pPr>
      <w:adjustRightInd w:val="0"/>
      <w:snapToGrid w:val="0"/>
      <w:spacing w:line="0" w:lineRule="atLeast"/>
      <w:jc w:val="center"/>
    </w:pPr>
    <w:rPr>
      <w:sz w:val="24"/>
      <w:szCs w:val="20"/>
    </w:rPr>
  </w:style>
  <w:style w:type="paragraph" w:customStyle="1" w:styleId="214">
    <w:name w:val="Char3 Char Char Char2"/>
    <w:basedOn w:val="1"/>
    <w:qFormat/>
    <w:uiPriority w:val="0"/>
    <w:rPr>
      <w:rFonts w:ascii="Tahoma" w:hAnsi="Tahoma"/>
      <w:sz w:val="24"/>
      <w:szCs w:val="20"/>
    </w:rPr>
  </w:style>
  <w:style w:type="paragraph" w:customStyle="1" w:styleId="215">
    <w:name w:val="xl46"/>
    <w:basedOn w:val="1"/>
    <w:qFormat/>
    <w:uiPriority w:val="0"/>
    <w:pPr>
      <w:widowControl/>
      <w:pBdr>
        <w:top w:val="single" w:color="auto" w:sz="4" w:space="0"/>
        <w:bottom w:val="single" w:color="auto" w:sz="4" w:space="0"/>
      </w:pBdr>
      <w:spacing w:before="100" w:beforeLines="0" w:beforeAutospacing="1" w:after="100" w:afterLines="0" w:afterAutospacing="1"/>
      <w:jc w:val="left"/>
    </w:pPr>
    <w:rPr>
      <w:rFonts w:ascii="Arial Unicode MS" w:hAnsi="Arial Unicode MS" w:eastAsia="Arial Unicode MS" w:cs="Arial Unicode MS"/>
      <w:b/>
      <w:bCs/>
      <w:color w:val="000000"/>
      <w:kern w:val="0"/>
      <w:sz w:val="20"/>
      <w:szCs w:val="20"/>
    </w:rPr>
  </w:style>
  <w:style w:type="paragraph" w:customStyle="1" w:styleId="216">
    <w:name w:val="background1"/>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217">
    <w:name w:val="xl36"/>
    <w:basedOn w:val="1"/>
    <w:qFormat/>
    <w:uiPriority w:val="0"/>
    <w:pPr>
      <w:widowControl/>
      <w:spacing w:before="100" w:beforeLines="0" w:beforeAutospacing="1" w:after="100" w:afterLines="0" w:afterAutospacing="1"/>
      <w:jc w:val="center"/>
    </w:pPr>
    <w:rPr>
      <w:rFonts w:ascii="Arial Unicode MS" w:hAnsi="Arial Unicode MS" w:eastAsia="Arial Unicode MS" w:cs="Arial Unicode MS"/>
      <w:color w:val="000000"/>
      <w:kern w:val="0"/>
      <w:sz w:val="20"/>
      <w:szCs w:val="20"/>
    </w:rPr>
  </w:style>
  <w:style w:type="paragraph" w:customStyle="1" w:styleId="218">
    <w:name w:val="列出段落2"/>
    <w:basedOn w:val="1"/>
    <w:qFormat/>
    <w:uiPriority w:val="0"/>
    <w:pPr>
      <w:ind w:firstLine="420" w:firstLineChars="200"/>
    </w:pPr>
    <w:rPr>
      <w:rFonts w:ascii="Calibri" w:hAnsi="Calibri"/>
      <w:szCs w:val="22"/>
    </w:rPr>
  </w:style>
  <w:style w:type="paragraph" w:customStyle="1" w:styleId="219">
    <w:name w:val="缺省文本"/>
    <w:basedOn w:val="1"/>
    <w:qFormat/>
    <w:uiPriority w:val="0"/>
    <w:pPr>
      <w:autoSpaceDE w:val="0"/>
      <w:autoSpaceDN w:val="0"/>
      <w:adjustRightInd w:val="0"/>
      <w:jc w:val="left"/>
    </w:pPr>
    <w:rPr>
      <w:kern w:val="0"/>
      <w:sz w:val="24"/>
    </w:rPr>
  </w:style>
  <w:style w:type="paragraph" w:customStyle="1" w:styleId="220">
    <w:name w:val="五级条标题"/>
    <w:basedOn w:val="205"/>
    <w:next w:val="1"/>
    <w:qFormat/>
    <w:uiPriority w:val="0"/>
    <w:pPr>
      <w:ind w:left="0" w:hanging="840"/>
      <w:outlineLvl w:val="5"/>
    </w:pPr>
  </w:style>
  <w:style w:type="paragraph" w:customStyle="1" w:styleId="221">
    <w:name w:val="正文列项_数字"/>
    <w:basedOn w:val="1"/>
    <w:qFormat/>
    <w:uiPriority w:val="0"/>
    <w:pPr>
      <w:autoSpaceDE w:val="0"/>
      <w:autoSpaceDN w:val="0"/>
      <w:spacing w:line="460" w:lineRule="exact"/>
      <w:ind w:left="680" w:leftChars="530" w:hanging="150" w:hangingChars="150"/>
      <w:outlineLvl w:val="7"/>
    </w:pPr>
    <w:rPr>
      <w:rFonts w:ascii="宋体"/>
      <w:kern w:val="0"/>
      <w:sz w:val="28"/>
      <w:szCs w:val="20"/>
    </w:rPr>
  </w:style>
  <w:style w:type="paragraph" w:customStyle="1" w:styleId="222">
    <w:name w:val="表格1"/>
    <w:basedOn w:val="1"/>
    <w:qFormat/>
    <w:uiPriority w:val="0"/>
    <w:pPr>
      <w:ind w:firstLine="480" w:firstLineChars="200"/>
      <w:jc w:val="center"/>
    </w:pPr>
    <w:rPr>
      <w:sz w:val="24"/>
      <w:szCs w:val="20"/>
    </w:rPr>
  </w:style>
  <w:style w:type="paragraph" w:customStyle="1" w:styleId="22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24">
    <w:name w:val="默认段落字体 Para Char Char Char Char"/>
    <w:basedOn w:val="1"/>
    <w:qFormat/>
    <w:uiPriority w:val="0"/>
    <w:rPr>
      <w:rFonts w:ascii="Arial" w:hAnsi="Arial" w:cs="Arial"/>
      <w:szCs w:val="21"/>
    </w:rPr>
  </w:style>
  <w:style w:type="paragraph" w:customStyle="1" w:styleId="225">
    <w:name w:val="Char Char Char Char Char Char Char Char Char Char2"/>
    <w:basedOn w:val="1"/>
    <w:qFormat/>
    <w:uiPriority w:val="0"/>
    <w:rPr>
      <w:rFonts w:ascii="宋体" w:hAnsi="宋体" w:cs="Courier New"/>
      <w:sz w:val="32"/>
      <w:szCs w:val="32"/>
    </w:rPr>
  </w:style>
  <w:style w:type="paragraph" w:customStyle="1" w:styleId="226">
    <w:name w:val="Char3 Char Char Char"/>
    <w:basedOn w:val="1"/>
    <w:qFormat/>
    <w:uiPriority w:val="0"/>
    <w:rPr>
      <w:rFonts w:ascii="Tahoma" w:hAnsi="Tahoma"/>
      <w:sz w:val="24"/>
      <w:szCs w:val="20"/>
    </w:rPr>
  </w:style>
  <w:style w:type="paragraph" w:customStyle="1" w:styleId="227">
    <w:name w:val="xl45"/>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jc w:val="left"/>
    </w:pPr>
    <w:rPr>
      <w:rFonts w:ascii="Arial Unicode MS" w:hAnsi="Arial Unicode MS" w:eastAsia="Arial Unicode MS" w:cs="Arial Unicode MS"/>
      <w:b/>
      <w:bCs/>
      <w:color w:val="000000"/>
      <w:kern w:val="0"/>
      <w:sz w:val="20"/>
      <w:szCs w:val="20"/>
    </w:rPr>
  </w:style>
  <w:style w:type="paragraph" w:customStyle="1" w:styleId="228">
    <w:name w:val="font8"/>
    <w:basedOn w:val="1"/>
    <w:qFormat/>
    <w:uiPriority w:val="0"/>
    <w:pPr>
      <w:widowControl/>
      <w:spacing w:before="100" w:beforeLines="0" w:beforeAutospacing="1" w:after="100" w:afterLines="0" w:afterAutospacing="1"/>
      <w:jc w:val="left"/>
    </w:pPr>
    <w:rPr>
      <w:kern w:val="0"/>
      <w:sz w:val="36"/>
      <w:szCs w:val="36"/>
    </w:rPr>
  </w:style>
  <w:style w:type="paragraph" w:customStyle="1" w:styleId="229">
    <w:name w:val="Char Char Char1 Char"/>
    <w:basedOn w:val="1"/>
    <w:qFormat/>
    <w:uiPriority w:val="0"/>
    <w:rPr>
      <w:rFonts w:ascii="Tahoma" w:hAnsi="Tahoma"/>
      <w:sz w:val="24"/>
      <w:szCs w:val="20"/>
    </w:rPr>
  </w:style>
  <w:style w:type="paragraph" w:customStyle="1" w:styleId="230">
    <w:name w:val="Char Char41"/>
    <w:basedOn w:val="1"/>
    <w:qFormat/>
    <w:uiPriority w:val="0"/>
    <w:pPr>
      <w:widowControl/>
      <w:spacing w:line="400" w:lineRule="exact"/>
      <w:jc w:val="center"/>
    </w:pPr>
  </w:style>
  <w:style w:type="paragraph" w:customStyle="1" w:styleId="231">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23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Arial Unicode MS" w:hAnsi="Arial Unicode MS" w:eastAsia="Arial Unicode MS" w:cs="Arial Unicode MS"/>
      <w:b/>
      <w:bCs/>
      <w:color w:val="000000"/>
      <w:kern w:val="0"/>
      <w:sz w:val="22"/>
      <w:szCs w:val="22"/>
    </w:rPr>
  </w:style>
  <w:style w:type="paragraph" w:customStyle="1" w:styleId="233">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234">
    <w:name w:val="图例"/>
    <w:basedOn w:val="1"/>
    <w:qFormat/>
    <w:uiPriority w:val="0"/>
    <w:pPr>
      <w:spacing w:before="120" w:beforeLines="0" w:after="120" w:afterLines="0" w:line="360" w:lineRule="auto"/>
      <w:jc w:val="center"/>
    </w:pPr>
    <w:rPr>
      <w:rFonts w:eastAsia="仿宋_GB2312"/>
      <w:b/>
      <w:sz w:val="24"/>
      <w:szCs w:val="20"/>
    </w:rPr>
  </w:style>
  <w:style w:type="paragraph" w:customStyle="1" w:styleId="23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Arial Unicode MS" w:hAnsi="Arial Unicode MS" w:eastAsia="Arial Unicode MS" w:cs="Arial Unicode MS"/>
      <w:color w:val="000000"/>
      <w:kern w:val="0"/>
      <w:sz w:val="16"/>
      <w:szCs w:val="16"/>
    </w:rPr>
  </w:style>
  <w:style w:type="paragraph" w:customStyle="1" w:styleId="236">
    <w:name w:val="Char Char1 Char Char Char Char Char Char Char Char"/>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237">
    <w:name w:val="字元 字元"/>
    <w:basedOn w:val="1"/>
    <w:qFormat/>
    <w:uiPriority w:val="0"/>
    <w:rPr>
      <w:rFonts w:ascii="Tahoma" w:hAnsi="Tahoma"/>
      <w:sz w:val="24"/>
      <w:szCs w:val="20"/>
    </w:rPr>
  </w:style>
  <w:style w:type="paragraph" w:customStyle="1" w:styleId="238">
    <w:name w:val="xl43"/>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jc w:val="left"/>
    </w:pPr>
    <w:rPr>
      <w:rFonts w:ascii="Arial Unicode MS" w:hAnsi="Arial Unicode MS" w:eastAsia="Arial Unicode MS" w:cs="Arial Unicode MS"/>
      <w:color w:val="000000"/>
      <w:kern w:val="0"/>
      <w:sz w:val="20"/>
      <w:szCs w:val="20"/>
    </w:rPr>
  </w:style>
  <w:style w:type="paragraph" w:customStyle="1" w:styleId="23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40">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24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textAlignment w:val="top"/>
    </w:pPr>
    <w:rPr>
      <w:rFonts w:ascii="Arial Unicode MS" w:hAnsi="Arial Unicode MS" w:eastAsia="Arial Unicode MS" w:cs="Arial Unicode MS"/>
      <w:b/>
      <w:bCs/>
      <w:color w:val="000000"/>
      <w:kern w:val="0"/>
      <w:sz w:val="20"/>
      <w:szCs w:val="20"/>
    </w:rPr>
  </w:style>
  <w:style w:type="paragraph" w:customStyle="1" w:styleId="242">
    <w:name w:val="1名"/>
    <w:basedOn w:val="1"/>
    <w:qFormat/>
    <w:uiPriority w:val="0"/>
    <w:pPr>
      <w:tabs>
        <w:tab w:val="left" w:pos="360"/>
      </w:tabs>
      <w:spacing w:before="120" w:beforeLines="0"/>
    </w:pPr>
    <w:rPr>
      <w:rFonts w:ascii="宋体"/>
      <w:sz w:val="28"/>
      <w:szCs w:val="20"/>
    </w:rPr>
  </w:style>
  <w:style w:type="paragraph" w:customStyle="1" w:styleId="24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Arial Unicode MS" w:hAnsi="Arial Unicode MS" w:eastAsia="Arial Unicode MS" w:cs="Arial Unicode MS"/>
      <w:color w:val="000000"/>
      <w:kern w:val="0"/>
      <w:sz w:val="20"/>
      <w:szCs w:val="20"/>
    </w:rPr>
  </w:style>
  <w:style w:type="paragraph" w:customStyle="1" w:styleId="244">
    <w:name w:val="Char Char Char"/>
    <w:basedOn w:val="1"/>
    <w:qFormat/>
    <w:uiPriority w:val="0"/>
    <w:rPr>
      <w:rFonts w:ascii="Tahoma" w:hAnsi="Tahoma"/>
      <w:sz w:val="24"/>
      <w:szCs w:val="20"/>
    </w:rPr>
  </w:style>
  <w:style w:type="paragraph" w:customStyle="1" w:styleId="245">
    <w:name w:val="项目编号2"/>
    <w:basedOn w:val="192"/>
    <w:qFormat/>
    <w:uiPriority w:val="0"/>
  </w:style>
  <w:style w:type="paragraph" w:customStyle="1" w:styleId="246">
    <w:name w:val="Char2 Char Char Char Char Char Char1"/>
    <w:basedOn w:val="1"/>
    <w:qFormat/>
    <w:uiPriority w:val="0"/>
    <w:pPr>
      <w:widowControl/>
      <w:spacing w:line="400" w:lineRule="exact"/>
      <w:jc w:val="center"/>
    </w:pPr>
  </w:style>
  <w:style w:type="paragraph" w:customStyle="1" w:styleId="247">
    <w:name w:val="Char Char Char1 Char1"/>
    <w:basedOn w:val="1"/>
    <w:qFormat/>
    <w:uiPriority w:val="0"/>
    <w:rPr>
      <w:rFonts w:ascii="Tahoma" w:hAnsi="Tahoma"/>
      <w:sz w:val="24"/>
      <w:szCs w:val="20"/>
    </w:rPr>
  </w:style>
  <w:style w:type="paragraph" w:customStyle="1" w:styleId="248">
    <w:name w:val="Char Char Char2"/>
    <w:basedOn w:val="1"/>
    <w:qFormat/>
    <w:uiPriority w:val="0"/>
    <w:rPr>
      <w:rFonts w:ascii="Tahoma" w:hAnsi="Tahoma"/>
      <w:sz w:val="24"/>
      <w:szCs w:val="20"/>
    </w:rPr>
  </w:style>
  <w:style w:type="paragraph" w:customStyle="1" w:styleId="249">
    <w:name w:val="样式2"/>
    <w:basedOn w:val="40"/>
    <w:qFormat/>
    <w:uiPriority w:val="0"/>
    <w:pPr>
      <w:spacing w:line="360" w:lineRule="auto"/>
      <w:jc w:val="center"/>
    </w:pPr>
    <w:rPr>
      <w:sz w:val="24"/>
    </w:rPr>
  </w:style>
  <w:style w:type="paragraph" w:customStyle="1" w:styleId="250">
    <w:name w:val="文档正文"/>
    <w:basedOn w:val="1"/>
    <w:qFormat/>
    <w:uiPriority w:val="0"/>
    <w:pPr>
      <w:snapToGrid w:val="0"/>
      <w:spacing w:before="120" w:beforeLines="0" w:after="120" w:afterLines="0" w:line="180" w:lineRule="auto"/>
    </w:pPr>
    <w:rPr>
      <w:rFonts w:ascii="Arial" w:hAnsi="Arial"/>
      <w:szCs w:val="20"/>
    </w:rPr>
  </w:style>
  <w:style w:type="paragraph" w:customStyle="1" w:styleId="251">
    <w:name w:val="Char Char Char1"/>
    <w:basedOn w:val="1"/>
    <w:qFormat/>
    <w:uiPriority w:val="0"/>
    <w:rPr>
      <w:rFonts w:ascii="Tahoma" w:hAnsi="Tahoma"/>
      <w:sz w:val="24"/>
      <w:szCs w:val="20"/>
    </w:rPr>
  </w:style>
  <w:style w:type="paragraph" w:customStyle="1" w:styleId="252">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3">
    <w:name w:val="正文须知-1级"/>
    <w:basedOn w:val="1"/>
    <w:next w:val="1"/>
    <w:qFormat/>
    <w:uiPriority w:val="0"/>
    <w:pPr>
      <w:adjustRightInd w:val="0"/>
      <w:snapToGrid w:val="0"/>
      <w:spacing w:line="300" w:lineRule="auto"/>
    </w:pPr>
    <w:rPr>
      <w:rFonts w:ascii="宋体" w:hAnsi="Calibri"/>
      <w:sz w:val="24"/>
      <w:szCs w:val="21"/>
    </w:rPr>
  </w:style>
  <w:style w:type="paragraph" w:customStyle="1" w:styleId="25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textAlignment w:val="top"/>
    </w:pPr>
    <w:rPr>
      <w:rFonts w:ascii="Arial Unicode MS" w:hAnsi="Arial Unicode MS" w:eastAsia="Arial Unicode MS" w:cs="Arial Unicode MS"/>
      <w:b/>
      <w:bCs/>
      <w:color w:val="000000"/>
      <w:kern w:val="0"/>
      <w:sz w:val="16"/>
      <w:szCs w:val="16"/>
    </w:rPr>
  </w:style>
  <w:style w:type="paragraph" w:customStyle="1" w:styleId="255">
    <w:name w:val="xl37"/>
    <w:basedOn w:val="1"/>
    <w:qFormat/>
    <w:uiPriority w:val="0"/>
    <w:pPr>
      <w:widowControl/>
      <w:spacing w:before="100" w:beforeLines="0" w:beforeAutospacing="1" w:after="100" w:afterLines="0" w:afterAutospacing="1"/>
      <w:jc w:val="left"/>
    </w:pPr>
    <w:rPr>
      <w:rFonts w:ascii="Arial Unicode MS" w:hAnsi="Arial Unicode MS" w:eastAsia="Arial Unicode MS" w:cs="Arial Unicode MS"/>
      <w:color w:val="000000"/>
      <w:kern w:val="0"/>
      <w:sz w:val="20"/>
      <w:szCs w:val="20"/>
    </w:rPr>
  </w:style>
  <w:style w:type="paragraph" w:customStyle="1" w:styleId="256">
    <w:name w:val="Char Char Char Char Char Char Char Char Char Char1"/>
    <w:basedOn w:val="1"/>
    <w:qFormat/>
    <w:uiPriority w:val="0"/>
    <w:rPr>
      <w:rFonts w:ascii="宋体" w:hAnsi="宋体" w:cs="Courier New"/>
      <w:sz w:val="32"/>
      <w:szCs w:val="32"/>
    </w:rPr>
  </w:style>
  <w:style w:type="paragraph" w:customStyle="1" w:styleId="257">
    <w:name w:val="Char Char Char Char Char Char Char Char Char Char Char Char Char Char Char Char"/>
    <w:basedOn w:val="1"/>
    <w:qFormat/>
    <w:uiPriority w:val="0"/>
    <w:pPr>
      <w:widowControl/>
      <w:spacing w:after="160" w:afterLines="0" w:line="240" w:lineRule="exact"/>
      <w:jc w:val="center"/>
    </w:pPr>
    <w:rPr>
      <w:rFonts w:ascii="宋体" w:hAnsi="宋体"/>
      <w:b/>
      <w:kern w:val="0"/>
      <w:sz w:val="30"/>
      <w:szCs w:val="30"/>
      <w:lang w:eastAsia="en-US"/>
    </w:rPr>
  </w:style>
  <w:style w:type="paragraph" w:customStyle="1" w:styleId="258">
    <w:name w:val="样式 标题 2 + 宋体 五号 行距: 单倍行距"/>
    <w:basedOn w:val="6"/>
    <w:qFormat/>
    <w:uiPriority w:val="0"/>
    <w:pPr>
      <w:tabs>
        <w:tab w:val="left" w:pos="1188"/>
      </w:tabs>
      <w:autoSpaceDE/>
      <w:autoSpaceDN/>
      <w:spacing w:before="260" w:beforeLines="0" w:after="260" w:afterLines="0" w:line="240" w:lineRule="auto"/>
      <w:jc w:val="left"/>
      <w:textAlignment w:val="baseline"/>
    </w:pPr>
    <w:rPr>
      <w:rFonts w:ascii="宋体" w:hAnsi="宋体" w:eastAsia="宋体"/>
      <w:bCs/>
      <w:sz w:val="21"/>
    </w:rPr>
  </w:style>
  <w:style w:type="paragraph" w:customStyle="1" w:styleId="259">
    <w:name w:val="列出段落1"/>
    <w:basedOn w:val="1"/>
    <w:qFormat/>
    <w:uiPriority w:val="0"/>
    <w:pPr>
      <w:ind w:firstLine="420" w:firstLineChars="200"/>
    </w:pPr>
    <w:rPr>
      <w:rFonts w:ascii="Calibri" w:hAnsi="Calibri"/>
      <w:szCs w:val="22"/>
    </w:rPr>
  </w:style>
  <w:style w:type="paragraph" w:customStyle="1" w:styleId="26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eastAsia="Arial Unicode MS"/>
      <w:color w:val="000000"/>
      <w:kern w:val="0"/>
      <w:sz w:val="20"/>
      <w:szCs w:val="20"/>
    </w:rPr>
  </w:style>
  <w:style w:type="paragraph" w:customStyle="1" w:styleId="26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eastAsia="Arial Unicode MS"/>
      <w:b/>
      <w:bCs/>
      <w:color w:val="000000"/>
      <w:kern w:val="0"/>
      <w:sz w:val="20"/>
      <w:szCs w:val="20"/>
    </w:rPr>
  </w:style>
  <w:style w:type="paragraph" w:customStyle="1" w:styleId="262">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63">
    <w:name w:val="Char Char Char1 Char2"/>
    <w:basedOn w:val="1"/>
    <w:qFormat/>
    <w:uiPriority w:val="0"/>
    <w:rPr>
      <w:rFonts w:ascii="Tahoma" w:hAnsi="Tahoma"/>
      <w:sz w:val="24"/>
      <w:szCs w:val="20"/>
    </w:rPr>
  </w:style>
  <w:style w:type="paragraph" w:customStyle="1" w:styleId="264">
    <w:name w:val="正文须知-2级"/>
    <w:basedOn w:val="1"/>
    <w:qFormat/>
    <w:uiPriority w:val="0"/>
    <w:pPr>
      <w:adjustRightInd w:val="0"/>
      <w:snapToGrid w:val="0"/>
      <w:spacing w:line="300" w:lineRule="auto"/>
    </w:pPr>
    <w:rPr>
      <w:rFonts w:ascii="宋体" w:hAnsi="Calibri"/>
      <w:sz w:val="24"/>
      <w:szCs w:val="21"/>
    </w:rPr>
  </w:style>
  <w:style w:type="paragraph" w:customStyle="1" w:styleId="26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color w:val="FF6600"/>
      <w:kern w:val="0"/>
      <w:sz w:val="20"/>
      <w:szCs w:val="20"/>
    </w:rPr>
  </w:style>
  <w:style w:type="paragraph" w:customStyle="1" w:styleId="266">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67">
    <w:name w:val="Char Char Char Char Char Char Char Char Char Char Char Char Char Char Char Char1"/>
    <w:basedOn w:val="1"/>
    <w:qFormat/>
    <w:uiPriority w:val="0"/>
    <w:pPr>
      <w:widowControl/>
      <w:spacing w:after="160" w:afterLines="0" w:line="240" w:lineRule="exact"/>
      <w:jc w:val="center"/>
    </w:pPr>
    <w:rPr>
      <w:rFonts w:ascii="宋体" w:hAnsi="宋体"/>
      <w:b/>
      <w:kern w:val="0"/>
      <w:sz w:val="30"/>
      <w:szCs w:val="30"/>
      <w:lang w:eastAsia="en-US"/>
    </w:rPr>
  </w:style>
  <w:style w:type="paragraph" w:customStyle="1" w:styleId="268">
    <w:name w:val="_Style 3"/>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54</Pages>
  <Words>12940</Words>
  <Characters>13628</Characters>
  <Lines>198</Lines>
  <Paragraphs>55</Paragraphs>
  <TotalTime>42</TotalTime>
  <ScaleCrop>false</ScaleCrop>
  <LinksUpToDate>false</LinksUpToDate>
  <CharactersWithSpaces>13776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2022-03-28T10:53:00Z</dcterms:created>
  <dc:creator>Yin Hao</dc:creator>
  <cp:lastModifiedBy>丹姐</cp:lastModifiedBy>
  <cp:lastPrinted>2025-08-25T02:28:00Z</cp:lastPrinted>
  <dcterms:modified xsi:type="dcterms:W3CDTF">2026-01-28T07:17:16Z</dcterms:modified>
  <dc:title>02年杜范本稿</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AADBE2AD6B3542C6AC4261D07543B6E9_13</vt:lpwstr>
  </property>
  <property fmtid="{D5CDD505-2E9C-101B-9397-08002B2CF9AE}" pid="4" name="KSOTemplateDocerSaveRecord">
    <vt:lpwstr>eyJoZGlkIjoiOGI4NjI5OTBmMDM1ODFlMDkzNDFlZTFiMWNhZWU5ZTMiLCJ1c2VySWQiOiI0MTY4MDgyOTUifQ==</vt:lpwstr>
  </property>
</Properties>
</file>