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11D8C12">
      <w:pPr>
        <w:spacing w:line="360" w:lineRule="auto"/>
        <w:ind w:firstLine="300" w:firstLineChars="50"/>
        <w:rPr>
          <w:sz w:val="60"/>
          <w:szCs w:val="60"/>
        </w:rPr>
      </w:pPr>
    </w:p>
    <w:p w14:paraId="4D2BE59A">
      <w:pPr>
        <w:spacing w:line="360" w:lineRule="auto"/>
        <w:ind w:firstLine="300" w:firstLineChars="50"/>
        <w:rPr>
          <w:sz w:val="60"/>
          <w:szCs w:val="60"/>
        </w:rPr>
      </w:pPr>
    </w:p>
    <w:p w14:paraId="32F2F08D">
      <w:pPr>
        <w:jc w:val="center"/>
        <w:rPr>
          <w:b/>
          <w:bCs/>
          <w:sz w:val="60"/>
          <w:szCs w:val="60"/>
        </w:rPr>
      </w:pPr>
      <w:r>
        <w:rPr>
          <w:b/>
          <w:bCs/>
          <w:sz w:val="60"/>
          <w:szCs w:val="60"/>
        </w:rPr>
        <w:t>北京市政府采购项目</w:t>
      </w:r>
    </w:p>
    <w:p w14:paraId="3EB04E7C">
      <w:pPr>
        <w:jc w:val="center"/>
        <w:rPr>
          <w:b/>
          <w:bCs/>
          <w:sz w:val="60"/>
          <w:szCs w:val="60"/>
        </w:rPr>
      </w:pPr>
      <w:r>
        <w:rPr>
          <w:b/>
          <w:bCs/>
          <w:sz w:val="60"/>
          <w:szCs w:val="60"/>
        </w:rPr>
        <w:t>竞争性磋商文件</w:t>
      </w:r>
      <w:bookmarkStart w:id="789" w:name="_GoBack"/>
      <w:bookmarkEnd w:id="789"/>
    </w:p>
    <w:p w14:paraId="186A39CB">
      <w:pPr>
        <w:spacing w:line="360" w:lineRule="auto"/>
        <w:jc w:val="center"/>
        <w:rPr>
          <w:b/>
          <w:bCs/>
          <w:sz w:val="60"/>
          <w:szCs w:val="60"/>
        </w:rPr>
      </w:pPr>
    </w:p>
    <w:p w14:paraId="10CFC3FE">
      <w:pPr>
        <w:spacing w:line="360" w:lineRule="auto"/>
        <w:rPr>
          <w:b/>
          <w:bCs/>
          <w:sz w:val="60"/>
          <w:szCs w:val="60"/>
        </w:rPr>
      </w:pPr>
    </w:p>
    <w:p w14:paraId="58634E41">
      <w:pPr>
        <w:spacing w:line="360" w:lineRule="auto"/>
        <w:rPr>
          <w:b/>
          <w:bCs/>
          <w:sz w:val="60"/>
          <w:szCs w:val="60"/>
        </w:rPr>
      </w:pPr>
    </w:p>
    <w:p w14:paraId="0439FE71">
      <w:pPr>
        <w:spacing w:line="360" w:lineRule="auto"/>
        <w:rPr>
          <w:b/>
          <w:bCs/>
          <w:sz w:val="60"/>
          <w:szCs w:val="60"/>
        </w:rPr>
      </w:pPr>
    </w:p>
    <w:p w14:paraId="3FAECF23">
      <w:pPr>
        <w:spacing w:line="360" w:lineRule="auto"/>
        <w:rPr>
          <w:b/>
          <w:bCs/>
          <w:sz w:val="44"/>
          <w:szCs w:val="44"/>
        </w:rPr>
      </w:pPr>
    </w:p>
    <w:p w14:paraId="007BB1E3">
      <w:pPr>
        <w:tabs>
          <w:tab w:val="left" w:pos="5609"/>
        </w:tabs>
        <w:spacing w:line="360" w:lineRule="auto"/>
        <w:ind w:firstLine="1080" w:firstLineChars="300"/>
        <w:jc w:val="left"/>
        <w:rPr>
          <w:bCs/>
          <w:sz w:val="36"/>
          <w:szCs w:val="36"/>
        </w:rPr>
      </w:pPr>
      <w:r>
        <w:rPr>
          <w:bCs/>
          <w:sz w:val="36"/>
          <w:szCs w:val="36"/>
        </w:rPr>
        <w:t>项目名称：</w:t>
      </w:r>
      <w:r>
        <w:rPr>
          <w:rFonts w:hint="eastAsia"/>
          <w:bCs/>
          <w:sz w:val="36"/>
          <w:szCs w:val="36"/>
        </w:rPr>
        <w:t>改善办学保障条件-基础设施改造-</w:t>
      </w:r>
    </w:p>
    <w:p w14:paraId="508FDF88">
      <w:pPr>
        <w:tabs>
          <w:tab w:val="left" w:pos="5609"/>
        </w:tabs>
        <w:spacing w:line="360" w:lineRule="auto"/>
        <w:ind w:firstLine="1080" w:firstLineChars="300"/>
        <w:jc w:val="left"/>
        <w:rPr>
          <w:bCs/>
          <w:sz w:val="36"/>
          <w:szCs w:val="36"/>
        </w:rPr>
      </w:pPr>
      <w:r>
        <w:rPr>
          <w:rFonts w:hint="eastAsia"/>
          <w:bCs/>
          <w:sz w:val="36"/>
          <w:szCs w:val="36"/>
        </w:rPr>
        <w:t>新校区雨污水、暖气管线及相关工程改造项目</w:t>
      </w:r>
    </w:p>
    <w:p w14:paraId="102C63AC">
      <w:pPr>
        <w:tabs>
          <w:tab w:val="left" w:pos="3240"/>
          <w:tab w:val="left" w:pos="3420"/>
        </w:tabs>
        <w:spacing w:line="360" w:lineRule="auto"/>
        <w:ind w:firstLine="1080" w:firstLineChars="300"/>
        <w:jc w:val="left"/>
        <w:rPr>
          <w:bCs/>
          <w:sz w:val="36"/>
          <w:szCs w:val="36"/>
        </w:rPr>
      </w:pPr>
      <w:r>
        <w:rPr>
          <w:bCs/>
          <w:sz w:val="36"/>
          <w:szCs w:val="36"/>
        </w:rPr>
        <w:t>项目编号：</w:t>
      </w:r>
      <w:r>
        <w:rPr>
          <w:rFonts w:hint="eastAsia"/>
          <w:bCs/>
          <w:sz w:val="36"/>
          <w:szCs w:val="36"/>
        </w:rPr>
        <w:t>ZRGY-CCGP-26030104</w:t>
      </w:r>
    </w:p>
    <w:p w14:paraId="1B0163A8">
      <w:pPr>
        <w:tabs>
          <w:tab w:val="left" w:pos="3240"/>
          <w:tab w:val="left" w:pos="3420"/>
        </w:tabs>
        <w:spacing w:line="360" w:lineRule="auto"/>
        <w:ind w:firstLine="1080" w:firstLineChars="300"/>
        <w:jc w:val="left"/>
        <w:rPr>
          <w:bCs/>
          <w:sz w:val="36"/>
          <w:szCs w:val="36"/>
        </w:rPr>
      </w:pPr>
      <w:r>
        <w:rPr>
          <w:bCs/>
          <w:sz w:val="36"/>
          <w:szCs w:val="36"/>
        </w:rPr>
        <w:t>采 购 人：</w:t>
      </w:r>
      <w:r>
        <w:rPr>
          <w:rFonts w:hint="eastAsia"/>
          <w:bCs/>
          <w:sz w:val="36"/>
          <w:szCs w:val="36"/>
        </w:rPr>
        <w:t>中国音乐学院</w:t>
      </w:r>
    </w:p>
    <w:p w14:paraId="1B7B0EF8">
      <w:pPr>
        <w:tabs>
          <w:tab w:val="left" w:pos="3240"/>
          <w:tab w:val="left" w:pos="3420"/>
        </w:tabs>
        <w:spacing w:line="360" w:lineRule="auto"/>
        <w:ind w:firstLine="1080" w:firstLineChars="300"/>
        <w:jc w:val="left"/>
        <w:rPr>
          <w:sz w:val="32"/>
          <w:szCs w:val="32"/>
        </w:rPr>
      </w:pPr>
      <w:r>
        <w:rPr>
          <w:bCs/>
          <w:sz w:val="36"/>
          <w:szCs w:val="36"/>
        </w:rPr>
        <w:t>采购代理机构：中融国远招标有限公司</w:t>
      </w:r>
    </w:p>
    <w:p w14:paraId="46AFCD92">
      <w:pPr>
        <w:widowControl/>
        <w:jc w:val="left"/>
        <w:rPr>
          <w:color w:val="000000"/>
          <w:kern w:val="0"/>
          <w:sz w:val="24"/>
        </w:rPr>
      </w:pPr>
      <w:r>
        <w:br w:type="page"/>
      </w:r>
    </w:p>
    <w:p w14:paraId="107F21F9">
      <w:pPr>
        <w:pStyle w:val="227"/>
        <w:spacing w:line="360" w:lineRule="auto"/>
        <w:rPr>
          <w:rFonts w:ascii="Times New Roman" w:hAnsi="Times New Roman" w:cs="Times New Roman"/>
        </w:rPr>
      </w:pPr>
    </w:p>
    <w:p w14:paraId="491AF932">
      <w:pPr>
        <w:spacing w:line="360" w:lineRule="auto"/>
        <w:jc w:val="center"/>
        <w:outlineLvl w:val="0"/>
        <w:rPr>
          <w:b/>
          <w:sz w:val="40"/>
          <w:szCs w:val="40"/>
        </w:rPr>
      </w:pPr>
      <w:bookmarkStart w:id="0" w:name="_Toc24238"/>
      <w:bookmarkStart w:id="1" w:name="_Toc8373"/>
      <w:r>
        <w:rPr>
          <w:b/>
          <w:sz w:val="40"/>
          <w:szCs w:val="40"/>
        </w:rPr>
        <w:t>目      录</w:t>
      </w:r>
      <w:bookmarkEnd w:id="0"/>
      <w:bookmarkEnd w:id="1"/>
    </w:p>
    <w:sdt>
      <w:sdtPr>
        <w:rPr>
          <w:rFonts w:ascii="宋体" w:hAnsi="宋体"/>
        </w:rPr>
        <w:id w:val="147462152"/>
        <w15:color w:val="DBDBDB"/>
        <w:docPartObj>
          <w:docPartGallery w:val="Table of Contents"/>
          <w:docPartUnique/>
        </w:docPartObj>
      </w:sdtPr>
      <w:sdtEndPr>
        <w:rPr>
          <w:rFonts w:ascii="Times New Roman" w:hAnsi="Times New Roman"/>
          <w:szCs w:val="36"/>
        </w:rPr>
      </w:sdtEndPr>
      <w:sdtContent>
        <w:p w14:paraId="41A32CBF">
          <w:pPr>
            <w:jc w:val="center"/>
          </w:pPr>
          <w:bookmarkStart w:id="2" w:name="_Toc97371941"/>
        </w:p>
        <w:p w14:paraId="2CB03BF5">
          <w:pPr>
            <w:pStyle w:val="31"/>
            <w:tabs>
              <w:tab w:val="right" w:leader="dot" w:pos="8307"/>
              <w:tab w:val="clear" w:pos="1050"/>
              <w:tab w:val="clear" w:pos="8937"/>
            </w:tabs>
            <w:wordWrap w:val="0"/>
            <w:topLinePunct/>
            <w:spacing w:line="360" w:lineRule="auto"/>
            <w:rPr>
              <w:rFonts w:hint="eastAsia"/>
            </w:rPr>
          </w:pPr>
          <w:r>
            <w:fldChar w:fldCharType="begin"/>
          </w:r>
          <w:r>
            <w:instrText xml:space="preserve">TOC \o "1-1" \h \u </w:instrText>
          </w:r>
          <w:r>
            <w:fldChar w:fldCharType="separate"/>
          </w:r>
          <w:r>
            <w:fldChar w:fldCharType="begin"/>
          </w:r>
          <w:r>
            <w:instrText xml:space="preserve"> HYPERLINK \l "_Toc25307" </w:instrText>
          </w:r>
          <w:r>
            <w:fldChar w:fldCharType="separate"/>
          </w:r>
          <w:r>
            <w:t>第一章   采购邀请</w:t>
          </w:r>
          <w:r>
            <w:tab/>
          </w:r>
          <w:r>
            <w:fldChar w:fldCharType="begin"/>
          </w:r>
          <w:r>
            <w:instrText xml:space="preserve"> PAGEREF _Toc25307 \h </w:instrText>
          </w:r>
          <w:r>
            <w:fldChar w:fldCharType="separate"/>
          </w:r>
          <w:r>
            <w:t>1</w:t>
          </w:r>
          <w:r>
            <w:fldChar w:fldCharType="end"/>
          </w:r>
          <w:r>
            <w:fldChar w:fldCharType="end"/>
          </w:r>
        </w:p>
        <w:p w14:paraId="075DB1E0">
          <w:pPr>
            <w:pStyle w:val="31"/>
            <w:tabs>
              <w:tab w:val="right" w:leader="dot" w:pos="8307"/>
              <w:tab w:val="clear" w:pos="1050"/>
              <w:tab w:val="clear" w:pos="8937"/>
            </w:tabs>
            <w:wordWrap w:val="0"/>
            <w:topLinePunct/>
            <w:spacing w:line="360" w:lineRule="auto"/>
            <w:rPr>
              <w:rFonts w:hint="eastAsia"/>
            </w:rPr>
          </w:pPr>
          <w:r>
            <w:fldChar w:fldCharType="begin"/>
          </w:r>
          <w:r>
            <w:instrText xml:space="preserve"> HYPERLINK \l "_Toc15925" </w:instrText>
          </w:r>
          <w:r>
            <w:fldChar w:fldCharType="separate"/>
          </w:r>
          <w:r>
            <w:t>第二章   供应商须知</w:t>
          </w:r>
          <w:r>
            <w:tab/>
          </w:r>
          <w:r>
            <w:fldChar w:fldCharType="begin"/>
          </w:r>
          <w:r>
            <w:instrText xml:space="preserve"> PAGEREF _Toc15925 \h </w:instrText>
          </w:r>
          <w:r>
            <w:fldChar w:fldCharType="separate"/>
          </w:r>
          <w:r>
            <w:t>6</w:t>
          </w:r>
          <w:r>
            <w:fldChar w:fldCharType="end"/>
          </w:r>
          <w:r>
            <w:fldChar w:fldCharType="end"/>
          </w:r>
        </w:p>
        <w:p w14:paraId="5D235C99">
          <w:pPr>
            <w:pStyle w:val="31"/>
            <w:tabs>
              <w:tab w:val="right" w:leader="dot" w:pos="8307"/>
              <w:tab w:val="clear" w:pos="1050"/>
              <w:tab w:val="clear" w:pos="8937"/>
            </w:tabs>
            <w:wordWrap w:val="0"/>
            <w:topLinePunct/>
            <w:spacing w:line="360" w:lineRule="auto"/>
            <w:rPr>
              <w:rFonts w:hint="eastAsia"/>
            </w:rPr>
          </w:pPr>
          <w:r>
            <w:fldChar w:fldCharType="begin"/>
          </w:r>
          <w:r>
            <w:instrText xml:space="preserve"> HYPERLINK \l "_Toc5681" </w:instrText>
          </w:r>
          <w:r>
            <w:fldChar w:fldCharType="separate"/>
          </w:r>
          <w:r>
            <w:t>第三章   评审方法和评审标准</w:t>
          </w:r>
          <w:r>
            <w:tab/>
          </w:r>
          <w:r>
            <w:fldChar w:fldCharType="begin"/>
          </w:r>
          <w:r>
            <w:instrText xml:space="preserve"> PAGEREF _Toc5681 \h </w:instrText>
          </w:r>
          <w:r>
            <w:fldChar w:fldCharType="separate"/>
          </w:r>
          <w:r>
            <w:t>23</w:t>
          </w:r>
          <w:r>
            <w:fldChar w:fldCharType="end"/>
          </w:r>
          <w:r>
            <w:fldChar w:fldCharType="end"/>
          </w:r>
        </w:p>
        <w:p w14:paraId="39AB7992">
          <w:pPr>
            <w:pStyle w:val="31"/>
            <w:tabs>
              <w:tab w:val="right" w:leader="dot" w:pos="8307"/>
              <w:tab w:val="clear" w:pos="1050"/>
              <w:tab w:val="clear" w:pos="8937"/>
            </w:tabs>
            <w:wordWrap w:val="0"/>
            <w:topLinePunct/>
            <w:spacing w:line="360" w:lineRule="auto"/>
            <w:rPr>
              <w:rFonts w:hint="eastAsia"/>
            </w:rPr>
          </w:pPr>
          <w:r>
            <w:fldChar w:fldCharType="begin"/>
          </w:r>
          <w:r>
            <w:instrText xml:space="preserve"> HYPERLINK \l "_Toc8660" </w:instrText>
          </w:r>
          <w:r>
            <w:fldChar w:fldCharType="separate"/>
          </w:r>
          <w:r>
            <w:t>第四章   采购需求</w:t>
          </w:r>
          <w:r>
            <w:tab/>
          </w:r>
          <w:r>
            <w:fldChar w:fldCharType="begin"/>
          </w:r>
          <w:r>
            <w:instrText xml:space="preserve"> PAGEREF _Toc8660 \h </w:instrText>
          </w:r>
          <w:r>
            <w:fldChar w:fldCharType="separate"/>
          </w:r>
          <w:r>
            <w:t>39</w:t>
          </w:r>
          <w:r>
            <w:fldChar w:fldCharType="end"/>
          </w:r>
          <w:r>
            <w:fldChar w:fldCharType="end"/>
          </w:r>
        </w:p>
        <w:p w14:paraId="309AF8DD">
          <w:pPr>
            <w:pStyle w:val="31"/>
            <w:tabs>
              <w:tab w:val="right" w:leader="dot" w:pos="8307"/>
              <w:tab w:val="clear" w:pos="1050"/>
              <w:tab w:val="clear" w:pos="8937"/>
            </w:tabs>
            <w:wordWrap w:val="0"/>
            <w:topLinePunct/>
            <w:spacing w:line="360" w:lineRule="auto"/>
            <w:rPr>
              <w:rFonts w:hint="eastAsia"/>
            </w:rPr>
          </w:pPr>
          <w:r>
            <w:fldChar w:fldCharType="begin"/>
          </w:r>
          <w:r>
            <w:instrText xml:space="preserve"> HYPERLINK \l "_Toc3864" </w:instrText>
          </w:r>
          <w:r>
            <w:fldChar w:fldCharType="separate"/>
          </w:r>
          <w:r>
            <w:t>第五章   合同草案条款</w:t>
          </w:r>
          <w:r>
            <w:tab/>
          </w:r>
          <w:r>
            <w:fldChar w:fldCharType="begin"/>
          </w:r>
          <w:r>
            <w:instrText xml:space="preserve"> PAGEREF _Toc3864 \h </w:instrText>
          </w:r>
          <w:r>
            <w:fldChar w:fldCharType="separate"/>
          </w:r>
          <w:r>
            <w:t>43</w:t>
          </w:r>
          <w:r>
            <w:fldChar w:fldCharType="end"/>
          </w:r>
          <w:r>
            <w:fldChar w:fldCharType="end"/>
          </w:r>
        </w:p>
        <w:p w14:paraId="033F6AC1">
          <w:pPr>
            <w:pStyle w:val="31"/>
            <w:tabs>
              <w:tab w:val="right" w:leader="dot" w:pos="8307"/>
              <w:tab w:val="clear" w:pos="1050"/>
              <w:tab w:val="clear" w:pos="8937"/>
            </w:tabs>
            <w:wordWrap w:val="0"/>
            <w:topLinePunct/>
            <w:spacing w:line="360" w:lineRule="auto"/>
            <w:rPr>
              <w:rFonts w:hint="eastAsia"/>
            </w:rPr>
          </w:pPr>
          <w:r>
            <w:fldChar w:fldCharType="begin"/>
          </w:r>
          <w:r>
            <w:instrText xml:space="preserve"> HYPERLINK \l "_Toc30193" </w:instrText>
          </w:r>
          <w:r>
            <w:fldChar w:fldCharType="separate"/>
          </w:r>
          <w:r>
            <w:t>第六章   响应文件格式</w:t>
          </w:r>
          <w:r>
            <w:tab/>
          </w:r>
          <w:r>
            <w:fldChar w:fldCharType="begin"/>
          </w:r>
          <w:r>
            <w:instrText xml:space="preserve"> PAGEREF _Toc30193 \h </w:instrText>
          </w:r>
          <w:r>
            <w:fldChar w:fldCharType="separate"/>
          </w:r>
          <w:r>
            <w:t>126</w:t>
          </w:r>
          <w:r>
            <w:fldChar w:fldCharType="end"/>
          </w:r>
          <w:r>
            <w:fldChar w:fldCharType="end"/>
          </w:r>
        </w:p>
        <w:p w14:paraId="6CDD4F0A">
          <w:pPr>
            <w:wordWrap w:val="0"/>
            <w:topLinePunct/>
            <w:spacing w:line="360" w:lineRule="auto"/>
            <w:rPr>
              <w:szCs w:val="36"/>
            </w:rPr>
          </w:pPr>
          <w:r>
            <w:rPr>
              <w:sz w:val="24"/>
            </w:rPr>
            <w:fldChar w:fldCharType="end"/>
          </w:r>
        </w:p>
      </w:sdtContent>
    </w:sdt>
    <w:p w14:paraId="079CE10D">
      <w:pPr>
        <w:spacing w:line="360" w:lineRule="auto"/>
        <w:outlineLvl w:val="0"/>
        <w:rPr>
          <w:b/>
          <w:sz w:val="36"/>
          <w:szCs w:val="36"/>
        </w:rPr>
        <w:sectPr>
          <w:headerReference r:id="rId5" w:type="first"/>
          <w:footerReference r:id="rId8" w:type="first"/>
          <w:headerReference r:id="rId3" w:type="default"/>
          <w:footerReference r:id="rId6" w:type="default"/>
          <w:headerReference r:id="rId4" w:type="even"/>
          <w:footerReference r:id="rId7" w:type="even"/>
          <w:type w:val="nextColumn"/>
          <w:pgSz w:w="11907" w:h="16840"/>
          <w:pgMar w:top="1440" w:right="1800" w:bottom="1440" w:left="1800" w:header="851" w:footer="851" w:gutter="0"/>
          <w:pgNumType w:start="1"/>
          <w:cols w:space="720" w:num="1"/>
          <w:titlePg/>
          <w:docGrid w:linePitch="462" w:charSpace="0"/>
        </w:sectPr>
      </w:pPr>
    </w:p>
    <w:p w14:paraId="696F2FBD">
      <w:pPr>
        <w:spacing w:line="360" w:lineRule="auto"/>
        <w:jc w:val="center"/>
        <w:outlineLvl w:val="0"/>
        <w:rPr>
          <w:b/>
          <w:sz w:val="36"/>
          <w:szCs w:val="36"/>
        </w:rPr>
      </w:pPr>
      <w:bookmarkStart w:id="3" w:name="_Toc23932"/>
      <w:bookmarkStart w:id="4" w:name="_Toc25307"/>
      <w:r>
        <w:rPr>
          <w:b/>
          <w:sz w:val="36"/>
          <w:szCs w:val="36"/>
        </w:rPr>
        <w:t>第一章   采购邀请</w:t>
      </w:r>
      <w:bookmarkEnd w:id="2"/>
      <w:bookmarkEnd w:id="3"/>
      <w:bookmarkEnd w:id="4"/>
      <w:bookmarkStart w:id="5" w:name="_Toc28359079"/>
      <w:bookmarkStart w:id="6" w:name="_Toc28359002"/>
      <w:bookmarkStart w:id="7" w:name="_Toc35393621"/>
      <w:bookmarkStart w:id="8" w:name="_Toc35393790"/>
      <w:bookmarkStart w:id="9" w:name="_Hlk24379207"/>
    </w:p>
    <w:p w14:paraId="6F6756D1">
      <w:pPr>
        <w:spacing w:line="360" w:lineRule="auto"/>
        <w:ind w:firstLine="480" w:firstLineChars="200"/>
        <w:rPr>
          <w:sz w:val="24"/>
        </w:rPr>
      </w:pPr>
    </w:p>
    <w:p w14:paraId="7664F7C7">
      <w:pPr>
        <w:pStyle w:val="3"/>
        <w:spacing w:before="0" w:line="360" w:lineRule="auto"/>
        <w:jc w:val="left"/>
        <w:rPr>
          <w:rFonts w:ascii="Times New Roman" w:hAnsi="Times New Roman" w:eastAsia="宋体"/>
          <w:sz w:val="24"/>
          <w:szCs w:val="24"/>
        </w:rPr>
      </w:pPr>
      <w:r>
        <w:rPr>
          <w:rFonts w:ascii="Times New Roman" w:hAnsi="Times New Roman" w:eastAsia="宋体"/>
          <w:sz w:val="24"/>
          <w:szCs w:val="24"/>
        </w:rPr>
        <w:t>一、项目基本情况</w:t>
      </w:r>
      <w:bookmarkEnd w:id="5"/>
      <w:bookmarkEnd w:id="6"/>
      <w:bookmarkEnd w:id="7"/>
      <w:bookmarkEnd w:id="8"/>
    </w:p>
    <w:p w14:paraId="2E25218E">
      <w:pPr>
        <w:spacing w:line="360" w:lineRule="auto"/>
        <w:ind w:firstLine="480" w:firstLineChars="200"/>
        <w:rPr>
          <w:sz w:val="24"/>
        </w:rPr>
      </w:pPr>
      <w:r>
        <w:rPr>
          <w:sz w:val="24"/>
        </w:rPr>
        <w:t>1.项目编号：</w:t>
      </w:r>
      <w:r>
        <w:rPr>
          <w:rFonts w:hint="eastAsia"/>
          <w:sz w:val="24"/>
          <w:u w:val="single"/>
        </w:rPr>
        <w:t>ZRGY-CCGP-26030104</w:t>
      </w:r>
    </w:p>
    <w:p w14:paraId="7F698408">
      <w:pPr>
        <w:spacing w:line="360" w:lineRule="auto"/>
        <w:ind w:firstLine="480" w:firstLineChars="200"/>
        <w:rPr>
          <w:sz w:val="24"/>
        </w:rPr>
      </w:pPr>
      <w:r>
        <w:rPr>
          <w:sz w:val="24"/>
        </w:rPr>
        <w:t>2.项目名称：</w:t>
      </w:r>
      <w:r>
        <w:rPr>
          <w:rFonts w:hint="eastAsia"/>
          <w:sz w:val="24"/>
          <w:u w:val="single"/>
        </w:rPr>
        <w:t>改善办学保障条件-基础设施改造-新校区雨污水、暖气管线及相关工程改造项目</w:t>
      </w:r>
    </w:p>
    <w:p w14:paraId="1AC65E83">
      <w:pPr>
        <w:spacing w:line="360" w:lineRule="auto"/>
        <w:ind w:firstLine="480" w:firstLineChars="200"/>
        <w:rPr>
          <w:sz w:val="24"/>
        </w:rPr>
      </w:pPr>
      <w:r>
        <w:rPr>
          <w:sz w:val="24"/>
        </w:rPr>
        <w:t>3.采购方式：竞争性磋商</w:t>
      </w:r>
    </w:p>
    <w:bookmarkEnd w:id="9"/>
    <w:p w14:paraId="218121ED">
      <w:pPr>
        <w:spacing w:line="360" w:lineRule="auto"/>
        <w:ind w:firstLine="480" w:firstLineChars="200"/>
        <w:rPr>
          <w:sz w:val="24"/>
        </w:rPr>
      </w:pPr>
      <w:r>
        <w:rPr>
          <w:sz w:val="24"/>
        </w:rPr>
        <w:t>4.项目预算金额：</w:t>
      </w:r>
      <w:r>
        <w:rPr>
          <w:rFonts w:hint="eastAsia"/>
          <w:sz w:val="24"/>
          <w:u w:val="single"/>
        </w:rPr>
        <w:t>526.84501</w:t>
      </w:r>
      <w:r>
        <w:rPr>
          <w:sz w:val="24"/>
        </w:rPr>
        <w:t>万元、项目最高限价（如有）：</w:t>
      </w:r>
      <w:r>
        <w:rPr>
          <w:rFonts w:hint="eastAsia"/>
          <w:sz w:val="24"/>
          <w:u w:val="single"/>
        </w:rPr>
        <w:t>526.84501</w:t>
      </w:r>
      <w:r>
        <w:rPr>
          <w:sz w:val="24"/>
        </w:rPr>
        <w:t>万元</w:t>
      </w:r>
    </w:p>
    <w:p w14:paraId="5D49058D">
      <w:pPr>
        <w:spacing w:line="360" w:lineRule="auto"/>
        <w:ind w:firstLine="480" w:firstLineChars="200"/>
        <w:rPr>
          <w:sz w:val="24"/>
        </w:rPr>
      </w:pPr>
      <w:r>
        <w:rPr>
          <w:sz w:val="24"/>
        </w:rPr>
        <w:t>5.采购需求：</w:t>
      </w:r>
    </w:p>
    <w:tbl>
      <w:tblPr>
        <w:tblStyle w:val="43"/>
        <w:tblW w:w="51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1820"/>
        <w:gridCol w:w="1313"/>
        <w:gridCol w:w="843"/>
        <w:gridCol w:w="4085"/>
      </w:tblGrid>
      <w:tr w14:paraId="1872E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400" w:type="pct"/>
            <w:vAlign w:val="center"/>
          </w:tcPr>
          <w:p w14:paraId="1AFB43F8">
            <w:pPr>
              <w:jc w:val="center"/>
              <w:rPr>
                <w:bCs/>
                <w:szCs w:val="21"/>
              </w:rPr>
            </w:pPr>
            <w:r>
              <w:rPr>
                <w:rFonts w:hint="eastAsia"/>
                <w:bCs/>
                <w:szCs w:val="21"/>
              </w:rPr>
              <w:t>包号</w:t>
            </w:r>
          </w:p>
        </w:tc>
        <w:tc>
          <w:tcPr>
            <w:tcW w:w="1038" w:type="pct"/>
            <w:vAlign w:val="center"/>
          </w:tcPr>
          <w:p w14:paraId="333E9398">
            <w:pPr>
              <w:jc w:val="center"/>
              <w:rPr>
                <w:bCs/>
                <w:szCs w:val="21"/>
              </w:rPr>
            </w:pPr>
            <w:r>
              <w:rPr>
                <w:bCs/>
                <w:szCs w:val="21"/>
              </w:rPr>
              <w:t>标的名称</w:t>
            </w:r>
          </w:p>
        </w:tc>
        <w:tc>
          <w:tcPr>
            <w:tcW w:w="749" w:type="pct"/>
            <w:vAlign w:val="center"/>
          </w:tcPr>
          <w:p w14:paraId="70D18373">
            <w:pPr>
              <w:jc w:val="center"/>
              <w:rPr>
                <w:bCs/>
                <w:szCs w:val="21"/>
              </w:rPr>
            </w:pPr>
            <w:r>
              <w:rPr>
                <w:bCs/>
                <w:szCs w:val="21"/>
              </w:rPr>
              <w:t>采购包预算金额</w:t>
            </w:r>
          </w:p>
          <w:p w14:paraId="72196272">
            <w:pPr>
              <w:jc w:val="center"/>
              <w:rPr>
                <w:bCs/>
                <w:szCs w:val="21"/>
              </w:rPr>
            </w:pPr>
            <w:r>
              <w:rPr>
                <w:bCs/>
                <w:szCs w:val="21"/>
              </w:rPr>
              <w:t>（万元）</w:t>
            </w:r>
          </w:p>
        </w:tc>
        <w:tc>
          <w:tcPr>
            <w:tcW w:w="481" w:type="pct"/>
            <w:vAlign w:val="center"/>
          </w:tcPr>
          <w:p w14:paraId="03CF3FB8">
            <w:pPr>
              <w:jc w:val="center"/>
              <w:rPr>
                <w:bCs/>
                <w:szCs w:val="21"/>
              </w:rPr>
            </w:pPr>
            <w:r>
              <w:rPr>
                <w:bCs/>
                <w:szCs w:val="21"/>
              </w:rPr>
              <w:t>数量</w:t>
            </w:r>
          </w:p>
        </w:tc>
        <w:tc>
          <w:tcPr>
            <w:tcW w:w="2329" w:type="pct"/>
            <w:vAlign w:val="center"/>
          </w:tcPr>
          <w:p w14:paraId="0C85CF3A">
            <w:pPr>
              <w:jc w:val="center"/>
              <w:rPr>
                <w:szCs w:val="21"/>
              </w:rPr>
            </w:pPr>
            <w:r>
              <w:rPr>
                <w:szCs w:val="21"/>
              </w:rPr>
              <w:t>简要技术需求或服务要求</w:t>
            </w:r>
          </w:p>
        </w:tc>
      </w:tr>
      <w:tr w14:paraId="324F6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8" w:hRule="atLeast"/>
          <w:jc w:val="center"/>
        </w:trPr>
        <w:tc>
          <w:tcPr>
            <w:tcW w:w="400" w:type="pct"/>
            <w:vAlign w:val="center"/>
          </w:tcPr>
          <w:p w14:paraId="7E1E6F8B">
            <w:pPr>
              <w:jc w:val="center"/>
              <w:rPr>
                <w:bCs/>
                <w:szCs w:val="21"/>
              </w:rPr>
            </w:pPr>
            <w:r>
              <w:rPr>
                <w:bCs/>
                <w:szCs w:val="21"/>
              </w:rPr>
              <w:t>01</w:t>
            </w:r>
          </w:p>
        </w:tc>
        <w:tc>
          <w:tcPr>
            <w:tcW w:w="1038" w:type="pct"/>
            <w:vAlign w:val="center"/>
          </w:tcPr>
          <w:p w14:paraId="04EA3C60">
            <w:pPr>
              <w:jc w:val="center"/>
              <w:rPr>
                <w:bCs/>
                <w:szCs w:val="21"/>
              </w:rPr>
            </w:pPr>
            <w:r>
              <w:rPr>
                <w:rFonts w:hint="eastAsia"/>
                <w:bCs/>
                <w:szCs w:val="21"/>
              </w:rPr>
              <w:t>改善办学保障条件-基础设施改造-新校区雨污水、暖气管线及相关工程改造项目</w:t>
            </w:r>
          </w:p>
        </w:tc>
        <w:tc>
          <w:tcPr>
            <w:tcW w:w="749" w:type="pct"/>
            <w:vAlign w:val="center"/>
          </w:tcPr>
          <w:p w14:paraId="336BD6DC">
            <w:pPr>
              <w:jc w:val="center"/>
              <w:rPr>
                <w:bCs/>
                <w:szCs w:val="21"/>
              </w:rPr>
            </w:pPr>
            <w:r>
              <w:rPr>
                <w:rFonts w:hint="eastAsia"/>
                <w:bCs/>
                <w:szCs w:val="21"/>
              </w:rPr>
              <w:t>526.84501</w:t>
            </w:r>
          </w:p>
        </w:tc>
        <w:tc>
          <w:tcPr>
            <w:tcW w:w="481" w:type="pct"/>
            <w:vAlign w:val="center"/>
          </w:tcPr>
          <w:p w14:paraId="2208E455">
            <w:pPr>
              <w:jc w:val="center"/>
              <w:rPr>
                <w:bCs/>
                <w:szCs w:val="21"/>
              </w:rPr>
            </w:pPr>
            <w:r>
              <w:rPr>
                <w:rFonts w:hint="eastAsia"/>
                <w:bCs/>
                <w:szCs w:val="21"/>
              </w:rPr>
              <w:t>一项</w:t>
            </w:r>
          </w:p>
        </w:tc>
        <w:tc>
          <w:tcPr>
            <w:tcW w:w="2329" w:type="pct"/>
            <w:vAlign w:val="center"/>
          </w:tcPr>
          <w:p w14:paraId="48C3A10A">
            <w:pPr>
              <w:ind w:firstLine="420" w:firstLineChars="200"/>
              <w:rPr>
                <w:kern w:val="0"/>
                <w:szCs w:val="21"/>
              </w:rPr>
            </w:pPr>
            <w:r>
              <w:rPr>
                <w:rFonts w:hint="eastAsia"/>
                <w:kern w:val="0"/>
                <w:szCs w:val="21"/>
              </w:rPr>
              <w:t>对新校区地下管网按照图纸进行铺设施工，对中国音乐学院新校区室外雨污水、暖气管线及通信管线改造，确保按图施工，改造后的管线符合国家标准及学校使用需求。减少后期维护养护成本，消除可能产生的跑冒滴漏安全隐患，降低学校能源消耗等。</w:t>
            </w:r>
          </w:p>
          <w:p w14:paraId="09124CA9">
            <w:pPr>
              <w:ind w:firstLine="420" w:firstLineChars="200"/>
              <w:rPr>
                <w:kern w:val="0"/>
                <w:szCs w:val="21"/>
              </w:rPr>
            </w:pPr>
            <w:r>
              <w:rPr>
                <w:rFonts w:hint="eastAsia"/>
                <w:kern w:val="0"/>
                <w:szCs w:val="21"/>
              </w:rPr>
              <w:t>包括但不限于污水工程、雨水工程、供暖工程、通信排管工程等，详见工程量清单及图纸。</w:t>
            </w:r>
          </w:p>
        </w:tc>
      </w:tr>
    </w:tbl>
    <w:p w14:paraId="55015FB8">
      <w:pPr>
        <w:spacing w:line="360" w:lineRule="auto"/>
        <w:ind w:firstLine="480" w:firstLineChars="200"/>
        <w:rPr>
          <w:sz w:val="24"/>
        </w:rPr>
      </w:pPr>
    </w:p>
    <w:p w14:paraId="2AAF7BD0">
      <w:pPr>
        <w:spacing w:line="360" w:lineRule="auto"/>
        <w:ind w:firstLine="480" w:firstLineChars="200"/>
        <w:rPr>
          <w:sz w:val="24"/>
          <w:u w:val="single"/>
        </w:rPr>
      </w:pPr>
      <w:r>
        <w:rPr>
          <w:sz w:val="24"/>
        </w:rPr>
        <w:t>6.合同履行期限：</w:t>
      </w:r>
      <w:r>
        <w:rPr>
          <w:rFonts w:hint="eastAsia"/>
          <w:sz w:val="24"/>
          <w:u w:val="single"/>
        </w:rPr>
        <w:t>90日历天，以甲方通知的开工时间为准</w:t>
      </w:r>
      <w:r>
        <w:rPr>
          <w:rFonts w:hint="eastAsia"/>
          <w:sz w:val="24"/>
        </w:rPr>
        <w:t>。</w:t>
      </w:r>
    </w:p>
    <w:p w14:paraId="0DA067D1">
      <w:pPr>
        <w:spacing w:line="360" w:lineRule="auto"/>
        <w:ind w:firstLine="480" w:firstLineChars="200"/>
        <w:rPr>
          <w:sz w:val="24"/>
        </w:rPr>
      </w:pPr>
      <w:r>
        <w:rPr>
          <w:sz w:val="24"/>
        </w:rPr>
        <w:t>7.本项目是否接受联合体：</w:t>
      </w:r>
      <w:r>
        <w:rPr>
          <w:rFonts w:hint="eastAsia"/>
        </w:rPr>
        <w:t>□</w:t>
      </w:r>
      <w:r>
        <w:rPr>
          <w:sz w:val="24"/>
        </w:rPr>
        <w:t xml:space="preserve">是  </w:t>
      </w:r>
      <w:r>
        <w:t>■</w:t>
      </w:r>
      <w:r>
        <w:rPr>
          <w:sz w:val="24"/>
        </w:rPr>
        <w:t>否。</w:t>
      </w:r>
    </w:p>
    <w:p w14:paraId="56526A9C">
      <w:pPr>
        <w:spacing w:line="360" w:lineRule="auto"/>
        <w:ind w:firstLine="480" w:firstLineChars="200"/>
        <w:rPr>
          <w:sz w:val="24"/>
        </w:rPr>
      </w:pPr>
    </w:p>
    <w:p w14:paraId="6D0F1F5F">
      <w:pPr>
        <w:pStyle w:val="3"/>
        <w:spacing w:before="0" w:line="360" w:lineRule="auto"/>
        <w:jc w:val="left"/>
        <w:rPr>
          <w:rFonts w:ascii="Times New Roman" w:hAnsi="Times New Roman" w:eastAsia="宋体"/>
          <w:sz w:val="24"/>
          <w:szCs w:val="24"/>
        </w:rPr>
      </w:pPr>
      <w:bookmarkStart w:id="10" w:name="_Toc35393622"/>
      <w:bookmarkStart w:id="11" w:name="_Toc35393791"/>
      <w:bookmarkStart w:id="12" w:name="_Toc28359080"/>
      <w:bookmarkStart w:id="13" w:name="_Toc28359003"/>
      <w:r>
        <w:rPr>
          <w:rFonts w:ascii="Times New Roman" w:hAnsi="Times New Roman" w:eastAsia="宋体"/>
          <w:sz w:val="24"/>
          <w:szCs w:val="24"/>
        </w:rPr>
        <w:t>二、申请人的资格要求（须同时满足）</w:t>
      </w:r>
      <w:bookmarkEnd w:id="10"/>
      <w:bookmarkEnd w:id="11"/>
      <w:bookmarkEnd w:id="12"/>
      <w:bookmarkEnd w:id="13"/>
    </w:p>
    <w:p w14:paraId="47BEBC3E">
      <w:pPr>
        <w:spacing w:line="360" w:lineRule="auto"/>
        <w:ind w:firstLine="480" w:firstLineChars="200"/>
        <w:rPr>
          <w:sz w:val="24"/>
        </w:rPr>
      </w:pPr>
      <w:r>
        <w:rPr>
          <w:sz w:val="24"/>
        </w:rPr>
        <w:t>1.满足《中华人民共和国政府采购法》第二十二条规定；</w:t>
      </w:r>
    </w:p>
    <w:p w14:paraId="6F77F070">
      <w:pPr>
        <w:spacing w:line="360" w:lineRule="auto"/>
        <w:ind w:firstLine="480" w:firstLineChars="200"/>
        <w:rPr>
          <w:sz w:val="24"/>
        </w:rPr>
      </w:pPr>
      <w:bookmarkStart w:id="14" w:name="_Toc28359081"/>
      <w:bookmarkStart w:id="15" w:name="_Toc28359004"/>
      <w:r>
        <w:rPr>
          <w:sz w:val="24"/>
        </w:rPr>
        <w:t>2.落实政府采购政策需满足的资格要求：</w:t>
      </w:r>
    </w:p>
    <w:p w14:paraId="61BB688D">
      <w:pPr>
        <w:spacing w:line="360" w:lineRule="auto"/>
        <w:ind w:firstLine="480" w:firstLineChars="200"/>
        <w:rPr>
          <w:sz w:val="24"/>
        </w:rPr>
      </w:pPr>
      <w:r>
        <w:rPr>
          <w:sz w:val="24"/>
        </w:rPr>
        <w:t>2.1 中小企业政策</w:t>
      </w:r>
    </w:p>
    <w:p w14:paraId="4BAAE398">
      <w:pPr>
        <w:spacing w:line="360" w:lineRule="auto"/>
        <w:ind w:firstLine="420" w:firstLineChars="200"/>
        <w:rPr>
          <w:sz w:val="24"/>
        </w:rPr>
      </w:pPr>
      <w:r>
        <w:rPr>
          <w:rFonts w:hint="eastAsia"/>
        </w:rPr>
        <w:t>□</w:t>
      </w:r>
      <w:r>
        <w:rPr>
          <w:rFonts w:hint="eastAsia"/>
          <w:sz w:val="24"/>
        </w:rPr>
        <w:t>本项目不专门面向中小企业预留采购份额。</w:t>
      </w:r>
    </w:p>
    <w:p w14:paraId="4160A010">
      <w:pPr>
        <w:spacing w:line="360" w:lineRule="auto"/>
        <w:ind w:firstLine="420" w:firstLineChars="200"/>
        <w:rPr>
          <w:sz w:val="24"/>
        </w:rPr>
      </w:pPr>
      <w:r>
        <w:rPr>
          <w:rFonts w:hint="eastAsia"/>
        </w:rPr>
        <w:t>■</w:t>
      </w:r>
      <w:r>
        <w:rPr>
          <w:sz w:val="24"/>
        </w:rPr>
        <w:t xml:space="preserve">本项目专门面向  </w:t>
      </w:r>
      <w:r>
        <w:rPr>
          <w:rFonts w:hint="eastAsia"/>
        </w:rPr>
        <w:t>■</w:t>
      </w:r>
      <w:r>
        <w:rPr>
          <w:sz w:val="24"/>
        </w:rPr>
        <w:t xml:space="preserve">中小 </w:t>
      </w:r>
      <w:r>
        <w:rPr>
          <w:rFonts w:hint="eastAsia"/>
        </w:rPr>
        <w:t>□</w:t>
      </w:r>
      <w:r>
        <w:rPr>
          <w:sz w:val="24"/>
        </w:rPr>
        <w:t>小微企业  采购。即：提供的货物全部由符合政策要求的中小/小微企业制造、服务全部由符合政策要求的中小/小微企业承接。</w:t>
      </w:r>
    </w:p>
    <w:p w14:paraId="65C0CBD8">
      <w:pPr>
        <w:spacing w:line="360" w:lineRule="auto"/>
        <w:ind w:firstLine="420" w:firstLineChars="200"/>
        <w:rPr>
          <w:sz w:val="24"/>
        </w:rPr>
      </w:pPr>
      <w:r>
        <w:rPr>
          <w:rFonts w:hint="eastAsia"/>
        </w:rPr>
        <w:t>□</w:t>
      </w:r>
      <w:r>
        <w:rPr>
          <w:sz w:val="24"/>
        </w:rPr>
        <w:t>本项目预留部分采购项目预算专门面向中小企业采购。对于预留份额，提供的货物由符合政策要求的中小企业制造、服务由符合政策要求的中小企业承接。预留份额通过以下措施进行：</w:t>
      </w:r>
      <w:r>
        <w:rPr>
          <w:rFonts w:hint="eastAsia"/>
          <w:sz w:val="24"/>
          <w:u w:val="single"/>
        </w:rPr>
        <w:t xml:space="preserve">       /       </w:t>
      </w:r>
      <w:r>
        <w:rPr>
          <w:sz w:val="24"/>
        </w:rPr>
        <w:t>。</w:t>
      </w:r>
    </w:p>
    <w:p w14:paraId="3AD34585">
      <w:pPr>
        <w:spacing w:line="360" w:lineRule="auto"/>
        <w:ind w:firstLine="480" w:firstLineChars="200"/>
        <w:rPr>
          <w:sz w:val="24"/>
        </w:rPr>
      </w:pPr>
      <w:r>
        <w:rPr>
          <w:sz w:val="24"/>
        </w:rPr>
        <w:t>2.2 其它落实政府采购政策的资格要求（如有）：</w:t>
      </w:r>
      <w:r>
        <w:rPr>
          <w:rFonts w:hint="eastAsia"/>
          <w:sz w:val="24"/>
          <w:u w:val="single"/>
        </w:rPr>
        <w:t xml:space="preserve">       /       </w:t>
      </w:r>
      <w:r>
        <w:rPr>
          <w:sz w:val="24"/>
        </w:rPr>
        <w:t>。</w:t>
      </w:r>
    </w:p>
    <w:p w14:paraId="0C38CA3F">
      <w:pPr>
        <w:spacing w:line="360" w:lineRule="auto"/>
        <w:ind w:firstLine="480" w:firstLineChars="200"/>
        <w:rPr>
          <w:sz w:val="24"/>
        </w:rPr>
      </w:pPr>
      <w:r>
        <w:rPr>
          <w:sz w:val="24"/>
        </w:rPr>
        <w:t>3.本项目的特定资格要求：</w:t>
      </w:r>
    </w:p>
    <w:p w14:paraId="576A4C1B">
      <w:pPr>
        <w:tabs>
          <w:tab w:val="left" w:pos="900"/>
          <w:tab w:val="left" w:pos="1134"/>
          <w:tab w:val="left" w:pos="1589"/>
          <w:tab w:val="left" w:pos="5521"/>
        </w:tabs>
        <w:snapToGrid w:val="0"/>
        <w:spacing w:line="360" w:lineRule="auto"/>
        <w:ind w:firstLine="480" w:firstLineChars="200"/>
        <w:rPr>
          <w:sz w:val="24"/>
        </w:rPr>
      </w:pPr>
      <w:r>
        <w:rPr>
          <w:sz w:val="24"/>
        </w:rPr>
        <w:t>3.1本项目是否属于政府购买服务：</w:t>
      </w:r>
    </w:p>
    <w:p w14:paraId="689D0443">
      <w:pPr>
        <w:tabs>
          <w:tab w:val="left" w:pos="900"/>
          <w:tab w:val="left" w:pos="1134"/>
          <w:tab w:val="left" w:pos="1589"/>
          <w:tab w:val="left" w:pos="5521"/>
        </w:tabs>
        <w:snapToGrid w:val="0"/>
        <w:spacing w:line="360" w:lineRule="auto"/>
        <w:ind w:left="991" w:leftChars="472" w:firstLine="2"/>
        <w:rPr>
          <w:sz w:val="24"/>
        </w:rPr>
      </w:pPr>
      <w:r>
        <w:rPr>
          <w:rFonts w:hint="eastAsia" w:ascii="宋体" w:hAnsi="宋体" w:cs="宋体"/>
          <w:szCs w:val="21"/>
        </w:rPr>
        <w:t>■</w:t>
      </w:r>
      <w:r>
        <w:rPr>
          <w:sz w:val="24"/>
        </w:rPr>
        <w:t>否</w:t>
      </w:r>
    </w:p>
    <w:p w14:paraId="6C96679E">
      <w:pPr>
        <w:tabs>
          <w:tab w:val="left" w:pos="900"/>
          <w:tab w:val="left" w:pos="1134"/>
          <w:tab w:val="left" w:pos="1589"/>
          <w:tab w:val="left" w:pos="5521"/>
        </w:tabs>
        <w:snapToGrid w:val="0"/>
        <w:spacing w:line="360" w:lineRule="auto"/>
        <w:ind w:left="991" w:leftChars="472" w:firstLine="2"/>
      </w:pPr>
      <w:r>
        <w:rPr>
          <w:rFonts w:hint="eastAsia"/>
        </w:rPr>
        <w:t>□</w:t>
      </w:r>
      <w:r>
        <w:rPr>
          <w:sz w:val="24"/>
        </w:rPr>
        <w:t>是，公益一类事业单位、使用事业编制且由财政拨款保障的群团组织，不得作为承接主体；</w:t>
      </w:r>
    </w:p>
    <w:p w14:paraId="503593EA">
      <w:pPr>
        <w:tabs>
          <w:tab w:val="left" w:pos="900"/>
          <w:tab w:val="left" w:pos="1134"/>
          <w:tab w:val="left" w:pos="1589"/>
          <w:tab w:val="left" w:pos="5521"/>
        </w:tabs>
        <w:snapToGrid w:val="0"/>
        <w:spacing w:line="360" w:lineRule="auto"/>
        <w:ind w:firstLine="480" w:firstLineChars="200"/>
        <w:rPr>
          <w:sz w:val="24"/>
        </w:rPr>
      </w:pPr>
      <w:r>
        <w:rPr>
          <w:sz w:val="24"/>
        </w:rPr>
        <w:t>3.2其他特定资格要求：</w:t>
      </w:r>
    </w:p>
    <w:p w14:paraId="55031DDB">
      <w:pPr>
        <w:tabs>
          <w:tab w:val="left" w:pos="900"/>
          <w:tab w:val="left" w:pos="1134"/>
          <w:tab w:val="left" w:pos="1589"/>
          <w:tab w:val="left" w:pos="5521"/>
        </w:tabs>
        <w:wordWrap w:val="0"/>
        <w:topLinePunct/>
        <w:snapToGrid w:val="0"/>
        <w:spacing w:line="360" w:lineRule="auto"/>
        <w:ind w:firstLine="480" w:firstLineChars="200"/>
        <w:rPr>
          <w:sz w:val="24"/>
        </w:rPr>
      </w:pPr>
      <w:r>
        <w:rPr>
          <w:rFonts w:hint="eastAsia"/>
          <w:sz w:val="24"/>
        </w:rPr>
        <w:t>3.2.1 根据财政部《关于在政府采购活动中查询及使用信用记录有关问题的通知》（财库〔2016〕125号），供应商须通过“信用中国”网站（www.creditchina.gov.cn）及“中国政府采购网”（www.ccgp.gov.cn）等渠道查询磋商截止日前相关信用记录，对列入失信被执行人、重大税收违法失信主体、政府采购严重违法失信行为记录名单的供应商，拒绝其参与本次政府采购活动。（供应商无需提供，由采购人或采购代理机构查询）</w:t>
      </w:r>
    </w:p>
    <w:p w14:paraId="302583D6">
      <w:pPr>
        <w:tabs>
          <w:tab w:val="left" w:pos="900"/>
          <w:tab w:val="left" w:pos="1134"/>
          <w:tab w:val="left" w:pos="1589"/>
          <w:tab w:val="left" w:pos="5521"/>
        </w:tabs>
        <w:wordWrap w:val="0"/>
        <w:topLinePunct/>
        <w:snapToGrid w:val="0"/>
        <w:spacing w:line="360" w:lineRule="auto"/>
        <w:ind w:firstLine="480" w:firstLineChars="200"/>
        <w:rPr>
          <w:sz w:val="24"/>
        </w:rPr>
      </w:pPr>
      <w:r>
        <w:rPr>
          <w:rFonts w:hint="eastAsia"/>
          <w:sz w:val="24"/>
        </w:rPr>
        <w:t>3.2.2 单位负责人为同一人或者存在直接控股、管理关系的不同供应商，不得同时参加本项目的采购活动。生产型企业生产场地为同一地址的，销售型企业之间股东有关联的，一律视为有直接控股、管理关系。供应商之间有上述关系的，应主动声明。</w:t>
      </w:r>
    </w:p>
    <w:p w14:paraId="69D2E770">
      <w:pPr>
        <w:tabs>
          <w:tab w:val="left" w:pos="900"/>
          <w:tab w:val="left" w:pos="1134"/>
          <w:tab w:val="left" w:pos="1589"/>
          <w:tab w:val="left" w:pos="5521"/>
        </w:tabs>
        <w:snapToGrid w:val="0"/>
        <w:spacing w:line="360" w:lineRule="auto"/>
        <w:ind w:firstLine="480" w:firstLineChars="200"/>
        <w:rPr>
          <w:sz w:val="24"/>
        </w:rPr>
      </w:pPr>
      <w:r>
        <w:rPr>
          <w:rFonts w:hint="eastAsia"/>
          <w:sz w:val="24"/>
        </w:rPr>
        <w:t>3.2.3 本项目不允许分包、转包。</w:t>
      </w:r>
    </w:p>
    <w:p w14:paraId="6CF44191">
      <w:pPr>
        <w:tabs>
          <w:tab w:val="left" w:pos="900"/>
          <w:tab w:val="left" w:pos="1134"/>
          <w:tab w:val="left" w:pos="1589"/>
          <w:tab w:val="left" w:pos="5521"/>
        </w:tabs>
        <w:snapToGrid w:val="0"/>
        <w:spacing w:line="360" w:lineRule="auto"/>
        <w:ind w:firstLine="482" w:firstLineChars="200"/>
        <w:rPr>
          <w:b/>
          <w:bCs/>
          <w:sz w:val="24"/>
        </w:rPr>
      </w:pPr>
      <w:r>
        <w:rPr>
          <w:rFonts w:hint="eastAsia"/>
          <w:b/>
          <w:bCs/>
          <w:sz w:val="24"/>
        </w:rPr>
        <w:t>3.2.4供应商具备市政公用工程施工总承包资质三级及以上资质，外地来京建筑企业须办理进京备案；</w:t>
      </w:r>
    </w:p>
    <w:p w14:paraId="76177764">
      <w:pPr>
        <w:tabs>
          <w:tab w:val="left" w:pos="900"/>
          <w:tab w:val="left" w:pos="1134"/>
          <w:tab w:val="left" w:pos="1589"/>
          <w:tab w:val="left" w:pos="5521"/>
        </w:tabs>
        <w:snapToGrid w:val="0"/>
        <w:spacing w:line="360" w:lineRule="auto"/>
        <w:ind w:firstLine="482" w:firstLineChars="200"/>
        <w:rPr>
          <w:b/>
          <w:bCs/>
          <w:sz w:val="24"/>
        </w:rPr>
      </w:pPr>
      <w:r>
        <w:rPr>
          <w:rFonts w:hint="eastAsia"/>
          <w:b/>
          <w:bCs/>
          <w:sz w:val="24"/>
        </w:rPr>
        <w:t>3.2.5供应商须具备有效的安全生产许可证；</w:t>
      </w:r>
    </w:p>
    <w:p w14:paraId="5DBC3890">
      <w:pPr>
        <w:tabs>
          <w:tab w:val="left" w:pos="900"/>
          <w:tab w:val="left" w:pos="1134"/>
          <w:tab w:val="left" w:pos="1589"/>
          <w:tab w:val="left" w:pos="5521"/>
        </w:tabs>
        <w:snapToGrid w:val="0"/>
        <w:spacing w:line="360" w:lineRule="auto"/>
        <w:ind w:firstLine="482" w:firstLineChars="200"/>
        <w:rPr>
          <w:b/>
          <w:bCs/>
          <w:sz w:val="24"/>
        </w:rPr>
      </w:pPr>
      <w:r>
        <w:rPr>
          <w:rFonts w:hint="eastAsia"/>
          <w:b/>
          <w:bCs/>
          <w:sz w:val="24"/>
        </w:rPr>
        <w:t>3.2.6供应商拟派项目经理须具备市政公用工程专业二级（含）以上注册建造师执业资格，具备有效的安全生产考核合格证书（B本），且在确定成交人时不得担任其他在施建设工程项目的项目经理；</w:t>
      </w:r>
    </w:p>
    <w:p w14:paraId="28D11BD6">
      <w:pPr>
        <w:spacing w:line="360" w:lineRule="auto"/>
        <w:ind w:firstLine="480" w:firstLineChars="200"/>
        <w:rPr>
          <w:i/>
          <w:iCs/>
          <w:sz w:val="24"/>
          <w:u w:val="single"/>
        </w:rPr>
      </w:pPr>
    </w:p>
    <w:bookmarkEnd w:id="14"/>
    <w:bookmarkEnd w:id="15"/>
    <w:p w14:paraId="245A5DD6">
      <w:pPr>
        <w:pStyle w:val="3"/>
        <w:widowControl/>
        <w:spacing w:before="0" w:line="360" w:lineRule="auto"/>
        <w:jc w:val="left"/>
        <w:rPr>
          <w:rFonts w:ascii="Times New Roman" w:hAnsi="Times New Roman" w:eastAsia="宋体"/>
          <w:sz w:val="24"/>
          <w:szCs w:val="24"/>
        </w:rPr>
      </w:pPr>
      <w:bookmarkStart w:id="16" w:name="_Toc35393623"/>
      <w:bookmarkStart w:id="17" w:name="_Toc35393792"/>
      <w:r>
        <w:rPr>
          <w:rFonts w:ascii="Times New Roman" w:hAnsi="Times New Roman" w:eastAsia="宋体"/>
          <w:sz w:val="24"/>
          <w:szCs w:val="24"/>
        </w:rPr>
        <w:t>三、获取采购文件</w:t>
      </w:r>
      <w:bookmarkEnd w:id="16"/>
      <w:bookmarkEnd w:id="17"/>
    </w:p>
    <w:p w14:paraId="1E10BBB2">
      <w:pPr>
        <w:adjustRightInd w:val="0"/>
        <w:snapToGrid w:val="0"/>
        <w:spacing w:line="360" w:lineRule="auto"/>
        <w:ind w:firstLine="480" w:firstLineChars="200"/>
        <w:rPr>
          <w:sz w:val="24"/>
          <w:lang w:bidi="ar"/>
        </w:rPr>
      </w:pPr>
      <w:r>
        <w:rPr>
          <w:sz w:val="24"/>
          <w:lang w:bidi="ar"/>
        </w:rPr>
        <w:t>1.时间：</w:t>
      </w:r>
      <w:r>
        <w:rPr>
          <w:rFonts w:hint="eastAsia"/>
          <w:sz w:val="24"/>
          <w:u w:val="single"/>
          <w:lang w:bidi="ar"/>
        </w:rPr>
        <w:t>2026</w:t>
      </w:r>
      <w:r>
        <w:rPr>
          <w:sz w:val="24"/>
          <w:lang w:bidi="ar"/>
        </w:rPr>
        <w:t>年</w:t>
      </w:r>
      <w:r>
        <w:rPr>
          <w:rFonts w:hint="eastAsia"/>
          <w:sz w:val="24"/>
          <w:u w:val="single"/>
          <w:lang w:bidi="ar"/>
        </w:rPr>
        <w:t>3</w:t>
      </w:r>
      <w:r>
        <w:rPr>
          <w:sz w:val="24"/>
          <w:lang w:bidi="ar"/>
        </w:rPr>
        <w:t>月</w:t>
      </w:r>
      <w:r>
        <w:rPr>
          <w:rFonts w:hint="eastAsia"/>
          <w:sz w:val="24"/>
          <w:u w:val="single"/>
          <w:lang w:bidi="ar"/>
        </w:rPr>
        <w:t>12</w:t>
      </w:r>
      <w:r>
        <w:rPr>
          <w:sz w:val="24"/>
          <w:lang w:bidi="ar"/>
        </w:rPr>
        <w:t>日至</w:t>
      </w:r>
      <w:r>
        <w:rPr>
          <w:rFonts w:hint="eastAsia"/>
          <w:sz w:val="24"/>
          <w:u w:val="single"/>
          <w:lang w:bidi="ar"/>
        </w:rPr>
        <w:t>2026</w:t>
      </w:r>
      <w:r>
        <w:rPr>
          <w:sz w:val="24"/>
          <w:lang w:bidi="ar"/>
        </w:rPr>
        <w:t>年</w:t>
      </w:r>
      <w:r>
        <w:rPr>
          <w:rFonts w:hint="eastAsia"/>
          <w:sz w:val="24"/>
          <w:u w:val="single"/>
          <w:lang w:bidi="ar"/>
        </w:rPr>
        <w:t>3</w:t>
      </w:r>
      <w:r>
        <w:rPr>
          <w:sz w:val="24"/>
          <w:lang w:bidi="ar"/>
        </w:rPr>
        <w:t>月</w:t>
      </w:r>
      <w:r>
        <w:rPr>
          <w:rFonts w:hint="eastAsia"/>
          <w:sz w:val="24"/>
          <w:u w:val="single"/>
          <w:lang w:bidi="ar"/>
        </w:rPr>
        <w:t>18</w:t>
      </w:r>
      <w:r>
        <w:rPr>
          <w:sz w:val="24"/>
          <w:lang w:bidi="ar"/>
        </w:rPr>
        <w:t>日，每天上午</w:t>
      </w:r>
      <w:r>
        <w:rPr>
          <w:sz w:val="24"/>
          <w:u w:val="single"/>
          <w:lang w:bidi="ar"/>
        </w:rPr>
        <w:t>9</w:t>
      </w:r>
      <w:r>
        <w:rPr>
          <w:rFonts w:hint="eastAsia"/>
          <w:sz w:val="24"/>
          <w:u w:val="single"/>
          <w:lang w:bidi="ar"/>
        </w:rPr>
        <w:t>:00</w:t>
      </w:r>
      <w:r>
        <w:rPr>
          <w:sz w:val="24"/>
          <w:lang w:bidi="ar"/>
        </w:rPr>
        <w:t>至</w:t>
      </w:r>
      <w:r>
        <w:rPr>
          <w:sz w:val="24"/>
          <w:u w:val="single"/>
          <w:lang w:bidi="ar"/>
        </w:rPr>
        <w:t>12</w:t>
      </w:r>
      <w:r>
        <w:rPr>
          <w:rFonts w:hint="eastAsia"/>
          <w:sz w:val="24"/>
          <w:u w:val="single"/>
          <w:lang w:bidi="ar"/>
        </w:rPr>
        <w:t>:00</w:t>
      </w:r>
      <w:r>
        <w:rPr>
          <w:sz w:val="24"/>
          <w:lang w:bidi="ar"/>
        </w:rPr>
        <w:t>，下午</w:t>
      </w:r>
      <w:r>
        <w:rPr>
          <w:sz w:val="24"/>
          <w:u w:val="single"/>
          <w:lang w:bidi="ar"/>
        </w:rPr>
        <w:t>12</w:t>
      </w:r>
      <w:r>
        <w:rPr>
          <w:rFonts w:hint="eastAsia"/>
          <w:sz w:val="24"/>
          <w:u w:val="single"/>
          <w:lang w:bidi="ar"/>
        </w:rPr>
        <w:t>:00</w:t>
      </w:r>
      <w:r>
        <w:rPr>
          <w:sz w:val="24"/>
          <w:lang w:bidi="ar"/>
        </w:rPr>
        <w:t>至</w:t>
      </w:r>
      <w:r>
        <w:rPr>
          <w:sz w:val="24"/>
          <w:u w:val="single"/>
          <w:lang w:bidi="ar"/>
        </w:rPr>
        <w:t>17</w:t>
      </w:r>
      <w:r>
        <w:rPr>
          <w:rFonts w:hint="eastAsia"/>
          <w:sz w:val="24"/>
          <w:u w:val="single"/>
          <w:lang w:bidi="ar"/>
        </w:rPr>
        <w:t>:00</w:t>
      </w:r>
      <w:r>
        <w:rPr>
          <w:sz w:val="24"/>
          <w:lang w:bidi="ar"/>
        </w:rPr>
        <w:t>（北京时间，法定节假日除外）。</w:t>
      </w:r>
    </w:p>
    <w:p w14:paraId="1E84E497">
      <w:pPr>
        <w:widowControl/>
        <w:adjustRightInd w:val="0"/>
        <w:snapToGrid w:val="0"/>
        <w:spacing w:line="360" w:lineRule="auto"/>
        <w:ind w:firstLine="480" w:firstLineChars="200"/>
        <w:jc w:val="left"/>
        <w:rPr>
          <w:sz w:val="24"/>
          <w:lang w:bidi="ar"/>
        </w:rPr>
      </w:pPr>
      <w:r>
        <w:rPr>
          <w:rFonts w:hint="eastAsia"/>
          <w:sz w:val="24"/>
          <w:lang w:bidi="ar"/>
        </w:rPr>
        <w:t>2.地点：北京市政府采购电子交易平台</w:t>
      </w:r>
    </w:p>
    <w:p w14:paraId="2B41B343">
      <w:pPr>
        <w:widowControl/>
        <w:adjustRightInd w:val="0"/>
        <w:snapToGrid w:val="0"/>
        <w:spacing w:line="360" w:lineRule="auto"/>
        <w:ind w:firstLine="480" w:firstLineChars="200"/>
        <w:jc w:val="left"/>
        <w:rPr>
          <w:sz w:val="24"/>
          <w:lang w:bidi="ar"/>
        </w:rPr>
      </w:pPr>
      <w:r>
        <w:rPr>
          <w:rFonts w:hint="eastAsia"/>
          <w:sz w:val="24"/>
          <w:lang w:bidi="ar"/>
        </w:rPr>
        <w:t>3.方式：供应商使用CA数字证书或电子营业执照登录北京市政府采购电子交易平台（http://zbcg-bjzc.zhongcy.com/bjczj-portal-site/index.html#/home）获取电子版竞争性磋商文件。</w:t>
      </w:r>
    </w:p>
    <w:p w14:paraId="72A84933">
      <w:pPr>
        <w:widowControl/>
        <w:adjustRightInd w:val="0"/>
        <w:snapToGrid w:val="0"/>
        <w:spacing w:line="360" w:lineRule="auto"/>
        <w:ind w:firstLine="480" w:firstLineChars="200"/>
        <w:jc w:val="left"/>
        <w:rPr>
          <w:sz w:val="24"/>
        </w:rPr>
      </w:pPr>
      <w:r>
        <w:rPr>
          <w:sz w:val="24"/>
          <w:lang w:bidi="ar"/>
        </w:rPr>
        <w:t>4.售价：</w:t>
      </w:r>
      <w:r>
        <w:rPr>
          <w:rFonts w:hint="eastAsia"/>
          <w:sz w:val="24"/>
          <w:lang w:bidi="ar"/>
        </w:rPr>
        <w:t>￥0.00元（人民币）</w:t>
      </w:r>
      <w:r>
        <w:rPr>
          <w:sz w:val="24"/>
          <w:lang w:bidi="ar"/>
        </w:rPr>
        <w:t>。</w:t>
      </w:r>
    </w:p>
    <w:p w14:paraId="2FE96B16">
      <w:pPr>
        <w:tabs>
          <w:tab w:val="left" w:pos="900"/>
          <w:tab w:val="left" w:pos="1980"/>
        </w:tabs>
        <w:snapToGrid w:val="0"/>
        <w:spacing w:line="360" w:lineRule="auto"/>
        <w:ind w:left="840"/>
        <w:rPr>
          <w:sz w:val="24"/>
        </w:rPr>
      </w:pPr>
    </w:p>
    <w:p w14:paraId="0F86887C">
      <w:pPr>
        <w:pStyle w:val="3"/>
        <w:widowControl/>
        <w:spacing w:before="0" w:line="360" w:lineRule="auto"/>
        <w:jc w:val="left"/>
        <w:rPr>
          <w:rFonts w:ascii="Times New Roman" w:hAnsi="Times New Roman" w:eastAsia="宋体"/>
          <w:sz w:val="24"/>
          <w:szCs w:val="24"/>
        </w:rPr>
      </w:pPr>
      <w:bookmarkStart w:id="18" w:name="_Toc35393624"/>
      <w:bookmarkStart w:id="19" w:name="_Toc28359005"/>
      <w:bookmarkStart w:id="20" w:name="_Toc35393793"/>
      <w:bookmarkStart w:id="21" w:name="_Toc28359082"/>
      <w:r>
        <w:rPr>
          <w:rFonts w:ascii="Times New Roman" w:hAnsi="Times New Roman" w:eastAsia="宋体"/>
          <w:sz w:val="24"/>
          <w:szCs w:val="24"/>
        </w:rPr>
        <w:t>四、</w:t>
      </w:r>
      <w:bookmarkEnd w:id="18"/>
      <w:bookmarkEnd w:id="19"/>
      <w:bookmarkEnd w:id="20"/>
      <w:bookmarkEnd w:id="21"/>
      <w:r>
        <w:rPr>
          <w:rFonts w:ascii="Times New Roman" w:hAnsi="Times New Roman" w:eastAsia="宋体"/>
          <w:sz w:val="24"/>
          <w:szCs w:val="24"/>
        </w:rPr>
        <w:t>响应文件提交</w:t>
      </w:r>
    </w:p>
    <w:p w14:paraId="2C2756C5">
      <w:pPr>
        <w:spacing w:line="360" w:lineRule="auto"/>
        <w:ind w:firstLine="480" w:firstLineChars="200"/>
        <w:rPr>
          <w:bCs/>
          <w:sz w:val="24"/>
          <w:u w:val="single"/>
        </w:rPr>
      </w:pPr>
      <w:r>
        <w:rPr>
          <w:sz w:val="24"/>
          <w:lang w:bidi="ar"/>
        </w:rPr>
        <w:t>截止时间：</w:t>
      </w:r>
      <w:r>
        <w:rPr>
          <w:rFonts w:hint="eastAsia"/>
          <w:sz w:val="24"/>
          <w:u w:val="single"/>
        </w:rPr>
        <w:t>2026</w:t>
      </w:r>
      <w:r>
        <w:rPr>
          <w:sz w:val="24"/>
          <w:lang w:bidi="ar"/>
        </w:rPr>
        <w:t>年</w:t>
      </w:r>
      <w:r>
        <w:rPr>
          <w:rFonts w:hint="eastAsia"/>
          <w:sz w:val="24"/>
          <w:u w:val="single"/>
        </w:rPr>
        <w:t>3</w:t>
      </w:r>
      <w:r>
        <w:rPr>
          <w:sz w:val="24"/>
          <w:lang w:bidi="ar"/>
        </w:rPr>
        <w:t>月</w:t>
      </w:r>
      <w:r>
        <w:rPr>
          <w:rFonts w:hint="eastAsia"/>
          <w:sz w:val="24"/>
          <w:u w:val="single"/>
        </w:rPr>
        <w:t>24</w:t>
      </w:r>
      <w:r>
        <w:rPr>
          <w:sz w:val="24"/>
          <w:lang w:bidi="ar"/>
        </w:rPr>
        <w:t>日</w:t>
      </w:r>
      <w:r>
        <w:rPr>
          <w:rFonts w:hint="eastAsia"/>
          <w:sz w:val="24"/>
          <w:u w:val="single"/>
        </w:rPr>
        <w:t>09</w:t>
      </w:r>
      <w:r>
        <w:rPr>
          <w:sz w:val="24"/>
          <w:lang w:bidi="ar"/>
        </w:rPr>
        <w:t>点</w:t>
      </w:r>
      <w:r>
        <w:rPr>
          <w:rFonts w:hint="eastAsia"/>
          <w:sz w:val="24"/>
          <w:u w:val="single"/>
        </w:rPr>
        <w:t>30</w:t>
      </w:r>
      <w:r>
        <w:rPr>
          <w:sz w:val="24"/>
          <w:lang w:bidi="ar"/>
        </w:rPr>
        <w:t>分</w:t>
      </w:r>
      <w:r>
        <w:rPr>
          <w:bCs/>
          <w:sz w:val="24"/>
          <w:lang w:bidi="ar"/>
        </w:rPr>
        <w:t>（北京时间）</w:t>
      </w:r>
      <w:r>
        <w:rPr>
          <w:iCs/>
          <w:sz w:val="24"/>
          <w:lang w:bidi="ar"/>
        </w:rPr>
        <w:t>。</w:t>
      </w:r>
    </w:p>
    <w:p w14:paraId="2127B025">
      <w:pPr>
        <w:spacing w:line="360" w:lineRule="auto"/>
        <w:ind w:firstLine="480" w:firstLineChars="200"/>
        <w:rPr>
          <w:sz w:val="24"/>
          <w:lang w:val="zh-TW" w:bidi="ar"/>
        </w:rPr>
      </w:pPr>
      <w:r>
        <w:rPr>
          <w:sz w:val="24"/>
          <w:lang w:bidi="ar"/>
        </w:rPr>
        <w:t>地点：</w:t>
      </w:r>
      <w:r>
        <w:rPr>
          <w:rFonts w:hint="eastAsia"/>
          <w:sz w:val="24"/>
          <w:u w:val="single"/>
        </w:rPr>
        <w:t>北京市丰台区西四环南路101号创新大厦</w:t>
      </w:r>
      <w:r>
        <w:rPr>
          <w:sz w:val="24"/>
          <w:lang w:val="zh-TW" w:bidi="ar"/>
        </w:rPr>
        <w:t>。</w:t>
      </w:r>
    </w:p>
    <w:p w14:paraId="3E922B5B">
      <w:pPr>
        <w:spacing w:line="360" w:lineRule="auto"/>
        <w:ind w:firstLine="480" w:firstLineChars="200"/>
        <w:rPr>
          <w:sz w:val="24"/>
          <w:lang w:val="zh-TW" w:bidi="ar"/>
        </w:rPr>
      </w:pPr>
      <w:r>
        <w:rPr>
          <w:rFonts w:hint="eastAsia"/>
          <w:sz w:val="24"/>
          <w:lang w:val="zh-TW" w:bidi="ar"/>
        </w:rPr>
        <w:t>采用线下纸质版递交响应文件形式开标。</w:t>
      </w:r>
    </w:p>
    <w:p w14:paraId="0CA6112E">
      <w:pPr>
        <w:pStyle w:val="3"/>
        <w:spacing w:before="0" w:line="360" w:lineRule="auto"/>
        <w:jc w:val="left"/>
        <w:rPr>
          <w:rFonts w:ascii="Times New Roman" w:hAnsi="Times New Roman" w:eastAsia="宋体"/>
          <w:sz w:val="24"/>
          <w:szCs w:val="24"/>
        </w:rPr>
      </w:pPr>
      <w:r>
        <w:rPr>
          <w:rFonts w:ascii="Times New Roman" w:hAnsi="Times New Roman" w:eastAsia="宋体"/>
          <w:sz w:val="24"/>
          <w:szCs w:val="24"/>
        </w:rPr>
        <w:t>五、开启</w:t>
      </w:r>
    </w:p>
    <w:p w14:paraId="103BEFC7">
      <w:pPr>
        <w:spacing w:line="360" w:lineRule="auto"/>
        <w:ind w:firstLine="480" w:firstLineChars="200"/>
        <w:rPr>
          <w:bCs/>
          <w:sz w:val="24"/>
          <w:u w:val="single"/>
        </w:rPr>
      </w:pPr>
      <w:r>
        <w:rPr>
          <w:sz w:val="24"/>
          <w:lang w:bidi="ar"/>
        </w:rPr>
        <w:t>时间：</w:t>
      </w:r>
      <w:r>
        <w:rPr>
          <w:rFonts w:hint="eastAsia"/>
          <w:sz w:val="24"/>
          <w:u w:val="single"/>
        </w:rPr>
        <w:t>2026</w:t>
      </w:r>
      <w:r>
        <w:rPr>
          <w:sz w:val="24"/>
          <w:lang w:bidi="ar"/>
        </w:rPr>
        <w:t>年</w:t>
      </w:r>
      <w:r>
        <w:rPr>
          <w:rFonts w:hint="eastAsia"/>
          <w:sz w:val="24"/>
          <w:u w:val="single"/>
        </w:rPr>
        <w:t>3</w:t>
      </w:r>
      <w:r>
        <w:rPr>
          <w:sz w:val="24"/>
          <w:lang w:bidi="ar"/>
        </w:rPr>
        <w:t>月</w:t>
      </w:r>
      <w:r>
        <w:rPr>
          <w:rFonts w:hint="eastAsia"/>
          <w:sz w:val="24"/>
          <w:u w:val="single"/>
        </w:rPr>
        <w:t>24</w:t>
      </w:r>
      <w:r>
        <w:rPr>
          <w:sz w:val="24"/>
          <w:lang w:bidi="ar"/>
        </w:rPr>
        <w:t>日</w:t>
      </w:r>
      <w:r>
        <w:rPr>
          <w:rFonts w:hint="eastAsia"/>
          <w:sz w:val="24"/>
          <w:u w:val="single"/>
        </w:rPr>
        <w:t>09</w:t>
      </w:r>
      <w:r>
        <w:rPr>
          <w:sz w:val="24"/>
          <w:lang w:bidi="ar"/>
        </w:rPr>
        <w:t>点</w:t>
      </w:r>
      <w:r>
        <w:rPr>
          <w:rFonts w:hint="eastAsia"/>
          <w:sz w:val="24"/>
          <w:u w:val="single"/>
        </w:rPr>
        <w:t>30</w:t>
      </w:r>
      <w:r>
        <w:rPr>
          <w:sz w:val="24"/>
          <w:lang w:bidi="ar"/>
        </w:rPr>
        <w:t>分</w:t>
      </w:r>
      <w:r>
        <w:rPr>
          <w:bCs/>
          <w:sz w:val="24"/>
          <w:lang w:bidi="ar"/>
        </w:rPr>
        <w:t>（北京时间）</w:t>
      </w:r>
      <w:r>
        <w:rPr>
          <w:iCs/>
          <w:sz w:val="24"/>
          <w:lang w:bidi="ar"/>
        </w:rPr>
        <w:t>。</w:t>
      </w:r>
    </w:p>
    <w:p w14:paraId="497B860B">
      <w:pPr>
        <w:spacing w:line="360" w:lineRule="auto"/>
        <w:ind w:firstLine="480" w:firstLineChars="200"/>
        <w:rPr>
          <w:sz w:val="24"/>
          <w:lang w:val="zh-TW" w:bidi="ar"/>
        </w:rPr>
      </w:pPr>
      <w:r>
        <w:rPr>
          <w:sz w:val="24"/>
          <w:lang w:bidi="ar"/>
        </w:rPr>
        <w:t>地点：</w:t>
      </w:r>
      <w:r>
        <w:rPr>
          <w:rFonts w:hint="eastAsia"/>
          <w:sz w:val="24"/>
          <w:u w:val="single"/>
        </w:rPr>
        <w:t>北京市丰台区西四环南路101号创新大厦</w:t>
      </w:r>
      <w:r>
        <w:rPr>
          <w:sz w:val="24"/>
          <w:lang w:val="zh-TW" w:bidi="ar"/>
        </w:rPr>
        <w:t>。</w:t>
      </w:r>
    </w:p>
    <w:p w14:paraId="1A8287D5">
      <w:pPr>
        <w:spacing w:line="360" w:lineRule="auto"/>
        <w:ind w:firstLine="480" w:firstLineChars="200"/>
        <w:rPr>
          <w:bCs/>
          <w:sz w:val="24"/>
          <w:u w:val="single"/>
        </w:rPr>
      </w:pPr>
    </w:p>
    <w:p w14:paraId="1912BBDC">
      <w:pPr>
        <w:pStyle w:val="3"/>
        <w:spacing w:before="0" w:line="360" w:lineRule="auto"/>
        <w:jc w:val="left"/>
        <w:rPr>
          <w:rFonts w:ascii="Times New Roman" w:hAnsi="Times New Roman" w:eastAsia="宋体"/>
          <w:sz w:val="24"/>
          <w:szCs w:val="24"/>
        </w:rPr>
      </w:pPr>
      <w:bookmarkStart w:id="22" w:name="_Toc35393794"/>
      <w:bookmarkStart w:id="23" w:name="_Toc28359007"/>
      <w:bookmarkStart w:id="24" w:name="_Toc28359084"/>
      <w:bookmarkStart w:id="25" w:name="_Toc35393625"/>
      <w:r>
        <w:rPr>
          <w:rFonts w:ascii="Times New Roman" w:hAnsi="Times New Roman" w:eastAsia="宋体"/>
          <w:sz w:val="24"/>
          <w:szCs w:val="24"/>
        </w:rPr>
        <w:t>六、公告期限</w:t>
      </w:r>
      <w:bookmarkEnd w:id="22"/>
      <w:bookmarkEnd w:id="23"/>
      <w:bookmarkEnd w:id="24"/>
      <w:bookmarkEnd w:id="25"/>
    </w:p>
    <w:p w14:paraId="1781483A">
      <w:pPr>
        <w:spacing w:line="360" w:lineRule="auto"/>
        <w:ind w:firstLine="480" w:firstLineChars="200"/>
        <w:rPr>
          <w:kern w:val="0"/>
          <w:sz w:val="24"/>
        </w:rPr>
      </w:pPr>
      <w:r>
        <w:rPr>
          <w:kern w:val="0"/>
          <w:sz w:val="24"/>
        </w:rPr>
        <w:t>自本公告发布之日起3个工作日。</w:t>
      </w:r>
    </w:p>
    <w:p w14:paraId="08AB7995">
      <w:pPr>
        <w:spacing w:line="360" w:lineRule="auto"/>
        <w:ind w:firstLine="480" w:firstLineChars="200"/>
        <w:rPr>
          <w:kern w:val="0"/>
          <w:sz w:val="24"/>
        </w:rPr>
      </w:pPr>
    </w:p>
    <w:p w14:paraId="4FCB363B">
      <w:pPr>
        <w:pStyle w:val="3"/>
        <w:spacing w:before="0" w:line="360" w:lineRule="auto"/>
        <w:jc w:val="left"/>
        <w:rPr>
          <w:rFonts w:ascii="Times New Roman" w:hAnsi="Times New Roman" w:eastAsia="宋体"/>
          <w:sz w:val="24"/>
          <w:szCs w:val="24"/>
        </w:rPr>
      </w:pPr>
      <w:bookmarkStart w:id="26" w:name="_Toc35393795"/>
      <w:bookmarkStart w:id="27" w:name="_Toc35393626"/>
      <w:r>
        <w:rPr>
          <w:rFonts w:ascii="Times New Roman" w:hAnsi="Times New Roman" w:eastAsia="宋体"/>
          <w:sz w:val="24"/>
          <w:szCs w:val="24"/>
        </w:rPr>
        <w:t>七、其他补充事宜</w:t>
      </w:r>
      <w:bookmarkEnd w:id="26"/>
      <w:bookmarkEnd w:id="27"/>
    </w:p>
    <w:p w14:paraId="2A01E2FC">
      <w:pPr>
        <w:spacing w:line="360" w:lineRule="auto"/>
        <w:ind w:firstLine="480" w:firstLineChars="200"/>
        <w:rPr>
          <w:sz w:val="24"/>
        </w:rPr>
      </w:pPr>
      <w:r>
        <w:rPr>
          <w:sz w:val="24"/>
        </w:rPr>
        <w:t>1 本项目需要落实的政府采购政策：</w:t>
      </w:r>
      <w:r>
        <w:rPr>
          <w:rFonts w:hint="eastAsia"/>
          <w:sz w:val="24"/>
        </w:rPr>
        <w:t>《中华人民共和国政府采购法》（主席令第68号）、《中华人民共和国政府采购法实施条例》（中华人民共和国国务院令第658号）、《政府采购竞争性磋商采购方式管理暂行办法》（财库〔2014〕214号）、《关于中国环境标志产品政府采购实施的意见》（财库[2006]90号）、《国务院办公厅关于建立政府强制采购节能产品制度的通知》（国办发【2007】51号）、关于印发《政府采购促进中小企业发展管理办法》的通知（财库【2020】46号）、《财政部、司法部关于政府采购支持监狱企业发展有关问题的通知》（财库【2014】68号）、《北京市财政局中国人民银行营业管理部关于推进政府采购合同线上融资有关工作的通知》（京财采购[2023]637号）“政采贷”相关政策。</w:t>
      </w:r>
    </w:p>
    <w:p w14:paraId="2B695F0B">
      <w:pPr>
        <w:spacing w:line="360" w:lineRule="auto"/>
        <w:ind w:firstLine="480" w:firstLineChars="200"/>
        <w:rPr>
          <w:sz w:val="24"/>
        </w:rPr>
      </w:pPr>
      <w:r>
        <w:rPr>
          <w:rFonts w:hint="eastAsia"/>
          <w:sz w:val="24"/>
        </w:rPr>
        <w:t>2.本项目采用电子化与线下流程结合招标方式，相关操作如下：</w:t>
      </w:r>
    </w:p>
    <w:p w14:paraId="66F1237B">
      <w:pPr>
        <w:spacing w:line="360" w:lineRule="auto"/>
        <w:ind w:firstLine="480" w:firstLineChars="200"/>
        <w:rPr>
          <w:sz w:val="24"/>
        </w:rPr>
      </w:pPr>
      <w:r>
        <w:rPr>
          <w:rFonts w:hint="eastAsia"/>
          <w:sz w:val="24"/>
        </w:rPr>
        <w:t>2.1办理CA认证证书</w:t>
      </w:r>
    </w:p>
    <w:p w14:paraId="42C34B43">
      <w:pPr>
        <w:spacing w:line="360" w:lineRule="auto"/>
        <w:ind w:firstLine="480" w:firstLineChars="200"/>
        <w:rPr>
          <w:sz w:val="24"/>
        </w:rPr>
      </w:pPr>
      <w:r>
        <w:rPr>
          <w:rFonts w:hint="eastAsia"/>
          <w:sz w:val="24"/>
        </w:rPr>
        <w:t>供应商登录北京市政府采购电子交易平台查阅“用户指南”—“操作指南”—“市场主体CA办理操作流程指引”，按照程序要求办理。</w:t>
      </w:r>
    </w:p>
    <w:p w14:paraId="7F5AF601">
      <w:pPr>
        <w:spacing w:line="360" w:lineRule="auto"/>
        <w:ind w:firstLine="480" w:firstLineChars="200"/>
        <w:rPr>
          <w:sz w:val="24"/>
        </w:rPr>
      </w:pPr>
      <w:r>
        <w:rPr>
          <w:rFonts w:hint="eastAsia"/>
          <w:sz w:val="24"/>
        </w:rPr>
        <w:t>2.2注册</w:t>
      </w:r>
    </w:p>
    <w:p w14:paraId="0E44D259">
      <w:pPr>
        <w:spacing w:line="360" w:lineRule="auto"/>
        <w:ind w:firstLine="480" w:firstLineChars="200"/>
        <w:rPr>
          <w:sz w:val="24"/>
        </w:rPr>
      </w:pPr>
      <w:r>
        <w:rPr>
          <w:rFonts w:hint="eastAsia"/>
          <w:sz w:val="24"/>
        </w:rPr>
        <w:t>供应商登录北京市政府采购电子交易平台“用户指南”—“操作指南”—“市场主体注册入库操作流程指引”进行自助注册绑定。</w:t>
      </w:r>
    </w:p>
    <w:p w14:paraId="28639B3E">
      <w:pPr>
        <w:spacing w:line="360" w:lineRule="auto"/>
        <w:ind w:firstLine="480" w:firstLineChars="200"/>
        <w:rPr>
          <w:sz w:val="24"/>
        </w:rPr>
      </w:pPr>
      <w:r>
        <w:rPr>
          <w:rFonts w:hint="eastAsia"/>
          <w:sz w:val="24"/>
        </w:rPr>
        <w:t>2.3驱动、客户端下载</w:t>
      </w:r>
    </w:p>
    <w:p w14:paraId="3D9C5894">
      <w:pPr>
        <w:spacing w:line="360" w:lineRule="auto"/>
        <w:ind w:firstLine="480" w:firstLineChars="200"/>
        <w:rPr>
          <w:sz w:val="24"/>
        </w:rPr>
      </w:pPr>
      <w:r>
        <w:rPr>
          <w:rFonts w:hint="eastAsia"/>
          <w:sz w:val="24"/>
        </w:rPr>
        <w:t>供应商登录北京市政府采购电子交易平台“用户指南”—“工具下载”—“招标采购系统文件驱动安装包”下载相关驱动。</w:t>
      </w:r>
    </w:p>
    <w:p w14:paraId="6F9BC964">
      <w:pPr>
        <w:spacing w:line="360" w:lineRule="auto"/>
        <w:ind w:firstLine="480" w:firstLineChars="200"/>
        <w:rPr>
          <w:sz w:val="24"/>
        </w:rPr>
      </w:pPr>
      <w:r>
        <w:rPr>
          <w:rFonts w:hint="eastAsia"/>
          <w:sz w:val="24"/>
        </w:rPr>
        <w:t>供应商登录北京市政府采购电子交易平台“用户指南”—“工具下载”—“投标文件编制工具”下载相关客户端。</w:t>
      </w:r>
    </w:p>
    <w:p w14:paraId="78E4D2AF">
      <w:pPr>
        <w:spacing w:line="360" w:lineRule="auto"/>
        <w:ind w:firstLine="480" w:firstLineChars="200"/>
        <w:rPr>
          <w:sz w:val="24"/>
        </w:rPr>
      </w:pPr>
      <w:r>
        <w:rPr>
          <w:rFonts w:hint="eastAsia"/>
          <w:sz w:val="24"/>
        </w:rPr>
        <w:t>2.4 获取电子竞争性磋商文件</w:t>
      </w:r>
    </w:p>
    <w:p w14:paraId="5FD19D2D">
      <w:pPr>
        <w:spacing w:line="360" w:lineRule="auto"/>
        <w:ind w:firstLine="480" w:firstLineChars="200"/>
        <w:rPr>
          <w:sz w:val="24"/>
        </w:rPr>
      </w:pPr>
      <w:r>
        <w:rPr>
          <w:rFonts w:hint="eastAsia"/>
          <w:sz w:val="24"/>
        </w:rPr>
        <w:t>供应商持CA数字认证证书登录北京市政府采购电子交易平台获取电子竞争性磋商文件。未在规定期限内通过电子交易平台获取竞争性磋商文件的响应无效。</w:t>
      </w:r>
    </w:p>
    <w:p w14:paraId="5E63CCC5">
      <w:pPr>
        <w:spacing w:line="360" w:lineRule="auto"/>
        <w:ind w:firstLine="480" w:firstLineChars="200"/>
        <w:rPr>
          <w:sz w:val="24"/>
        </w:rPr>
      </w:pPr>
      <w:r>
        <w:rPr>
          <w:rFonts w:hint="eastAsia"/>
          <w:sz w:val="24"/>
        </w:rPr>
        <w:t>CA认证证书服务热线 010-58511086</w:t>
      </w:r>
    </w:p>
    <w:p w14:paraId="1F289AAF">
      <w:pPr>
        <w:spacing w:line="360" w:lineRule="auto"/>
        <w:ind w:firstLine="480" w:firstLineChars="200"/>
        <w:rPr>
          <w:sz w:val="24"/>
        </w:rPr>
      </w:pPr>
      <w:r>
        <w:rPr>
          <w:rFonts w:hint="eastAsia"/>
          <w:sz w:val="24"/>
        </w:rPr>
        <w:t>技术支持服务热线    010-86483801</w:t>
      </w:r>
    </w:p>
    <w:p w14:paraId="1B556854">
      <w:pPr>
        <w:spacing w:line="360" w:lineRule="auto"/>
        <w:ind w:firstLine="480" w:firstLineChars="200"/>
        <w:rPr>
          <w:sz w:val="24"/>
        </w:rPr>
      </w:pPr>
      <w:r>
        <w:rPr>
          <w:rFonts w:hint="eastAsia"/>
          <w:sz w:val="24"/>
        </w:rPr>
        <w:t>3 关注成功后请登录网址</w:t>
      </w:r>
    </w:p>
    <w:p w14:paraId="33003289">
      <w:pPr>
        <w:spacing w:line="360" w:lineRule="auto"/>
        <w:ind w:firstLine="480" w:firstLineChars="200"/>
        <w:rPr>
          <w:sz w:val="24"/>
        </w:rPr>
      </w:pPr>
      <w:r>
        <w:rPr>
          <w:rFonts w:hint="eastAsia"/>
          <w:sz w:val="24"/>
        </w:rPr>
        <w:t>（http://39.97.225.57/qpoaweb/prg/gys/baoming.aspx?id=4982FCeh）在网上提交信息后将磋商保证金打入下方账户（请公对公转账）。</w:t>
      </w:r>
    </w:p>
    <w:p w14:paraId="02313462">
      <w:pPr>
        <w:spacing w:line="360" w:lineRule="auto"/>
        <w:ind w:firstLine="480" w:firstLineChars="200"/>
        <w:rPr>
          <w:sz w:val="24"/>
        </w:rPr>
      </w:pPr>
      <w:r>
        <w:rPr>
          <w:rFonts w:hint="eastAsia"/>
          <w:sz w:val="24"/>
        </w:rPr>
        <w:t>账户名称：中融国远招标有限公司</w:t>
      </w:r>
    </w:p>
    <w:p w14:paraId="1CD07FD3">
      <w:pPr>
        <w:spacing w:line="360" w:lineRule="auto"/>
        <w:ind w:firstLine="480" w:firstLineChars="200"/>
        <w:rPr>
          <w:sz w:val="24"/>
        </w:rPr>
      </w:pPr>
      <w:r>
        <w:rPr>
          <w:rFonts w:hint="eastAsia"/>
          <w:sz w:val="24"/>
        </w:rPr>
        <w:t>开 户 行：中国民生银行北京安定门支行</w:t>
      </w:r>
    </w:p>
    <w:p w14:paraId="5A543046">
      <w:pPr>
        <w:spacing w:line="360" w:lineRule="auto"/>
        <w:ind w:firstLine="480" w:firstLineChars="200"/>
        <w:rPr>
          <w:sz w:val="24"/>
        </w:rPr>
      </w:pPr>
      <w:r>
        <w:rPr>
          <w:rFonts w:hint="eastAsia"/>
          <w:sz w:val="24"/>
        </w:rPr>
        <w:t>账    号：0108 0141 7002 4760</w:t>
      </w:r>
    </w:p>
    <w:p w14:paraId="09F51ECC">
      <w:pPr>
        <w:spacing w:line="360" w:lineRule="auto"/>
        <w:ind w:firstLine="480" w:firstLineChars="200"/>
        <w:rPr>
          <w:sz w:val="24"/>
        </w:rPr>
      </w:pPr>
    </w:p>
    <w:p w14:paraId="33AF172B">
      <w:pPr>
        <w:spacing w:line="360" w:lineRule="auto"/>
        <w:ind w:firstLine="480" w:firstLineChars="200"/>
        <w:rPr>
          <w:sz w:val="24"/>
          <w:lang w:eastAsia="zh-TW"/>
        </w:rPr>
      </w:pPr>
      <w:r>
        <w:rPr>
          <w:rFonts w:hint="eastAsia"/>
          <w:sz w:val="24"/>
        </w:rPr>
        <w:t>注：本公告同时在中国政府采购网（http://www.ccgp.gov.cn）、北京市政府采购网（http://www.ccgp-beijing.gov.cn/）发布。</w:t>
      </w:r>
    </w:p>
    <w:p w14:paraId="482F3E06">
      <w:pPr>
        <w:spacing w:line="360" w:lineRule="auto"/>
        <w:ind w:firstLine="480" w:firstLineChars="200"/>
        <w:rPr>
          <w:sz w:val="24"/>
        </w:rPr>
      </w:pPr>
    </w:p>
    <w:p w14:paraId="03F2D6E2">
      <w:pPr>
        <w:pStyle w:val="3"/>
        <w:spacing w:before="0" w:line="360" w:lineRule="auto"/>
        <w:jc w:val="left"/>
        <w:rPr>
          <w:rFonts w:ascii="Times New Roman" w:hAnsi="Times New Roman" w:eastAsia="宋体"/>
          <w:sz w:val="24"/>
          <w:szCs w:val="24"/>
        </w:rPr>
      </w:pPr>
      <w:bookmarkStart w:id="28" w:name="_Toc28359085"/>
      <w:bookmarkStart w:id="29" w:name="_Toc28359008"/>
      <w:bookmarkStart w:id="30" w:name="_Toc35393627"/>
      <w:bookmarkStart w:id="31" w:name="_Toc35393796"/>
      <w:r>
        <w:rPr>
          <w:rFonts w:ascii="Times New Roman" w:hAnsi="Times New Roman" w:eastAsia="宋体"/>
          <w:sz w:val="24"/>
          <w:szCs w:val="24"/>
        </w:rPr>
        <w:t>八、对本次采购提出询问，请按以下方式联系。</w:t>
      </w:r>
      <w:bookmarkEnd w:id="28"/>
      <w:bookmarkEnd w:id="29"/>
      <w:bookmarkEnd w:id="30"/>
      <w:bookmarkEnd w:id="31"/>
    </w:p>
    <w:p w14:paraId="1C2C55F8">
      <w:pPr>
        <w:widowControl/>
        <w:spacing w:line="360" w:lineRule="auto"/>
        <w:jc w:val="left"/>
        <w:rPr>
          <w:b/>
          <w:sz w:val="24"/>
        </w:rPr>
      </w:pPr>
      <w:r>
        <w:rPr>
          <w:sz w:val="24"/>
        </w:rPr>
        <w:t>　　　</w:t>
      </w:r>
      <w:r>
        <w:rPr>
          <w:b/>
          <w:sz w:val="24"/>
        </w:rPr>
        <w:t>1.采购人信息</w:t>
      </w:r>
    </w:p>
    <w:p w14:paraId="1647184D">
      <w:pPr>
        <w:spacing w:line="360" w:lineRule="auto"/>
        <w:ind w:left="1079" w:leftChars="371" w:hanging="300" w:hangingChars="125"/>
        <w:jc w:val="left"/>
        <w:rPr>
          <w:sz w:val="24"/>
        </w:rPr>
      </w:pPr>
      <w:bookmarkStart w:id="32" w:name="_Toc28359086"/>
      <w:bookmarkStart w:id="33" w:name="_Toc28359009"/>
      <w:r>
        <w:rPr>
          <w:sz w:val="24"/>
        </w:rPr>
        <w:t>名    称：</w:t>
      </w:r>
      <w:r>
        <w:rPr>
          <w:rFonts w:hint="eastAsia"/>
          <w:sz w:val="24"/>
          <w:u w:val="single"/>
        </w:rPr>
        <w:t>中国音乐学院</w:t>
      </w:r>
    </w:p>
    <w:p w14:paraId="5E9F3123">
      <w:pPr>
        <w:spacing w:line="360" w:lineRule="auto"/>
        <w:ind w:left="1079" w:leftChars="371" w:hanging="300" w:hangingChars="125"/>
        <w:jc w:val="left"/>
        <w:rPr>
          <w:sz w:val="24"/>
        </w:rPr>
      </w:pPr>
      <w:r>
        <w:rPr>
          <w:sz w:val="24"/>
        </w:rPr>
        <w:t>地    址：</w:t>
      </w:r>
      <w:r>
        <w:rPr>
          <w:rFonts w:hint="eastAsia"/>
          <w:sz w:val="24"/>
          <w:u w:val="single"/>
        </w:rPr>
        <w:t>北京市朝阳区安翔路1号</w:t>
      </w:r>
    </w:p>
    <w:p w14:paraId="0A0B5D5F">
      <w:pPr>
        <w:spacing w:line="360" w:lineRule="auto"/>
        <w:ind w:left="1079" w:leftChars="371" w:hanging="300" w:hangingChars="125"/>
        <w:jc w:val="left"/>
        <w:rPr>
          <w:sz w:val="24"/>
          <w:u w:val="single"/>
        </w:rPr>
      </w:pPr>
      <w:r>
        <w:rPr>
          <w:sz w:val="24"/>
        </w:rPr>
        <w:t>联系方式：</w:t>
      </w:r>
      <w:r>
        <w:rPr>
          <w:rFonts w:hint="eastAsia"/>
          <w:sz w:val="24"/>
          <w:u w:val="single"/>
        </w:rPr>
        <w:t>胡老师010-64887161</w:t>
      </w:r>
    </w:p>
    <w:p w14:paraId="07BD9891">
      <w:pPr>
        <w:spacing w:line="360" w:lineRule="auto"/>
        <w:ind w:left="1078" w:leftChars="371" w:hanging="299" w:hangingChars="124"/>
        <w:jc w:val="left"/>
        <w:rPr>
          <w:b/>
          <w:sz w:val="24"/>
        </w:rPr>
      </w:pPr>
      <w:r>
        <w:rPr>
          <w:b/>
          <w:sz w:val="24"/>
        </w:rPr>
        <w:t>2.采购代理机构信息</w:t>
      </w:r>
      <w:bookmarkEnd w:id="32"/>
      <w:bookmarkEnd w:id="33"/>
    </w:p>
    <w:p w14:paraId="6596386C">
      <w:pPr>
        <w:spacing w:line="360" w:lineRule="auto"/>
        <w:ind w:left="1079" w:leftChars="371" w:hanging="300" w:hangingChars="125"/>
        <w:jc w:val="left"/>
        <w:rPr>
          <w:sz w:val="24"/>
        </w:rPr>
      </w:pPr>
      <w:bookmarkStart w:id="34" w:name="_Toc28359010"/>
      <w:bookmarkStart w:id="35" w:name="_Toc28359087"/>
      <w:r>
        <w:rPr>
          <w:sz w:val="24"/>
        </w:rPr>
        <w:t>名    称：</w:t>
      </w:r>
      <w:r>
        <w:rPr>
          <w:sz w:val="24"/>
          <w:u w:val="single"/>
        </w:rPr>
        <w:t>中融国远招标有限公司</w:t>
      </w:r>
    </w:p>
    <w:p w14:paraId="58E09E3F">
      <w:pPr>
        <w:spacing w:line="360" w:lineRule="auto"/>
        <w:ind w:left="1079" w:leftChars="371" w:hanging="300" w:hangingChars="125"/>
        <w:jc w:val="left"/>
        <w:rPr>
          <w:sz w:val="24"/>
        </w:rPr>
      </w:pPr>
      <w:r>
        <w:rPr>
          <w:sz w:val="24"/>
        </w:rPr>
        <w:t>地    址：</w:t>
      </w:r>
      <w:r>
        <w:rPr>
          <w:rFonts w:hint="eastAsia"/>
          <w:sz w:val="24"/>
          <w:u w:val="single"/>
        </w:rPr>
        <w:t>北京市丰台区西四环南路101号创新大厦</w:t>
      </w:r>
    </w:p>
    <w:p w14:paraId="76F8C897">
      <w:pPr>
        <w:adjustRightInd w:val="0"/>
        <w:spacing w:line="360" w:lineRule="auto"/>
        <w:ind w:left="2039" w:leftChars="371" w:hanging="1260" w:hangingChars="525"/>
        <w:jc w:val="left"/>
        <w:rPr>
          <w:sz w:val="24"/>
          <w:u w:val="single"/>
        </w:rPr>
      </w:pPr>
      <w:r>
        <w:rPr>
          <w:sz w:val="24"/>
        </w:rPr>
        <w:t>联系方式：</w:t>
      </w:r>
      <w:r>
        <w:rPr>
          <w:rFonts w:hint="eastAsia"/>
          <w:sz w:val="24"/>
          <w:u w:val="single"/>
        </w:rPr>
        <w:t>王奎儒、吴晨阳、何元婧、李晓倩、赵子豪、祖浩轩</w:t>
      </w:r>
    </w:p>
    <w:p w14:paraId="65D78774">
      <w:pPr>
        <w:spacing w:line="360" w:lineRule="auto"/>
        <w:ind w:left="1258" w:leftChars="599" w:firstLine="660" w:firstLineChars="275"/>
        <w:jc w:val="left"/>
        <w:rPr>
          <w:sz w:val="24"/>
          <w:u w:val="single"/>
        </w:rPr>
      </w:pPr>
      <w:r>
        <w:rPr>
          <w:rFonts w:hint="eastAsia"/>
          <w:sz w:val="24"/>
          <w:u w:val="single"/>
        </w:rPr>
        <w:t>010-53388566、010-53388577</w:t>
      </w:r>
    </w:p>
    <w:p w14:paraId="63E0CA91">
      <w:pPr>
        <w:spacing w:line="360" w:lineRule="auto"/>
        <w:ind w:left="1080" w:leftChars="371" w:hanging="301" w:hangingChars="125"/>
        <w:jc w:val="left"/>
        <w:rPr>
          <w:b/>
          <w:sz w:val="24"/>
          <w:u w:val="single"/>
        </w:rPr>
      </w:pPr>
      <w:r>
        <w:rPr>
          <w:b/>
          <w:sz w:val="24"/>
        </w:rPr>
        <w:t>3.项目联系方式</w:t>
      </w:r>
      <w:bookmarkEnd w:id="34"/>
      <w:bookmarkEnd w:id="35"/>
    </w:p>
    <w:p w14:paraId="5064AA28">
      <w:pPr>
        <w:spacing w:line="360" w:lineRule="auto"/>
        <w:ind w:left="1079" w:leftChars="371" w:hanging="300" w:hangingChars="125"/>
        <w:jc w:val="left"/>
        <w:rPr>
          <w:sz w:val="24"/>
        </w:rPr>
      </w:pPr>
      <w:r>
        <w:rPr>
          <w:sz w:val="24"/>
        </w:rPr>
        <w:t>项目联系人：</w:t>
      </w:r>
      <w:r>
        <w:rPr>
          <w:rFonts w:hint="eastAsia"/>
          <w:sz w:val="24"/>
          <w:u w:val="single"/>
        </w:rPr>
        <w:t>王奎儒、吴晨阳、何元婧、李晓倩、赵子豪、祖浩轩</w:t>
      </w:r>
    </w:p>
    <w:p w14:paraId="4C7C14F4">
      <w:pPr>
        <w:spacing w:line="360" w:lineRule="auto"/>
        <w:ind w:left="1079" w:leftChars="371" w:hanging="300" w:hangingChars="125"/>
        <w:jc w:val="left"/>
        <w:rPr>
          <w:sz w:val="24"/>
        </w:rPr>
      </w:pPr>
      <w:r>
        <w:rPr>
          <w:sz w:val="24"/>
        </w:rPr>
        <w:t>电      话：</w:t>
      </w:r>
      <w:r>
        <w:rPr>
          <w:rFonts w:hint="eastAsia"/>
          <w:sz w:val="24"/>
          <w:u w:val="single"/>
        </w:rPr>
        <w:t>010-53388566、010-53388577</w:t>
      </w:r>
    </w:p>
    <w:p w14:paraId="3BF1D0DA">
      <w:pPr>
        <w:spacing w:line="360" w:lineRule="auto"/>
        <w:ind w:firstLine="5880" w:firstLineChars="2450"/>
        <w:jc w:val="right"/>
        <w:rPr>
          <w:sz w:val="24"/>
        </w:rPr>
      </w:pPr>
    </w:p>
    <w:p w14:paraId="2CDA7513">
      <w:pPr>
        <w:spacing w:line="360" w:lineRule="auto"/>
        <w:jc w:val="center"/>
        <w:outlineLvl w:val="0"/>
        <w:rPr>
          <w:b/>
          <w:sz w:val="32"/>
          <w:szCs w:val="32"/>
        </w:rPr>
      </w:pPr>
      <w:r>
        <w:rPr>
          <w:sz w:val="24"/>
        </w:rPr>
        <w:br w:type="page"/>
      </w:r>
      <w:bookmarkStart w:id="36" w:name="_Toc353873938"/>
      <w:bookmarkStart w:id="37" w:name="_Toc127151777"/>
      <w:bookmarkStart w:id="38" w:name="_Toc264969275"/>
      <w:bookmarkStart w:id="39" w:name="_Toc353825548"/>
      <w:bookmarkStart w:id="40" w:name="_Toc226965856"/>
      <w:bookmarkStart w:id="41" w:name="_Toc97371942"/>
      <w:bookmarkStart w:id="42" w:name="_Toc512937850"/>
      <w:bookmarkStart w:id="43" w:name="_Toc195842950"/>
      <w:bookmarkStart w:id="44" w:name="_Toc11348"/>
      <w:bookmarkStart w:id="45" w:name="_Toc150774783"/>
      <w:bookmarkStart w:id="46" w:name="_Toc127161488"/>
      <w:bookmarkStart w:id="47" w:name="_Toc15925"/>
      <w:bookmarkStart w:id="48" w:name="_Toc305158928"/>
      <w:bookmarkStart w:id="49" w:name="_Toc305158854"/>
      <w:bookmarkStart w:id="50" w:name="_Toc265228423"/>
      <w:r>
        <w:rPr>
          <w:b/>
          <w:sz w:val="36"/>
          <w:szCs w:val="36"/>
        </w:rPr>
        <w:t>第二章   供应商须知</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317FB086">
      <w:pPr>
        <w:pStyle w:val="3"/>
        <w:tabs>
          <w:tab w:val="center" w:pos="4592"/>
          <w:tab w:val="left" w:pos="7860"/>
        </w:tabs>
        <w:spacing w:before="0" w:line="360" w:lineRule="auto"/>
        <w:rPr>
          <w:rFonts w:ascii="Times New Roman" w:hAnsi="Times New Roman" w:eastAsia="宋体"/>
          <w:b w:val="0"/>
          <w:sz w:val="28"/>
        </w:rPr>
      </w:pPr>
      <w:bookmarkStart w:id="51" w:name="_Toc151190146"/>
      <w:bookmarkStart w:id="52" w:name="_Toc164229214"/>
      <w:bookmarkStart w:id="53" w:name="_Toc164351613"/>
      <w:bookmarkStart w:id="54" w:name="_Toc127151720"/>
      <w:bookmarkStart w:id="55" w:name="_Toc149720812"/>
      <w:bookmarkStart w:id="56" w:name="_Toc226965792"/>
      <w:bookmarkStart w:id="57" w:name="_Toc150774619"/>
      <w:bookmarkStart w:id="58" w:name="_Toc127161433"/>
      <w:bookmarkStart w:id="59" w:name="_Toc150480757"/>
      <w:bookmarkStart w:id="60" w:name="_Toc142311021"/>
      <w:bookmarkStart w:id="61" w:name="_Toc151193617"/>
      <w:bookmarkStart w:id="62" w:name="_Toc150774724"/>
      <w:bookmarkStart w:id="63" w:name="_Toc164608633"/>
      <w:bookmarkStart w:id="64" w:name="_Toc226309763"/>
      <w:bookmarkStart w:id="65" w:name="_Toc226337215"/>
      <w:bookmarkStart w:id="66" w:name="_Toc151193833"/>
      <w:bookmarkStart w:id="67" w:name="_Toc164608788"/>
      <w:bookmarkStart w:id="68" w:name="_Toc127151519"/>
      <w:bookmarkStart w:id="69" w:name="_Toc195842884"/>
      <w:bookmarkStart w:id="70" w:name="_Toc150509270"/>
      <w:bookmarkStart w:id="71" w:name="_Toc151193761"/>
      <w:bookmarkStart w:id="72" w:name="_Toc164229360"/>
      <w:bookmarkStart w:id="73" w:name="_Toc520356144"/>
      <w:bookmarkStart w:id="74" w:name="_Toc226965709"/>
      <w:bookmarkStart w:id="75" w:name="_Toc151193907"/>
      <w:bookmarkStart w:id="76" w:name="_Toc151193689"/>
      <w:r>
        <w:rPr>
          <w:rFonts w:ascii="Times New Roman" w:hAnsi="Times New Roman" w:eastAsia="宋体"/>
          <w:sz w:val="28"/>
        </w:rPr>
        <w:t>供应商须知资料表</w:t>
      </w:r>
    </w:p>
    <w:p w14:paraId="36245D31">
      <w:pPr>
        <w:jc w:val="center"/>
        <w:rPr>
          <w:b/>
          <w:sz w:val="28"/>
          <w:szCs w:val="28"/>
        </w:rPr>
      </w:pPr>
    </w:p>
    <w:p w14:paraId="46F81CCC">
      <w:pPr>
        <w:spacing w:line="360" w:lineRule="auto"/>
        <w:ind w:firstLine="480"/>
        <w:rPr>
          <w:sz w:val="24"/>
        </w:rPr>
      </w:pPr>
      <w:r>
        <w:rPr>
          <w:sz w:val="24"/>
        </w:rPr>
        <w:t>本表是对供应商须知的具体补充和修改，如有矛盾，均以本资料表为准。</w:t>
      </w:r>
    </w:p>
    <w:tbl>
      <w:tblPr>
        <w:tblStyle w:val="43"/>
        <w:tblW w:w="52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1456"/>
        <w:gridCol w:w="6573"/>
      </w:tblGrid>
      <w:tr w14:paraId="5985F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blHeader/>
          <w:jc w:val="center"/>
        </w:trPr>
        <w:tc>
          <w:tcPr>
            <w:tcW w:w="550" w:type="pct"/>
            <w:vAlign w:val="center"/>
          </w:tcPr>
          <w:p w14:paraId="1F88296E">
            <w:pPr>
              <w:jc w:val="center"/>
              <w:rPr>
                <w:b/>
                <w:bCs/>
                <w:sz w:val="24"/>
              </w:rPr>
            </w:pPr>
            <w:r>
              <w:rPr>
                <w:b/>
                <w:sz w:val="24"/>
              </w:rPr>
              <w:t>条款号</w:t>
            </w:r>
          </w:p>
        </w:tc>
        <w:tc>
          <w:tcPr>
            <w:tcW w:w="807" w:type="pct"/>
            <w:vAlign w:val="center"/>
          </w:tcPr>
          <w:p w14:paraId="26485101">
            <w:pPr>
              <w:jc w:val="center"/>
              <w:rPr>
                <w:b/>
                <w:bCs/>
                <w:sz w:val="24"/>
              </w:rPr>
            </w:pPr>
            <w:r>
              <w:rPr>
                <w:b/>
                <w:bCs/>
                <w:sz w:val="24"/>
              </w:rPr>
              <w:t>条目</w:t>
            </w:r>
          </w:p>
        </w:tc>
        <w:tc>
          <w:tcPr>
            <w:tcW w:w="3642" w:type="pct"/>
            <w:vAlign w:val="center"/>
          </w:tcPr>
          <w:p w14:paraId="66E0D744">
            <w:pPr>
              <w:jc w:val="center"/>
              <w:rPr>
                <w:b/>
                <w:bCs/>
                <w:sz w:val="24"/>
              </w:rPr>
            </w:pPr>
            <w:r>
              <w:rPr>
                <w:b/>
                <w:bCs/>
                <w:sz w:val="24"/>
              </w:rPr>
              <w:t>内容</w:t>
            </w:r>
          </w:p>
        </w:tc>
      </w:tr>
      <w:tr w14:paraId="5756D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vAlign w:val="center"/>
          </w:tcPr>
          <w:p w14:paraId="058620AA">
            <w:pPr>
              <w:pStyle w:val="24"/>
              <w:adjustRightInd w:val="0"/>
              <w:snapToGrid w:val="0"/>
              <w:jc w:val="center"/>
              <w:rPr>
                <w:rFonts w:hint="default" w:ascii="Times New Roman" w:hAnsi="Times New Roman"/>
                <w:sz w:val="24"/>
                <w:szCs w:val="24"/>
              </w:rPr>
            </w:pPr>
            <w:r>
              <w:rPr>
                <w:rFonts w:hint="default" w:ascii="Times New Roman" w:hAnsi="Times New Roman"/>
                <w:sz w:val="24"/>
                <w:szCs w:val="24"/>
              </w:rPr>
              <w:t>2.2</w:t>
            </w:r>
          </w:p>
        </w:tc>
        <w:tc>
          <w:tcPr>
            <w:tcW w:w="807" w:type="pct"/>
            <w:vAlign w:val="center"/>
          </w:tcPr>
          <w:p w14:paraId="7B68179E">
            <w:pPr>
              <w:jc w:val="center"/>
              <w:rPr>
                <w:sz w:val="24"/>
              </w:rPr>
            </w:pPr>
            <w:r>
              <w:rPr>
                <w:sz w:val="24"/>
              </w:rPr>
              <w:t>项目属性</w:t>
            </w:r>
          </w:p>
        </w:tc>
        <w:tc>
          <w:tcPr>
            <w:tcW w:w="3642" w:type="pct"/>
            <w:vAlign w:val="center"/>
          </w:tcPr>
          <w:p w14:paraId="607B9A65">
            <w:pPr>
              <w:jc w:val="left"/>
              <w:rPr>
                <w:sz w:val="24"/>
              </w:rPr>
            </w:pPr>
            <w:r>
              <w:rPr>
                <w:sz w:val="24"/>
              </w:rPr>
              <w:t>项目属性：□服务</w:t>
            </w:r>
            <w:r>
              <w:rPr>
                <w:rFonts w:hint="eastAsia"/>
                <w:sz w:val="24"/>
              </w:rPr>
              <w:t xml:space="preserve">   </w:t>
            </w:r>
            <w:r>
              <w:t>□</w:t>
            </w:r>
            <w:r>
              <w:rPr>
                <w:sz w:val="24"/>
              </w:rPr>
              <w:t>货物</w:t>
            </w:r>
            <w:r>
              <w:rPr>
                <w:rFonts w:hint="eastAsia"/>
                <w:sz w:val="24"/>
              </w:rPr>
              <w:t xml:space="preserve">   </w:t>
            </w:r>
            <w:r>
              <w:rPr>
                <w:rFonts w:hint="eastAsia" w:ascii="宋体" w:hAnsi="宋体"/>
                <w:sz w:val="15"/>
                <w:szCs w:val="15"/>
              </w:rPr>
              <w:t>■</w:t>
            </w:r>
            <w:r>
              <w:rPr>
                <w:sz w:val="24"/>
              </w:rPr>
              <w:t>工程</w:t>
            </w:r>
          </w:p>
        </w:tc>
      </w:tr>
      <w:tr w14:paraId="470C7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550" w:type="pct"/>
            <w:vAlign w:val="center"/>
          </w:tcPr>
          <w:p w14:paraId="2EB7D9EF">
            <w:pPr>
              <w:pStyle w:val="24"/>
              <w:adjustRightInd w:val="0"/>
              <w:snapToGrid w:val="0"/>
              <w:jc w:val="center"/>
              <w:rPr>
                <w:rFonts w:hint="default" w:ascii="Times New Roman" w:hAnsi="Times New Roman"/>
                <w:sz w:val="24"/>
                <w:szCs w:val="24"/>
              </w:rPr>
            </w:pPr>
            <w:r>
              <w:rPr>
                <w:rFonts w:hint="default" w:ascii="Times New Roman" w:hAnsi="Times New Roman"/>
                <w:sz w:val="24"/>
                <w:szCs w:val="24"/>
              </w:rPr>
              <w:t>2.3</w:t>
            </w:r>
          </w:p>
        </w:tc>
        <w:tc>
          <w:tcPr>
            <w:tcW w:w="807" w:type="pct"/>
            <w:vAlign w:val="center"/>
          </w:tcPr>
          <w:p w14:paraId="04D1F31B">
            <w:pPr>
              <w:jc w:val="center"/>
              <w:rPr>
                <w:sz w:val="24"/>
              </w:rPr>
            </w:pPr>
            <w:r>
              <w:rPr>
                <w:sz w:val="24"/>
              </w:rPr>
              <w:t>科研仪器设备</w:t>
            </w:r>
          </w:p>
        </w:tc>
        <w:tc>
          <w:tcPr>
            <w:tcW w:w="3642" w:type="pct"/>
            <w:vAlign w:val="center"/>
          </w:tcPr>
          <w:p w14:paraId="2B47AC04">
            <w:pPr>
              <w:spacing w:line="360" w:lineRule="exact"/>
              <w:jc w:val="left"/>
              <w:rPr>
                <w:sz w:val="24"/>
              </w:rPr>
            </w:pPr>
            <w:r>
              <w:rPr>
                <w:sz w:val="24"/>
              </w:rPr>
              <w:t>是否属于科研仪器设备采购项目：</w:t>
            </w:r>
          </w:p>
          <w:p w14:paraId="70A41B88">
            <w:pPr>
              <w:spacing w:line="360" w:lineRule="exact"/>
              <w:jc w:val="left"/>
              <w:rPr>
                <w:sz w:val="24"/>
              </w:rPr>
            </w:pPr>
            <w:r>
              <w:t>□</w:t>
            </w:r>
            <w:r>
              <w:rPr>
                <w:sz w:val="24"/>
              </w:rPr>
              <w:t>是</w:t>
            </w:r>
          </w:p>
          <w:p w14:paraId="695F5481">
            <w:pPr>
              <w:spacing w:line="360" w:lineRule="exact"/>
              <w:jc w:val="left"/>
              <w:rPr>
                <w:sz w:val="24"/>
              </w:rPr>
            </w:pPr>
            <w:r>
              <w:rPr>
                <w:rFonts w:hint="eastAsia" w:ascii="宋体" w:hAnsi="宋体"/>
                <w:sz w:val="15"/>
                <w:szCs w:val="15"/>
              </w:rPr>
              <w:t>■</w:t>
            </w:r>
            <w:r>
              <w:rPr>
                <w:sz w:val="24"/>
              </w:rPr>
              <w:t>否</w:t>
            </w:r>
          </w:p>
        </w:tc>
      </w:tr>
      <w:tr w14:paraId="1698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550" w:type="pct"/>
            <w:vMerge w:val="restart"/>
            <w:vAlign w:val="center"/>
          </w:tcPr>
          <w:p w14:paraId="3F8F2F0A">
            <w:pPr>
              <w:pStyle w:val="24"/>
              <w:adjustRightInd w:val="0"/>
              <w:snapToGrid w:val="0"/>
              <w:jc w:val="center"/>
              <w:rPr>
                <w:rFonts w:hint="default" w:ascii="Times New Roman" w:hAnsi="Times New Roman"/>
                <w:sz w:val="24"/>
                <w:szCs w:val="24"/>
              </w:rPr>
            </w:pPr>
            <w:r>
              <w:rPr>
                <w:rFonts w:hint="default" w:ascii="Times New Roman" w:hAnsi="Times New Roman"/>
                <w:sz w:val="24"/>
                <w:szCs w:val="24"/>
              </w:rPr>
              <w:t>3.1</w:t>
            </w:r>
          </w:p>
        </w:tc>
        <w:tc>
          <w:tcPr>
            <w:tcW w:w="807" w:type="pct"/>
            <w:vAlign w:val="center"/>
          </w:tcPr>
          <w:p w14:paraId="2AD4C166">
            <w:pPr>
              <w:jc w:val="center"/>
              <w:rPr>
                <w:sz w:val="24"/>
              </w:rPr>
            </w:pPr>
            <w:r>
              <w:rPr>
                <w:sz w:val="24"/>
              </w:rPr>
              <w:t>现场考察</w:t>
            </w:r>
          </w:p>
        </w:tc>
        <w:tc>
          <w:tcPr>
            <w:tcW w:w="3642" w:type="pct"/>
            <w:vAlign w:val="center"/>
          </w:tcPr>
          <w:p w14:paraId="5D724DDC">
            <w:pPr>
              <w:spacing w:line="360" w:lineRule="exact"/>
              <w:jc w:val="left"/>
              <w:rPr>
                <w:sz w:val="24"/>
              </w:rPr>
            </w:pPr>
            <w:r>
              <w:t>■</w:t>
            </w:r>
            <w:r>
              <w:rPr>
                <w:sz w:val="24"/>
              </w:rPr>
              <w:t>不组织</w:t>
            </w:r>
          </w:p>
          <w:p w14:paraId="029DB00F">
            <w:pPr>
              <w:spacing w:line="360" w:lineRule="exact"/>
              <w:jc w:val="left"/>
              <w:rPr>
                <w:bCs/>
                <w:sz w:val="24"/>
              </w:rPr>
            </w:pPr>
            <w:r>
              <w:t>□</w:t>
            </w:r>
            <w:r>
              <w:rPr>
                <w:sz w:val="24"/>
              </w:rPr>
              <w:t>组织，考察时间：___</w:t>
            </w:r>
            <w:r>
              <w:rPr>
                <w:sz w:val="24"/>
                <w:lang w:bidi="ar"/>
              </w:rPr>
              <w:t>年</w:t>
            </w:r>
            <w:r>
              <w:rPr>
                <w:sz w:val="24"/>
              </w:rPr>
              <w:t>___</w:t>
            </w:r>
            <w:r>
              <w:rPr>
                <w:sz w:val="24"/>
                <w:lang w:bidi="ar"/>
              </w:rPr>
              <w:t>月</w:t>
            </w:r>
            <w:r>
              <w:rPr>
                <w:sz w:val="24"/>
              </w:rPr>
              <w:t>___</w:t>
            </w:r>
            <w:r>
              <w:rPr>
                <w:sz w:val="24"/>
                <w:lang w:bidi="ar"/>
              </w:rPr>
              <w:t>日</w:t>
            </w:r>
            <w:r>
              <w:rPr>
                <w:sz w:val="24"/>
              </w:rPr>
              <w:t>___</w:t>
            </w:r>
            <w:r>
              <w:rPr>
                <w:sz w:val="24"/>
                <w:lang w:bidi="ar"/>
              </w:rPr>
              <w:t>点</w:t>
            </w:r>
            <w:r>
              <w:rPr>
                <w:sz w:val="24"/>
              </w:rPr>
              <w:t>___</w:t>
            </w:r>
            <w:r>
              <w:rPr>
                <w:sz w:val="24"/>
                <w:lang w:bidi="ar"/>
              </w:rPr>
              <w:t>分</w:t>
            </w:r>
          </w:p>
          <w:p w14:paraId="166CE831">
            <w:pPr>
              <w:pStyle w:val="24"/>
              <w:spacing w:line="360" w:lineRule="exact"/>
              <w:rPr>
                <w:rFonts w:hint="default" w:ascii="Times New Roman" w:hAnsi="Times New Roman"/>
                <w:sz w:val="24"/>
              </w:rPr>
            </w:pPr>
            <w:r>
              <w:rPr>
                <w:rFonts w:hint="default" w:ascii="Times New Roman" w:hAnsi="Times New Roman"/>
                <w:sz w:val="24"/>
              </w:rPr>
              <w:t>考察地点：___________。</w:t>
            </w:r>
          </w:p>
        </w:tc>
      </w:tr>
      <w:tr w14:paraId="28911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550" w:type="pct"/>
            <w:vMerge w:val="continue"/>
            <w:vAlign w:val="center"/>
          </w:tcPr>
          <w:p w14:paraId="21DF0CED">
            <w:pPr>
              <w:pStyle w:val="24"/>
              <w:adjustRightInd w:val="0"/>
              <w:snapToGrid w:val="0"/>
              <w:jc w:val="center"/>
              <w:rPr>
                <w:rFonts w:hint="default" w:ascii="Times New Roman" w:hAnsi="Times New Roman"/>
                <w:sz w:val="24"/>
                <w:szCs w:val="24"/>
              </w:rPr>
            </w:pPr>
          </w:p>
        </w:tc>
        <w:tc>
          <w:tcPr>
            <w:tcW w:w="807" w:type="pct"/>
            <w:vAlign w:val="center"/>
          </w:tcPr>
          <w:p w14:paraId="71F2851F">
            <w:pPr>
              <w:jc w:val="center"/>
              <w:rPr>
                <w:sz w:val="24"/>
              </w:rPr>
            </w:pPr>
            <w:r>
              <w:rPr>
                <w:sz w:val="24"/>
              </w:rPr>
              <w:t>磋商前答疑会</w:t>
            </w:r>
          </w:p>
        </w:tc>
        <w:tc>
          <w:tcPr>
            <w:tcW w:w="3642" w:type="pct"/>
            <w:vAlign w:val="center"/>
          </w:tcPr>
          <w:p w14:paraId="24732A2F">
            <w:pPr>
              <w:spacing w:line="360" w:lineRule="exact"/>
              <w:jc w:val="left"/>
              <w:rPr>
                <w:sz w:val="24"/>
              </w:rPr>
            </w:pPr>
            <w:r>
              <w:rPr>
                <w:rFonts w:hint="eastAsia" w:ascii="宋体" w:hAnsi="宋体"/>
                <w:sz w:val="15"/>
                <w:szCs w:val="15"/>
              </w:rPr>
              <w:t>■</w:t>
            </w:r>
            <w:r>
              <w:rPr>
                <w:sz w:val="24"/>
              </w:rPr>
              <w:t>不召开</w:t>
            </w:r>
          </w:p>
          <w:p w14:paraId="595C7D30">
            <w:pPr>
              <w:spacing w:line="360" w:lineRule="exact"/>
              <w:jc w:val="left"/>
              <w:rPr>
                <w:sz w:val="24"/>
              </w:rPr>
            </w:pPr>
            <w:r>
              <w:t>□</w:t>
            </w:r>
            <w:r>
              <w:rPr>
                <w:sz w:val="24"/>
              </w:rPr>
              <w:t>召开，召开时间：___</w:t>
            </w:r>
            <w:r>
              <w:rPr>
                <w:sz w:val="24"/>
                <w:lang w:bidi="ar"/>
              </w:rPr>
              <w:t>年</w:t>
            </w:r>
            <w:r>
              <w:rPr>
                <w:sz w:val="24"/>
              </w:rPr>
              <w:t>___</w:t>
            </w:r>
            <w:r>
              <w:rPr>
                <w:sz w:val="24"/>
                <w:lang w:bidi="ar"/>
              </w:rPr>
              <w:t>月</w:t>
            </w:r>
            <w:r>
              <w:rPr>
                <w:sz w:val="24"/>
              </w:rPr>
              <w:t>___</w:t>
            </w:r>
            <w:r>
              <w:rPr>
                <w:sz w:val="24"/>
                <w:lang w:bidi="ar"/>
              </w:rPr>
              <w:t>日</w:t>
            </w:r>
            <w:r>
              <w:rPr>
                <w:sz w:val="24"/>
              </w:rPr>
              <w:t>___</w:t>
            </w:r>
            <w:r>
              <w:rPr>
                <w:sz w:val="24"/>
                <w:lang w:bidi="ar"/>
              </w:rPr>
              <w:t>点</w:t>
            </w:r>
            <w:r>
              <w:rPr>
                <w:sz w:val="24"/>
              </w:rPr>
              <w:t>___</w:t>
            </w:r>
            <w:r>
              <w:rPr>
                <w:sz w:val="24"/>
                <w:lang w:bidi="ar"/>
              </w:rPr>
              <w:t>分</w:t>
            </w:r>
          </w:p>
          <w:p w14:paraId="223D3B70">
            <w:pPr>
              <w:spacing w:line="360" w:lineRule="exact"/>
              <w:jc w:val="left"/>
              <w:rPr>
                <w:sz w:val="24"/>
              </w:rPr>
            </w:pPr>
            <w:r>
              <w:rPr>
                <w:sz w:val="24"/>
              </w:rPr>
              <w:t>召开地点：___________。</w:t>
            </w:r>
          </w:p>
        </w:tc>
      </w:tr>
      <w:tr w14:paraId="0560E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4" w:hRule="atLeast"/>
          <w:jc w:val="center"/>
        </w:trPr>
        <w:tc>
          <w:tcPr>
            <w:tcW w:w="550" w:type="pct"/>
            <w:vAlign w:val="center"/>
          </w:tcPr>
          <w:p w14:paraId="0D2E14B2">
            <w:pPr>
              <w:pStyle w:val="24"/>
              <w:adjustRightInd w:val="0"/>
              <w:snapToGrid w:val="0"/>
              <w:jc w:val="center"/>
              <w:rPr>
                <w:rFonts w:hint="default" w:ascii="Times New Roman" w:hAnsi="Times New Roman"/>
                <w:sz w:val="24"/>
                <w:szCs w:val="24"/>
              </w:rPr>
            </w:pPr>
            <w:r>
              <w:rPr>
                <w:rFonts w:hint="default" w:ascii="Times New Roman" w:hAnsi="Times New Roman"/>
                <w:sz w:val="24"/>
                <w:szCs w:val="24"/>
              </w:rPr>
              <w:t>4.2.5</w:t>
            </w:r>
          </w:p>
        </w:tc>
        <w:tc>
          <w:tcPr>
            <w:tcW w:w="807" w:type="pct"/>
            <w:vAlign w:val="center"/>
          </w:tcPr>
          <w:p w14:paraId="6269E188">
            <w:pPr>
              <w:jc w:val="center"/>
              <w:rPr>
                <w:sz w:val="24"/>
              </w:rPr>
            </w:pPr>
            <w:r>
              <w:rPr>
                <w:sz w:val="24"/>
              </w:rPr>
              <w:t>标的所属行业</w:t>
            </w:r>
          </w:p>
        </w:tc>
        <w:tc>
          <w:tcPr>
            <w:tcW w:w="3642" w:type="pct"/>
            <w:vAlign w:val="center"/>
          </w:tcPr>
          <w:p w14:paraId="51660C38">
            <w:pPr>
              <w:spacing w:line="360" w:lineRule="exact"/>
              <w:jc w:val="left"/>
              <w:rPr>
                <w:sz w:val="24"/>
              </w:rPr>
            </w:pPr>
            <w:r>
              <w:rPr>
                <w:sz w:val="24"/>
              </w:rPr>
              <w:t>本项目采购标的对应的中小企业划分标准所属行业：</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4"/>
              <w:gridCol w:w="3223"/>
            </w:tblGrid>
            <w:tr w14:paraId="73974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63" w:type="dxa"/>
                  <w:tcBorders>
                    <w:top w:val="single" w:color="auto" w:sz="4" w:space="0"/>
                    <w:left w:val="single" w:color="auto" w:sz="4" w:space="0"/>
                    <w:bottom w:val="single" w:color="auto" w:sz="4" w:space="0"/>
                    <w:right w:val="single" w:color="auto" w:sz="4" w:space="0"/>
                  </w:tcBorders>
                  <w:vAlign w:val="center"/>
                </w:tcPr>
                <w:p w14:paraId="026859BD">
                  <w:pPr>
                    <w:spacing w:line="360" w:lineRule="exact"/>
                    <w:jc w:val="center"/>
                    <w:rPr>
                      <w:bCs/>
                      <w:sz w:val="24"/>
                    </w:rPr>
                  </w:pPr>
                  <w:r>
                    <w:rPr>
                      <w:bCs/>
                      <w:sz w:val="24"/>
                    </w:rPr>
                    <w:t>标的名称</w:t>
                  </w:r>
                </w:p>
              </w:tc>
              <w:tc>
                <w:tcPr>
                  <w:tcW w:w="3496" w:type="dxa"/>
                  <w:tcBorders>
                    <w:top w:val="single" w:color="auto" w:sz="4" w:space="0"/>
                    <w:left w:val="single" w:color="auto" w:sz="4" w:space="0"/>
                    <w:bottom w:val="single" w:color="auto" w:sz="4" w:space="0"/>
                    <w:right w:val="single" w:color="auto" w:sz="4" w:space="0"/>
                  </w:tcBorders>
                  <w:vAlign w:val="center"/>
                </w:tcPr>
                <w:p w14:paraId="5BCBAC2F">
                  <w:pPr>
                    <w:spacing w:line="360" w:lineRule="exact"/>
                    <w:jc w:val="center"/>
                    <w:rPr>
                      <w:sz w:val="24"/>
                    </w:rPr>
                  </w:pPr>
                  <w:r>
                    <w:rPr>
                      <w:sz w:val="24"/>
                    </w:rPr>
                    <w:t>中小企业划分标准所属行业</w:t>
                  </w:r>
                </w:p>
              </w:tc>
            </w:tr>
            <w:tr w14:paraId="4A4CC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3363" w:type="dxa"/>
                  <w:tcBorders>
                    <w:top w:val="single" w:color="auto" w:sz="4" w:space="0"/>
                    <w:left w:val="single" w:color="auto" w:sz="4" w:space="0"/>
                    <w:bottom w:val="single" w:color="auto" w:sz="4" w:space="0"/>
                    <w:right w:val="single" w:color="auto" w:sz="4" w:space="0"/>
                  </w:tcBorders>
                  <w:vAlign w:val="center"/>
                </w:tcPr>
                <w:p w14:paraId="5FC834D7">
                  <w:pPr>
                    <w:spacing w:line="360" w:lineRule="exact"/>
                    <w:jc w:val="center"/>
                    <w:rPr>
                      <w:bCs/>
                      <w:sz w:val="24"/>
                    </w:rPr>
                  </w:pPr>
                  <w:r>
                    <w:rPr>
                      <w:rFonts w:hint="eastAsia"/>
                      <w:bCs/>
                      <w:sz w:val="24"/>
                    </w:rPr>
                    <w:t>改善办学保障条件-基础设施改造-新校区雨污水、暖气管线及相关工程改造项目</w:t>
                  </w:r>
                </w:p>
              </w:tc>
              <w:tc>
                <w:tcPr>
                  <w:tcW w:w="3496" w:type="dxa"/>
                  <w:tcBorders>
                    <w:top w:val="single" w:color="auto" w:sz="4" w:space="0"/>
                    <w:left w:val="single" w:color="auto" w:sz="4" w:space="0"/>
                    <w:bottom w:val="single" w:color="auto" w:sz="4" w:space="0"/>
                    <w:right w:val="single" w:color="auto" w:sz="4" w:space="0"/>
                  </w:tcBorders>
                  <w:vAlign w:val="center"/>
                </w:tcPr>
                <w:p w14:paraId="76B626CF">
                  <w:pPr>
                    <w:spacing w:line="360" w:lineRule="exact"/>
                    <w:jc w:val="center"/>
                    <w:rPr>
                      <w:kern w:val="0"/>
                      <w:sz w:val="24"/>
                    </w:rPr>
                  </w:pPr>
                  <w:r>
                    <w:rPr>
                      <w:rFonts w:hint="eastAsia"/>
                      <w:kern w:val="0"/>
                      <w:sz w:val="24"/>
                    </w:rPr>
                    <w:t>建筑业</w:t>
                  </w:r>
                </w:p>
              </w:tc>
            </w:tr>
          </w:tbl>
          <w:p w14:paraId="066D7C64">
            <w:pPr>
              <w:spacing w:line="360" w:lineRule="exact"/>
              <w:jc w:val="left"/>
              <w:rPr>
                <w:sz w:val="24"/>
              </w:rPr>
            </w:pPr>
          </w:p>
        </w:tc>
      </w:tr>
      <w:tr w14:paraId="40768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550" w:type="pct"/>
            <w:vAlign w:val="center"/>
          </w:tcPr>
          <w:p w14:paraId="116A23CA">
            <w:pPr>
              <w:pStyle w:val="24"/>
              <w:adjustRightInd w:val="0"/>
              <w:snapToGrid w:val="0"/>
              <w:jc w:val="center"/>
              <w:rPr>
                <w:rFonts w:hint="default" w:ascii="Times New Roman" w:hAnsi="Times New Roman"/>
                <w:sz w:val="24"/>
                <w:szCs w:val="24"/>
              </w:rPr>
            </w:pPr>
            <w:r>
              <w:rPr>
                <w:rFonts w:hint="default" w:ascii="Times New Roman" w:hAnsi="Times New Roman"/>
                <w:sz w:val="24"/>
                <w:szCs w:val="24"/>
              </w:rPr>
              <w:t>10.2</w:t>
            </w:r>
          </w:p>
        </w:tc>
        <w:tc>
          <w:tcPr>
            <w:tcW w:w="807" w:type="pct"/>
            <w:vAlign w:val="center"/>
          </w:tcPr>
          <w:p w14:paraId="3B8C31BF">
            <w:pPr>
              <w:jc w:val="center"/>
              <w:rPr>
                <w:sz w:val="24"/>
              </w:rPr>
            </w:pPr>
            <w:r>
              <w:rPr>
                <w:sz w:val="24"/>
              </w:rPr>
              <w:t>报价</w:t>
            </w:r>
          </w:p>
        </w:tc>
        <w:tc>
          <w:tcPr>
            <w:tcW w:w="3642" w:type="pct"/>
            <w:vAlign w:val="center"/>
          </w:tcPr>
          <w:p w14:paraId="4FBA0671">
            <w:pPr>
              <w:spacing w:line="360" w:lineRule="exact"/>
              <w:jc w:val="left"/>
              <w:rPr>
                <w:sz w:val="24"/>
              </w:rPr>
            </w:pPr>
            <w:r>
              <w:rPr>
                <w:sz w:val="24"/>
              </w:rPr>
              <w:t>报价的特殊规定：</w:t>
            </w:r>
          </w:p>
          <w:p w14:paraId="61AB8BF7">
            <w:pPr>
              <w:spacing w:line="360" w:lineRule="exact"/>
              <w:jc w:val="left"/>
              <w:rPr>
                <w:sz w:val="24"/>
              </w:rPr>
            </w:pPr>
            <w:r>
              <w:t>□</w:t>
            </w:r>
            <w:r>
              <w:rPr>
                <w:sz w:val="24"/>
              </w:rPr>
              <w:t>无</w:t>
            </w:r>
          </w:p>
          <w:p w14:paraId="16C8DFC2">
            <w:pPr>
              <w:spacing w:line="360" w:lineRule="exact"/>
              <w:jc w:val="left"/>
              <w:rPr>
                <w:sz w:val="24"/>
              </w:rPr>
            </w:pPr>
            <w:r>
              <w:rPr>
                <w:rFonts w:hint="eastAsia" w:ascii="宋体" w:hAnsi="宋体"/>
                <w:sz w:val="15"/>
                <w:szCs w:val="15"/>
              </w:rPr>
              <w:t>■</w:t>
            </w:r>
            <w:r>
              <w:rPr>
                <w:sz w:val="24"/>
              </w:rPr>
              <w:t>有，具体情形：</w:t>
            </w:r>
            <w:r>
              <w:rPr>
                <w:rFonts w:hint="eastAsia"/>
                <w:sz w:val="24"/>
                <w:u w:val="single"/>
              </w:rPr>
              <w:t xml:space="preserve"> 人民币 </w:t>
            </w:r>
            <w:r>
              <w:rPr>
                <w:sz w:val="24"/>
              </w:rPr>
              <w:t>。</w:t>
            </w:r>
          </w:p>
        </w:tc>
      </w:tr>
      <w:tr w14:paraId="362B2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8" w:hRule="atLeast"/>
          <w:jc w:val="center"/>
        </w:trPr>
        <w:tc>
          <w:tcPr>
            <w:tcW w:w="550" w:type="pct"/>
            <w:vAlign w:val="center"/>
          </w:tcPr>
          <w:p w14:paraId="663CAA30">
            <w:pPr>
              <w:pStyle w:val="24"/>
              <w:adjustRightInd w:val="0"/>
              <w:snapToGrid w:val="0"/>
              <w:jc w:val="center"/>
              <w:rPr>
                <w:rFonts w:hint="default" w:ascii="Times New Roman" w:hAnsi="Times New Roman"/>
                <w:sz w:val="24"/>
                <w:szCs w:val="24"/>
              </w:rPr>
            </w:pPr>
            <w:r>
              <w:rPr>
                <w:rFonts w:hint="default" w:ascii="Times New Roman" w:hAnsi="Times New Roman"/>
                <w:sz w:val="24"/>
                <w:szCs w:val="24"/>
              </w:rPr>
              <w:t>11.1</w:t>
            </w:r>
          </w:p>
        </w:tc>
        <w:tc>
          <w:tcPr>
            <w:tcW w:w="807" w:type="pct"/>
            <w:vMerge w:val="restart"/>
            <w:vAlign w:val="center"/>
          </w:tcPr>
          <w:p w14:paraId="35EDB5A0">
            <w:pPr>
              <w:jc w:val="center"/>
              <w:rPr>
                <w:sz w:val="24"/>
              </w:rPr>
            </w:pPr>
            <w:r>
              <w:rPr>
                <w:sz w:val="24"/>
              </w:rPr>
              <w:t>磋商保证金</w:t>
            </w:r>
          </w:p>
        </w:tc>
        <w:tc>
          <w:tcPr>
            <w:tcW w:w="3642" w:type="pct"/>
            <w:vAlign w:val="center"/>
          </w:tcPr>
          <w:p w14:paraId="190E4C51">
            <w:pPr>
              <w:pStyle w:val="24"/>
              <w:spacing w:line="360" w:lineRule="exact"/>
              <w:rPr>
                <w:rFonts w:hint="default" w:ascii="Times New Roman" w:hAnsi="Times New Roman"/>
                <w:sz w:val="24"/>
                <w:szCs w:val="24"/>
              </w:rPr>
            </w:pPr>
            <w:r>
              <w:rPr>
                <w:rFonts w:hint="default" w:ascii="Times New Roman" w:hAnsi="Times New Roman"/>
                <w:sz w:val="24"/>
                <w:szCs w:val="24"/>
              </w:rPr>
              <w:t>磋商保证金金额：</w:t>
            </w:r>
          </w:p>
          <w:p w14:paraId="5060E42F">
            <w:pPr>
              <w:spacing w:line="360" w:lineRule="exact"/>
              <w:jc w:val="left"/>
              <w:rPr>
                <w:sz w:val="24"/>
              </w:rPr>
            </w:pPr>
            <w:r>
              <w:rPr>
                <w:sz w:val="24"/>
              </w:rPr>
              <w:t>￥</w:t>
            </w:r>
            <w:r>
              <w:rPr>
                <w:rFonts w:hint="eastAsia"/>
                <w:sz w:val="24"/>
              </w:rPr>
              <w:t>100,000.00元</w:t>
            </w:r>
            <w:r>
              <w:rPr>
                <w:sz w:val="24"/>
              </w:rPr>
              <w:t>（人民币大写：</w:t>
            </w:r>
            <w:r>
              <w:rPr>
                <w:rFonts w:hint="eastAsia"/>
                <w:sz w:val="24"/>
              </w:rPr>
              <w:t>壹拾万元整</w:t>
            </w:r>
            <w:r>
              <w:rPr>
                <w:sz w:val="24"/>
              </w:rPr>
              <w:t>）</w:t>
            </w:r>
          </w:p>
          <w:p w14:paraId="0B29E0B8">
            <w:pPr>
              <w:spacing w:line="360" w:lineRule="exact"/>
              <w:jc w:val="left"/>
              <w:rPr>
                <w:sz w:val="24"/>
              </w:rPr>
            </w:pPr>
            <w:r>
              <w:rPr>
                <w:sz w:val="24"/>
              </w:rPr>
              <w:t>备注：汇款时请您注明项目编号后8位数字及投标保证金（例：</w:t>
            </w:r>
            <w:r>
              <w:rPr>
                <w:rFonts w:hint="eastAsia"/>
                <w:sz w:val="24"/>
              </w:rPr>
              <w:t>26030104磋商</w:t>
            </w:r>
            <w:r>
              <w:rPr>
                <w:sz w:val="24"/>
              </w:rPr>
              <w:t>保证金）</w:t>
            </w:r>
          </w:p>
          <w:p w14:paraId="1602CC3A">
            <w:pPr>
              <w:spacing w:line="360" w:lineRule="exact"/>
              <w:jc w:val="left"/>
              <w:rPr>
                <w:sz w:val="24"/>
              </w:rPr>
            </w:pPr>
            <w:r>
              <w:rPr>
                <w:sz w:val="24"/>
              </w:rPr>
              <w:t>投标保证金收受人信息：</w:t>
            </w:r>
          </w:p>
          <w:p w14:paraId="7A9B8C7D">
            <w:pPr>
              <w:spacing w:line="360" w:lineRule="exact"/>
              <w:jc w:val="left"/>
              <w:rPr>
                <w:sz w:val="24"/>
              </w:rPr>
            </w:pPr>
            <w:r>
              <w:rPr>
                <w:sz w:val="24"/>
              </w:rPr>
              <w:t>账户名称：中融国远招标有限公司</w:t>
            </w:r>
          </w:p>
          <w:p w14:paraId="6BB89CB9">
            <w:pPr>
              <w:spacing w:line="360" w:lineRule="exact"/>
              <w:jc w:val="left"/>
              <w:rPr>
                <w:sz w:val="24"/>
              </w:rPr>
            </w:pPr>
            <w:r>
              <w:rPr>
                <w:sz w:val="24"/>
              </w:rPr>
              <w:t>开 户 行：中国民生银行北京安定门支行</w:t>
            </w:r>
          </w:p>
          <w:p w14:paraId="3C0F327E">
            <w:pPr>
              <w:spacing w:line="360" w:lineRule="exact"/>
              <w:jc w:val="left"/>
              <w:rPr>
                <w:sz w:val="24"/>
              </w:rPr>
            </w:pPr>
            <w:r>
              <w:rPr>
                <w:sz w:val="24"/>
              </w:rPr>
              <w:t>账    号：0108 0141 7002 4760</w:t>
            </w:r>
          </w:p>
        </w:tc>
      </w:tr>
      <w:tr w14:paraId="5CED2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550" w:type="pct"/>
            <w:vAlign w:val="center"/>
          </w:tcPr>
          <w:p w14:paraId="0641EE41">
            <w:pPr>
              <w:pStyle w:val="24"/>
              <w:adjustRightInd w:val="0"/>
              <w:snapToGrid w:val="0"/>
              <w:jc w:val="center"/>
              <w:rPr>
                <w:rFonts w:hint="default" w:ascii="Times New Roman" w:hAnsi="Times New Roman"/>
                <w:sz w:val="24"/>
                <w:szCs w:val="24"/>
              </w:rPr>
            </w:pPr>
            <w:r>
              <w:rPr>
                <w:rFonts w:hint="default" w:ascii="Times New Roman" w:hAnsi="Times New Roman"/>
                <w:sz w:val="24"/>
                <w:szCs w:val="24"/>
              </w:rPr>
              <w:t>11.</w:t>
            </w:r>
            <w:r>
              <w:rPr>
                <w:rFonts w:ascii="Times New Roman" w:hAnsi="Times New Roman"/>
                <w:sz w:val="24"/>
                <w:szCs w:val="24"/>
              </w:rPr>
              <w:t>8</w:t>
            </w:r>
            <w:r>
              <w:rPr>
                <w:rFonts w:hint="default" w:ascii="Times New Roman" w:hAnsi="Times New Roman"/>
                <w:sz w:val="24"/>
                <w:szCs w:val="24"/>
              </w:rPr>
              <w:t>.5</w:t>
            </w:r>
          </w:p>
        </w:tc>
        <w:tc>
          <w:tcPr>
            <w:tcW w:w="807" w:type="pct"/>
            <w:vMerge w:val="continue"/>
            <w:vAlign w:val="center"/>
          </w:tcPr>
          <w:p w14:paraId="30C2BFEF">
            <w:pPr>
              <w:jc w:val="center"/>
              <w:rPr>
                <w:sz w:val="24"/>
              </w:rPr>
            </w:pPr>
          </w:p>
        </w:tc>
        <w:tc>
          <w:tcPr>
            <w:tcW w:w="3642" w:type="pct"/>
            <w:vAlign w:val="center"/>
          </w:tcPr>
          <w:p w14:paraId="013F7C34">
            <w:pPr>
              <w:spacing w:line="360" w:lineRule="exact"/>
              <w:jc w:val="left"/>
              <w:rPr>
                <w:sz w:val="24"/>
              </w:rPr>
            </w:pPr>
            <w:r>
              <w:rPr>
                <w:sz w:val="24"/>
              </w:rPr>
              <w:t>磋商保证金不予退还的其他情形：</w:t>
            </w:r>
          </w:p>
          <w:p w14:paraId="7C878466">
            <w:pPr>
              <w:spacing w:line="360" w:lineRule="exact"/>
              <w:jc w:val="left"/>
              <w:rPr>
                <w:sz w:val="24"/>
              </w:rPr>
            </w:pPr>
            <w:r>
              <w:rPr>
                <w:sz w:val="24"/>
              </w:rPr>
              <w:t>■无</w:t>
            </w:r>
          </w:p>
          <w:p w14:paraId="49049C42">
            <w:pPr>
              <w:pStyle w:val="24"/>
              <w:spacing w:line="360" w:lineRule="exact"/>
              <w:rPr>
                <w:rFonts w:hint="default" w:ascii="Times New Roman" w:hAnsi="Times New Roman"/>
                <w:sz w:val="24"/>
                <w:szCs w:val="24"/>
              </w:rPr>
            </w:pPr>
            <w:r>
              <w:rPr>
                <w:rFonts w:hint="default" w:ascii="Times New Roman" w:hAnsi="Times New Roman"/>
              </w:rPr>
              <w:t>□</w:t>
            </w:r>
            <w:r>
              <w:rPr>
                <w:rFonts w:hint="default" w:ascii="Times New Roman" w:hAnsi="Times New Roman"/>
                <w:sz w:val="24"/>
              </w:rPr>
              <w:t>有，具体情形：___________。</w:t>
            </w:r>
          </w:p>
        </w:tc>
      </w:tr>
      <w:tr w14:paraId="1EE59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0" w:type="pct"/>
            <w:vAlign w:val="center"/>
          </w:tcPr>
          <w:p w14:paraId="74DA8AFD">
            <w:pPr>
              <w:pStyle w:val="24"/>
              <w:adjustRightInd w:val="0"/>
              <w:snapToGrid w:val="0"/>
              <w:jc w:val="center"/>
              <w:rPr>
                <w:rFonts w:hint="default" w:ascii="Times New Roman" w:hAnsi="Times New Roman"/>
                <w:sz w:val="24"/>
                <w:szCs w:val="24"/>
              </w:rPr>
            </w:pPr>
            <w:r>
              <w:rPr>
                <w:rFonts w:hint="default" w:ascii="Times New Roman" w:hAnsi="Times New Roman"/>
                <w:sz w:val="24"/>
                <w:szCs w:val="24"/>
              </w:rPr>
              <w:t>12.1</w:t>
            </w:r>
          </w:p>
        </w:tc>
        <w:tc>
          <w:tcPr>
            <w:tcW w:w="807" w:type="pct"/>
            <w:vAlign w:val="center"/>
          </w:tcPr>
          <w:p w14:paraId="12F5EE92">
            <w:pPr>
              <w:jc w:val="center"/>
              <w:rPr>
                <w:sz w:val="24"/>
              </w:rPr>
            </w:pPr>
            <w:r>
              <w:rPr>
                <w:sz w:val="24"/>
              </w:rPr>
              <w:t>响应有效期</w:t>
            </w:r>
          </w:p>
        </w:tc>
        <w:tc>
          <w:tcPr>
            <w:tcW w:w="3642" w:type="pct"/>
            <w:vAlign w:val="center"/>
          </w:tcPr>
          <w:p w14:paraId="0B68C3E4">
            <w:pPr>
              <w:jc w:val="left"/>
              <w:rPr>
                <w:sz w:val="24"/>
              </w:rPr>
            </w:pPr>
            <w:r>
              <w:rPr>
                <w:sz w:val="24"/>
              </w:rPr>
              <w:t>自响应文件提交截止之日起算</w:t>
            </w:r>
            <w:r>
              <w:rPr>
                <w:rFonts w:hint="eastAsia"/>
                <w:sz w:val="24"/>
                <w:u w:val="single"/>
              </w:rPr>
              <w:t xml:space="preserve"> 180 </w:t>
            </w:r>
            <w:r>
              <w:rPr>
                <w:sz w:val="24"/>
              </w:rPr>
              <w:t>日历天。</w:t>
            </w:r>
          </w:p>
        </w:tc>
      </w:tr>
      <w:tr w14:paraId="32853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7" w:hRule="atLeast"/>
          <w:jc w:val="center"/>
        </w:trPr>
        <w:tc>
          <w:tcPr>
            <w:tcW w:w="550" w:type="pct"/>
            <w:vAlign w:val="center"/>
          </w:tcPr>
          <w:p w14:paraId="355F2E74">
            <w:pPr>
              <w:pStyle w:val="24"/>
              <w:adjustRightInd w:val="0"/>
              <w:snapToGrid w:val="0"/>
              <w:jc w:val="center"/>
              <w:rPr>
                <w:rFonts w:hint="default" w:ascii="Times New Roman" w:hAnsi="Times New Roman"/>
                <w:sz w:val="24"/>
                <w:szCs w:val="24"/>
              </w:rPr>
            </w:pPr>
            <w:r>
              <w:rPr>
                <w:rFonts w:hint="default" w:ascii="Times New Roman" w:hAnsi="Times New Roman"/>
                <w:sz w:val="24"/>
                <w:szCs w:val="24"/>
              </w:rPr>
              <w:t>20.1</w:t>
            </w:r>
          </w:p>
        </w:tc>
        <w:tc>
          <w:tcPr>
            <w:tcW w:w="807" w:type="pct"/>
            <w:vAlign w:val="center"/>
          </w:tcPr>
          <w:p w14:paraId="057367E8">
            <w:pPr>
              <w:jc w:val="center"/>
              <w:rPr>
                <w:sz w:val="24"/>
              </w:rPr>
            </w:pPr>
            <w:r>
              <w:rPr>
                <w:sz w:val="24"/>
              </w:rPr>
              <w:t>确定成交供应商</w:t>
            </w:r>
          </w:p>
        </w:tc>
        <w:tc>
          <w:tcPr>
            <w:tcW w:w="3642" w:type="pct"/>
            <w:vAlign w:val="center"/>
          </w:tcPr>
          <w:p w14:paraId="7B39BFB3">
            <w:pPr>
              <w:pStyle w:val="24"/>
              <w:adjustRightInd w:val="0"/>
              <w:snapToGrid w:val="0"/>
              <w:rPr>
                <w:rFonts w:hint="default" w:ascii="Times New Roman" w:hAnsi="Times New Roman"/>
                <w:sz w:val="24"/>
              </w:rPr>
            </w:pPr>
            <w:r>
              <w:rPr>
                <w:rFonts w:hint="default" w:ascii="Times New Roman" w:hAnsi="Times New Roman"/>
                <w:sz w:val="24"/>
              </w:rPr>
              <w:t>采购人是否</w:t>
            </w:r>
            <w:r>
              <w:rPr>
                <w:rFonts w:hint="default" w:ascii="Times New Roman" w:hAnsi="Times New Roman"/>
                <w:color w:val="000000"/>
                <w:sz w:val="24"/>
              </w:rPr>
              <w:t>授权磋商小组直接确定成交供应商</w:t>
            </w:r>
            <w:r>
              <w:rPr>
                <w:rFonts w:hint="default" w:ascii="Times New Roman" w:hAnsi="Times New Roman"/>
                <w:sz w:val="24"/>
              </w:rPr>
              <w:t>：</w:t>
            </w:r>
          </w:p>
          <w:p w14:paraId="08046EAD">
            <w:pPr>
              <w:pStyle w:val="24"/>
              <w:adjustRightInd w:val="0"/>
              <w:snapToGrid w:val="0"/>
              <w:rPr>
                <w:rFonts w:hint="default" w:ascii="Times New Roman" w:hAnsi="Times New Roman"/>
                <w:sz w:val="24"/>
              </w:rPr>
            </w:pPr>
            <w:r>
              <w:rPr>
                <w:rFonts w:hint="default" w:ascii="Times New Roman" w:hAnsi="Times New Roman"/>
              </w:rPr>
              <w:t>■</w:t>
            </w:r>
            <w:r>
              <w:rPr>
                <w:rFonts w:hint="default" w:ascii="Times New Roman" w:hAnsi="Times New Roman"/>
                <w:sz w:val="24"/>
              </w:rPr>
              <w:t>否</w:t>
            </w:r>
          </w:p>
          <w:p w14:paraId="32F6AEA3">
            <w:pPr>
              <w:jc w:val="left"/>
              <w:rPr>
                <w:sz w:val="24"/>
              </w:rPr>
            </w:pPr>
            <w:r>
              <w:t>□</w:t>
            </w:r>
            <w:r>
              <w:rPr>
                <w:sz w:val="24"/>
              </w:rPr>
              <w:t>是</w:t>
            </w:r>
          </w:p>
          <w:p w14:paraId="6D8BEBB6">
            <w:pPr>
              <w:jc w:val="left"/>
              <w:rPr>
                <w:sz w:val="24"/>
              </w:rPr>
            </w:pPr>
            <w:r>
              <w:rPr>
                <w:sz w:val="24"/>
              </w:rPr>
              <w:t>成交候选人并列的，按照以下方式确定成交供应商：</w:t>
            </w:r>
          </w:p>
          <w:p w14:paraId="47165151">
            <w:pPr>
              <w:jc w:val="left"/>
              <w:rPr>
                <w:sz w:val="24"/>
              </w:rPr>
            </w:pPr>
            <w:r>
              <w:rPr>
                <w:sz w:val="24"/>
              </w:rPr>
              <w:t>■得分且投标报价均相同的，以</w:t>
            </w:r>
            <w:r>
              <w:rPr>
                <w:sz w:val="24"/>
                <w:u w:val="single"/>
              </w:rPr>
              <w:t>技术部分得分高者</w:t>
            </w:r>
            <w:r>
              <w:rPr>
                <w:sz w:val="24"/>
              </w:rPr>
              <w:t>得分高者为中标人</w:t>
            </w:r>
          </w:p>
          <w:p w14:paraId="73C09615">
            <w:pPr>
              <w:jc w:val="left"/>
              <w:rPr>
                <w:sz w:val="24"/>
                <w:u w:val="single"/>
              </w:rPr>
            </w:pPr>
            <w:r>
              <w:rPr>
                <w:sz w:val="24"/>
              </w:rPr>
              <w:t>□随机抽取</w:t>
            </w:r>
          </w:p>
        </w:tc>
      </w:tr>
      <w:tr w14:paraId="7201F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2" w:hRule="atLeast"/>
          <w:jc w:val="center"/>
        </w:trPr>
        <w:tc>
          <w:tcPr>
            <w:tcW w:w="550" w:type="pct"/>
            <w:vAlign w:val="center"/>
          </w:tcPr>
          <w:p w14:paraId="1A40FA21">
            <w:pPr>
              <w:pStyle w:val="24"/>
              <w:adjustRightInd w:val="0"/>
              <w:snapToGrid w:val="0"/>
              <w:jc w:val="center"/>
              <w:rPr>
                <w:rFonts w:hint="default" w:ascii="Times New Roman" w:hAnsi="Times New Roman"/>
                <w:sz w:val="24"/>
                <w:szCs w:val="24"/>
              </w:rPr>
            </w:pPr>
            <w:r>
              <w:rPr>
                <w:rFonts w:hint="default" w:ascii="Times New Roman" w:hAnsi="Times New Roman"/>
                <w:sz w:val="24"/>
                <w:szCs w:val="24"/>
              </w:rPr>
              <w:t>23.5</w:t>
            </w:r>
          </w:p>
        </w:tc>
        <w:tc>
          <w:tcPr>
            <w:tcW w:w="807" w:type="pct"/>
            <w:vAlign w:val="center"/>
          </w:tcPr>
          <w:p w14:paraId="5AA63282">
            <w:pPr>
              <w:jc w:val="center"/>
              <w:rPr>
                <w:sz w:val="24"/>
              </w:rPr>
            </w:pPr>
            <w:r>
              <w:rPr>
                <w:sz w:val="24"/>
              </w:rPr>
              <w:t>分包</w:t>
            </w:r>
          </w:p>
        </w:tc>
        <w:tc>
          <w:tcPr>
            <w:tcW w:w="3642" w:type="pct"/>
            <w:vAlign w:val="center"/>
          </w:tcPr>
          <w:p w14:paraId="4E1EB9E3">
            <w:pPr>
              <w:jc w:val="left"/>
              <w:rPr>
                <w:sz w:val="24"/>
              </w:rPr>
            </w:pPr>
            <w:r>
              <w:rPr>
                <w:sz w:val="24"/>
              </w:rPr>
              <w:t>本项目是否允许分包：</w:t>
            </w:r>
          </w:p>
          <w:p w14:paraId="518C14B6">
            <w:pPr>
              <w:jc w:val="left"/>
              <w:rPr>
                <w:sz w:val="24"/>
              </w:rPr>
            </w:pPr>
            <w:r>
              <w:t>■</w:t>
            </w:r>
            <w:r>
              <w:rPr>
                <w:sz w:val="24"/>
              </w:rPr>
              <w:t>不允许</w:t>
            </w:r>
          </w:p>
          <w:p w14:paraId="3B4A63CF">
            <w:pPr>
              <w:jc w:val="left"/>
              <w:rPr>
                <w:sz w:val="24"/>
              </w:rPr>
            </w:pPr>
            <w:r>
              <w:t>□</w:t>
            </w:r>
            <w:r>
              <w:rPr>
                <w:sz w:val="24"/>
              </w:rPr>
              <w:t>允许，具体要求：_______。</w:t>
            </w:r>
          </w:p>
          <w:p w14:paraId="62F4F2FF">
            <w:pPr>
              <w:jc w:val="left"/>
              <w:rPr>
                <w:sz w:val="24"/>
              </w:rPr>
            </w:pPr>
            <w:r>
              <w:rPr>
                <w:sz w:val="24"/>
              </w:rPr>
              <w:t>（1）可以分包履行的具体内容：_______；</w:t>
            </w:r>
          </w:p>
          <w:p w14:paraId="1656EC20">
            <w:pPr>
              <w:jc w:val="left"/>
              <w:rPr>
                <w:sz w:val="24"/>
              </w:rPr>
            </w:pPr>
            <w:r>
              <w:rPr>
                <w:sz w:val="24"/>
              </w:rPr>
              <w:t>（2）允许分包的金额或者比例：_______；</w:t>
            </w:r>
          </w:p>
          <w:p w14:paraId="14FCEA1E">
            <w:pPr>
              <w:jc w:val="left"/>
              <w:rPr>
                <w:sz w:val="24"/>
                <w:u w:val="single"/>
              </w:rPr>
            </w:pPr>
            <w:r>
              <w:rPr>
                <w:sz w:val="24"/>
              </w:rPr>
              <w:t>（3）其他要求：_______。</w:t>
            </w:r>
          </w:p>
        </w:tc>
      </w:tr>
      <w:tr w14:paraId="78E84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3" w:hRule="atLeast"/>
          <w:jc w:val="center"/>
        </w:trPr>
        <w:tc>
          <w:tcPr>
            <w:tcW w:w="550" w:type="pct"/>
            <w:vAlign w:val="center"/>
          </w:tcPr>
          <w:p w14:paraId="25768486">
            <w:pPr>
              <w:pStyle w:val="24"/>
              <w:adjustRightInd w:val="0"/>
              <w:snapToGrid w:val="0"/>
              <w:jc w:val="center"/>
              <w:rPr>
                <w:rFonts w:hint="default" w:ascii="Times New Roman" w:hAnsi="Times New Roman"/>
                <w:sz w:val="24"/>
                <w:szCs w:val="24"/>
              </w:rPr>
            </w:pPr>
            <w:r>
              <w:rPr>
                <w:rFonts w:ascii="Times New Roman" w:hAnsi="Times New Roman"/>
                <w:sz w:val="24"/>
                <w:szCs w:val="24"/>
              </w:rPr>
              <w:t>2</w:t>
            </w:r>
            <w:r>
              <w:rPr>
                <w:rFonts w:hint="default" w:ascii="Times New Roman" w:hAnsi="Times New Roman"/>
                <w:sz w:val="24"/>
                <w:szCs w:val="24"/>
              </w:rPr>
              <w:t>3</w:t>
            </w:r>
            <w:r>
              <w:rPr>
                <w:rFonts w:ascii="Times New Roman" w:hAnsi="Times New Roman"/>
                <w:sz w:val="24"/>
                <w:szCs w:val="24"/>
              </w:rPr>
              <w:t>.6</w:t>
            </w:r>
          </w:p>
        </w:tc>
        <w:tc>
          <w:tcPr>
            <w:tcW w:w="807" w:type="pct"/>
            <w:vAlign w:val="center"/>
          </w:tcPr>
          <w:p w14:paraId="72902CE5">
            <w:pPr>
              <w:jc w:val="center"/>
              <w:rPr>
                <w:sz w:val="24"/>
              </w:rPr>
            </w:pPr>
            <w:r>
              <w:rPr>
                <w:rFonts w:hint="eastAsia"/>
                <w:sz w:val="24"/>
              </w:rPr>
              <w:t>政采贷</w:t>
            </w:r>
          </w:p>
        </w:tc>
        <w:tc>
          <w:tcPr>
            <w:tcW w:w="3642" w:type="pct"/>
            <w:vAlign w:val="center"/>
          </w:tcPr>
          <w:p w14:paraId="2A1C860F">
            <w:pPr>
              <w:jc w:val="left"/>
              <w:rPr>
                <w:sz w:val="24"/>
              </w:rPr>
            </w:pPr>
            <w:r>
              <w:rPr>
                <w:kern w:val="0"/>
                <w:sz w:val="24"/>
              </w:rPr>
              <w:t>为更大力度激发市场活力和社会创造力，增强发展动力，按照《北京市全面优化营商环境助力企业高质量发展实施方案》（京政办发〔2023〕8号）部署，进一步加强政府采购合同线上融资“一站式”服务（以下简称“政采贷”），北京市财政局、中国人民银行营业管理部联合发布《关于推进政府采购合同线上融资有关工作的通知》（京财采购〔2023〕637号）。有需求的供应商，可按上述通知要求办理“政采贷”。</w:t>
            </w:r>
          </w:p>
        </w:tc>
      </w:tr>
      <w:tr w14:paraId="3B9E6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50" w:type="pct"/>
            <w:vAlign w:val="center"/>
          </w:tcPr>
          <w:p w14:paraId="08D16613">
            <w:pPr>
              <w:pStyle w:val="24"/>
              <w:adjustRightInd w:val="0"/>
              <w:snapToGrid w:val="0"/>
              <w:jc w:val="center"/>
              <w:rPr>
                <w:rFonts w:hint="default" w:ascii="Times New Roman" w:hAnsi="Times New Roman"/>
                <w:sz w:val="24"/>
                <w:szCs w:val="24"/>
              </w:rPr>
            </w:pPr>
            <w:r>
              <w:rPr>
                <w:rFonts w:hint="default" w:ascii="Times New Roman" w:hAnsi="Times New Roman"/>
                <w:sz w:val="24"/>
                <w:szCs w:val="24"/>
              </w:rPr>
              <w:t>24.1.1</w:t>
            </w:r>
          </w:p>
        </w:tc>
        <w:tc>
          <w:tcPr>
            <w:tcW w:w="807" w:type="pct"/>
            <w:vAlign w:val="center"/>
          </w:tcPr>
          <w:p w14:paraId="436A8396">
            <w:pPr>
              <w:jc w:val="center"/>
              <w:rPr>
                <w:sz w:val="24"/>
              </w:rPr>
            </w:pPr>
            <w:r>
              <w:rPr>
                <w:sz w:val="24"/>
              </w:rPr>
              <w:t>询问</w:t>
            </w:r>
          </w:p>
        </w:tc>
        <w:tc>
          <w:tcPr>
            <w:tcW w:w="3642" w:type="pct"/>
            <w:vAlign w:val="center"/>
          </w:tcPr>
          <w:p w14:paraId="313BADDC">
            <w:pPr>
              <w:jc w:val="left"/>
              <w:rPr>
                <w:sz w:val="24"/>
              </w:rPr>
            </w:pPr>
            <w:r>
              <w:rPr>
                <w:sz w:val="24"/>
              </w:rPr>
              <w:t>询问</w:t>
            </w:r>
            <w:r>
              <w:rPr>
                <w:rFonts w:hint="eastAsia"/>
                <w:sz w:val="24"/>
              </w:rPr>
              <w:t>提出</w:t>
            </w:r>
            <w:r>
              <w:rPr>
                <w:sz w:val="24"/>
              </w:rPr>
              <w:t>形式：</w:t>
            </w:r>
            <w:r>
              <w:rPr>
                <w:rFonts w:hint="eastAsia"/>
                <w:sz w:val="24"/>
                <w:u w:val="single"/>
              </w:rPr>
              <w:t>现场递交</w:t>
            </w:r>
            <w:r>
              <w:rPr>
                <w:sz w:val="24"/>
              </w:rPr>
              <w:t>。</w:t>
            </w:r>
          </w:p>
        </w:tc>
      </w:tr>
      <w:tr w14:paraId="244A3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4" w:hRule="atLeast"/>
          <w:jc w:val="center"/>
        </w:trPr>
        <w:tc>
          <w:tcPr>
            <w:tcW w:w="550" w:type="pct"/>
            <w:vAlign w:val="center"/>
          </w:tcPr>
          <w:p w14:paraId="691EBB30">
            <w:pPr>
              <w:pStyle w:val="24"/>
              <w:adjustRightInd w:val="0"/>
              <w:snapToGrid w:val="0"/>
              <w:jc w:val="center"/>
              <w:rPr>
                <w:rFonts w:hint="default" w:ascii="Times New Roman" w:hAnsi="Times New Roman"/>
                <w:sz w:val="24"/>
                <w:szCs w:val="24"/>
              </w:rPr>
            </w:pPr>
            <w:r>
              <w:rPr>
                <w:rFonts w:hint="default" w:ascii="Times New Roman" w:hAnsi="Times New Roman"/>
                <w:sz w:val="24"/>
                <w:szCs w:val="24"/>
              </w:rPr>
              <w:t>24.3</w:t>
            </w:r>
          </w:p>
        </w:tc>
        <w:tc>
          <w:tcPr>
            <w:tcW w:w="807" w:type="pct"/>
            <w:vAlign w:val="center"/>
          </w:tcPr>
          <w:p w14:paraId="7C6F97C1">
            <w:pPr>
              <w:jc w:val="center"/>
              <w:rPr>
                <w:sz w:val="24"/>
              </w:rPr>
            </w:pPr>
            <w:r>
              <w:rPr>
                <w:sz w:val="24"/>
              </w:rPr>
              <w:t>联系方式</w:t>
            </w:r>
          </w:p>
        </w:tc>
        <w:tc>
          <w:tcPr>
            <w:tcW w:w="3642" w:type="pct"/>
            <w:vAlign w:val="center"/>
          </w:tcPr>
          <w:p w14:paraId="14DD949F">
            <w:pPr>
              <w:jc w:val="left"/>
              <w:rPr>
                <w:sz w:val="24"/>
              </w:rPr>
            </w:pPr>
            <w:r>
              <w:rPr>
                <w:sz w:val="24"/>
              </w:rPr>
              <w:t>接收询问和质疑的联系方式</w:t>
            </w:r>
          </w:p>
          <w:p w14:paraId="59419AE9">
            <w:pPr>
              <w:jc w:val="left"/>
              <w:rPr>
                <w:sz w:val="24"/>
              </w:rPr>
            </w:pPr>
            <w:r>
              <w:rPr>
                <w:sz w:val="24"/>
              </w:rPr>
              <w:t>联系部门：</w:t>
            </w:r>
            <w:r>
              <w:rPr>
                <w:rFonts w:hint="eastAsia"/>
                <w:sz w:val="24"/>
                <w:u w:val="single"/>
              </w:rPr>
              <w:t>中融国远招标有限公司</w:t>
            </w:r>
            <w:r>
              <w:rPr>
                <w:sz w:val="24"/>
              </w:rPr>
              <w:t>；</w:t>
            </w:r>
          </w:p>
          <w:p w14:paraId="1C393DDE">
            <w:pPr>
              <w:jc w:val="left"/>
              <w:rPr>
                <w:sz w:val="24"/>
              </w:rPr>
            </w:pPr>
            <w:r>
              <w:rPr>
                <w:sz w:val="24"/>
              </w:rPr>
              <w:t>联系电话：</w:t>
            </w:r>
            <w:r>
              <w:rPr>
                <w:rFonts w:hint="eastAsia"/>
                <w:sz w:val="24"/>
                <w:u w:val="single"/>
              </w:rPr>
              <w:t>010-</w:t>
            </w:r>
            <w:r>
              <w:rPr>
                <w:sz w:val="24"/>
                <w:u w:val="single"/>
              </w:rPr>
              <w:t>53388566/77</w:t>
            </w:r>
            <w:r>
              <w:rPr>
                <w:sz w:val="24"/>
              </w:rPr>
              <w:t>；</w:t>
            </w:r>
          </w:p>
          <w:p w14:paraId="4164614A">
            <w:pPr>
              <w:jc w:val="left"/>
              <w:rPr>
                <w:sz w:val="24"/>
              </w:rPr>
            </w:pPr>
            <w:r>
              <w:rPr>
                <w:sz w:val="24"/>
              </w:rPr>
              <w:t>通讯地址：</w:t>
            </w:r>
            <w:r>
              <w:rPr>
                <w:rFonts w:hint="eastAsia"/>
                <w:sz w:val="24"/>
                <w:u w:val="single"/>
              </w:rPr>
              <w:t>北京市丰台区西四环南路101号创新大厦</w:t>
            </w:r>
            <w:r>
              <w:rPr>
                <w:sz w:val="24"/>
              </w:rPr>
              <w:t>。</w:t>
            </w:r>
          </w:p>
        </w:tc>
      </w:tr>
      <w:tr w14:paraId="5DDC7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1" w:hRule="atLeast"/>
          <w:jc w:val="center"/>
        </w:trPr>
        <w:tc>
          <w:tcPr>
            <w:tcW w:w="550" w:type="pct"/>
            <w:vAlign w:val="center"/>
          </w:tcPr>
          <w:p w14:paraId="0F8BE0CC">
            <w:pPr>
              <w:pStyle w:val="24"/>
              <w:adjustRightInd w:val="0"/>
              <w:snapToGrid w:val="0"/>
              <w:jc w:val="center"/>
              <w:rPr>
                <w:rFonts w:hint="default" w:ascii="Times New Roman" w:hAnsi="Times New Roman"/>
                <w:sz w:val="24"/>
                <w:szCs w:val="24"/>
              </w:rPr>
            </w:pPr>
            <w:r>
              <w:rPr>
                <w:rFonts w:hint="default" w:ascii="Times New Roman" w:hAnsi="Times New Roman"/>
                <w:sz w:val="24"/>
                <w:szCs w:val="24"/>
              </w:rPr>
              <w:t>25</w:t>
            </w:r>
          </w:p>
        </w:tc>
        <w:tc>
          <w:tcPr>
            <w:tcW w:w="807" w:type="pct"/>
            <w:vAlign w:val="center"/>
          </w:tcPr>
          <w:p w14:paraId="6FA37105">
            <w:pPr>
              <w:jc w:val="center"/>
              <w:rPr>
                <w:sz w:val="24"/>
              </w:rPr>
            </w:pPr>
            <w:r>
              <w:rPr>
                <w:sz w:val="24"/>
              </w:rPr>
              <w:t>代理费</w:t>
            </w:r>
          </w:p>
        </w:tc>
        <w:tc>
          <w:tcPr>
            <w:tcW w:w="3642" w:type="pct"/>
            <w:vAlign w:val="center"/>
          </w:tcPr>
          <w:p w14:paraId="7C71DE11">
            <w:pPr>
              <w:jc w:val="left"/>
              <w:rPr>
                <w:sz w:val="24"/>
              </w:rPr>
            </w:pPr>
            <w:r>
              <w:rPr>
                <w:sz w:val="24"/>
              </w:rPr>
              <w:t>收费对象：□采购人</w:t>
            </w:r>
            <w:r>
              <w:rPr>
                <w:rFonts w:hint="eastAsia"/>
                <w:sz w:val="24"/>
              </w:rPr>
              <w:t xml:space="preserve">   </w:t>
            </w:r>
            <w:r>
              <w:rPr>
                <w:rFonts w:hint="eastAsia" w:ascii="宋体" w:hAnsi="宋体"/>
                <w:sz w:val="15"/>
                <w:szCs w:val="15"/>
              </w:rPr>
              <w:t>■</w:t>
            </w:r>
            <w:r>
              <w:rPr>
                <w:rFonts w:hint="eastAsia"/>
                <w:sz w:val="24"/>
              </w:rPr>
              <w:t>成交</w:t>
            </w:r>
            <w:r>
              <w:rPr>
                <w:sz w:val="24"/>
              </w:rPr>
              <w:t>人</w:t>
            </w:r>
          </w:p>
          <w:p w14:paraId="592F2DB4">
            <w:pPr>
              <w:jc w:val="left"/>
              <w:rPr>
                <w:sz w:val="24"/>
              </w:rPr>
            </w:pPr>
            <w:r>
              <w:rPr>
                <w:rFonts w:hint="eastAsia"/>
                <w:sz w:val="24"/>
              </w:rPr>
              <w:t>（1）收费标准</w:t>
            </w:r>
          </w:p>
          <w:p w14:paraId="2E73A56C">
            <w:pPr>
              <w:ind w:firstLine="480" w:firstLineChars="200"/>
              <w:jc w:val="left"/>
              <w:rPr>
                <w:sz w:val="24"/>
              </w:rPr>
            </w:pPr>
            <w:r>
              <w:rPr>
                <w:rFonts w:hint="eastAsia"/>
                <w:sz w:val="24"/>
              </w:rPr>
              <w:t>参照《招标代理服务收费管理暂行办法》（计价格[2002]1980号）文，以成交总价为基数标准计取。</w:t>
            </w:r>
          </w:p>
          <w:p w14:paraId="0A81F896">
            <w:pPr>
              <w:jc w:val="left"/>
              <w:rPr>
                <w:sz w:val="24"/>
              </w:rPr>
            </w:pPr>
            <w:r>
              <w:rPr>
                <w:rFonts w:hint="eastAsia"/>
                <w:sz w:val="24"/>
              </w:rPr>
              <w:t>（2）支付方式及时间</w:t>
            </w:r>
          </w:p>
          <w:p w14:paraId="01BE3A89">
            <w:pPr>
              <w:ind w:firstLine="480" w:firstLineChars="200"/>
              <w:jc w:val="left"/>
              <w:rPr>
                <w:sz w:val="24"/>
              </w:rPr>
            </w:pPr>
            <w:r>
              <w:rPr>
                <w:rFonts w:hint="eastAsia"/>
                <w:sz w:val="24"/>
              </w:rPr>
              <w:t>本采购项目完成后，由成交单位在领取成交通知书时以招标代理机构认可的方式一次性全额支付招标代理服务费等与开评标工作有关的全部费用。无论本项目发生几次开评标活动，所产生的上述全部费用均由中标单位承担，在本项目投标截止时间前递交投标文件的投标人视为同意本条款，不得以任何理由拒绝。</w:t>
            </w:r>
          </w:p>
          <w:p w14:paraId="5E06C0F1">
            <w:pPr>
              <w:jc w:val="left"/>
              <w:rPr>
                <w:sz w:val="24"/>
              </w:rPr>
            </w:pPr>
            <w:r>
              <w:rPr>
                <w:rFonts w:hint="eastAsia"/>
                <w:sz w:val="24"/>
              </w:rPr>
              <w:t>（3）账户信息</w:t>
            </w:r>
          </w:p>
          <w:p w14:paraId="060F6840">
            <w:pPr>
              <w:ind w:firstLine="480" w:firstLineChars="200"/>
              <w:jc w:val="left"/>
              <w:rPr>
                <w:sz w:val="24"/>
              </w:rPr>
            </w:pPr>
            <w:r>
              <w:rPr>
                <w:rFonts w:hint="eastAsia"/>
                <w:sz w:val="24"/>
              </w:rPr>
              <w:t>账户名称：中融国远招标有限公司</w:t>
            </w:r>
          </w:p>
          <w:p w14:paraId="2A3D6C2E">
            <w:pPr>
              <w:ind w:firstLine="480" w:firstLineChars="200"/>
              <w:jc w:val="left"/>
              <w:rPr>
                <w:sz w:val="24"/>
              </w:rPr>
            </w:pPr>
            <w:r>
              <w:rPr>
                <w:rFonts w:hint="eastAsia"/>
                <w:sz w:val="24"/>
              </w:rPr>
              <w:t>账    号：0108 0141 7002 4760</w:t>
            </w:r>
          </w:p>
          <w:p w14:paraId="078A2230">
            <w:pPr>
              <w:ind w:firstLine="480" w:firstLineChars="200"/>
              <w:jc w:val="left"/>
              <w:rPr>
                <w:sz w:val="24"/>
              </w:rPr>
            </w:pPr>
            <w:r>
              <w:rPr>
                <w:rFonts w:hint="eastAsia"/>
                <w:sz w:val="24"/>
              </w:rPr>
              <w:t>开户银行：中国民生银行北京安定门支行</w:t>
            </w:r>
          </w:p>
        </w:tc>
      </w:tr>
      <w:tr w14:paraId="1A0DB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1" w:hRule="atLeast"/>
          <w:jc w:val="center"/>
        </w:trPr>
        <w:tc>
          <w:tcPr>
            <w:tcW w:w="550" w:type="pct"/>
            <w:vAlign w:val="center"/>
          </w:tcPr>
          <w:p w14:paraId="10B70CCC">
            <w:pPr>
              <w:pStyle w:val="24"/>
              <w:adjustRightInd w:val="0"/>
              <w:snapToGrid w:val="0"/>
              <w:jc w:val="center"/>
              <w:rPr>
                <w:rFonts w:hint="default" w:ascii="Times New Roman" w:hAnsi="Times New Roman"/>
                <w:sz w:val="24"/>
                <w:szCs w:val="24"/>
              </w:rPr>
            </w:pPr>
            <w:r>
              <w:rPr>
                <w:rFonts w:ascii="Times New Roman" w:hAnsi="Times New Roman"/>
                <w:sz w:val="24"/>
                <w:szCs w:val="24"/>
              </w:rPr>
              <w:t>26</w:t>
            </w:r>
          </w:p>
        </w:tc>
        <w:tc>
          <w:tcPr>
            <w:tcW w:w="807" w:type="pct"/>
            <w:vAlign w:val="center"/>
          </w:tcPr>
          <w:p w14:paraId="62B4B9EB">
            <w:pPr>
              <w:jc w:val="center"/>
              <w:rPr>
                <w:sz w:val="24"/>
              </w:rPr>
            </w:pPr>
            <w:r>
              <w:rPr>
                <w:rFonts w:hint="eastAsia"/>
                <w:sz w:val="24"/>
              </w:rPr>
              <w:t>招标控制价</w:t>
            </w:r>
          </w:p>
        </w:tc>
        <w:tc>
          <w:tcPr>
            <w:tcW w:w="3642" w:type="pct"/>
            <w:vAlign w:val="center"/>
          </w:tcPr>
          <w:p w14:paraId="75D3768A">
            <w:pPr>
              <w:jc w:val="left"/>
              <w:rPr>
                <w:b/>
                <w:bCs/>
                <w:sz w:val="24"/>
              </w:rPr>
            </w:pPr>
            <w:r>
              <w:rPr>
                <w:rFonts w:hint="eastAsia"/>
                <w:b/>
                <w:bCs/>
                <w:sz w:val="24"/>
              </w:rPr>
              <w:t>本项目招标控制价为：￥5268450.1元</w:t>
            </w:r>
          </w:p>
          <w:p w14:paraId="777C270A">
            <w:pPr>
              <w:jc w:val="left"/>
              <w:rPr>
                <w:sz w:val="24"/>
              </w:rPr>
            </w:pPr>
            <w:r>
              <w:rPr>
                <w:rFonts w:hint="eastAsia"/>
                <w:sz w:val="24"/>
              </w:rPr>
              <w:t>其中：单位工程的分部分项工程合价为：</w:t>
            </w:r>
            <w:r>
              <w:rPr>
                <w:rFonts w:hint="eastAsia"/>
                <w:sz w:val="24"/>
                <w:u w:val="single"/>
              </w:rPr>
              <w:t>4181285.59</w:t>
            </w:r>
            <w:r>
              <w:rPr>
                <w:rFonts w:hint="eastAsia"/>
                <w:sz w:val="24"/>
              </w:rPr>
              <w:t>元（除税）；</w:t>
            </w:r>
          </w:p>
          <w:p w14:paraId="056DF1E5">
            <w:pPr>
              <w:jc w:val="left"/>
              <w:rPr>
                <w:sz w:val="24"/>
              </w:rPr>
            </w:pPr>
            <w:r>
              <w:rPr>
                <w:rFonts w:hint="eastAsia"/>
                <w:sz w:val="24"/>
              </w:rPr>
              <w:t>措施项目合价为：</w:t>
            </w:r>
            <w:r>
              <w:rPr>
                <w:rFonts w:hint="eastAsia"/>
                <w:sz w:val="24"/>
                <w:u w:val="single"/>
              </w:rPr>
              <w:t>597516.95</w:t>
            </w:r>
            <w:r>
              <w:rPr>
                <w:rFonts w:hint="eastAsia"/>
                <w:sz w:val="24"/>
              </w:rPr>
              <w:t>元（除税）；</w:t>
            </w:r>
          </w:p>
          <w:p w14:paraId="2F07B28A">
            <w:pPr>
              <w:jc w:val="left"/>
              <w:rPr>
                <w:sz w:val="24"/>
              </w:rPr>
            </w:pPr>
            <w:r>
              <w:rPr>
                <w:rFonts w:hint="eastAsia"/>
                <w:sz w:val="24"/>
              </w:rPr>
              <w:t>安全生产标准化措施费：</w:t>
            </w:r>
            <w:r>
              <w:rPr>
                <w:rFonts w:hint="eastAsia"/>
                <w:sz w:val="24"/>
                <w:u w:val="single"/>
              </w:rPr>
              <w:t>224554.02</w:t>
            </w:r>
            <w:r>
              <w:rPr>
                <w:rFonts w:hint="eastAsia"/>
                <w:sz w:val="24"/>
              </w:rPr>
              <w:t>元（除税）；</w:t>
            </w:r>
          </w:p>
          <w:p w14:paraId="2BB05886">
            <w:pPr>
              <w:jc w:val="left"/>
              <w:rPr>
                <w:sz w:val="24"/>
              </w:rPr>
            </w:pPr>
            <w:r>
              <w:rPr>
                <w:rFonts w:hint="eastAsia"/>
                <w:sz w:val="24"/>
              </w:rPr>
              <w:t>其他项目（暂列金额、专业工程暂估价</w:t>
            </w:r>
            <w:r>
              <w:rPr>
                <w:rFonts w:hint="eastAsia"/>
                <w:sz w:val="24"/>
                <w:lang w:val="zh-CN"/>
              </w:rPr>
              <w:t>，均除税</w:t>
            </w:r>
            <w:r>
              <w:rPr>
                <w:rFonts w:hint="eastAsia"/>
                <w:sz w:val="24"/>
              </w:rPr>
              <w:t>）合价为：</w:t>
            </w:r>
            <w:r>
              <w:rPr>
                <w:rFonts w:hint="eastAsia"/>
                <w:sz w:val="24"/>
                <w:u w:val="single"/>
              </w:rPr>
              <w:t>54637.92</w:t>
            </w:r>
            <w:r>
              <w:rPr>
                <w:rFonts w:hint="eastAsia"/>
                <w:sz w:val="24"/>
              </w:rPr>
              <w:t>元；</w:t>
            </w:r>
          </w:p>
          <w:p w14:paraId="6727CC92">
            <w:pPr>
              <w:jc w:val="left"/>
              <w:rPr>
                <w:sz w:val="24"/>
              </w:rPr>
            </w:pPr>
            <w:r>
              <w:rPr>
                <w:rFonts w:hint="eastAsia"/>
                <w:sz w:val="24"/>
              </w:rPr>
              <w:t>暂列金额：</w:t>
            </w:r>
            <w:r>
              <w:rPr>
                <w:rFonts w:hint="eastAsia"/>
                <w:sz w:val="24"/>
                <w:u w:val="single"/>
              </w:rPr>
              <w:t>54637.92</w:t>
            </w:r>
            <w:r>
              <w:rPr>
                <w:rFonts w:hint="eastAsia"/>
                <w:sz w:val="24"/>
              </w:rPr>
              <w:t>元（除税）；</w:t>
            </w:r>
          </w:p>
          <w:p w14:paraId="770720BB">
            <w:pPr>
              <w:jc w:val="left"/>
              <w:rPr>
                <w:sz w:val="24"/>
              </w:rPr>
            </w:pPr>
            <w:r>
              <w:rPr>
                <w:rFonts w:hint="eastAsia"/>
                <w:sz w:val="24"/>
              </w:rPr>
              <w:t>增值税为：</w:t>
            </w:r>
            <w:r>
              <w:rPr>
                <w:sz w:val="24"/>
                <w:u w:val="single"/>
              </w:rPr>
              <w:t>435009.64</w:t>
            </w:r>
            <w:r>
              <w:rPr>
                <w:rFonts w:hint="eastAsia"/>
                <w:sz w:val="24"/>
              </w:rPr>
              <w:t>元。</w:t>
            </w:r>
          </w:p>
        </w:tc>
      </w:tr>
      <w:tr w14:paraId="4BFB2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6" w:hRule="atLeast"/>
          <w:jc w:val="center"/>
        </w:trPr>
        <w:tc>
          <w:tcPr>
            <w:tcW w:w="5000" w:type="pct"/>
            <w:gridSpan w:val="3"/>
            <w:vAlign w:val="center"/>
          </w:tcPr>
          <w:p w14:paraId="242E7F5E">
            <w:pPr>
              <w:spacing w:line="360" w:lineRule="exact"/>
              <w:ind w:firstLine="480" w:firstLineChars="200"/>
              <w:jc w:val="left"/>
              <w:rPr>
                <w:sz w:val="24"/>
              </w:rPr>
            </w:pPr>
            <w:r>
              <w:rPr>
                <w:rFonts w:hint="eastAsia"/>
                <w:sz w:val="24"/>
              </w:rPr>
              <w:t>供应商应准备《响应文件》</w:t>
            </w:r>
            <w:r>
              <w:rPr>
                <w:rFonts w:hint="eastAsia"/>
                <w:b/>
                <w:bCs/>
                <w:sz w:val="24"/>
              </w:rPr>
              <w:t>正本1份和副本4份</w:t>
            </w:r>
            <w:r>
              <w:rPr>
                <w:rFonts w:hint="eastAsia"/>
                <w:sz w:val="24"/>
              </w:rPr>
              <w:t>（A4幅面）、</w:t>
            </w:r>
            <w:r>
              <w:rPr>
                <w:rFonts w:hint="eastAsia"/>
                <w:b/>
                <w:bCs/>
                <w:sz w:val="24"/>
              </w:rPr>
              <w:t>电子版1份</w:t>
            </w:r>
            <w:r>
              <w:rPr>
                <w:rFonts w:hint="eastAsia"/>
                <w:sz w:val="24"/>
              </w:rPr>
              <w:t>（只读光盘或U盘，格式为Word版及与正本一致的PDF签字盖章版，应保证能正常打开并使用）及</w:t>
            </w:r>
            <w:r>
              <w:rPr>
                <w:rFonts w:hint="eastAsia"/>
                <w:b/>
                <w:bCs/>
                <w:sz w:val="24"/>
              </w:rPr>
              <w:t>报价一览表1份</w:t>
            </w:r>
            <w:r>
              <w:rPr>
                <w:rFonts w:hint="eastAsia"/>
                <w:sz w:val="24"/>
              </w:rPr>
              <w:t>，每份《响应文件》须清楚地标明“正本”或“副本”。若正本和副本不符，以正本为准。《响应文件》的副本可采用正本的复印件。</w:t>
            </w:r>
            <w:r>
              <w:rPr>
                <w:rFonts w:hint="eastAsia"/>
                <w:b/>
                <w:bCs/>
                <w:sz w:val="24"/>
              </w:rPr>
              <w:t>同时手持书面的加盖公章的“授权委托书（法定代表人本人参加的应提供法定代表人（单位负责人）身份证明文件）”，否则采购代理机构有权拒收其响应文件。</w:t>
            </w:r>
          </w:p>
          <w:p w14:paraId="25C5D255">
            <w:pPr>
              <w:spacing w:line="360" w:lineRule="exact"/>
              <w:ind w:firstLine="480" w:firstLineChars="200"/>
              <w:jc w:val="left"/>
              <w:rPr>
                <w:sz w:val="24"/>
              </w:rPr>
            </w:pPr>
            <w:r>
              <w:rPr>
                <w:rFonts w:hint="eastAsia"/>
                <w:sz w:val="24"/>
              </w:rPr>
              <w:t>供应商提供响应文件须按磋商文件要求单独放入密封袋或密封箱中，并加贴封条，在封套封口处加盖供应商单位公章，以便确认密封情况，不符合要求的响应文件将被拒绝。</w:t>
            </w:r>
          </w:p>
          <w:p w14:paraId="7C68EEB1">
            <w:pPr>
              <w:spacing w:line="360" w:lineRule="exact"/>
              <w:ind w:firstLine="480" w:firstLineChars="200"/>
              <w:jc w:val="left"/>
              <w:rPr>
                <w:sz w:val="24"/>
              </w:rPr>
            </w:pPr>
            <w:r>
              <w:rPr>
                <w:rFonts w:hint="eastAsia"/>
                <w:sz w:val="24"/>
              </w:rPr>
              <w:t>为响应节能环保方针，我单位建议各供应商所做响应文件，采用双面打印方式并胶装。</w:t>
            </w:r>
          </w:p>
        </w:tc>
      </w:tr>
    </w:tbl>
    <w:p w14:paraId="0BA8A5AC">
      <w:pPr>
        <w:tabs>
          <w:tab w:val="left" w:pos="5580"/>
        </w:tabs>
        <w:adjustRightInd w:val="0"/>
        <w:spacing w:line="360" w:lineRule="auto"/>
        <w:jc w:val="distribute"/>
        <w:rPr>
          <w:sz w:val="24"/>
        </w:rPr>
        <w:sectPr>
          <w:footerReference r:id="rId11" w:type="first"/>
          <w:footerReference r:id="rId9" w:type="default"/>
          <w:footerReference r:id="rId10" w:type="even"/>
          <w:pgSz w:w="11907" w:h="16840"/>
          <w:pgMar w:top="1440" w:right="1800" w:bottom="1440" w:left="1800" w:header="851" w:footer="851" w:gutter="0"/>
          <w:pgNumType w:start="1"/>
          <w:cols w:space="720" w:num="1"/>
          <w:titlePg/>
          <w:docGrid w:linePitch="462" w:charSpace="0"/>
        </w:sectPr>
      </w:pPr>
    </w:p>
    <w:p w14:paraId="38A862F0">
      <w:pPr>
        <w:spacing w:before="312" w:beforeLines="100" w:after="312" w:afterLines="100"/>
        <w:jc w:val="center"/>
        <w:rPr>
          <w:b/>
          <w:sz w:val="28"/>
          <w:szCs w:val="28"/>
        </w:rPr>
      </w:pPr>
      <w:r>
        <w:rPr>
          <w:b/>
          <w:sz w:val="28"/>
          <w:szCs w:val="28"/>
        </w:rPr>
        <w:t>供应商须知</w:t>
      </w:r>
    </w:p>
    <w:p w14:paraId="2FC652C3">
      <w:pPr>
        <w:pStyle w:val="3"/>
        <w:tabs>
          <w:tab w:val="center" w:pos="4592"/>
          <w:tab w:val="left" w:pos="7860"/>
        </w:tabs>
        <w:spacing w:before="0" w:line="360" w:lineRule="auto"/>
        <w:rPr>
          <w:rFonts w:ascii="Times New Roman" w:hAnsi="Times New Roman" w:eastAsia="宋体"/>
          <w:sz w:val="28"/>
        </w:rPr>
      </w:pPr>
      <w:bookmarkStart w:id="77" w:name="_Toc150774618"/>
      <w:bookmarkStart w:id="78" w:name="_Toc151193760"/>
      <w:bookmarkStart w:id="79" w:name="_Toc151193616"/>
      <w:bookmarkStart w:id="80" w:name="_Toc150774723"/>
      <w:bookmarkStart w:id="81" w:name="_Toc226337214"/>
      <w:bookmarkStart w:id="82" w:name="_Toc151193906"/>
      <w:bookmarkStart w:id="83" w:name="_Toc264969208"/>
      <w:bookmarkStart w:id="84" w:name="_Toc305158860"/>
      <w:bookmarkStart w:id="85" w:name="_Toc305158786"/>
      <w:bookmarkStart w:id="86" w:name="_Toc127151518"/>
      <w:bookmarkStart w:id="87" w:name="_Toc150509269"/>
      <w:bookmarkStart w:id="88" w:name="_Toc226965791"/>
      <w:bookmarkStart w:id="89" w:name="_Toc151193688"/>
      <w:bookmarkStart w:id="90" w:name="_Toc226309762"/>
      <w:bookmarkStart w:id="91" w:name="_Toc195842883"/>
      <w:bookmarkStart w:id="92" w:name="_Toc151193832"/>
      <w:bookmarkStart w:id="93" w:name="_Toc520356143"/>
      <w:bookmarkStart w:id="94" w:name="_Toc265228356"/>
      <w:bookmarkStart w:id="95" w:name="_Toc151190145"/>
      <w:bookmarkStart w:id="96" w:name="_Toc142311020"/>
      <w:bookmarkStart w:id="97" w:name="_Toc150480756"/>
      <w:bookmarkStart w:id="98" w:name="_Toc226965708"/>
      <w:r>
        <w:rPr>
          <w:rFonts w:ascii="Times New Roman" w:hAnsi="Times New Roman" w:eastAsia="宋体"/>
          <w:sz w:val="28"/>
        </w:rPr>
        <w:t>一   说  明</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75CF7582">
      <w:pPr>
        <w:numPr>
          <w:ilvl w:val="0"/>
          <w:numId w:val="8"/>
        </w:numPr>
        <w:tabs>
          <w:tab w:val="left" w:pos="360"/>
          <w:tab w:val="clear" w:pos="900"/>
        </w:tabs>
        <w:snapToGrid w:val="0"/>
        <w:spacing w:line="360" w:lineRule="auto"/>
        <w:ind w:left="357" w:hanging="357"/>
        <w:outlineLvl w:val="1"/>
        <w:rPr>
          <w:sz w:val="24"/>
        </w:rPr>
      </w:pPr>
      <w:bookmarkStart w:id="99" w:name="_Toc264969209"/>
      <w:bookmarkStart w:id="100" w:name="_Toc305158787"/>
      <w:bookmarkStart w:id="101" w:name="_Toc305158861"/>
      <w:bookmarkStart w:id="102" w:name="_Toc265228357"/>
      <w:r>
        <w:rPr>
          <w:sz w:val="24"/>
        </w:rPr>
        <w:t>采购人、采购代理机构、供应商</w:t>
      </w:r>
      <w:bookmarkEnd w:id="99"/>
      <w:bookmarkEnd w:id="100"/>
      <w:bookmarkEnd w:id="101"/>
      <w:bookmarkEnd w:id="102"/>
      <w:r>
        <w:rPr>
          <w:sz w:val="24"/>
        </w:rPr>
        <w:t>、联合体</w:t>
      </w:r>
    </w:p>
    <w:p w14:paraId="7B6B592C">
      <w:pPr>
        <w:numPr>
          <w:ilvl w:val="1"/>
          <w:numId w:val="8"/>
        </w:numPr>
        <w:tabs>
          <w:tab w:val="left" w:pos="1080"/>
          <w:tab w:val="left" w:pos="2014"/>
          <w:tab w:val="left" w:pos="5521"/>
        </w:tabs>
        <w:snapToGrid w:val="0"/>
        <w:spacing w:line="360" w:lineRule="auto"/>
        <w:ind w:left="1080" w:hanging="720"/>
        <w:rPr>
          <w:sz w:val="24"/>
        </w:rPr>
      </w:pPr>
      <w:r>
        <w:rPr>
          <w:sz w:val="24"/>
        </w:rPr>
        <w:t>采购人、采购代理机构：指依法进行政府采购的国家机关、事业单位、团体组织，及其委托的采购代理机构。本项目采购人、采购代理机构见第一章《采购邀请》。</w:t>
      </w:r>
    </w:p>
    <w:p w14:paraId="4893DE04">
      <w:pPr>
        <w:numPr>
          <w:ilvl w:val="1"/>
          <w:numId w:val="8"/>
        </w:numPr>
        <w:tabs>
          <w:tab w:val="left" w:pos="1080"/>
          <w:tab w:val="left" w:pos="2014"/>
          <w:tab w:val="left" w:pos="5521"/>
        </w:tabs>
        <w:snapToGrid w:val="0"/>
        <w:spacing w:line="360" w:lineRule="auto"/>
        <w:ind w:left="1080" w:hanging="720"/>
        <w:rPr>
          <w:sz w:val="24"/>
        </w:rPr>
      </w:pPr>
      <w:r>
        <w:rPr>
          <w:sz w:val="24"/>
        </w:rPr>
        <w:t>供应商（也称“申请人”）：指向采购人提供货物、工程或者服务的法人、其他组织或者自然人。</w:t>
      </w:r>
    </w:p>
    <w:p w14:paraId="75C7F848">
      <w:pPr>
        <w:numPr>
          <w:ilvl w:val="1"/>
          <w:numId w:val="8"/>
        </w:numPr>
        <w:tabs>
          <w:tab w:val="left" w:pos="1080"/>
          <w:tab w:val="left" w:pos="2014"/>
          <w:tab w:val="left" w:pos="5521"/>
        </w:tabs>
        <w:snapToGrid w:val="0"/>
        <w:spacing w:line="360" w:lineRule="auto"/>
        <w:ind w:left="1080" w:hanging="720"/>
        <w:rPr>
          <w:sz w:val="24"/>
        </w:rPr>
      </w:pPr>
      <w:r>
        <w:rPr>
          <w:sz w:val="24"/>
        </w:rPr>
        <w:t>联合体：指两个以上的自然人、法人或者其他组织组成一个联合体，以一个供应商的身份共同参加政府采购。</w:t>
      </w:r>
    </w:p>
    <w:p w14:paraId="428F30CD">
      <w:pPr>
        <w:numPr>
          <w:ilvl w:val="0"/>
          <w:numId w:val="8"/>
        </w:numPr>
        <w:tabs>
          <w:tab w:val="left" w:pos="360"/>
          <w:tab w:val="clear" w:pos="900"/>
        </w:tabs>
        <w:snapToGrid w:val="0"/>
        <w:spacing w:line="360" w:lineRule="auto"/>
        <w:ind w:left="357" w:hanging="357"/>
        <w:outlineLvl w:val="1"/>
        <w:rPr>
          <w:sz w:val="24"/>
        </w:rPr>
      </w:pPr>
      <w:bookmarkStart w:id="103" w:name="_Toc164229361"/>
      <w:bookmarkStart w:id="104" w:name="_Toc226337216"/>
      <w:bookmarkStart w:id="105" w:name="_Toc164351614"/>
      <w:bookmarkStart w:id="106" w:name="_Toc150480758"/>
      <w:bookmarkStart w:id="107" w:name="_Toc226309764"/>
      <w:bookmarkStart w:id="108" w:name="_Toc142311022"/>
      <w:bookmarkStart w:id="109" w:name="_Toc151193618"/>
      <w:bookmarkStart w:id="110" w:name="_Toc164229215"/>
      <w:bookmarkStart w:id="111" w:name="_Toc164608634"/>
      <w:bookmarkStart w:id="112" w:name="_Toc151193690"/>
      <w:bookmarkStart w:id="113" w:name="_Toc127151721"/>
      <w:bookmarkStart w:id="114" w:name="_Toc305158862"/>
      <w:bookmarkStart w:id="115" w:name="_Toc264969210"/>
      <w:bookmarkStart w:id="116" w:name="_Toc127161434"/>
      <w:bookmarkStart w:id="117" w:name="_Toc164608789"/>
      <w:bookmarkStart w:id="118" w:name="_Toc150774620"/>
      <w:bookmarkStart w:id="119" w:name="_Toc150774725"/>
      <w:bookmarkStart w:id="120" w:name="_Toc150509271"/>
      <w:bookmarkStart w:id="121" w:name="_Toc151193834"/>
      <w:bookmarkStart w:id="122" w:name="_Toc226965710"/>
      <w:bookmarkStart w:id="123" w:name="_Toc127151520"/>
      <w:bookmarkStart w:id="124" w:name="_Toc151193762"/>
      <w:bookmarkStart w:id="125" w:name="_Toc151190147"/>
      <w:bookmarkStart w:id="126" w:name="_Toc151193908"/>
      <w:bookmarkStart w:id="127" w:name="_Toc195842885"/>
      <w:bookmarkStart w:id="128" w:name="_Toc265228358"/>
      <w:bookmarkStart w:id="129" w:name="_Toc226965793"/>
      <w:bookmarkStart w:id="130" w:name="_Toc149720813"/>
      <w:bookmarkStart w:id="131" w:name="_Toc305158788"/>
      <w:r>
        <w:rPr>
          <w:sz w:val="24"/>
        </w:rPr>
        <w:t>资金来源</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Pr>
          <w:sz w:val="24"/>
        </w:rPr>
        <w:t>、项目属性、科研仪器设备采购</w:t>
      </w:r>
    </w:p>
    <w:p w14:paraId="0276CB25">
      <w:pPr>
        <w:numPr>
          <w:ilvl w:val="1"/>
          <w:numId w:val="8"/>
        </w:numPr>
        <w:tabs>
          <w:tab w:val="left" w:pos="1080"/>
          <w:tab w:val="left" w:pos="2014"/>
        </w:tabs>
        <w:snapToGrid w:val="0"/>
        <w:spacing w:line="360" w:lineRule="auto"/>
        <w:ind w:left="1080" w:hanging="720"/>
        <w:rPr>
          <w:sz w:val="24"/>
        </w:rPr>
      </w:pPr>
      <w:r>
        <w:rPr>
          <w:sz w:val="24"/>
        </w:rPr>
        <w:t>资金来源为财政性资金和/或本项目采购中无法与财政性资金分割的非财政性资金。</w:t>
      </w:r>
    </w:p>
    <w:p w14:paraId="1D63DA60">
      <w:pPr>
        <w:numPr>
          <w:ilvl w:val="1"/>
          <w:numId w:val="8"/>
        </w:numPr>
        <w:tabs>
          <w:tab w:val="left" w:pos="1080"/>
          <w:tab w:val="left" w:pos="2014"/>
        </w:tabs>
        <w:snapToGrid w:val="0"/>
        <w:spacing w:line="360" w:lineRule="auto"/>
        <w:ind w:left="1080" w:hanging="720"/>
        <w:rPr>
          <w:sz w:val="24"/>
        </w:rPr>
      </w:pPr>
      <w:r>
        <w:rPr>
          <w:sz w:val="24"/>
        </w:rPr>
        <w:t>项目属性见《供应商须知资料表》。</w:t>
      </w:r>
    </w:p>
    <w:p w14:paraId="41918985">
      <w:pPr>
        <w:numPr>
          <w:ilvl w:val="1"/>
          <w:numId w:val="8"/>
        </w:numPr>
        <w:tabs>
          <w:tab w:val="left" w:pos="1080"/>
          <w:tab w:val="left" w:pos="2014"/>
        </w:tabs>
        <w:snapToGrid w:val="0"/>
        <w:spacing w:line="360" w:lineRule="auto"/>
        <w:ind w:left="1080" w:hanging="720"/>
        <w:rPr>
          <w:sz w:val="24"/>
        </w:rPr>
      </w:pPr>
      <w:r>
        <w:rPr>
          <w:sz w:val="24"/>
        </w:rPr>
        <w:t>是否属于科研仪器设备采购见《供应商须知资料表》。</w:t>
      </w:r>
    </w:p>
    <w:p w14:paraId="57B4C31D">
      <w:pPr>
        <w:numPr>
          <w:ilvl w:val="0"/>
          <w:numId w:val="8"/>
        </w:numPr>
        <w:tabs>
          <w:tab w:val="left" w:pos="360"/>
        </w:tabs>
        <w:snapToGrid w:val="0"/>
        <w:spacing w:line="360" w:lineRule="auto"/>
        <w:ind w:left="357" w:hanging="357"/>
        <w:outlineLvl w:val="1"/>
        <w:rPr>
          <w:sz w:val="24"/>
        </w:rPr>
      </w:pPr>
      <w:r>
        <w:rPr>
          <w:sz w:val="24"/>
        </w:rPr>
        <w:t>现场考察、磋商前答疑会</w:t>
      </w:r>
    </w:p>
    <w:p w14:paraId="567F7028">
      <w:pPr>
        <w:numPr>
          <w:ilvl w:val="1"/>
          <w:numId w:val="8"/>
        </w:numPr>
        <w:tabs>
          <w:tab w:val="left" w:pos="1080"/>
          <w:tab w:val="left" w:pos="2014"/>
        </w:tabs>
        <w:snapToGrid w:val="0"/>
        <w:spacing w:line="360" w:lineRule="auto"/>
        <w:ind w:left="1080" w:hanging="720"/>
        <w:rPr>
          <w:sz w:val="28"/>
        </w:rPr>
      </w:pPr>
      <w:r>
        <w:rPr>
          <w:sz w:val="24"/>
        </w:rPr>
        <w:t>若《供应商须知资料表》中规定了组织现场考察、召开磋商前答疑会，则供应商应按要求在规定的时间和地点参加。</w:t>
      </w:r>
      <w:bookmarkStart w:id="132" w:name="_Toc127151522"/>
      <w:bookmarkStart w:id="133" w:name="_Toc151193836"/>
      <w:bookmarkStart w:id="134" w:name="_Toc151190149"/>
      <w:bookmarkStart w:id="135" w:name="_Toc150480760"/>
      <w:bookmarkStart w:id="136" w:name="_Toc265228360"/>
      <w:bookmarkStart w:id="137" w:name="_Toc142311024"/>
      <w:bookmarkStart w:id="138" w:name="_Toc264969212"/>
      <w:bookmarkStart w:id="139" w:name="_Toc151193620"/>
      <w:bookmarkStart w:id="140" w:name="_Toc150509273"/>
      <w:bookmarkStart w:id="141" w:name="_Toc305158790"/>
      <w:bookmarkStart w:id="142" w:name="_Toc151193910"/>
      <w:bookmarkStart w:id="143" w:name="_Toc226309766"/>
      <w:bookmarkStart w:id="144" w:name="_Toc150774622"/>
      <w:bookmarkStart w:id="145" w:name="_Toc520356146"/>
      <w:bookmarkStart w:id="146" w:name="_Toc195842887"/>
      <w:bookmarkStart w:id="147" w:name="_Toc226965795"/>
      <w:bookmarkStart w:id="148" w:name="_Toc305158864"/>
      <w:bookmarkStart w:id="149" w:name="_Toc151193764"/>
      <w:bookmarkStart w:id="150" w:name="_Toc151193692"/>
      <w:bookmarkStart w:id="151" w:name="_Toc226965712"/>
      <w:bookmarkStart w:id="152" w:name="_Toc150774727"/>
      <w:bookmarkStart w:id="153" w:name="_Toc226337218"/>
    </w:p>
    <w:p w14:paraId="071DDB8F">
      <w:pPr>
        <w:numPr>
          <w:ilvl w:val="1"/>
          <w:numId w:val="8"/>
        </w:numPr>
        <w:tabs>
          <w:tab w:val="left" w:pos="1080"/>
          <w:tab w:val="left" w:pos="2014"/>
        </w:tabs>
        <w:snapToGrid w:val="0"/>
        <w:spacing w:line="360" w:lineRule="auto"/>
        <w:ind w:left="1080" w:hanging="720"/>
        <w:rPr>
          <w:sz w:val="24"/>
        </w:rPr>
      </w:pPr>
      <w:r>
        <w:rPr>
          <w:sz w:val="24"/>
        </w:rPr>
        <w:t>由于未参加现场考察或磋商前答疑会而导致对项目实际情况不了解，影响响应文件编制、报价准确性、综合因素响应不全面等问题的，由供应商自行承担不利评审后果。</w:t>
      </w:r>
    </w:p>
    <w:p w14:paraId="28A9E76E">
      <w:pPr>
        <w:numPr>
          <w:ilvl w:val="0"/>
          <w:numId w:val="8"/>
        </w:numPr>
        <w:tabs>
          <w:tab w:val="left" w:pos="360"/>
          <w:tab w:val="clear" w:pos="900"/>
        </w:tabs>
        <w:snapToGrid w:val="0"/>
        <w:spacing w:line="360" w:lineRule="auto"/>
        <w:ind w:left="357" w:hanging="357"/>
        <w:outlineLvl w:val="1"/>
        <w:rPr>
          <w:sz w:val="24"/>
        </w:rPr>
      </w:pPr>
      <w:r>
        <w:rPr>
          <w:sz w:val="24"/>
        </w:rPr>
        <w:t>政府采购政策（包括但不限于下列具体政策要求）</w:t>
      </w:r>
    </w:p>
    <w:p w14:paraId="7D2BCCBF">
      <w:pPr>
        <w:numPr>
          <w:ilvl w:val="1"/>
          <w:numId w:val="8"/>
        </w:numPr>
        <w:tabs>
          <w:tab w:val="left" w:pos="1080"/>
          <w:tab w:val="left" w:pos="2014"/>
        </w:tabs>
        <w:snapToGrid w:val="0"/>
        <w:spacing w:line="360" w:lineRule="auto"/>
        <w:ind w:left="1080" w:hanging="720"/>
        <w:rPr>
          <w:sz w:val="24"/>
        </w:rPr>
      </w:pPr>
      <w:r>
        <w:rPr>
          <w:sz w:val="24"/>
        </w:rPr>
        <w:t>采购本国货物、工程和服务</w:t>
      </w:r>
    </w:p>
    <w:p w14:paraId="6FBFCCF2">
      <w:pPr>
        <w:numPr>
          <w:ilvl w:val="2"/>
          <w:numId w:val="8"/>
        </w:numPr>
        <w:tabs>
          <w:tab w:val="left" w:pos="2014"/>
        </w:tabs>
        <w:snapToGrid w:val="0"/>
        <w:spacing w:line="360" w:lineRule="auto"/>
        <w:rPr>
          <w:sz w:val="24"/>
        </w:rPr>
      </w:pPr>
      <w:r>
        <w:rPr>
          <w:kern w:val="0"/>
          <w:sz w:val="24"/>
        </w:rPr>
        <w:t>政府采购应当采购本国货物、工程和服务。但有《</w:t>
      </w:r>
      <w:r>
        <w:rPr>
          <w:b/>
          <w:kern w:val="0"/>
          <w:sz w:val="24"/>
        </w:rPr>
        <w:t>中华人民共和国政府采购法</w:t>
      </w:r>
      <w:r>
        <w:rPr>
          <w:kern w:val="0"/>
          <w:sz w:val="24"/>
        </w:rPr>
        <w:t>》第十条规定情形的除外。</w:t>
      </w:r>
    </w:p>
    <w:p w14:paraId="0EE67FD3">
      <w:pPr>
        <w:numPr>
          <w:ilvl w:val="2"/>
          <w:numId w:val="8"/>
        </w:numPr>
        <w:tabs>
          <w:tab w:val="left" w:pos="2014"/>
        </w:tabs>
        <w:snapToGrid w:val="0"/>
        <w:spacing w:line="360" w:lineRule="auto"/>
        <w:rPr>
          <w:sz w:val="24"/>
        </w:rPr>
      </w:pPr>
      <w:r>
        <w:rPr>
          <w:sz w:val="24"/>
        </w:rPr>
        <w:t>本项目如接受非本国货物、工程、服务参与</w:t>
      </w:r>
      <w:r>
        <w:rPr>
          <w:rFonts w:hint="eastAsia"/>
          <w:sz w:val="24"/>
        </w:rPr>
        <w:t>响应</w:t>
      </w:r>
      <w:r>
        <w:rPr>
          <w:sz w:val="24"/>
        </w:rPr>
        <w:t>，则具体要求见第四章《采购需求》。</w:t>
      </w:r>
    </w:p>
    <w:p w14:paraId="19FE01D4">
      <w:pPr>
        <w:numPr>
          <w:ilvl w:val="2"/>
          <w:numId w:val="8"/>
        </w:numPr>
        <w:tabs>
          <w:tab w:val="left" w:pos="2014"/>
        </w:tabs>
        <w:snapToGrid w:val="0"/>
        <w:spacing w:line="360" w:lineRule="auto"/>
        <w:rPr>
          <w:sz w:val="24"/>
        </w:rPr>
      </w:pPr>
      <w:r>
        <w:rPr>
          <w:sz w:val="24"/>
        </w:rPr>
        <w:t>进口产品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51F288E2">
      <w:pPr>
        <w:numPr>
          <w:ilvl w:val="1"/>
          <w:numId w:val="8"/>
        </w:numPr>
        <w:tabs>
          <w:tab w:val="left" w:pos="1080"/>
          <w:tab w:val="left" w:pos="2014"/>
        </w:tabs>
        <w:snapToGrid w:val="0"/>
        <w:spacing w:line="360" w:lineRule="auto"/>
        <w:ind w:left="1080" w:hanging="720"/>
        <w:rPr>
          <w:sz w:val="24"/>
        </w:rPr>
      </w:pPr>
      <w:r>
        <w:rPr>
          <w:sz w:val="24"/>
        </w:rPr>
        <w:t>中小企业、监狱企业及残疾人福利性单位</w:t>
      </w:r>
    </w:p>
    <w:p w14:paraId="2BA5D1ED">
      <w:pPr>
        <w:numPr>
          <w:ilvl w:val="2"/>
          <w:numId w:val="8"/>
        </w:numPr>
        <w:snapToGrid w:val="0"/>
        <w:spacing w:line="360" w:lineRule="auto"/>
        <w:rPr>
          <w:sz w:val="24"/>
        </w:rPr>
      </w:pPr>
      <w:r>
        <w:rPr>
          <w:sz w:val="24"/>
        </w:rPr>
        <w:t>中小企业定义：</w:t>
      </w:r>
    </w:p>
    <w:p w14:paraId="4CB8FB64">
      <w:pPr>
        <w:numPr>
          <w:ilvl w:val="3"/>
          <w:numId w:val="0"/>
        </w:numPr>
        <w:tabs>
          <w:tab w:val="left" w:pos="1980"/>
          <w:tab w:val="left" w:pos="2035"/>
          <w:tab w:val="left" w:pos="2885"/>
          <w:tab w:val="left" w:pos="2977"/>
        </w:tabs>
        <w:snapToGrid w:val="0"/>
        <w:spacing w:line="360" w:lineRule="auto"/>
        <w:ind w:left="2885" w:hanging="900"/>
        <w:rPr>
          <w:color w:val="000000"/>
          <w:sz w:val="24"/>
        </w:rPr>
      </w:pPr>
      <w:r>
        <w:rPr>
          <w:rFonts w:hint="eastAsia"/>
          <w:color w:val="000000"/>
          <w:sz w:val="24"/>
        </w:rPr>
        <w:t>4.2.1.1</w:t>
      </w:r>
      <w:r>
        <w:rPr>
          <w:color w:val="000000"/>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w:t>
      </w:r>
      <w:r>
        <w:rPr>
          <w:rFonts w:hint="eastAsia"/>
          <w:color w:val="000000"/>
          <w:sz w:val="24"/>
        </w:rPr>
        <w:t>判定</w:t>
      </w:r>
      <w:r>
        <w:rPr>
          <w:color w:val="000000"/>
          <w:sz w:val="24"/>
        </w:rPr>
        <w:t>依据《中华人民共和国中小企业促进法》、《关于进一步加大政府采购支持中小企业力度的通知》（财库〔2022〕19号）、《政府采购促进中小企业发展管理办法》（财库〔2020〕46号）、《关于印发中小企业划型标准规定的通知》（工信部联企业〔2011〕300 号）</w:t>
      </w:r>
      <w:r>
        <w:rPr>
          <w:rFonts w:hint="eastAsia"/>
          <w:color w:val="000000"/>
          <w:sz w:val="24"/>
        </w:rPr>
        <w:t>、《金融业企业划型标准规定》（〔</w:t>
      </w:r>
      <w:r>
        <w:rPr>
          <w:color w:val="000000"/>
          <w:sz w:val="24"/>
        </w:rPr>
        <w:t>2015</w:t>
      </w:r>
      <w:r>
        <w:rPr>
          <w:rFonts w:hint="eastAsia"/>
          <w:color w:val="000000"/>
          <w:sz w:val="24"/>
        </w:rPr>
        <w:t>〕</w:t>
      </w:r>
      <w:r>
        <w:rPr>
          <w:color w:val="000000"/>
          <w:sz w:val="24"/>
        </w:rPr>
        <w:t xml:space="preserve">309 </w:t>
      </w:r>
      <w:r>
        <w:rPr>
          <w:rFonts w:hint="eastAsia"/>
          <w:color w:val="000000"/>
          <w:sz w:val="24"/>
        </w:rPr>
        <w:t>号）等国务院批准的中小企业划分标准执行</w:t>
      </w:r>
      <w:r>
        <w:rPr>
          <w:color w:val="000000"/>
          <w:sz w:val="24"/>
        </w:rPr>
        <w:t>。</w:t>
      </w:r>
    </w:p>
    <w:p w14:paraId="612376FD">
      <w:pPr>
        <w:numPr>
          <w:ilvl w:val="3"/>
          <w:numId w:val="0"/>
        </w:numPr>
        <w:tabs>
          <w:tab w:val="left" w:pos="1980"/>
          <w:tab w:val="left" w:pos="2035"/>
          <w:tab w:val="left" w:pos="2885"/>
          <w:tab w:val="left" w:pos="2977"/>
        </w:tabs>
        <w:snapToGrid w:val="0"/>
        <w:spacing w:line="360" w:lineRule="auto"/>
        <w:ind w:left="2885" w:hanging="900"/>
        <w:rPr>
          <w:color w:val="000000"/>
          <w:sz w:val="24"/>
        </w:rPr>
      </w:pPr>
      <w:r>
        <w:rPr>
          <w:rFonts w:hint="eastAsia"/>
          <w:color w:val="000000"/>
          <w:sz w:val="24"/>
        </w:rPr>
        <w:t>4.2.1.2</w:t>
      </w:r>
      <w:r>
        <w:rPr>
          <w:sz w:val="24"/>
        </w:rPr>
        <w:t>供应商提供的货物、工程或者服务符合下列情形的，享受中小企业扶持政策：</w:t>
      </w:r>
    </w:p>
    <w:p w14:paraId="2D0CBA6A">
      <w:pPr>
        <w:tabs>
          <w:tab w:val="left" w:pos="1980"/>
        </w:tabs>
        <w:snapToGrid w:val="0"/>
        <w:spacing w:line="360" w:lineRule="auto"/>
        <w:ind w:left="2835" w:leftChars="1350"/>
        <w:rPr>
          <w:color w:val="000000"/>
          <w:sz w:val="24"/>
        </w:rPr>
      </w:pPr>
      <w:r>
        <w:rPr>
          <w:color w:val="000000"/>
          <w:sz w:val="24"/>
        </w:rPr>
        <w:t>（1）在货物采购项目中，货物由中小企业制造，即货物由中小企业生产且使用该中小企业商号或者注册商标；</w:t>
      </w:r>
    </w:p>
    <w:p w14:paraId="05C4AC3A">
      <w:pPr>
        <w:tabs>
          <w:tab w:val="left" w:pos="1980"/>
        </w:tabs>
        <w:snapToGrid w:val="0"/>
        <w:spacing w:line="360" w:lineRule="auto"/>
        <w:ind w:left="2835" w:leftChars="1350"/>
        <w:rPr>
          <w:color w:val="000000"/>
          <w:sz w:val="24"/>
        </w:rPr>
      </w:pPr>
      <w:r>
        <w:rPr>
          <w:color w:val="000000"/>
          <w:sz w:val="24"/>
        </w:rPr>
        <w:t>（2）在工程采购项目中，工程由中小企业承建，即工程施工单位为中小企业；</w:t>
      </w:r>
    </w:p>
    <w:p w14:paraId="206E5B6E">
      <w:pPr>
        <w:tabs>
          <w:tab w:val="left" w:pos="1980"/>
        </w:tabs>
        <w:snapToGrid w:val="0"/>
        <w:spacing w:line="360" w:lineRule="auto"/>
        <w:ind w:left="2835" w:leftChars="1350"/>
        <w:rPr>
          <w:color w:val="000000"/>
          <w:sz w:val="24"/>
        </w:rPr>
      </w:pPr>
      <w:r>
        <w:rPr>
          <w:color w:val="000000"/>
          <w:sz w:val="24"/>
        </w:rPr>
        <w:t>（3）在服务采购项目中，服务由中小企业承接，即提供服务的人员为中小企业依照《中华人民共和国劳动合同法》订立劳动合同的从业人员。</w:t>
      </w:r>
    </w:p>
    <w:p w14:paraId="42985D31">
      <w:pPr>
        <w:numPr>
          <w:ilvl w:val="3"/>
          <w:numId w:val="0"/>
        </w:numPr>
        <w:tabs>
          <w:tab w:val="left" w:pos="1980"/>
          <w:tab w:val="left" w:pos="2035"/>
          <w:tab w:val="left" w:pos="2885"/>
          <w:tab w:val="left" w:pos="2977"/>
        </w:tabs>
        <w:snapToGrid w:val="0"/>
        <w:spacing w:line="360" w:lineRule="auto"/>
        <w:ind w:left="2885" w:hanging="900"/>
        <w:rPr>
          <w:sz w:val="24"/>
        </w:rPr>
      </w:pPr>
      <w:r>
        <w:rPr>
          <w:rFonts w:hint="eastAsia"/>
          <w:sz w:val="24"/>
        </w:rPr>
        <w:t>4.2.1.3</w:t>
      </w:r>
      <w:r>
        <w:rPr>
          <w:sz w:val="24"/>
        </w:rPr>
        <w:t>在货物采购项目中，供应商提供的货物既有中小企业制造货物，也有大型企业制造货物的，不享受中小企业扶持政策。</w:t>
      </w:r>
    </w:p>
    <w:p w14:paraId="11E3F377">
      <w:pPr>
        <w:numPr>
          <w:ilvl w:val="3"/>
          <w:numId w:val="0"/>
        </w:numPr>
        <w:tabs>
          <w:tab w:val="left" w:pos="1980"/>
          <w:tab w:val="left" w:pos="2035"/>
          <w:tab w:val="left" w:pos="2885"/>
          <w:tab w:val="left" w:pos="2977"/>
        </w:tabs>
        <w:snapToGrid w:val="0"/>
        <w:spacing w:line="360" w:lineRule="auto"/>
        <w:ind w:left="2885" w:hanging="900"/>
        <w:rPr>
          <w:sz w:val="24"/>
        </w:rPr>
      </w:pPr>
      <w:r>
        <w:rPr>
          <w:rFonts w:hint="eastAsia"/>
          <w:sz w:val="24"/>
        </w:rPr>
        <w:t>4.2.1.4</w:t>
      </w:r>
      <w:r>
        <w:rPr>
          <w:color w:val="000000"/>
          <w:sz w:val="24"/>
        </w:rPr>
        <w:t>以联合体形式参加政府采购活动，联合体各方均为中小企业的，联合体视同中小企业。其中，联合体各方均为小微企业的，联合体视同小微企业。</w:t>
      </w:r>
    </w:p>
    <w:p w14:paraId="3299EC8E">
      <w:pPr>
        <w:numPr>
          <w:ilvl w:val="2"/>
          <w:numId w:val="8"/>
        </w:numPr>
        <w:snapToGrid w:val="0"/>
        <w:spacing w:line="360" w:lineRule="auto"/>
        <w:rPr>
          <w:sz w:val="24"/>
        </w:rPr>
      </w:pPr>
      <w:r>
        <w:rPr>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86FB984">
      <w:pPr>
        <w:numPr>
          <w:ilvl w:val="2"/>
          <w:numId w:val="8"/>
        </w:numPr>
        <w:snapToGrid w:val="0"/>
        <w:spacing w:line="360" w:lineRule="auto"/>
        <w:rPr>
          <w:sz w:val="24"/>
        </w:rPr>
      </w:pPr>
      <w:r>
        <w:rPr>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5DAF78B9">
      <w:pPr>
        <w:numPr>
          <w:ilvl w:val="3"/>
          <w:numId w:val="0"/>
        </w:numPr>
        <w:tabs>
          <w:tab w:val="left" w:pos="1980"/>
          <w:tab w:val="left" w:pos="2035"/>
          <w:tab w:val="left" w:pos="2885"/>
          <w:tab w:val="left" w:pos="2977"/>
        </w:tabs>
        <w:snapToGrid w:val="0"/>
        <w:spacing w:line="360" w:lineRule="auto"/>
        <w:ind w:left="2885" w:hanging="900"/>
        <w:rPr>
          <w:color w:val="000000"/>
          <w:sz w:val="24"/>
        </w:rPr>
      </w:pPr>
      <w:r>
        <w:rPr>
          <w:rFonts w:hint="eastAsia"/>
          <w:color w:val="000000"/>
          <w:sz w:val="24"/>
        </w:rPr>
        <w:t>4.2.3.1</w:t>
      </w:r>
      <w:r>
        <w:rPr>
          <w:color w:val="000000"/>
          <w:sz w:val="24"/>
        </w:rPr>
        <w:t>安置的残疾人占本单位在职职工人数的比例不低于25%（含25%），并且安置的残疾人人数不少于10 人（含10 人）；</w:t>
      </w:r>
    </w:p>
    <w:p w14:paraId="27280F98">
      <w:pPr>
        <w:numPr>
          <w:ilvl w:val="3"/>
          <w:numId w:val="0"/>
        </w:numPr>
        <w:tabs>
          <w:tab w:val="left" w:pos="1980"/>
          <w:tab w:val="left" w:pos="2035"/>
          <w:tab w:val="left" w:pos="2885"/>
          <w:tab w:val="left" w:pos="2977"/>
        </w:tabs>
        <w:snapToGrid w:val="0"/>
        <w:spacing w:line="360" w:lineRule="auto"/>
        <w:ind w:left="2885" w:hanging="900"/>
        <w:rPr>
          <w:color w:val="000000"/>
          <w:sz w:val="24"/>
        </w:rPr>
      </w:pPr>
      <w:r>
        <w:rPr>
          <w:rFonts w:hint="eastAsia"/>
          <w:color w:val="000000"/>
          <w:sz w:val="24"/>
        </w:rPr>
        <w:t>4.2.3.2</w:t>
      </w:r>
      <w:r>
        <w:rPr>
          <w:sz w:val="24"/>
        </w:rPr>
        <w:t>依法与安置的每位残疾人签订了一年以上（含一年）的劳动合同或服务协议；</w:t>
      </w:r>
    </w:p>
    <w:p w14:paraId="26F9B005">
      <w:pPr>
        <w:numPr>
          <w:ilvl w:val="3"/>
          <w:numId w:val="0"/>
        </w:numPr>
        <w:tabs>
          <w:tab w:val="left" w:pos="1980"/>
          <w:tab w:val="left" w:pos="2035"/>
          <w:tab w:val="left" w:pos="2885"/>
          <w:tab w:val="left" w:pos="2977"/>
        </w:tabs>
        <w:snapToGrid w:val="0"/>
        <w:spacing w:line="360" w:lineRule="auto"/>
        <w:ind w:left="2885" w:hanging="900"/>
        <w:rPr>
          <w:color w:val="000000"/>
          <w:sz w:val="24"/>
        </w:rPr>
      </w:pPr>
      <w:r>
        <w:rPr>
          <w:rFonts w:hint="eastAsia"/>
          <w:color w:val="000000"/>
          <w:sz w:val="24"/>
        </w:rPr>
        <w:t>4.2.3.3</w:t>
      </w:r>
      <w:r>
        <w:rPr>
          <w:sz w:val="24"/>
        </w:rPr>
        <w:t>为安置的每位残疾人按月足额缴纳了基本养老保险、基本医疗保险、失业保险、工伤保险和生育保险等社会保险费；</w:t>
      </w:r>
    </w:p>
    <w:p w14:paraId="2D192573">
      <w:pPr>
        <w:numPr>
          <w:ilvl w:val="3"/>
          <w:numId w:val="0"/>
        </w:numPr>
        <w:tabs>
          <w:tab w:val="left" w:pos="1980"/>
          <w:tab w:val="left" w:pos="2035"/>
          <w:tab w:val="left" w:pos="2885"/>
          <w:tab w:val="left" w:pos="2977"/>
        </w:tabs>
        <w:snapToGrid w:val="0"/>
        <w:spacing w:line="360" w:lineRule="auto"/>
        <w:ind w:left="2885" w:hanging="900"/>
        <w:rPr>
          <w:color w:val="000000"/>
          <w:sz w:val="24"/>
        </w:rPr>
      </w:pPr>
      <w:r>
        <w:rPr>
          <w:rFonts w:hint="eastAsia"/>
          <w:color w:val="000000"/>
          <w:sz w:val="24"/>
        </w:rPr>
        <w:t>4.2.3.4</w:t>
      </w:r>
      <w:r>
        <w:rPr>
          <w:sz w:val="24"/>
        </w:rPr>
        <w:t>通过银行等金融机构向安置的每位残疾人，按月支付了不低于单位所在区县适用的经省级人民政府批准的月最低工资标准的工资；</w:t>
      </w:r>
    </w:p>
    <w:p w14:paraId="3AD70F9B">
      <w:pPr>
        <w:numPr>
          <w:ilvl w:val="3"/>
          <w:numId w:val="0"/>
        </w:numPr>
        <w:tabs>
          <w:tab w:val="left" w:pos="1980"/>
          <w:tab w:val="left" w:pos="2035"/>
          <w:tab w:val="left" w:pos="2885"/>
          <w:tab w:val="left" w:pos="2977"/>
        </w:tabs>
        <w:snapToGrid w:val="0"/>
        <w:spacing w:line="360" w:lineRule="auto"/>
        <w:ind w:left="2885" w:hanging="900"/>
        <w:rPr>
          <w:color w:val="000000"/>
          <w:sz w:val="24"/>
        </w:rPr>
      </w:pPr>
      <w:r>
        <w:rPr>
          <w:rFonts w:hint="eastAsia"/>
          <w:color w:val="000000"/>
          <w:sz w:val="24"/>
        </w:rPr>
        <w:t>4.2.3.5</w:t>
      </w:r>
      <w:r>
        <w:rPr>
          <w:sz w:val="24"/>
        </w:rPr>
        <w:t>提供本单位制造的货物、承担的工程或者服务（以下简称产品），或者提供其他残疾人福利性单位制造的货物（不包括使用非残疾人福利性单位注册商标的货物）；</w:t>
      </w:r>
    </w:p>
    <w:p w14:paraId="2DC4142F">
      <w:pPr>
        <w:numPr>
          <w:ilvl w:val="3"/>
          <w:numId w:val="0"/>
        </w:numPr>
        <w:tabs>
          <w:tab w:val="left" w:pos="1980"/>
          <w:tab w:val="left" w:pos="2035"/>
          <w:tab w:val="left" w:pos="2885"/>
          <w:tab w:val="left" w:pos="2977"/>
        </w:tabs>
        <w:snapToGrid w:val="0"/>
        <w:spacing w:line="360" w:lineRule="auto"/>
        <w:ind w:left="2885" w:hanging="900"/>
        <w:rPr>
          <w:color w:val="000000"/>
          <w:sz w:val="24"/>
        </w:rPr>
      </w:pPr>
      <w:r>
        <w:rPr>
          <w:rFonts w:hint="eastAsia"/>
          <w:color w:val="000000"/>
          <w:sz w:val="24"/>
        </w:rPr>
        <w:t>4.2.3.6</w:t>
      </w:r>
      <w:r>
        <w:rPr>
          <w:sz w:val="24"/>
        </w:rPr>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0DAE9897">
      <w:pPr>
        <w:numPr>
          <w:ilvl w:val="2"/>
          <w:numId w:val="8"/>
        </w:numPr>
        <w:snapToGrid w:val="0"/>
        <w:spacing w:line="360" w:lineRule="auto"/>
        <w:rPr>
          <w:sz w:val="24"/>
        </w:rPr>
      </w:pPr>
      <w:r>
        <w:rPr>
          <w:sz w:val="24"/>
        </w:rPr>
        <w:t>本项目是否专门面向中小企业预留采购份额见第一章《采购邀请》。</w:t>
      </w:r>
    </w:p>
    <w:p w14:paraId="072DBE5D">
      <w:pPr>
        <w:numPr>
          <w:ilvl w:val="2"/>
          <w:numId w:val="8"/>
        </w:numPr>
        <w:snapToGrid w:val="0"/>
        <w:spacing w:line="360" w:lineRule="auto"/>
        <w:rPr>
          <w:sz w:val="24"/>
        </w:rPr>
      </w:pPr>
      <w:r>
        <w:rPr>
          <w:sz w:val="24"/>
        </w:rPr>
        <w:t>采购标的对应的中小企业划分标准所属行业见《供应商须知资料表》。</w:t>
      </w:r>
    </w:p>
    <w:p w14:paraId="119E2847">
      <w:pPr>
        <w:numPr>
          <w:ilvl w:val="2"/>
          <w:numId w:val="8"/>
        </w:numPr>
        <w:snapToGrid w:val="0"/>
        <w:spacing w:line="360" w:lineRule="auto"/>
        <w:rPr>
          <w:sz w:val="24"/>
        </w:rPr>
      </w:pPr>
      <w:r>
        <w:rPr>
          <w:sz w:val="24"/>
        </w:rPr>
        <w:t>小微企业价格评审优惠的政策调整：见第三章《评审方法和评审标准》。</w:t>
      </w:r>
    </w:p>
    <w:p w14:paraId="09A4C59E">
      <w:pPr>
        <w:numPr>
          <w:ilvl w:val="1"/>
          <w:numId w:val="8"/>
        </w:numPr>
        <w:tabs>
          <w:tab w:val="left" w:pos="1080"/>
          <w:tab w:val="left" w:pos="2014"/>
        </w:tabs>
        <w:snapToGrid w:val="0"/>
        <w:spacing w:line="360" w:lineRule="auto"/>
        <w:ind w:left="1080" w:hanging="720"/>
        <w:rPr>
          <w:sz w:val="24"/>
        </w:rPr>
      </w:pPr>
      <w:r>
        <w:rPr>
          <w:sz w:val="24"/>
        </w:rPr>
        <w:t>政府采购节能产品、环境标志产品</w:t>
      </w:r>
    </w:p>
    <w:p w14:paraId="4EEFDCC3">
      <w:pPr>
        <w:numPr>
          <w:ilvl w:val="2"/>
          <w:numId w:val="8"/>
        </w:numPr>
        <w:snapToGrid w:val="0"/>
        <w:spacing w:line="360" w:lineRule="auto"/>
        <w:rPr>
          <w:sz w:val="24"/>
        </w:rPr>
      </w:pPr>
      <w:r>
        <w:rPr>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4E2531B0">
      <w:pPr>
        <w:numPr>
          <w:ilvl w:val="2"/>
          <w:numId w:val="8"/>
        </w:numPr>
        <w:snapToGrid w:val="0"/>
        <w:spacing w:line="360" w:lineRule="auto"/>
        <w:rPr>
          <w:sz w:val="24"/>
        </w:rPr>
      </w:pPr>
      <w:r>
        <w:rPr>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3EEF82F5">
      <w:pPr>
        <w:numPr>
          <w:ilvl w:val="2"/>
          <w:numId w:val="8"/>
        </w:numPr>
        <w:snapToGrid w:val="0"/>
        <w:spacing w:line="360" w:lineRule="auto"/>
        <w:rPr>
          <w:sz w:val="24"/>
        </w:rPr>
      </w:pPr>
      <w:r>
        <w:rPr>
          <w:sz w:val="24"/>
        </w:rPr>
        <w:t>如本项目采购产品属于实施政府强制采购品目清单范围的节能产品，则供应商所报产品必须获得国家确定的认证机构出具的、处于有效期之内的节能产品认证证书，</w:t>
      </w:r>
      <w:r>
        <w:rPr>
          <w:kern w:val="0"/>
          <w:sz w:val="24"/>
        </w:rPr>
        <w:t>否则</w:t>
      </w:r>
      <w:r>
        <w:rPr>
          <w:b/>
          <w:kern w:val="0"/>
          <w:sz w:val="24"/>
        </w:rPr>
        <w:t>响应无效</w:t>
      </w:r>
      <w:r>
        <w:rPr>
          <w:sz w:val="24"/>
        </w:rPr>
        <w:t>；</w:t>
      </w:r>
    </w:p>
    <w:p w14:paraId="765EC12B">
      <w:pPr>
        <w:numPr>
          <w:ilvl w:val="2"/>
          <w:numId w:val="8"/>
        </w:numPr>
        <w:snapToGrid w:val="0"/>
        <w:spacing w:line="360" w:lineRule="auto"/>
        <w:rPr>
          <w:sz w:val="24"/>
        </w:rPr>
      </w:pPr>
      <w:r>
        <w:rPr>
          <w:sz w:val="24"/>
        </w:rPr>
        <w:t>非政府强制采购的节能产品或环境标志产品，依据品目清单和认证证书实施政府优先采购。优先采购的具体规定见第三章《评审方法和评审标准》（如涉及）。</w:t>
      </w:r>
    </w:p>
    <w:p w14:paraId="43D312B2">
      <w:pPr>
        <w:numPr>
          <w:ilvl w:val="1"/>
          <w:numId w:val="8"/>
        </w:numPr>
        <w:tabs>
          <w:tab w:val="left" w:pos="1080"/>
          <w:tab w:val="left" w:pos="2014"/>
        </w:tabs>
        <w:snapToGrid w:val="0"/>
        <w:spacing w:line="360" w:lineRule="auto"/>
        <w:ind w:left="1080" w:hanging="720"/>
        <w:rPr>
          <w:sz w:val="24"/>
        </w:rPr>
      </w:pPr>
      <w:r>
        <w:rPr>
          <w:sz w:val="24"/>
        </w:rPr>
        <w:t>正版软件</w:t>
      </w:r>
    </w:p>
    <w:p w14:paraId="070B78B2">
      <w:pPr>
        <w:numPr>
          <w:ilvl w:val="2"/>
          <w:numId w:val="8"/>
        </w:numPr>
        <w:snapToGrid w:val="0"/>
        <w:spacing w:line="360" w:lineRule="auto"/>
        <w:rPr>
          <w:sz w:val="24"/>
        </w:rPr>
      </w:pPr>
      <w:r>
        <w:rPr>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78A21119">
      <w:pPr>
        <w:numPr>
          <w:ilvl w:val="1"/>
          <w:numId w:val="8"/>
        </w:numPr>
        <w:tabs>
          <w:tab w:val="left" w:pos="1080"/>
          <w:tab w:val="left" w:pos="2014"/>
        </w:tabs>
        <w:snapToGrid w:val="0"/>
        <w:spacing w:line="360" w:lineRule="auto"/>
        <w:ind w:left="1080" w:hanging="720"/>
        <w:rPr>
          <w:sz w:val="24"/>
        </w:rPr>
      </w:pPr>
      <w:r>
        <w:rPr>
          <w:sz w:val="24"/>
        </w:rPr>
        <w:t>网络安全专用产品</w:t>
      </w:r>
    </w:p>
    <w:p w14:paraId="3172BBDA">
      <w:pPr>
        <w:numPr>
          <w:ilvl w:val="2"/>
          <w:numId w:val="8"/>
        </w:numPr>
        <w:tabs>
          <w:tab w:val="left" w:pos="900"/>
          <w:tab w:val="left" w:pos="2014"/>
        </w:tabs>
        <w:snapToGrid w:val="0"/>
        <w:spacing w:line="360" w:lineRule="auto"/>
        <w:rPr>
          <w:sz w:val="24"/>
        </w:rPr>
      </w:pPr>
      <w:r>
        <w:rPr>
          <w:rFonts w:hint="eastAsia"/>
          <w:sz w:val="24"/>
        </w:rPr>
        <w:t>根据《关于调整网络安全专用产品安全管理有关事项的公告》（2023年第1号），</w:t>
      </w:r>
      <w:r>
        <w:rPr>
          <w:sz w:val="24"/>
        </w:rPr>
        <w:t>所</w:t>
      </w:r>
      <w:r>
        <w:rPr>
          <w:rFonts w:hint="eastAsia"/>
          <w:sz w:val="24"/>
        </w:rPr>
        <w:t>提供</w:t>
      </w:r>
      <w:r>
        <w:rPr>
          <w:sz w:val="24"/>
        </w:rPr>
        <w:t>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r>
        <w:rPr>
          <w:rFonts w:hint="eastAsia"/>
          <w:sz w:val="24"/>
        </w:rPr>
        <w:t>。</w:t>
      </w:r>
    </w:p>
    <w:p w14:paraId="2A84C518">
      <w:pPr>
        <w:numPr>
          <w:ilvl w:val="1"/>
          <w:numId w:val="8"/>
        </w:numPr>
        <w:tabs>
          <w:tab w:val="left" w:pos="1080"/>
          <w:tab w:val="left" w:pos="2014"/>
        </w:tabs>
        <w:snapToGrid w:val="0"/>
        <w:spacing w:line="360" w:lineRule="auto"/>
        <w:ind w:left="1080" w:hanging="720"/>
        <w:rPr>
          <w:sz w:val="24"/>
        </w:rPr>
      </w:pPr>
      <w:r>
        <w:rPr>
          <w:sz w:val="24"/>
        </w:rPr>
        <w:t>推广使用低挥发性有机化合物（VOCs）</w:t>
      </w:r>
    </w:p>
    <w:p w14:paraId="658CC538">
      <w:pPr>
        <w:numPr>
          <w:ilvl w:val="2"/>
          <w:numId w:val="8"/>
        </w:numPr>
        <w:snapToGrid w:val="0"/>
        <w:spacing w:line="360" w:lineRule="auto"/>
        <w:rPr>
          <w:sz w:val="24"/>
        </w:rPr>
      </w:pPr>
      <w:r>
        <w:rPr>
          <w:sz w:val="24"/>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 号）。本项目中涉及涂料、胶黏剂、油墨、清洗剂等挥发性有机物产品的，属于强制性标准的，供应商应执行符合本市和国家的VOCs 含量限制标准（具体标准见第四章《采购需求》），</w:t>
      </w:r>
      <w:r>
        <w:rPr>
          <w:kern w:val="0"/>
          <w:sz w:val="24"/>
        </w:rPr>
        <w:t>否则</w:t>
      </w:r>
      <w:r>
        <w:rPr>
          <w:b/>
          <w:kern w:val="0"/>
          <w:sz w:val="24"/>
        </w:rPr>
        <w:t>响应无效</w:t>
      </w:r>
      <w:r>
        <w:rPr>
          <w:sz w:val="24"/>
        </w:rPr>
        <w:t>；属于推荐性标准的，优先采购，具体见第三章《评审方法和评审标准》。</w:t>
      </w:r>
    </w:p>
    <w:p w14:paraId="644DDF3D">
      <w:pPr>
        <w:numPr>
          <w:ilvl w:val="1"/>
          <w:numId w:val="8"/>
        </w:numPr>
        <w:tabs>
          <w:tab w:val="left" w:pos="1080"/>
        </w:tabs>
        <w:snapToGrid w:val="0"/>
        <w:spacing w:line="360" w:lineRule="auto"/>
        <w:rPr>
          <w:sz w:val="24"/>
        </w:rPr>
      </w:pPr>
      <w:r>
        <w:rPr>
          <w:sz w:val="24"/>
        </w:rPr>
        <w:t>采购需求标准</w:t>
      </w:r>
    </w:p>
    <w:p w14:paraId="4D672BAC">
      <w:pPr>
        <w:numPr>
          <w:ilvl w:val="2"/>
          <w:numId w:val="8"/>
        </w:numPr>
        <w:snapToGrid w:val="0"/>
        <w:spacing w:line="360" w:lineRule="auto"/>
        <w:rPr>
          <w:sz w:val="24"/>
        </w:rPr>
      </w:pPr>
      <w:r>
        <w:rPr>
          <w:sz w:val="24"/>
        </w:rPr>
        <w:t>商品包装、快递包装政府采购需求标准（试行）</w:t>
      </w:r>
    </w:p>
    <w:p w14:paraId="76383772">
      <w:pPr>
        <w:tabs>
          <w:tab w:val="left" w:pos="900"/>
          <w:tab w:val="left" w:pos="1980"/>
        </w:tabs>
        <w:snapToGrid w:val="0"/>
        <w:spacing w:line="360" w:lineRule="auto"/>
        <w:ind w:left="1985"/>
        <w:rPr>
          <w:sz w:val="24"/>
        </w:rPr>
      </w:pPr>
      <w:r>
        <w:rPr>
          <w:sz w:val="24"/>
        </w:rPr>
        <w:t>为助力打好污染防治攻坚战，推广使用绿色包装，根据财政部关于印发《商品包装政府采购需求标准（试行）》、《快递包装政府采购需求标准（试行）》的通知（财办库〔2020〕123号），本项目如涉及商品包装和快递包装的，则其具体要求见第四章《采购需求》。</w:t>
      </w:r>
    </w:p>
    <w:p w14:paraId="541811A0">
      <w:pPr>
        <w:numPr>
          <w:ilvl w:val="2"/>
          <w:numId w:val="8"/>
        </w:numPr>
        <w:tabs>
          <w:tab w:val="left" w:pos="2014"/>
        </w:tabs>
        <w:snapToGrid w:val="0"/>
        <w:spacing w:line="360" w:lineRule="auto"/>
        <w:rPr>
          <w:sz w:val="24"/>
        </w:rPr>
      </w:pPr>
      <w:r>
        <w:rPr>
          <w:rFonts w:hint="eastAsia"/>
          <w:sz w:val="24"/>
        </w:rPr>
        <w:t>其他</w:t>
      </w:r>
      <w:r>
        <w:rPr>
          <w:sz w:val="24"/>
        </w:rPr>
        <w:t>政府采购需求标准</w:t>
      </w:r>
      <w:r>
        <w:rPr>
          <w:rFonts w:hint="eastAsia"/>
          <w:sz w:val="24"/>
        </w:rPr>
        <w:t xml:space="preserve"> </w:t>
      </w:r>
    </w:p>
    <w:p w14:paraId="3156D52D">
      <w:pPr>
        <w:tabs>
          <w:tab w:val="left" w:pos="900"/>
          <w:tab w:val="left" w:pos="1980"/>
        </w:tabs>
        <w:snapToGrid w:val="0"/>
        <w:spacing w:line="360" w:lineRule="auto"/>
        <w:ind w:left="1980"/>
        <w:rPr>
          <w:sz w:val="24"/>
        </w:rPr>
      </w:pPr>
      <w:r>
        <w:rPr>
          <w:rFonts w:hint="eastAsia"/>
          <w:sz w:val="24"/>
        </w:rPr>
        <w:t>为贯彻落实《深化政府采购制度改革方案》有关要求，推动政府采购需求标准建设，</w:t>
      </w:r>
      <w:bookmarkStart w:id="154" w:name="_Hlk168431650"/>
      <w:r>
        <w:rPr>
          <w:rFonts w:hint="eastAsia"/>
          <w:sz w:val="24"/>
        </w:rPr>
        <w:t>财政部门会同有关部门制定发布的</w:t>
      </w:r>
      <w:bookmarkEnd w:id="154"/>
      <w:r>
        <w:rPr>
          <w:rFonts w:hint="eastAsia"/>
          <w:sz w:val="24"/>
        </w:rPr>
        <w:t>其他政府采购需求标准，</w:t>
      </w:r>
      <w:r>
        <w:rPr>
          <w:sz w:val="24"/>
        </w:rPr>
        <w:t>本项目如涉及，则具体要求见第四章《采购需求》。</w:t>
      </w:r>
    </w:p>
    <w:p w14:paraId="756B2743">
      <w:pPr>
        <w:numPr>
          <w:ilvl w:val="0"/>
          <w:numId w:val="8"/>
        </w:numPr>
        <w:tabs>
          <w:tab w:val="left" w:pos="360"/>
        </w:tabs>
        <w:snapToGrid w:val="0"/>
        <w:spacing w:line="360" w:lineRule="auto"/>
        <w:ind w:left="357" w:hanging="357"/>
        <w:outlineLvl w:val="1"/>
        <w:rPr>
          <w:sz w:val="24"/>
        </w:rPr>
      </w:pPr>
      <w:r>
        <w:rPr>
          <w:sz w:val="24"/>
        </w:rPr>
        <w:t>响应费用</w:t>
      </w:r>
    </w:p>
    <w:p w14:paraId="07201983">
      <w:pPr>
        <w:numPr>
          <w:ilvl w:val="1"/>
          <w:numId w:val="8"/>
        </w:numPr>
        <w:tabs>
          <w:tab w:val="left" w:pos="1080"/>
          <w:tab w:val="left" w:pos="2014"/>
        </w:tabs>
        <w:snapToGrid w:val="0"/>
        <w:spacing w:line="360" w:lineRule="auto"/>
        <w:ind w:left="1080" w:hanging="720"/>
        <w:rPr>
          <w:sz w:val="24"/>
        </w:rPr>
      </w:pPr>
      <w:r>
        <w:rPr>
          <w:sz w:val="24"/>
        </w:rPr>
        <w:t>供应商应自行承担所有与准备和参加磋商有关的费用，无论磋商的结果如何，采购人或采购代理机构在任何情况下均无承担这些费用的义务和责任。</w:t>
      </w:r>
    </w:p>
    <w:p w14:paraId="672F7A60">
      <w:pPr>
        <w:tabs>
          <w:tab w:val="left" w:pos="1080"/>
        </w:tabs>
        <w:snapToGrid w:val="0"/>
        <w:spacing w:line="360" w:lineRule="auto"/>
        <w:ind w:left="1080"/>
        <w:rPr>
          <w:sz w:val="28"/>
        </w:rPr>
      </w:pPr>
      <w:bookmarkStart w:id="155" w:name="_1.8_计量单位"/>
      <w:bookmarkEnd w:id="155"/>
    </w:p>
    <w:p w14:paraId="1ECEF989">
      <w:pPr>
        <w:pStyle w:val="3"/>
        <w:spacing w:before="0" w:line="360" w:lineRule="auto"/>
        <w:rPr>
          <w:rFonts w:ascii="Times New Roman" w:hAnsi="Times New Roman" w:eastAsia="宋体"/>
          <w:sz w:val="28"/>
        </w:rPr>
      </w:pPr>
      <w:r>
        <w:rPr>
          <w:rFonts w:ascii="Times New Roman" w:hAnsi="Times New Roman" w:eastAsia="宋体"/>
          <w:sz w:val="28"/>
        </w:rPr>
        <w:t>二   竞争性磋商文件</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2F0EE706">
      <w:pPr>
        <w:numPr>
          <w:ilvl w:val="0"/>
          <w:numId w:val="8"/>
        </w:numPr>
        <w:tabs>
          <w:tab w:val="left" w:pos="360"/>
        </w:tabs>
        <w:snapToGrid w:val="0"/>
        <w:spacing w:line="360" w:lineRule="auto"/>
        <w:ind w:left="357" w:hanging="357"/>
        <w:outlineLvl w:val="1"/>
        <w:rPr>
          <w:sz w:val="24"/>
        </w:rPr>
      </w:pPr>
      <w:bookmarkStart w:id="156" w:name="_Toc226309767"/>
      <w:bookmarkStart w:id="157" w:name="_Toc150480761"/>
      <w:bookmarkStart w:id="158" w:name="_Toc151193837"/>
      <w:bookmarkStart w:id="159" w:name="_Toc150509274"/>
      <w:bookmarkStart w:id="160" w:name="_Toc164608792"/>
      <w:bookmarkStart w:id="161" w:name="_Toc127151523"/>
      <w:bookmarkStart w:id="162" w:name="_Toc164229364"/>
      <w:bookmarkStart w:id="163" w:name="_Toc195842888"/>
      <w:bookmarkStart w:id="164" w:name="_Toc264969213"/>
      <w:bookmarkStart w:id="165" w:name="_Toc150774623"/>
      <w:bookmarkStart w:id="166" w:name="_Toc226965713"/>
      <w:bookmarkStart w:id="167" w:name="_Toc164351617"/>
      <w:bookmarkStart w:id="168" w:name="_Toc151190150"/>
      <w:bookmarkStart w:id="169" w:name="_Toc149720816"/>
      <w:bookmarkStart w:id="170" w:name="_Toc151193621"/>
      <w:bookmarkStart w:id="171" w:name="_Toc265228361"/>
      <w:bookmarkStart w:id="172" w:name="_Toc305158791"/>
      <w:bookmarkStart w:id="173" w:name="_Toc164608637"/>
      <w:bookmarkStart w:id="174" w:name="_Toc142311025"/>
      <w:bookmarkStart w:id="175" w:name="_Toc226965796"/>
      <w:bookmarkStart w:id="176" w:name="_Toc127151724"/>
      <w:bookmarkStart w:id="177" w:name="_Toc151193911"/>
      <w:bookmarkStart w:id="178" w:name="_Toc164229218"/>
      <w:bookmarkStart w:id="179" w:name="_Toc151193765"/>
      <w:bookmarkStart w:id="180" w:name="_Toc150774728"/>
      <w:bookmarkStart w:id="181" w:name="_Toc305158865"/>
      <w:bookmarkStart w:id="182" w:name="_Toc226337219"/>
      <w:bookmarkStart w:id="183" w:name="_Toc151193693"/>
      <w:bookmarkStart w:id="184" w:name="_Toc520356147"/>
      <w:bookmarkStart w:id="185" w:name="_Toc127161437"/>
      <w:r>
        <w:rPr>
          <w:sz w:val="24"/>
        </w:rPr>
        <w:t>竞争性磋商文件构</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Pr>
          <w:sz w:val="24"/>
        </w:rPr>
        <w:t>成</w:t>
      </w:r>
    </w:p>
    <w:p w14:paraId="6F0C1D9A">
      <w:pPr>
        <w:numPr>
          <w:ilvl w:val="1"/>
          <w:numId w:val="8"/>
        </w:numPr>
        <w:tabs>
          <w:tab w:val="left" w:pos="1080"/>
          <w:tab w:val="left" w:pos="2014"/>
        </w:tabs>
        <w:snapToGrid w:val="0"/>
        <w:spacing w:line="360" w:lineRule="auto"/>
        <w:ind w:left="1080" w:hanging="720"/>
        <w:rPr>
          <w:sz w:val="24"/>
        </w:rPr>
      </w:pPr>
      <w:r>
        <w:rPr>
          <w:sz w:val="24"/>
        </w:rPr>
        <w:t>竞争性磋商文件包括以下部分：</w:t>
      </w:r>
    </w:p>
    <w:p w14:paraId="27540A2E">
      <w:pPr>
        <w:numPr>
          <w:ilvl w:val="0"/>
          <w:numId w:val="9"/>
        </w:numPr>
        <w:tabs>
          <w:tab w:val="left" w:pos="1980"/>
          <w:tab w:val="left" w:pos="2520"/>
        </w:tabs>
        <w:snapToGrid w:val="0"/>
        <w:spacing w:line="360" w:lineRule="auto"/>
        <w:ind w:left="1440" w:firstLine="5"/>
        <w:rPr>
          <w:sz w:val="24"/>
        </w:rPr>
      </w:pPr>
      <w:r>
        <w:rPr>
          <w:sz w:val="24"/>
        </w:rPr>
        <w:t>采购邀请</w:t>
      </w:r>
    </w:p>
    <w:p w14:paraId="0EC17B68">
      <w:pPr>
        <w:numPr>
          <w:ilvl w:val="0"/>
          <w:numId w:val="9"/>
        </w:numPr>
        <w:tabs>
          <w:tab w:val="left" w:pos="1980"/>
          <w:tab w:val="left" w:pos="2520"/>
        </w:tabs>
        <w:snapToGrid w:val="0"/>
        <w:spacing w:line="360" w:lineRule="auto"/>
        <w:ind w:left="1440" w:firstLine="5"/>
        <w:rPr>
          <w:sz w:val="24"/>
        </w:rPr>
      </w:pPr>
      <w:r>
        <w:rPr>
          <w:sz w:val="24"/>
        </w:rPr>
        <w:t>供应商须知</w:t>
      </w:r>
    </w:p>
    <w:p w14:paraId="46885FCB">
      <w:pPr>
        <w:numPr>
          <w:ilvl w:val="0"/>
          <w:numId w:val="9"/>
        </w:numPr>
        <w:tabs>
          <w:tab w:val="left" w:pos="1980"/>
          <w:tab w:val="left" w:pos="2520"/>
        </w:tabs>
        <w:snapToGrid w:val="0"/>
        <w:spacing w:line="360" w:lineRule="auto"/>
        <w:ind w:left="1440" w:firstLine="5"/>
        <w:rPr>
          <w:sz w:val="24"/>
        </w:rPr>
      </w:pPr>
      <w:r>
        <w:rPr>
          <w:sz w:val="24"/>
        </w:rPr>
        <w:t>评审方法和评审标准</w:t>
      </w:r>
    </w:p>
    <w:p w14:paraId="42C04E61">
      <w:pPr>
        <w:numPr>
          <w:ilvl w:val="0"/>
          <w:numId w:val="9"/>
        </w:numPr>
        <w:tabs>
          <w:tab w:val="left" w:pos="1980"/>
          <w:tab w:val="left" w:pos="2520"/>
        </w:tabs>
        <w:snapToGrid w:val="0"/>
        <w:spacing w:line="360" w:lineRule="auto"/>
        <w:ind w:left="1440" w:firstLine="5"/>
        <w:rPr>
          <w:sz w:val="24"/>
        </w:rPr>
      </w:pPr>
      <w:r>
        <w:rPr>
          <w:sz w:val="24"/>
        </w:rPr>
        <w:t>采购需求</w:t>
      </w:r>
    </w:p>
    <w:p w14:paraId="5886B0A4">
      <w:pPr>
        <w:numPr>
          <w:ilvl w:val="0"/>
          <w:numId w:val="9"/>
        </w:numPr>
        <w:tabs>
          <w:tab w:val="left" w:pos="1980"/>
          <w:tab w:val="left" w:pos="2520"/>
        </w:tabs>
        <w:snapToGrid w:val="0"/>
        <w:spacing w:line="360" w:lineRule="auto"/>
        <w:ind w:left="1440" w:firstLine="5"/>
        <w:rPr>
          <w:sz w:val="24"/>
        </w:rPr>
      </w:pPr>
      <w:r>
        <w:rPr>
          <w:sz w:val="24"/>
        </w:rPr>
        <w:t>合同草案条款</w:t>
      </w:r>
    </w:p>
    <w:p w14:paraId="49BDD21D">
      <w:pPr>
        <w:numPr>
          <w:ilvl w:val="0"/>
          <w:numId w:val="9"/>
        </w:numPr>
        <w:tabs>
          <w:tab w:val="left" w:pos="1980"/>
          <w:tab w:val="left" w:pos="2520"/>
        </w:tabs>
        <w:snapToGrid w:val="0"/>
        <w:spacing w:line="360" w:lineRule="auto"/>
        <w:ind w:left="1440" w:firstLine="5"/>
        <w:rPr>
          <w:sz w:val="24"/>
        </w:rPr>
      </w:pPr>
      <w:r>
        <w:rPr>
          <w:sz w:val="24"/>
        </w:rPr>
        <w:t>响应文件格式</w:t>
      </w:r>
    </w:p>
    <w:p w14:paraId="03486E35">
      <w:pPr>
        <w:numPr>
          <w:ilvl w:val="1"/>
          <w:numId w:val="8"/>
        </w:numPr>
        <w:tabs>
          <w:tab w:val="left" w:pos="1080"/>
          <w:tab w:val="left" w:pos="2014"/>
        </w:tabs>
        <w:snapToGrid w:val="0"/>
        <w:spacing w:line="360" w:lineRule="auto"/>
        <w:ind w:left="1080" w:hanging="720"/>
        <w:rPr>
          <w:sz w:val="24"/>
        </w:rPr>
      </w:pPr>
      <w:r>
        <w:rPr>
          <w:sz w:val="24"/>
        </w:rPr>
        <w:t>供应商应认真阅读竞争性磋商文件的全部内容。供应商应按照竞争性磋商文件要求提交响应文件并保证所提供的全部资料的真实性，并对竞争性磋商文件做出实质性响应，否则</w:t>
      </w:r>
      <w:r>
        <w:rPr>
          <w:b/>
          <w:sz w:val="24"/>
        </w:rPr>
        <w:t>响应无效</w:t>
      </w:r>
      <w:r>
        <w:rPr>
          <w:sz w:val="24"/>
        </w:rPr>
        <w:t>。</w:t>
      </w:r>
    </w:p>
    <w:p w14:paraId="46993C12">
      <w:pPr>
        <w:numPr>
          <w:ilvl w:val="0"/>
          <w:numId w:val="8"/>
        </w:numPr>
        <w:tabs>
          <w:tab w:val="left" w:pos="1080"/>
          <w:tab w:val="left" w:pos="2014"/>
        </w:tabs>
        <w:snapToGrid w:val="0"/>
        <w:spacing w:line="360" w:lineRule="auto"/>
        <w:ind w:left="357" w:hanging="357"/>
        <w:outlineLvl w:val="1"/>
        <w:rPr>
          <w:sz w:val="24"/>
        </w:rPr>
      </w:pPr>
      <w:r>
        <w:rPr>
          <w:sz w:val="24"/>
        </w:rPr>
        <w:t>对竞争性磋商文件的澄清或修改</w:t>
      </w:r>
    </w:p>
    <w:p w14:paraId="50F017A6">
      <w:pPr>
        <w:numPr>
          <w:ilvl w:val="1"/>
          <w:numId w:val="8"/>
        </w:numPr>
        <w:tabs>
          <w:tab w:val="left" w:pos="1080"/>
          <w:tab w:val="left" w:pos="1561"/>
          <w:tab w:val="left" w:pos="2014"/>
        </w:tabs>
        <w:snapToGrid w:val="0"/>
        <w:spacing w:line="360" w:lineRule="auto"/>
        <w:ind w:left="1080" w:hanging="720"/>
        <w:rPr>
          <w:sz w:val="24"/>
        </w:rPr>
      </w:pPr>
      <w:r>
        <w:rPr>
          <w:sz w:val="24"/>
        </w:rPr>
        <w:t>采购人、采购代理机构或者磋商小组对已发出的竞争性磋商文件进行必要澄清或者修改的，将以书面形式通知所有获取竞争性磋商文件的潜在供应商。采用公告方式邀请供应商参与的，还将在原公告发布媒体上发布更正公告。</w:t>
      </w:r>
    </w:p>
    <w:p w14:paraId="199B131C">
      <w:pPr>
        <w:numPr>
          <w:ilvl w:val="1"/>
          <w:numId w:val="8"/>
        </w:numPr>
        <w:tabs>
          <w:tab w:val="left" w:pos="1080"/>
          <w:tab w:val="left" w:pos="1561"/>
          <w:tab w:val="left" w:pos="2014"/>
        </w:tabs>
        <w:snapToGrid w:val="0"/>
        <w:spacing w:line="360" w:lineRule="auto"/>
        <w:ind w:left="1080" w:hanging="720"/>
        <w:rPr>
          <w:sz w:val="24"/>
        </w:rPr>
      </w:pPr>
      <w:r>
        <w:rPr>
          <w:sz w:val="24"/>
        </w:rPr>
        <w:t>上述书面通知，按照获取竞争性磋商文件的潜在供应商提供的联系方式发出，因提供的信息有误导致通知延迟或无法通知的，采购人或采购代理机构不承担责任。</w:t>
      </w:r>
    </w:p>
    <w:p w14:paraId="24D05E03">
      <w:pPr>
        <w:numPr>
          <w:ilvl w:val="1"/>
          <w:numId w:val="8"/>
        </w:numPr>
        <w:tabs>
          <w:tab w:val="left" w:pos="1080"/>
          <w:tab w:val="left" w:pos="1561"/>
          <w:tab w:val="left" w:pos="2014"/>
        </w:tabs>
        <w:snapToGrid w:val="0"/>
        <w:spacing w:line="360" w:lineRule="auto"/>
        <w:ind w:left="1080" w:hanging="720"/>
        <w:rPr>
          <w:sz w:val="24"/>
        </w:rPr>
      </w:pPr>
      <w:r>
        <w:rPr>
          <w:sz w:val="24"/>
        </w:rPr>
        <w:t>澄清或者修改的内容为竞争性磋商文件的组成部分，并对所有获取竞争性磋商文件的潜在供应商具有约束力。澄清或者修改的内容可能影响响应文件编制的，将在提交首次响应文件截止之日3个工作日前，</w:t>
      </w:r>
      <w:r>
        <w:rPr>
          <w:kern w:val="0"/>
          <w:sz w:val="24"/>
        </w:rPr>
        <w:t>以书面形式通知所有获取磋商文件的供应商</w:t>
      </w:r>
      <w:r>
        <w:rPr>
          <w:sz w:val="24"/>
        </w:rPr>
        <w:t>；不足上述时间的，将顺延提交</w:t>
      </w:r>
      <w:r>
        <w:rPr>
          <w:rFonts w:hint="eastAsia"/>
          <w:sz w:val="24"/>
        </w:rPr>
        <w:t>首次</w:t>
      </w:r>
      <w:r>
        <w:rPr>
          <w:sz w:val="24"/>
        </w:rPr>
        <w:t>响应文件截止时间。</w:t>
      </w:r>
    </w:p>
    <w:p w14:paraId="308CC78B">
      <w:pPr>
        <w:tabs>
          <w:tab w:val="left" w:pos="1080"/>
          <w:tab w:val="left" w:pos="1561"/>
        </w:tabs>
        <w:snapToGrid w:val="0"/>
        <w:spacing w:line="360" w:lineRule="auto"/>
        <w:ind w:left="1080"/>
        <w:rPr>
          <w:sz w:val="28"/>
        </w:rPr>
      </w:pPr>
      <w:bookmarkStart w:id="186" w:name="_Toc516367020"/>
      <w:bookmarkStart w:id="187" w:name="_Toc150774731"/>
      <w:bookmarkStart w:id="188" w:name="_Toc151193914"/>
      <w:bookmarkStart w:id="189" w:name="_Toc142311028"/>
      <w:bookmarkStart w:id="190" w:name="_Toc226965716"/>
      <w:bookmarkStart w:id="191" w:name="_Toc151193840"/>
      <w:bookmarkStart w:id="192" w:name="_Toc305158868"/>
      <w:bookmarkStart w:id="193" w:name="_Toc226337222"/>
      <w:bookmarkStart w:id="194" w:name="_Toc520356150"/>
      <w:bookmarkStart w:id="195" w:name="_Toc226309770"/>
      <w:bookmarkStart w:id="196" w:name="_Toc150774626"/>
      <w:bookmarkStart w:id="197" w:name="_Toc305158794"/>
      <w:bookmarkStart w:id="198" w:name="_Toc150480764"/>
      <w:bookmarkStart w:id="199" w:name="_Toc151193768"/>
      <w:bookmarkStart w:id="200" w:name="_Toc151193696"/>
      <w:bookmarkStart w:id="201" w:name="_Toc150509277"/>
      <w:bookmarkStart w:id="202" w:name="_Toc264969216"/>
      <w:bookmarkStart w:id="203" w:name="_Toc151190153"/>
      <w:bookmarkStart w:id="204" w:name="_Toc151193624"/>
      <w:bookmarkStart w:id="205" w:name="_Toc265228364"/>
      <w:bookmarkStart w:id="206" w:name="_Toc226965799"/>
      <w:bookmarkStart w:id="207" w:name="_Toc195842891"/>
      <w:bookmarkStart w:id="208" w:name="_Toc127151526"/>
    </w:p>
    <w:p w14:paraId="1DE87FBF">
      <w:pPr>
        <w:pStyle w:val="3"/>
        <w:spacing w:before="0" w:line="360" w:lineRule="auto"/>
        <w:rPr>
          <w:rFonts w:ascii="Times New Roman" w:hAnsi="Times New Roman" w:eastAsia="宋体"/>
          <w:sz w:val="28"/>
        </w:rPr>
      </w:pPr>
      <w:r>
        <w:rPr>
          <w:rFonts w:ascii="Times New Roman" w:hAnsi="Times New Roman" w:eastAsia="宋体"/>
          <w:sz w:val="28"/>
        </w:rPr>
        <w:t>三   响应文件</w:t>
      </w:r>
      <w:bookmarkEnd w:id="186"/>
      <w:r>
        <w:rPr>
          <w:rFonts w:ascii="Times New Roman" w:hAnsi="Times New Roman" w:eastAsia="宋体"/>
          <w:sz w:val="28"/>
        </w:rPr>
        <w:t>的编制</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62761105">
      <w:pPr>
        <w:numPr>
          <w:ilvl w:val="0"/>
          <w:numId w:val="8"/>
        </w:numPr>
        <w:tabs>
          <w:tab w:val="left" w:pos="360"/>
        </w:tabs>
        <w:snapToGrid w:val="0"/>
        <w:spacing w:line="360" w:lineRule="auto"/>
        <w:ind w:left="357" w:hanging="357"/>
        <w:outlineLvl w:val="1"/>
        <w:rPr>
          <w:sz w:val="24"/>
        </w:rPr>
      </w:pPr>
      <w:bookmarkStart w:id="209" w:name="_Toc226309771"/>
      <w:bookmarkStart w:id="210" w:name="_Toc164229222"/>
      <w:bookmarkStart w:id="211" w:name="_Toc151193769"/>
      <w:bookmarkStart w:id="212" w:name="_Toc195842892"/>
      <w:bookmarkStart w:id="213" w:name="_Toc264969217"/>
      <w:bookmarkStart w:id="214" w:name="_Toc151193625"/>
      <w:bookmarkStart w:id="215" w:name="_Toc305158869"/>
      <w:bookmarkStart w:id="216" w:name="_Toc149720820"/>
      <w:bookmarkStart w:id="217" w:name="_Toc142311029"/>
      <w:bookmarkStart w:id="218" w:name="_Toc305158795"/>
      <w:bookmarkStart w:id="219" w:name="_Toc164608796"/>
      <w:bookmarkStart w:id="220" w:name="_Toc151193915"/>
      <w:bookmarkStart w:id="221" w:name="_Toc516367021"/>
      <w:bookmarkStart w:id="222" w:name="_Toc520356151"/>
      <w:bookmarkStart w:id="223" w:name="_Toc150774732"/>
      <w:bookmarkStart w:id="224" w:name="_Toc151190154"/>
      <w:bookmarkStart w:id="225" w:name="_Toc151193697"/>
      <w:bookmarkStart w:id="226" w:name="_Toc150480765"/>
      <w:bookmarkStart w:id="227" w:name="_Toc226337223"/>
      <w:bookmarkStart w:id="228" w:name="_Toc127151527"/>
      <w:bookmarkStart w:id="229" w:name="_Toc150509278"/>
      <w:bookmarkStart w:id="230" w:name="_Toc127161441"/>
      <w:bookmarkStart w:id="231" w:name="_Toc226965717"/>
      <w:bookmarkStart w:id="232" w:name="_Toc164351621"/>
      <w:bookmarkStart w:id="233" w:name="_Toc226965800"/>
      <w:bookmarkStart w:id="234" w:name="_Toc265228365"/>
      <w:bookmarkStart w:id="235" w:name="_Toc127151728"/>
      <w:bookmarkStart w:id="236" w:name="_Toc150774627"/>
      <w:bookmarkStart w:id="237" w:name="_Toc151193841"/>
      <w:bookmarkStart w:id="238" w:name="_Toc164229368"/>
      <w:bookmarkStart w:id="239" w:name="_Toc164608641"/>
      <w:r>
        <w:rPr>
          <w:sz w:val="24"/>
        </w:rPr>
        <w:t>响应范围、竞争性磋商文件中计量单位的使用</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Pr>
          <w:sz w:val="24"/>
        </w:rPr>
        <w:t>及磋商语言</w:t>
      </w:r>
    </w:p>
    <w:p w14:paraId="786CDC64">
      <w:pPr>
        <w:numPr>
          <w:ilvl w:val="1"/>
          <w:numId w:val="8"/>
        </w:numPr>
        <w:tabs>
          <w:tab w:val="left" w:pos="1080"/>
          <w:tab w:val="left" w:pos="2014"/>
        </w:tabs>
        <w:snapToGrid w:val="0"/>
        <w:spacing w:line="360" w:lineRule="auto"/>
        <w:ind w:left="1080" w:hanging="720"/>
        <w:rPr>
          <w:sz w:val="24"/>
        </w:rPr>
      </w:pPr>
      <w:r>
        <w:rPr>
          <w:sz w:val="24"/>
        </w:rPr>
        <w:t>本项目如划分采购包，供应商可以对本项目的其中一个采购包进行响应，也可同时对多个采购包进行响应。供应商应当对所参与采购包对应第四章《采购需求》所列的全部内容进行响应，不得将一个采购包中的内容拆分响应，否则其对该采购包的响应将被认定为</w:t>
      </w:r>
      <w:r>
        <w:rPr>
          <w:b/>
          <w:sz w:val="24"/>
        </w:rPr>
        <w:t>无效响应</w:t>
      </w:r>
      <w:r>
        <w:rPr>
          <w:sz w:val="24"/>
        </w:rPr>
        <w:t>。</w:t>
      </w:r>
    </w:p>
    <w:p w14:paraId="3F61E308">
      <w:pPr>
        <w:numPr>
          <w:ilvl w:val="1"/>
          <w:numId w:val="8"/>
        </w:numPr>
        <w:tabs>
          <w:tab w:val="left" w:pos="1080"/>
          <w:tab w:val="left" w:pos="2014"/>
        </w:tabs>
        <w:snapToGrid w:val="0"/>
        <w:spacing w:line="360" w:lineRule="auto"/>
        <w:ind w:left="1080" w:hanging="720"/>
        <w:rPr>
          <w:sz w:val="24"/>
        </w:rPr>
      </w:pPr>
      <w:r>
        <w:rPr>
          <w:sz w:val="24"/>
        </w:rPr>
        <w:t>除竞争性磋商文件有特殊要求外，本项目磋商所使用的计量单位，应采用中华人民共和国法定计量单位。</w:t>
      </w:r>
    </w:p>
    <w:p w14:paraId="39C8F499">
      <w:pPr>
        <w:numPr>
          <w:ilvl w:val="1"/>
          <w:numId w:val="8"/>
        </w:numPr>
        <w:tabs>
          <w:tab w:val="left" w:pos="1080"/>
          <w:tab w:val="left" w:pos="2014"/>
        </w:tabs>
        <w:snapToGrid w:val="0"/>
        <w:spacing w:line="360" w:lineRule="auto"/>
        <w:ind w:left="1080" w:hanging="720"/>
        <w:rPr>
          <w:sz w:val="24"/>
        </w:rPr>
      </w:pPr>
      <w:r>
        <w:rPr>
          <w:sz w:val="24"/>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12FDD7C9">
      <w:pPr>
        <w:numPr>
          <w:ilvl w:val="0"/>
          <w:numId w:val="8"/>
        </w:numPr>
        <w:tabs>
          <w:tab w:val="left" w:pos="360"/>
        </w:tabs>
        <w:snapToGrid w:val="0"/>
        <w:spacing w:line="360" w:lineRule="auto"/>
        <w:ind w:left="357" w:hanging="357"/>
        <w:outlineLvl w:val="1"/>
        <w:rPr>
          <w:sz w:val="24"/>
        </w:rPr>
      </w:pPr>
      <w:bookmarkStart w:id="240" w:name="_Ref467306676"/>
      <w:bookmarkStart w:id="241" w:name="_Ref467306195"/>
      <w:bookmarkStart w:id="242" w:name="_Toc516367022"/>
      <w:bookmarkStart w:id="243" w:name="_Toc520356152"/>
      <w:bookmarkStart w:id="244" w:name="_Toc164229369"/>
      <w:bookmarkStart w:id="245" w:name="_Toc151193698"/>
      <w:bookmarkStart w:id="246" w:name="_Toc150509279"/>
      <w:bookmarkStart w:id="247" w:name="_Toc195842893"/>
      <w:bookmarkStart w:id="248" w:name="_Toc226965801"/>
      <w:bookmarkStart w:id="249" w:name="_Toc151193770"/>
      <w:bookmarkStart w:id="250" w:name="_Toc142311030"/>
      <w:bookmarkStart w:id="251" w:name="_Toc149720821"/>
      <w:bookmarkStart w:id="252" w:name="_Toc151193626"/>
      <w:bookmarkStart w:id="253" w:name="_Toc150774733"/>
      <w:bookmarkStart w:id="254" w:name="_Toc151193842"/>
      <w:bookmarkStart w:id="255" w:name="_Toc226965718"/>
      <w:bookmarkStart w:id="256" w:name="_Toc226309772"/>
      <w:bookmarkStart w:id="257" w:name="_Toc164351622"/>
      <w:bookmarkStart w:id="258" w:name="_Toc305158870"/>
      <w:bookmarkStart w:id="259" w:name="_Toc151190155"/>
      <w:bookmarkStart w:id="260" w:name="_Toc127151528"/>
      <w:bookmarkStart w:id="261" w:name="_Toc127151729"/>
      <w:bookmarkStart w:id="262" w:name="_Toc226337224"/>
      <w:bookmarkStart w:id="263" w:name="_Toc305158796"/>
      <w:bookmarkStart w:id="264" w:name="_Toc150774628"/>
      <w:bookmarkStart w:id="265" w:name="_Toc164608797"/>
      <w:bookmarkStart w:id="266" w:name="_Toc164229223"/>
      <w:bookmarkStart w:id="267" w:name="_Toc127161442"/>
      <w:bookmarkStart w:id="268" w:name="_Toc264969218"/>
      <w:bookmarkStart w:id="269" w:name="_Toc164608642"/>
      <w:bookmarkStart w:id="270" w:name="_Toc150480766"/>
      <w:bookmarkStart w:id="271" w:name="_Toc265228366"/>
      <w:bookmarkStart w:id="272" w:name="_Toc151193916"/>
      <w:r>
        <w:rPr>
          <w:sz w:val="24"/>
        </w:rPr>
        <w:t>响应文件</w:t>
      </w:r>
      <w:bookmarkEnd w:id="240"/>
      <w:bookmarkEnd w:id="241"/>
      <w:bookmarkEnd w:id="242"/>
      <w:r>
        <w:rPr>
          <w:sz w:val="24"/>
        </w:rPr>
        <w:t>构成</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2CBC4766">
      <w:pPr>
        <w:numPr>
          <w:ilvl w:val="1"/>
          <w:numId w:val="8"/>
        </w:numPr>
        <w:tabs>
          <w:tab w:val="left" w:pos="1080"/>
          <w:tab w:val="left" w:pos="2014"/>
        </w:tabs>
        <w:snapToGrid w:val="0"/>
        <w:spacing w:line="360" w:lineRule="auto"/>
        <w:ind w:left="1077" w:hanging="720"/>
        <w:rPr>
          <w:sz w:val="24"/>
        </w:rPr>
      </w:pPr>
      <w:bookmarkStart w:id="273" w:name="_Ref467052588"/>
      <w:r>
        <w:rPr>
          <w:sz w:val="24"/>
        </w:rPr>
        <w:t>供应商应当按照竞争性磋商文件的要求编制响应文件，</w:t>
      </w:r>
      <w:r>
        <w:rPr>
          <w:kern w:val="0"/>
          <w:sz w:val="24"/>
        </w:rPr>
        <w:t>并对其提交的响应文件的真实性、合法性承担法律责任</w:t>
      </w:r>
      <w:r>
        <w:rPr>
          <w:sz w:val="24"/>
        </w:rPr>
        <w:t>。响应文件的部分格式要求，见第六章《响应文件格式》。</w:t>
      </w:r>
    </w:p>
    <w:p w14:paraId="7205B2A1">
      <w:pPr>
        <w:numPr>
          <w:ilvl w:val="1"/>
          <w:numId w:val="8"/>
        </w:numPr>
        <w:tabs>
          <w:tab w:val="left" w:pos="1080"/>
          <w:tab w:val="left" w:pos="2014"/>
        </w:tabs>
        <w:snapToGrid w:val="0"/>
        <w:spacing w:line="360" w:lineRule="auto"/>
        <w:ind w:left="1077" w:hanging="720"/>
        <w:rPr>
          <w:sz w:val="24"/>
        </w:rPr>
      </w:pPr>
      <w:r>
        <w:rPr>
          <w:kern w:val="0"/>
          <w:sz w:val="24"/>
        </w:rPr>
        <w:t>对于竞争性磋商文件中标记了“实质性格式”文件的，</w:t>
      </w:r>
      <w:r>
        <w:rPr>
          <w:sz w:val="24"/>
        </w:rPr>
        <w:t>供应商不得改变格式中给定的文字所表达的含义，不得删减格式中的实质性内容，不得自行添加与格式中给定的文字内容相矛盾的内容，不得对应当填写的空格不填写或不实质性响应，</w:t>
      </w:r>
      <w:r>
        <w:rPr>
          <w:b/>
          <w:kern w:val="0"/>
          <w:sz w:val="24"/>
        </w:rPr>
        <w:t>否则响应无效</w:t>
      </w:r>
      <w:r>
        <w:rPr>
          <w:kern w:val="0"/>
          <w:sz w:val="24"/>
        </w:rPr>
        <w:t>。未标记“实质性格式”的文件和竞争性磋商文件未提供格式的内容，可由供应商自行编写。</w:t>
      </w:r>
    </w:p>
    <w:p w14:paraId="364F2801">
      <w:pPr>
        <w:numPr>
          <w:ilvl w:val="1"/>
          <w:numId w:val="8"/>
        </w:numPr>
        <w:tabs>
          <w:tab w:val="left" w:pos="1080"/>
          <w:tab w:val="left" w:pos="2014"/>
        </w:tabs>
        <w:snapToGrid w:val="0"/>
        <w:spacing w:line="360" w:lineRule="auto"/>
        <w:ind w:left="1077" w:hanging="720"/>
        <w:rPr>
          <w:sz w:val="24"/>
        </w:rPr>
      </w:pPr>
      <w:r>
        <w:rPr>
          <w:sz w:val="24"/>
        </w:rPr>
        <w:t>第三章《评审方法和评审标准》中涉及的证明文件。</w:t>
      </w:r>
    </w:p>
    <w:p w14:paraId="47946AFE">
      <w:pPr>
        <w:numPr>
          <w:ilvl w:val="1"/>
          <w:numId w:val="8"/>
        </w:numPr>
        <w:tabs>
          <w:tab w:val="left" w:pos="1080"/>
          <w:tab w:val="left" w:pos="2014"/>
        </w:tabs>
        <w:snapToGrid w:val="0"/>
        <w:spacing w:line="360" w:lineRule="auto"/>
        <w:ind w:left="1077" w:hanging="720"/>
        <w:rPr>
          <w:sz w:val="24"/>
        </w:rPr>
      </w:pPr>
      <w:r>
        <w:rPr>
          <w:sz w:val="24"/>
        </w:rPr>
        <w:t>对照第四章《采购需求》，说明所提供货物和服务已对第四章《采购需求》做出了响应，或申明与第四章《采购需求》的偏差和例外。如第四章《采购需求》中要求提供证明文件的，供应商应当按具体要求提供证明文件。</w:t>
      </w:r>
    </w:p>
    <w:p w14:paraId="75050D42">
      <w:pPr>
        <w:numPr>
          <w:ilvl w:val="1"/>
          <w:numId w:val="8"/>
        </w:numPr>
        <w:tabs>
          <w:tab w:val="left" w:pos="1080"/>
          <w:tab w:val="left" w:pos="2014"/>
        </w:tabs>
        <w:snapToGrid w:val="0"/>
        <w:spacing w:line="360" w:lineRule="auto"/>
        <w:ind w:left="1077" w:hanging="720"/>
        <w:rPr>
          <w:sz w:val="24"/>
        </w:rPr>
      </w:pPr>
      <w:r>
        <w:rPr>
          <w:sz w:val="24"/>
        </w:rPr>
        <w:t>供应商认为应附的其他材料。</w:t>
      </w:r>
      <w:bookmarkEnd w:id="273"/>
    </w:p>
    <w:p w14:paraId="55778DC5">
      <w:pPr>
        <w:numPr>
          <w:ilvl w:val="0"/>
          <w:numId w:val="8"/>
        </w:numPr>
        <w:tabs>
          <w:tab w:val="left" w:pos="360"/>
        </w:tabs>
        <w:snapToGrid w:val="0"/>
        <w:spacing w:line="360" w:lineRule="auto"/>
        <w:ind w:left="357" w:hanging="357"/>
        <w:outlineLvl w:val="1"/>
        <w:rPr>
          <w:sz w:val="24"/>
        </w:rPr>
      </w:pPr>
      <w:bookmarkStart w:id="274" w:name="_Toc164229371"/>
      <w:bookmarkStart w:id="275" w:name="_Toc195842895"/>
      <w:bookmarkStart w:id="276" w:name="_Toc151193628"/>
      <w:bookmarkStart w:id="277" w:name="_Toc164229225"/>
      <w:bookmarkStart w:id="278" w:name="_Toc151190157"/>
      <w:bookmarkStart w:id="279" w:name="_Toc151193700"/>
      <w:bookmarkStart w:id="280" w:name="_Toc127151530"/>
      <w:bookmarkStart w:id="281" w:name="_Toc151193772"/>
      <w:bookmarkStart w:id="282" w:name="_Toc149720823"/>
      <w:bookmarkStart w:id="283" w:name="_Toc151193844"/>
      <w:bookmarkStart w:id="284" w:name="_Toc151193918"/>
      <w:bookmarkStart w:id="285" w:name="_Toc164351624"/>
      <w:bookmarkStart w:id="286" w:name="_Toc164608799"/>
      <w:bookmarkStart w:id="287" w:name="_Toc150480768"/>
      <w:bookmarkStart w:id="288" w:name="_Toc127151731"/>
      <w:bookmarkStart w:id="289" w:name="_Toc150774630"/>
      <w:bookmarkStart w:id="290" w:name="_Toc164608644"/>
      <w:bookmarkStart w:id="291" w:name="_Toc150509281"/>
      <w:bookmarkStart w:id="292" w:name="_Toc520356155"/>
      <w:bookmarkStart w:id="293" w:name="_Toc142311032"/>
      <w:bookmarkStart w:id="294" w:name="_Toc150774735"/>
      <w:bookmarkStart w:id="295" w:name="_Toc127161444"/>
      <w:r>
        <w:rPr>
          <w:sz w:val="24"/>
        </w:rPr>
        <w:t>报价</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220FE9F9">
      <w:pPr>
        <w:numPr>
          <w:ilvl w:val="1"/>
          <w:numId w:val="8"/>
        </w:numPr>
        <w:tabs>
          <w:tab w:val="left" w:pos="1080"/>
          <w:tab w:val="left" w:pos="2014"/>
        </w:tabs>
        <w:snapToGrid w:val="0"/>
        <w:spacing w:line="360" w:lineRule="auto"/>
        <w:ind w:left="1077" w:hanging="720"/>
        <w:rPr>
          <w:sz w:val="24"/>
        </w:rPr>
      </w:pPr>
      <w:r>
        <w:rPr>
          <w:sz w:val="24"/>
        </w:rPr>
        <w:t>所有响应均以人民币</w:t>
      </w:r>
      <w:r>
        <w:rPr>
          <w:rFonts w:hint="eastAsia"/>
          <w:sz w:val="24"/>
        </w:rPr>
        <w:t>为计价货币</w:t>
      </w:r>
      <w:r>
        <w:rPr>
          <w:sz w:val="24"/>
        </w:rPr>
        <w:t>。</w:t>
      </w:r>
    </w:p>
    <w:p w14:paraId="77936591">
      <w:pPr>
        <w:numPr>
          <w:ilvl w:val="1"/>
          <w:numId w:val="8"/>
        </w:numPr>
        <w:tabs>
          <w:tab w:val="left" w:pos="1080"/>
        </w:tabs>
        <w:snapToGrid w:val="0"/>
        <w:spacing w:line="360" w:lineRule="auto"/>
        <w:rPr>
          <w:sz w:val="24"/>
        </w:rPr>
      </w:pPr>
      <w:r>
        <w:rPr>
          <w:sz w:val="24"/>
        </w:rPr>
        <w:t>供应商的报价应包括为完成本项目所发生的一切费用和税费，采购人将不再支付报价以外的任何费用。供应商的报价应包括但不限于下列内容，《供应商须知资料表》中有特殊规定的，从其规定。</w:t>
      </w:r>
    </w:p>
    <w:p w14:paraId="067AFE7C">
      <w:pPr>
        <w:numPr>
          <w:ilvl w:val="2"/>
          <w:numId w:val="8"/>
        </w:numPr>
        <w:snapToGrid w:val="0"/>
        <w:spacing w:line="360" w:lineRule="auto"/>
        <w:rPr>
          <w:sz w:val="24"/>
        </w:rPr>
      </w:pPr>
      <w:r>
        <w:rPr>
          <w:sz w:val="24"/>
        </w:rPr>
        <w:t>响应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467EF4BF">
      <w:pPr>
        <w:numPr>
          <w:ilvl w:val="2"/>
          <w:numId w:val="8"/>
        </w:numPr>
        <w:snapToGrid w:val="0"/>
        <w:spacing w:line="360" w:lineRule="auto"/>
        <w:rPr>
          <w:sz w:val="24"/>
        </w:rPr>
      </w:pPr>
      <w:r>
        <w:rPr>
          <w:sz w:val="24"/>
        </w:rPr>
        <w:t>按照竞争性磋商文件要求完成本项目的全部相关费用。</w:t>
      </w:r>
    </w:p>
    <w:p w14:paraId="3BD56B31">
      <w:pPr>
        <w:numPr>
          <w:ilvl w:val="1"/>
          <w:numId w:val="8"/>
        </w:numPr>
        <w:tabs>
          <w:tab w:val="left" w:pos="1080"/>
          <w:tab w:val="left" w:pos="2014"/>
        </w:tabs>
        <w:snapToGrid w:val="0"/>
        <w:spacing w:line="360" w:lineRule="auto"/>
        <w:ind w:left="1077" w:hanging="720"/>
        <w:rPr>
          <w:sz w:val="24"/>
        </w:rPr>
      </w:pPr>
      <w:r>
        <w:rPr>
          <w:sz w:val="24"/>
        </w:rPr>
        <w:t>采购人不得向供应商索要或者接受其给予的赠品、回扣或者与采购无关的其他商品、服务。</w:t>
      </w:r>
    </w:p>
    <w:p w14:paraId="3B80F653">
      <w:pPr>
        <w:numPr>
          <w:ilvl w:val="1"/>
          <w:numId w:val="8"/>
        </w:numPr>
        <w:tabs>
          <w:tab w:val="left" w:pos="1080"/>
          <w:tab w:val="left" w:pos="2014"/>
        </w:tabs>
        <w:snapToGrid w:val="0"/>
        <w:spacing w:line="360" w:lineRule="auto"/>
        <w:ind w:left="1080" w:hanging="720"/>
        <w:rPr>
          <w:sz w:val="24"/>
        </w:rPr>
      </w:pPr>
      <w:r>
        <w:rPr>
          <w:sz w:val="24"/>
        </w:rPr>
        <w:t>供应商不能提供任何有选择性或可调整的最后报价（</w:t>
      </w:r>
      <w:r>
        <w:rPr>
          <w:color w:val="000000"/>
          <w:kern w:val="0"/>
          <w:sz w:val="24"/>
        </w:rPr>
        <w:t>竞争性磋商文件</w:t>
      </w:r>
      <w:r>
        <w:rPr>
          <w:sz w:val="24"/>
        </w:rPr>
        <w:t>另有规定的除外），否则其</w:t>
      </w:r>
      <w:r>
        <w:rPr>
          <w:b/>
          <w:sz w:val="24"/>
        </w:rPr>
        <w:t>响应无效</w:t>
      </w:r>
      <w:r>
        <w:rPr>
          <w:sz w:val="24"/>
        </w:rPr>
        <w:t>。</w:t>
      </w:r>
    </w:p>
    <w:p w14:paraId="0D46C76B">
      <w:pPr>
        <w:numPr>
          <w:ilvl w:val="0"/>
          <w:numId w:val="8"/>
        </w:numPr>
        <w:tabs>
          <w:tab w:val="left" w:pos="360"/>
        </w:tabs>
        <w:snapToGrid w:val="0"/>
        <w:spacing w:line="360" w:lineRule="auto"/>
        <w:ind w:left="357" w:hanging="357"/>
        <w:outlineLvl w:val="1"/>
        <w:rPr>
          <w:sz w:val="24"/>
        </w:rPr>
      </w:pPr>
      <w:r>
        <w:rPr>
          <w:sz w:val="24"/>
        </w:rPr>
        <w:t>磋商保证金</w:t>
      </w:r>
    </w:p>
    <w:p w14:paraId="1F93624B">
      <w:pPr>
        <w:numPr>
          <w:ilvl w:val="1"/>
          <w:numId w:val="8"/>
        </w:numPr>
        <w:tabs>
          <w:tab w:val="left" w:pos="1080"/>
          <w:tab w:val="left" w:pos="2014"/>
        </w:tabs>
        <w:snapToGrid w:val="0"/>
        <w:spacing w:line="360" w:lineRule="auto"/>
        <w:ind w:left="1077" w:hanging="720"/>
        <w:rPr>
          <w:sz w:val="24"/>
        </w:rPr>
      </w:pPr>
      <w:bookmarkStart w:id="296" w:name="_Ref467306302"/>
      <w:r>
        <w:rPr>
          <w:sz w:val="24"/>
        </w:rPr>
        <w:t>供应商应按《供应商须知资料表》中规定的金额及要求交纳磋商保证金</w:t>
      </w:r>
      <w:bookmarkEnd w:id="296"/>
      <w:r>
        <w:rPr>
          <w:sz w:val="24"/>
        </w:rPr>
        <w:t>。</w:t>
      </w:r>
      <w:r>
        <w:rPr>
          <w:rFonts w:hint="eastAsia"/>
          <w:sz w:val="24"/>
        </w:rPr>
        <w:t>供应商自愿超额缴纳磋商保证金的，响应文件不做无效处理。</w:t>
      </w:r>
    </w:p>
    <w:p w14:paraId="66C38FF2">
      <w:pPr>
        <w:numPr>
          <w:ilvl w:val="1"/>
          <w:numId w:val="8"/>
        </w:numPr>
        <w:tabs>
          <w:tab w:val="left" w:pos="1080"/>
          <w:tab w:val="left" w:pos="2014"/>
        </w:tabs>
        <w:snapToGrid w:val="0"/>
        <w:spacing w:line="360" w:lineRule="auto"/>
        <w:ind w:left="1077" w:hanging="720"/>
        <w:rPr>
          <w:sz w:val="24"/>
        </w:rPr>
      </w:pPr>
      <w:r>
        <w:rPr>
          <w:sz w:val="24"/>
        </w:rPr>
        <w:t>交纳磋商保证金可采用的形式：政府采购法律法规接受的支票、汇票、本票、网上银行支付或者金融机构、担保机构出具的保函等非现金形式。</w:t>
      </w:r>
    </w:p>
    <w:p w14:paraId="32E003CB">
      <w:pPr>
        <w:numPr>
          <w:ilvl w:val="1"/>
          <w:numId w:val="8"/>
        </w:numPr>
        <w:tabs>
          <w:tab w:val="left" w:pos="1080"/>
          <w:tab w:val="left" w:pos="2014"/>
        </w:tabs>
        <w:snapToGrid w:val="0"/>
        <w:spacing w:line="360" w:lineRule="auto"/>
        <w:ind w:left="1077" w:hanging="720"/>
        <w:rPr>
          <w:sz w:val="24"/>
        </w:rPr>
      </w:pPr>
      <w:r>
        <w:rPr>
          <w:sz w:val="24"/>
        </w:rPr>
        <w:t>磋商保证金到账（保函提交）截止时间同首次响应文件提交截止时间。以支票、汇票、本票、网上银行支付等形式提交磋商保证金的，应在首次响应文件提交截止时间前</w:t>
      </w:r>
      <w:r>
        <w:rPr>
          <w:rFonts w:hint="eastAsia"/>
          <w:sz w:val="24"/>
        </w:rPr>
        <w:t>到账</w:t>
      </w:r>
      <w:r>
        <w:rPr>
          <w:sz w:val="24"/>
        </w:rPr>
        <w:t>；</w:t>
      </w:r>
      <w:r>
        <w:rPr>
          <w:rFonts w:hint="eastAsia"/>
          <w:sz w:val="24"/>
        </w:rPr>
        <w:t>以</w:t>
      </w:r>
      <w:r>
        <w:rPr>
          <w:sz w:val="24"/>
        </w:rPr>
        <w:t>金融机构、担保机构出具的保函等形式提交</w:t>
      </w:r>
      <w:r>
        <w:rPr>
          <w:rFonts w:hint="eastAsia"/>
          <w:sz w:val="24"/>
        </w:rPr>
        <w:t>磋商</w:t>
      </w:r>
      <w:r>
        <w:rPr>
          <w:sz w:val="24"/>
        </w:rPr>
        <w:t>保证金的，应在首次响应文件</w:t>
      </w:r>
      <w:r>
        <w:rPr>
          <w:rFonts w:hint="eastAsia"/>
          <w:sz w:val="24"/>
        </w:rPr>
        <w:t>提交</w:t>
      </w:r>
      <w:r>
        <w:rPr>
          <w:sz w:val="24"/>
        </w:rPr>
        <w:t>截止时间前将原件提交至采购代理机构；由于</w:t>
      </w:r>
      <w:r>
        <w:rPr>
          <w:rFonts w:hint="eastAsia"/>
          <w:sz w:val="24"/>
        </w:rPr>
        <w:t>到账时间</w:t>
      </w:r>
      <w:r>
        <w:rPr>
          <w:sz w:val="24"/>
        </w:rPr>
        <w:t>晚于首次响应文件提交截止时间的，或者票据错误、印鉴不清等原因导致不能到账的，其</w:t>
      </w:r>
      <w:r>
        <w:rPr>
          <w:b/>
          <w:bCs/>
          <w:sz w:val="24"/>
        </w:rPr>
        <w:t>响应无效</w:t>
      </w:r>
      <w:r>
        <w:rPr>
          <w:sz w:val="24"/>
        </w:rPr>
        <w:t>。</w:t>
      </w:r>
    </w:p>
    <w:p w14:paraId="22635CA9">
      <w:pPr>
        <w:numPr>
          <w:ilvl w:val="1"/>
          <w:numId w:val="8"/>
        </w:numPr>
        <w:tabs>
          <w:tab w:val="left" w:pos="1080"/>
          <w:tab w:val="left" w:pos="2014"/>
        </w:tabs>
        <w:snapToGrid w:val="0"/>
        <w:spacing w:line="360" w:lineRule="auto"/>
        <w:ind w:left="1077" w:hanging="720"/>
        <w:rPr>
          <w:sz w:val="24"/>
        </w:rPr>
      </w:pPr>
      <w:r>
        <w:rPr>
          <w:sz w:val="24"/>
        </w:rPr>
        <w:t>磋商保证金有效期同响应有效期。</w:t>
      </w:r>
    </w:p>
    <w:p w14:paraId="158E3B58">
      <w:pPr>
        <w:numPr>
          <w:ilvl w:val="1"/>
          <w:numId w:val="8"/>
        </w:numPr>
        <w:tabs>
          <w:tab w:val="left" w:pos="1080"/>
          <w:tab w:val="left" w:pos="2014"/>
        </w:tabs>
        <w:snapToGrid w:val="0"/>
        <w:spacing w:line="360" w:lineRule="auto"/>
        <w:ind w:left="1077" w:hanging="720"/>
        <w:rPr>
          <w:sz w:val="24"/>
        </w:rPr>
      </w:pPr>
      <w:r>
        <w:rPr>
          <w:sz w:val="24"/>
        </w:rPr>
        <w:t>供应商为联合体的，可以由联合体中的一方或者多方共同交纳磋商保证金，其交纳的保证金对联合体各方均具有约束力。</w:t>
      </w:r>
    </w:p>
    <w:p w14:paraId="46F88541">
      <w:pPr>
        <w:numPr>
          <w:ilvl w:val="1"/>
          <w:numId w:val="8"/>
        </w:numPr>
        <w:tabs>
          <w:tab w:val="left" w:pos="1080"/>
          <w:tab w:val="left" w:pos="2014"/>
        </w:tabs>
        <w:snapToGrid w:val="0"/>
        <w:spacing w:line="360" w:lineRule="auto"/>
        <w:ind w:left="1077" w:hanging="720"/>
        <w:rPr>
          <w:sz w:val="24"/>
        </w:rPr>
      </w:pPr>
      <w:r>
        <w:rPr>
          <w:sz w:val="24"/>
        </w:rPr>
        <w:t>采购人、采购代理机构将及时退还供应商的保证金，采用银行保函、担保机构担保函等形式递交的保证金，经供应商同意后采购人、采购代理机构可以不再退还，但因供应商自身原因导致无法及时退还的除外：</w:t>
      </w:r>
    </w:p>
    <w:p w14:paraId="7DE9C077">
      <w:pPr>
        <w:numPr>
          <w:ilvl w:val="2"/>
          <w:numId w:val="8"/>
        </w:numPr>
        <w:snapToGrid w:val="0"/>
        <w:spacing w:line="360" w:lineRule="auto"/>
        <w:rPr>
          <w:sz w:val="24"/>
        </w:rPr>
      </w:pPr>
      <w:r>
        <w:rPr>
          <w:snapToGrid w:val="0"/>
          <w:kern w:val="0"/>
          <w:sz w:val="24"/>
        </w:rPr>
        <w:t>已提交响应文件的供应商，在提交最后报价之前，可以根据磋商情况退出磋商。采购人、采购代理机构将退还退出磋商的供应商的磋商保证金；</w:t>
      </w:r>
    </w:p>
    <w:p w14:paraId="02FC20E3">
      <w:pPr>
        <w:numPr>
          <w:ilvl w:val="2"/>
          <w:numId w:val="8"/>
        </w:numPr>
        <w:snapToGrid w:val="0"/>
        <w:spacing w:line="360" w:lineRule="auto"/>
        <w:rPr>
          <w:sz w:val="24"/>
        </w:rPr>
      </w:pPr>
      <w:r>
        <w:rPr>
          <w:sz w:val="24"/>
        </w:rPr>
        <w:t>成交供应商的磋商保证金，在采购合同签订后5个工作日内退还成交供应商；</w:t>
      </w:r>
    </w:p>
    <w:p w14:paraId="026D6FBB">
      <w:pPr>
        <w:numPr>
          <w:ilvl w:val="2"/>
          <w:numId w:val="8"/>
        </w:numPr>
        <w:snapToGrid w:val="0"/>
        <w:spacing w:line="360" w:lineRule="auto"/>
        <w:rPr>
          <w:sz w:val="24"/>
        </w:rPr>
      </w:pPr>
      <w:r>
        <w:rPr>
          <w:sz w:val="24"/>
        </w:rPr>
        <w:t>未成交供应商的磋商保证金，在成交通知书发出后5个工作日内退还。</w:t>
      </w:r>
    </w:p>
    <w:p w14:paraId="1AE3DCEB">
      <w:pPr>
        <w:numPr>
          <w:ilvl w:val="1"/>
          <w:numId w:val="8"/>
        </w:numPr>
        <w:tabs>
          <w:tab w:val="left" w:pos="1080"/>
          <w:tab w:val="left" w:pos="2014"/>
        </w:tabs>
        <w:snapToGrid w:val="0"/>
        <w:spacing w:line="360" w:lineRule="auto"/>
        <w:ind w:left="1077" w:hanging="720"/>
        <w:rPr>
          <w:sz w:val="24"/>
        </w:rPr>
      </w:pPr>
      <w:r>
        <w:rPr>
          <w:sz w:val="24"/>
        </w:rPr>
        <w:t>有下列情形之一的，采购人或采购代理机构不予退还磋商保证金：</w:t>
      </w:r>
    </w:p>
    <w:p w14:paraId="7842AA3E">
      <w:pPr>
        <w:numPr>
          <w:ilvl w:val="2"/>
          <w:numId w:val="8"/>
        </w:numPr>
        <w:snapToGrid w:val="0"/>
        <w:spacing w:line="360" w:lineRule="auto"/>
        <w:rPr>
          <w:sz w:val="24"/>
        </w:rPr>
      </w:pPr>
      <w:r>
        <w:rPr>
          <w:sz w:val="24"/>
        </w:rPr>
        <w:t>供应商在响应文件提交截止时间后撤回响应文件的；</w:t>
      </w:r>
    </w:p>
    <w:p w14:paraId="05540E44">
      <w:pPr>
        <w:numPr>
          <w:ilvl w:val="2"/>
          <w:numId w:val="8"/>
        </w:numPr>
        <w:snapToGrid w:val="0"/>
        <w:spacing w:line="360" w:lineRule="auto"/>
        <w:rPr>
          <w:sz w:val="24"/>
        </w:rPr>
      </w:pPr>
      <w:r>
        <w:rPr>
          <w:sz w:val="24"/>
        </w:rPr>
        <w:t>供应商在响应文件中提供虚假材料的；</w:t>
      </w:r>
    </w:p>
    <w:p w14:paraId="12DC602E">
      <w:pPr>
        <w:numPr>
          <w:ilvl w:val="2"/>
          <w:numId w:val="8"/>
        </w:numPr>
        <w:snapToGrid w:val="0"/>
        <w:spacing w:line="360" w:lineRule="auto"/>
        <w:rPr>
          <w:sz w:val="24"/>
        </w:rPr>
      </w:pPr>
      <w:r>
        <w:rPr>
          <w:sz w:val="24"/>
        </w:rPr>
        <w:t>除因不可抗力或磋商文件认可的情形以外，成交供应商不与采购人签订合同的；</w:t>
      </w:r>
    </w:p>
    <w:p w14:paraId="375E59B9">
      <w:pPr>
        <w:numPr>
          <w:ilvl w:val="2"/>
          <w:numId w:val="8"/>
        </w:numPr>
        <w:snapToGrid w:val="0"/>
        <w:spacing w:line="360" w:lineRule="auto"/>
        <w:rPr>
          <w:sz w:val="24"/>
        </w:rPr>
      </w:pPr>
      <w:r>
        <w:rPr>
          <w:sz w:val="24"/>
        </w:rPr>
        <w:t>供应商与采购人、其他供应商或者采购代理机构恶意串通的；</w:t>
      </w:r>
    </w:p>
    <w:p w14:paraId="39F528E0">
      <w:pPr>
        <w:numPr>
          <w:ilvl w:val="2"/>
          <w:numId w:val="8"/>
        </w:numPr>
        <w:snapToGrid w:val="0"/>
        <w:spacing w:line="360" w:lineRule="auto"/>
        <w:rPr>
          <w:sz w:val="24"/>
        </w:rPr>
      </w:pPr>
      <w:r>
        <w:rPr>
          <w:sz w:val="24"/>
        </w:rPr>
        <w:t>《供应商须知资料表》规定的其他情形。</w:t>
      </w:r>
    </w:p>
    <w:p w14:paraId="19B5D6D2">
      <w:pPr>
        <w:numPr>
          <w:ilvl w:val="0"/>
          <w:numId w:val="8"/>
        </w:numPr>
        <w:tabs>
          <w:tab w:val="left" w:pos="360"/>
        </w:tabs>
        <w:snapToGrid w:val="0"/>
        <w:spacing w:line="360" w:lineRule="auto"/>
        <w:ind w:left="357" w:hanging="357"/>
        <w:outlineLvl w:val="1"/>
        <w:rPr>
          <w:sz w:val="24"/>
        </w:rPr>
      </w:pPr>
      <w:r>
        <w:rPr>
          <w:sz w:val="24"/>
        </w:rPr>
        <w:t>响应有效期</w:t>
      </w:r>
    </w:p>
    <w:p w14:paraId="39E44F10">
      <w:pPr>
        <w:numPr>
          <w:ilvl w:val="1"/>
          <w:numId w:val="8"/>
        </w:numPr>
        <w:tabs>
          <w:tab w:val="left" w:pos="1080"/>
          <w:tab w:val="left" w:pos="2014"/>
        </w:tabs>
        <w:snapToGrid w:val="0"/>
        <w:spacing w:line="360" w:lineRule="auto"/>
        <w:ind w:left="1077" w:hanging="720"/>
        <w:rPr>
          <w:sz w:val="24"/>
        </w:rPr>
      </w:pPr>
      <w:r>
        <w:rPr>
          <w:sz w:val="24"/>
        </w:rPr>
        <w:t>响应文件应在本竞争性磋商文件《供应商须知资料表》中规定的响应有效期内保持有效，响应有效期少于竞争性磋商文件规定期限的，其</w:t>
      </w:r>
      <w:r>
        <w:rPr>
          <w:b/>
          <w:sz w:val="24"/>
        </w:rPr>
        <w:t>响应无效</w:t>
      </w:r>
      <w:r>
        <w:rPr>
          <w:sz w:val="24"/>
        </w:rPr>
        <w:t>。</w:t>
      </w:r>
    </w:p>
    <w:p w14:paraId="023D2201">
      <w:pPr>
        <w:numPr>
          <w:ilvl w:val="0"/>
          <w:numId w:val="8"/>
        </w:numPr>
        <w:tabs>
          <w:tab w:val="left" w:pos="360"/>
        </w:tabs>
        <w:snapToGrid w:val="0"/>
        <w:spacing w:line="360" w:lineRule="auto"/>
        <w:ind w:left="357" w:hanging="357"/>
        <w:outlineLvl w:val="1"/>
        <w:rPr>
          <w:sz w:val="24"/>
        </w:rPr>
      </w:pPr>
      <w:bookmarkStart w:id="297" w:name="_Toc226965806"/>
      <w:bookmarkStart w:id="298" w:name="_Toc164608802"/>
      <w:bookmarkStart w:id="299" w:name="_Toc150774633"/>
      <w:bookmarkStart w:id="300" w:name="_Toc164351627"/>
      <w:bookmarkStart w:id="301" w:name="_Toc150509284"/>
      <w:bookmarkStart w:id="302" w:name="_Toc264969223"/>
      <w:bookmarkStart w:id="303" w:name="_Toc226965723"/>
      <w:bookmarkStart w:id="304" w:name="_Toc226309777"/>
      <w:bookmarkStart w:id="305" w:name="_Toc164608647"/>
      <w:bookmarkStart w:id="306" w:name="_Toc150774738"/>
      <w:bookmarkStart w:id="307" w:name="_Toc149720826"/>
      <w:bookmarkStart w:id="308" w:name="_Toc520356158"/>
      <w:bookmarkStart w:id="309" w:name="_Toc150480771"/>
      <w:bookmarkStart w:id="310" w:name="_Toc127151734"/>
      <w:bookmarkStart w:id="311" w:name="_Toc164229228"/>
      <w:bookmarkStart w:id="312" w:name="_Toc151193775"/>
      <w:bookmarkStart w:id="313" w:name="_Toc142311035"/>
      <w:bookmarkStart w:id="314" w:name="_Toc151193631"/>
      <w:bookmarkStart w:id="315" w:name="_Toc305158875"/>
      <w:bookmarkStart w:id="316" w:name="_Toc195842898"/>
      <w:bookmarkStart w:id="317" w:name="_Toc226337229"/>
      <w:bookmarkStart w:id="318" w:name="_Toc305158801"/>
      <w:bookmarkStart w:id="319" w:name="_Toc265228371"/>
      <w:bookmarkStart w:id="320" w:name="_Toc127161447"/>
      <w:bookmarkStart w:id="321" w:name="_Toc164229374"/>
      <w:bookmarkStart w:id="322" w:name="_Toc151190160"/>
      <w:bookmarkStart w:id="323" w:name="_Toc151193847"/>
      <w:bookmarkStart w:id="324" w:name="_Toc151193921"/>
      <w:bookmarkStart w:id="325" w:name="_Toc127151533"/>
      <w:bookmarkStart w:id="326" w:name="_Toc151193703"/>
      <w:r>
        <w:rPr>
          <w:sz w:val="24"/>
        </w:rPr>
        <w:t>响应文件的签署</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Pr>
          <w:sz w:val="24"/>
        </w:rPr>
        <w:t>、盖章</w:t>
      </w:r>
    </w:p>
    <w:p w14:paraId="033D6A23">
      <w:pPr>
        <w:numPr>
          <w:ilvl w:val="1"/>
          <w:numId w:val="8"/>
        </w:numPr>
        <w:tabs>
          <w:tab w:val="left" w:pos="1080"/>
          <w:tab w:val="left" w:pos="2014"/>
        </w:tabs>
        <w:snapToGrid w:val="0"/>
        <w:spacing w:line="360" w:lineRule="auto"/>
        <w:ind w:left="1077" w:hanging="720"/>
        <w:rPr>
          <w:sz w:val="24"/>
        </w:rPr>
      </w:pPr>
      <w:bookmarkStart w:id="327" w:name="_Toc226965724"/>
      <w:bookmarkStart w:id="328" w:name="_Toc195842899"/>
      <w:bookmarkStart w:id="329" w:name="_Toc226309778"/>
      <w:bookmarkStart w:id="330" w:name="_Toc151193848"/>
      <w:bookmarkStart w:id="331" w:name="_Toc151193922"/>
      <w:bookmarkStart w:id="332" w:name="_Toc151190161"/>
      <w:bookmarkStart w:id="333" w:name="_Toc150480772"/>
      <w:bookmarkStart w:id="334" w:name="_Toc151193776"/>
      <w:bookmarkStart w:id="335" w:name="_Toc305158876"/>
      <w:bookmarkStart w:id="336" w:name="_Toc150774634"/>
      <w:bookmarkStart w:id="337" w:name="_Toc150774739"/>
      <w:bookmarkStart w:id="338" w:name="_Toc520356159"/>
      <w:bookmarkStart w:id="339" w:name="_Toc305158802"/>
      <w:bookmarkStart w:id="340" w:name="_Toc265228372"/>
      <w:bookmarkStart w:id="341" w:name="_Toc151193704"/>
      <w:bookmarkStart w:id="342" w:name="_Toc226965807"/>
      <w:bookmarkStart w:id="343" w:name="_Toc226337230"/>
      <w:bookmarkStart w:id="344" w:name="_Toc264969224"/>
      <w:bookmarkStart w:id="345" w:name="_Toc142311036"/>
      <w:bookmarkStart w:id="346" w:name="_Toc127151534"/>
      <w:bookmarkStart w:id="347" w:name="_Toc150509285"/>
      <w:bookmarkStart w:id="348" w:name="_Toc151193632"/>
      <w:r>
        <w:rPr>
          <w:rFonts w:hint="eastAsia"/>
          <w:sz w:val="24"/>
        </w:rPr>
        <w:t>供应商应准备《响应文件》正本1份和副本4份（</w:t>
      </w:r>
      <w:r>
        <w:rPr>
          <w:sz w:val="24"/>
        </w:rPr>
        <w:t>A4</w:t>
      </w:r>
      <w:r>
        <w:rPr>
          <w:rFonts w:hint="eastAsia"/>
          <w:sz w:val="24"/>
        </w:rPr>
        <w:t>幅面）、电子版1份（只读光盘或U盘，格式为Word版及与正本一致的PDF签字盖章版，应保证能正常打开并使用）及报价一览表1份，每份《响应文件》须清楚地标明“正本”或“副本”。若正本和副本不符，以正本为准。《响应文件》的副本可采用正本的复印件。</w:t>
      </w:r>
    </w:p>
    <w:p w14:paraId="248BBFA1">
      <w:pPr>
        <w:numPr>
          <w:ilvl w:val="1"/>
          <w:numId w:val="8"/>
        </w:numPr>
        <w:tabs>
          <w:tab w:val="left" w:pos="1080"/>
          <w:tab w:val="left" w:pos="2014"/>
        </w:tabs>
        <w:snapToGrid w:val="0"/>
        <w:spacing w:line="360" w:lineRule="auto"/>
        <w:ind w:left="1077" w:hanging="720"/>
        <w:rPr>
          <w:sz w:val="24"/>
        </w:rPr>
      </w:pPr>
      <w:r>
        <w:rPr>
          <w:rFonts w:hint="eastAsia"/>
          <w:sz w:val="24"/>
        </w:rPr>
        <w:t>《响应文件》的正本须采用打印或用不退色墨水书写，并编排目录及页码，《响应文件》须由供应商加盖单位印章。</w:t>
      </w:r>
    </w:p>
    <w:p w14:paraId="46E18378">
      <w:pPr>
        <w:numPr>
          <w:ilvl w:val="1"/>
          <w:numId w:val="8"/>
        </w:numPr>
        <w:tabs>
          <w:tab w:val="left" w:pos="1080"/>
          <w:tab w:val="left" w:pos="2014"/>
        </w:tabs>
        <w:snapToGrid w:val="0"/>
        <w:spacing w:line="360" w:lineRule="auto"/>
        <w:ind w:left="1077" w:hanging="720"/>
        <w:rPr>
          <w:sz w:val="24"/>
        </w:rPr>
      </w:pPr>
      <w:r>
        <w:rPr>
          <w:rFonts w:hint="eastAsia"/>
          <w:sz w:val="24"/>
        </w:rPr>
        <w:t>磋商代表须持有书面的加盖公章的“授权委托书（法定代表人本人参加的应提供法定代表人（单位负责人）身份证明文件）”参与磋商会，并将其附在响应文件中。</w:t>
      </w:r>
    </w:p>
    <w:p w14:paraId="74E41884">
      <w:pPr>
        <w:numPr>
          <w:ilvl w:val="1"/>
          <w:numId w:val="8"/>
        </w:numPr>
        <w:tabs>
          <w:tab w:val="left" w:pos="1080"/>
          <w:tab w:val="left" w:pos="2014"/>
        </w:tabs>
        <w:snapToGrid w:val="0"/>
        <w:spacing w:line="360" w:lineRule="auto"/>
        <w:ind w:left="1077" w:hanging="720"/>
        <w:rPr>
          <w:sz w:val="24"/>
        </w:rPr>
      </w:pPr>
      <w:r>
        <w:rPr>
          <w:rFonts w:hint="eastAsia"/>
          <w:sz w:val="24"/>
        </w:rPr>
        <w:t>任何行间插字、涂改和增删，必须由法定代表人或经其正式授权的代表签字或盖章并加盖单位公章后有效。</w:t>
      </w:r>
    </w:p>
    <w:p w14:paraId="11A2A1D1">
      <w:pPr>
        <w:numPr>
          <w:ilvl w:val="1"/>
          <w:numId w:val="8"/>
        </w:numPr>
        <w:tabs>
          <w:tab w:val="left" w:pos="1080"/>
          <w:tab w:val="left" w:pos="2014"/>
        </w:tabs>
        <w:snapToGrid w:val="0"/>
        <w:spacing w:line="360" w:lineRule="auto"/>
        <w:ind w:left="1077" w:hanging="720"/>
        <w:rPr>
          <w:sz w:val="24"/>
        </w:rPr>
      </w:pPr>
      <w:r>
        <w:rPr>
          <w:rFonts w:hint="eastAsia"/>
          <w:sz w:val="24"/>
        </w:rPr>
        <w:t>《响应文件》因字迹潦草或表达不清所引起的后果由供应商负责。</w:t>
      </w:r>
    </w:p>
    <w:p w14:paraId="01BB1598">
      <w:pPr>
        <w:numPr>
          <w:ilvl w:val="1"/>
          <w:numId w:val="8"/>
        </w:numPr>
        <w:tabs>
          <w:tab w:val="left" w:pos="1080"/>
          <w:tab w:val="left" w:pos="2014"/>
        </w:tabs>
        <w:snapToGrid w:val="0"/>
        <w:spacing w:line="360" w:lineRule="auto"/>
        <w:ind w:left="1077" w:hanging="720"/>
        <w:rPr>
          <w:sz w:val="24"/>
        </w:rPr>
      </w:pPr>
      <w:r>
        <w:rPr>
          <w:rFonts w:hint="eastAsia"/>
          <w:sz w:val="24"/>
        </w:rPr>
        <w:t>本《竞争性磋商文件》中所要求的公章是指行政公章，加盖合同专用章、报价专用章等非行政公章的《响应文件》</w:t>
      </w:r>
      <w:r>
        <w:rPr>
          <w:rFonts w:hint="eastAsia"/>
          <w:b/>
          <w:bCs/>
          <w:sz w:val="24"/>
        </w:rPr>
        <w:t>无效</w:t>
      </w:r>
      <w:r>
        <w:rPr>
          <w:sz w:val="24"/>
        </w:rPr>
        <w:t>。</w:t>
      </w:r>
    </w:p>
    <w:p w14:paraId="66CEE5F0">
      <w:pPr>
        <w:tabs>
          <w:tab w:val="left" w:pos="900"/>
          <w:tab w:val="left" w:pos="1080"/>
        </w:tabs>
        <w:snapToGrid w:val="0"/>
        <w:spacing w:line="360" w:lineRule="auto"/>
        <w:ind w:left="357"/>
      </w:pPr>
    </w:p>
    <w:p w14:paraId="5CC78187">
      <w:pPr>
        <w:pStyle w:val="3"/>
        <w:spacing w:before="0" w:line="360" w:lineRule="auto"/>
        <w:rPr>
          <w:rFonts w:ascii="Times New Roman" w:hAnsi="Times New Roman" w:eastAsia="宋体"/>
          <w:sz w:val="28"/>
        </w:rPr>
      </w:pPr>
      <w:r>
        <w:rPr>
          <w:rFonts w:ascii="Times New Roman" w:hAnsi="Times New Roman" w:eastAsia="宋体"/>
          <w:sz w:val="28"/>
        </w:rPr>
        <w:t>四   响应文件的提交</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08896DCA">
      <w:pPr>
        <w:numPr>
          <w:ilvl w:val="0"/>
          <w:numId w:val="8"/>
        </w:numPr>
        <w:tabs>
          <w:tab w:val="left" w:pos="360"/>
        </w:tabs>
        <w:snapToGrid w:val="0"/>
        <w:spacing w:line="360" w:lineRule="auto"/>
        <w:ind w:left="357" w:hanging="357"/>
        <w:outlineLvl w:val="1"/>
        <w:rPr>
          <w:sz w:val="24"/>
        </w:rPr>
      </w:pPr>
      <w:bookmarkStart w:id="349" w:name="_Toc150774740"/>
      <w:bookmarkStart w:id="350" w:name="_Toc150774635"/>
      <w:bookmarkStart w:id="351" w:name="_Toc164229376"/>
      <w:bookmarkStart w:id="352" w:name="_Toc149720828"/>
      <w:bookmarkStart w:id="353" w:name="_Toc127161449"/>
      <w:bookmarkStart w:id="354" w:name="_Toc150509286"/>
      <w:bookmarkStart w:id="355" w:name="_Toc127151736"/>
      <w:bookmarkStart w:id="356" w:name="_Toc226965725"/>
      <w:bookmarkStart w:id="357" w:name="_Toc226309779"/>
      <w:bookmarkStart w:id="358" w:name="_Toc164608649"/>
      <w:bookmarkStart w:id="359" w:name="_Toc264969225"/>
      <w:bookmarkStart w:id="360" w:name="_Toc164608804"/>
      <w:bookmarkStart w:id="361" w:name="_Toc520356160"/>
      <w:bookmarkStart w:id="362" w:name="_Toc151193633"/>
      <w:bookmarkStart w:id="363" w:name="_Toc127151535"/>
      <w:bookmarkStart w:id="364" w:name="_Toc142311037"/>
      <w:bookmarkStart w:id="365" w:name="_Toc151193923"/>
      <w:bookmarkStart w:id="366" w:name="_Toc150480773"/>
      <w:bookmarkStart w:id="367" w:name="_Toc151193777"/>
      <w:bookmarkStart w:id="368" w:name="_Toc164229230"/>
      <w:bookmarkStart w:id="369" w:name="_Toc151193705"/>
      <w:bookmarkStart w:id="370" w:name="_Toc226337231"/>
      <w:bookmarkStart w:id="371" w:name="_Toc151193849"/>
      <w:bookmarkStart w:id="372" w:name="_Toc195842900"/>
      <w:bookmarkStart w:id="373" w:name="_Toc151190162"/>
      <w:bookmarkStart w:id="374" w:name="_Toc265228373"/>
      <w:bookmarkStart w:id="375" w:name="_Toc305158803"/>
      <w:bookmarkStart w:id="376" w:name="_Toc164351629"/>
      <w:bookmarkStart w:id="377" w:name="_Toc305158877"/>
      <w:bookmarkStart w:id="378" w:name="_Toc226965808"/>
      <w:r>
        <w:rPr>
          <w:sz w:val="24"/>
        </w:rPr>
        <w:t>响应文件的</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Pr>
          <w:sz w:val="24"/>
        </w:rPr>
        <w:t>提交</w:t>
      </w:r>
    </w:p>
    <w:p w14:paraId="27C15829">
      <w:pPr>
        <w:numPr>
          <w:ilvl w:val="1"/>
          <w:numId w:val="8"/>
        </w:numPr>
        <w:tabs>
          <w:tab w:val="left" w:pos="1080"/>
          <w:tab w:val="left" w:pos="2014"/>
        </w:tabs>
        <w:snapToGrid w:val="0"/>
        <w:spacing w:line="360" w:lineRule="auto"/>
        <w:ind w:left="1077" w:hanging="720"/>
        <w:rPr>
          <w:sz w:val="24"/>
        </w:rPr>
      </w:pPr>
      <w:r>
        <w:rPr>
          <w:rFonts w:hint="eastAsia"/>
          <w:sz w:val="24"/>
        </w:rPr>
        <w:t>送达《响应文件》时，供应商应将《响应文件正本》、《响应文件副本》、《报价一览表》及《响应文件电子版》分开密封。且在密封袋或密封箱封面标明“正本”、“副本”、报价一览表、响应文件电子版字样。电子版文件不退。</w:t>
      </w:r>
    </w:p>
    <w:p w14:paraId="05CF805F">
      <w:pPr>
        <w:numPr>
          <w:ilvl w:val="1"/>
          <w:numId w:val="8"/>
        </w:numPr>
        <w:tabs>
          <w:tab w:val="left" w:pos="1080"/>
          <w:tab w:val="left" w:pos="2014"/>
        </w:tabs>
        <w:snapToGrid w:val="0"/>
        <w:spacing w:line="360" w:lineRule="auto"/>
        <w:ind w:left="1077" w:hanging="720"/>
        <w:rPr>
          <w:sz w:val="24"/>
        </w:rPr>
      </w:pPr>
      <w:r>
        <w:rPr>
          <w:rFonts w:hint="eastAsia"/>
          <w:sz w:val="24"/>
        </w:rPr>
        <w:t>所有密封袋或密封箱上均应：</w:t>
      </w:r>
    </w:p>
    <w:p w14:paraId="265194C9">
      <w:pPr>
        <w:tabs>
          <w:tab w:val="left" w:pos="1080"/>
          <w:tab w:val="left" w:pos="2014"/>
        </w:tabs>
        <w:snapToGrid w:val="0"/>
        <w:spacing w:line="360" w:lineRule="auto"/>
        <w:ind w:left="357"/>
        <w:rPr>
          <w:sz w:val="24"/>
        </w:rPr>
      </w:pPr>
      <w:r>
        <w:rPr>
          <w:rFonts w:hint="eastAsia"/>
          <w:sz w:val="24"/>
        </w:rPr>
        <w:t>（1）标明采购项目名称、项目编号、供应商名称。</w:t>
      </w:r>
    </w:p>
    <w:p w14:paraId="41FC3991">
      <w:pPr>
        <w:tabs>
          <w:tab w:val="left" w:pos="1080"/>
          <w:tab w:val="left" w:pos="2014"/>
        </w:tabs>
        <w:snapToGrid w:val="0"/>
        <w:spacing w:line="360" w:lineRule="auto"/>
        <w:ind w:left="357"/>
        <w:rPr>
          <w:sz w:val="24"/>
        </w:rPr>
      </w:pPr>
      <w:r>
        <w:rPr>
          <w:rFonts w:hint="eastAsia"/>
          <w:sz w:val="24"/>
        </w:rPr>
        <w:t>（2）在密封袋或密封箱的封装处加盖供应商单位公章。</w:t>
      </w:r>
    </w:p>
    <w:p w14:paraId="5CD6DF02">
      <w:pPr>
        <w:numPr>
          <w:ilvl w:val="1"/>
          <w:numId w:val="8"/>
        </w:numPr>
        <w:tabs>
          <w:tab w:val="left" w:pos="1080"/>
          <w:tab w:val="left" w:pos="2014"/>
        </w:tabs>
        <w:snapToGrid w:val="0"/>
        <w:spacing w:line="360" w:lineRule="auto"/>
        <w:ind w:left="1077" w:hanging="720"/>
        <w:rPr>
          <w:sz w:val="24"/>
        </w:rPr>
      </w:pPr>
      <w:r>
        <w:rPr>
          <w:rFonts w:hint="eastAsia"/>
          <w:sz w:val="24"/>
        </w:rPr>
        <w:t>如果供应商未按上述要求密封及加写标记，采购人或采购代理机构对《响应文件》的误投概不负责。</w:t>
      </w:r>
    </w:p>
    <w:p w14:paraId="2FD3D5CF">
      <w:pPr>
        <w:numPr>
          <w:ilvl w:val="0"/>
          <w:numId w:val="8"/>
        </w:numPr>
        <w:tabs>
          <w:tab w:val="left" w:pos="360"/>
        </w:tabs>
        <w:snapToGrid w:val="0"/>
        <w:spacing w:line="360" w:lineRule="auto"/>
        <w:ind w:left="357" w:hanging="357"/>
        <w:outlineLvl w:val="1"/>
        <w:rPr>
          <w:sz w:val="24"/>
        </w:rPr>
      </w:pPr>
      <w:bookmarkStart w:id="379" w:name="_Toc305158878"/>
      <w:bookmarkStart w:id="380" w:name="_Toc149720829"/>
      <w:bookmarkStart w:id="381" w:name="_Toc150509287"/>
      <w:bookmarkStart w:id="382" w:name="_Toc142311038"/>
      <w:bookmarkStart w:id="383" w:name="_Toc127151536"/>
      <w:bookmarkStart w:id="384" w:name="_Toc127161450"/>
      <w:bookmarkStart w:id="385" w:name="_Toc226337232"/>
      <w:bookmarkStart w:id="386" w:name="_Toc226309780"/>
      <w:bookmarkStart w:id="387" w:name="_Toc195842901"/>
      <w:bookmarkStart w:id="388" w:name="_Toc520356161"/>
      <w:bookmarkStart w:id="389" w:name="_Toc150774636"/>
      <w:bookmarkStart w:id="390" w:name="_Toc151190163"/>
      <w:bookmarkStart w:id="391" w:name="_Toc164229231"/>
      <w:bookmarkStart w:id="392" w:name="_Toc226965809"/>
      <w:bookmarkStart w:id="393" w:name="_Toc305158804"/>
      <w:bookmarkStart w:id="394" w:name="_Toc127151737"/>
      <w:bookmarkStart w:id="395" w:name="_Toc151193634"/>
      <w:bookmarkStart w:id="396" w:name="_Toc164229377"/>
      <w:bookmarkStart w:id="397" w:name="_Toc164608650"/>
      <w:bookmarkStart w:id="398" w:name="_Toc150774741"/>
      <w:bookmarkStart w:id="399" w:name="_Toc226965726"/>
      <w:bookmarkStart w:id="400" w:name="_Toc265228374"/>
      <w:bookmarkStart w:id="401" w:name="_Toc151193850"/>
      <w:bookmarkStart w:id="402" w:name="_Toc164608805"/>
      <w:bookmarkStart w:id="403" w:name="_Toc151193706"/>
      <w:bookmarkStart w:id="404" w:name="_Toc164351630"/>
      <w:bookmarkStart w:id="405" w:name="_Toc151193778"/>
      <w:bookmarkStart w:id="406" w:name="_Toc151193924"/>
      <w:bookmarkStart w:id="407" w:name="_Toc264969226"/>
      <w:bookmarkStart w:id="408" w:name="_Toc150480774"/>
      <w:r>
        <w:rPr>
          <w:sz w:val="24"/>
        </w:rPr>
        <w:t>响应文件提交截止</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Pr>
          <w:sz w:val="24"/>
        </w:rPr>
        <w:t>时间</w:t>
      </w:r>
    </w:p>
    <w:p w14:paraId="264586BC">
      <w:pPr>
        <w:numPr>
          <w:ilvl w:val="1"/>
          <w:numId w:val="8"/>
        </w:numPr>
        <w:tabs>
          <w:tab w:val="left" w:pos="1080"/>
          <w:tab w:val="left" w:pos="2014"/>
        </w:tabs>
        <w:snapToGrid w:val="0"/>
        <w:spacing w:line="360" w:lineRule="auto"/>
        <w:ind w:left="1077" w:hanging="720"/>
        <w:rPr>
          <w:sz w:val="24"/>
        </w:rPr>
      </w:pPr>
      <w:r>
        <w:rPr>
          <w:rFonts w:hint="eastAsia"/>
          <w:sz w:val="24"/>
        </w:rPr>
        <w:t>供应商应在采购邀请中规定的《响应文件》送达截止日期和时间内，将《响应文件》递交到指定地点</w:t>
      </w:r>
      <w:r>
        <w:rPr>
          <w:sz w:val="24"/>
        </w:rPr>
        <w:t>。</w:t>
      </w:r>
    </w:p>
    <w:p w14:paraId="6B60ECF1">
      <w:pPr>
        <w:numPr>
          <w:ilvl w:val="0"/>
          <w:numId w:val="8"/>
        </w:numPr>
        <w:tabs>
          <w:tab w:val="left" w:pos="360"/>
        </w:tabs>
        <w:snapToGrid w:val="0"/>
        <w:spacing w:line="360" w:lineRule="auto"/>
        <w:ind w:left="357" w:hanging="357"/>
        <w:outlineLvl w:val="1"/>
        <w:rPr>
          <w:sz w:val="24"/>
        </w:rPr>
      </w:pPr>
      <w:bookmarkStart w:id="409" w:name="_Toc164351631"/>
      <w:bookmarkStart w:id="410" w:name="_Toc264969227"/>
      <w:bookmarkStart w:id="411" w:name="_Toc164608651"/>
      <w:bookmarkStart w:id="412" w:name="_Toc265228375"/>
      <w:bookmarkStart w:id="413" w:name="_Toc226309781"/>
      <w:bookmarkStart w:id="414" w:name="_Toc164229378"/>
      <w:bookmarkStart w:id="415" w:name="_Toc127151738"/>
      <w:bookmarkStart w:id="416" w:name="_Toc149720830"/>
      <w:bookmarkStart w:id="417" w:name="_Toc151193635"/>
      <w:bookmarkStart w:id="418" w:name="_Toc305158805"/>
      <w:bookmarkStart w:id="419" w:name="_Toc226965727"/>
      <w:bookmarkStart w:id="420" w:name="_Toc195842902"/>
      <w:bookmarkStart w:id="421" w:name="_Toc127151537"/>
      <w:bookmarkStart w:id="422" w:name="_Toc164229232"/>
      <w:bookmarkStart w:id="423" w:name="_Toc151193707"/>
      <w:bookmarkStart w:id="424" w:name="_Toc305158879"/>
      <w:bookmarkStart w:id="425" w:name="_Toc142311039"/>
      <w:bookmarkStart w:id="426" w:name="_Toc520356162"/>
      <w:bookmarkStart w:id="427" w:name="_Toc151193925"/>
      <w:bookmarkStart w:id="428" w:name="_Toc150774742"/>
      <w:bookmarkStart w:id="429" w:name="_Toc151190164"/>
      <w:bookmarkStart w:id="430" w:name="_Toc151193851"/>
      <w:bookmarkStart w:id="431" w:name="_Toc150774637"/>
      <w:bookmarkStart w:id="432" w:name="_Toc150480775"/>
      <w:bookmarkStart w:id="433" w:name="_Toc127161451"/>
      <w:bookmarkStart w:id="434" w:name="_Toc226965810"/>
      <w:bookmarkStart w:id="435" w:name="_Toc150509288"/>
      <w:bookmarkStart w:id="436" w:name="_Toc151193779"/>
      <w:bookmarkStart w:id="437" w:name="_Toc164608806"/>
      <w:bookmarkStart w:id="438" w:name="_Toc226337233"/>
      <w:r>
        <w:rPr>
          <w:sz w:val="24"/>
        </w:rPr>
        <w:t>响应文件的修改与撤回</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0095887C">
      <w:pPr>
        <w:numPr>
          <w:ilvl w:val="1"/>
          <w:numId w:val="8"/>
        </w:numPr>
        <w:tabs>
          <w:tab w:val="left" w:pos="1080"/>
          <w:tab w:val="left" w:pos="2014"/>
        </w:tabs>
        <w:snapToGrid w:val="0"/>
        <w:spacing w:line="360" w:lineRule="auto"/>
        <w:ind w:left="1077" w:hanging="720"/>
        <w:rPr>
          <w:sz w:val="24"/>
        </w:rPr>
      </w:pPr>
      <w:r>
        <w:rPr>
          <w:rFonts w:hint="eastAsia"/>
          <w:sz w:val="24"/>
        </w:rPr>
        <w:t>采购人、采购代理机构有权按本须知的规定，通过修改《竞争性磋商文件》延长响应文件送达截止日期和时间。在此情况下，采购人、采购代理机构和供应商受截止日期和时间制约的所有权利和义务均应延长至新的截止日期和时间。</w:t>
      </w:r>
    </w:p>
    <w:p w14:paraId="1894619B">
      <w:pPr>
        <w:numPr>
          <w:ilvl w:val="1"/>
          <w:numId w:val="8"/>
        </w:numPr>
        <w:tabs>
          <w:tab w:val="left" w:pos="1080"/>
          <w:tab w:val="left" w:pos="2014"/>
        </w:tabs>
        <w:snapToGrid w:val="0"/>
        <w:spacing w:line="360" w:lineRule="auto"/>
        <w:ind w:left="1077" w:hanging="720"/>
        <w:rPr>
          <w:sz w:val="24"/>
        </w:rPr>
      </w:pPr>
      <w:r>
        <w:rPr>
          <w:sz w:val="24"/>
        </w:rPr>
        <w:t>供应商对响应文件的补充、修改的内容应当按照竞争性磋商文件要求签署、盖章，作为响应文件的组成部分。补充、修改的内容与响应文件不一致的，以补充、修改的内容为准。</w:t>
      </w:r>
    </w:p>
    <w:p w14:paraId="5AD4220B">
      <w:pPr>
        <w:numPr>
          <w:ilvl w:val="1"/>
          <w:numId w:val="8"/>
        </w:numPr>
        <w:tabs>
          <w:tab w:val="left" w:pos="1080"/>
          <w:tab w:val="left" w:pos="2014"/>
        </w:tabs>
        <w:snapToGrid w:val="0"/>
        <w:spacing w:line="360" w:lineRule="auto"/>
        <w:ind w:left="1077" w:hanging="720"/>
        <w:rPr>
          <w:sz w:val="24"/>
        </w:rPr>
      </w:pPr>
      <w:r>
        <w:rPr>
          <w:rFonts w:hint="eastAsia"/>
          <w:sz w:val="24"/>
        </w:rPr>
        <w:t>采购人、采购代理机构将拒绝并原封退回在本须知规定的《响应文件》送达截止日期和时间后收到的任何《响应文件》</w:t>
      </w:r>
      <w:r>
        <w:rPr>
          <w:kern w:val="0"/>
          <w:sz w:val="24"/>
        </w:rPr>
        <w:t>。</w:t>
      </w:r>
    </w:p>
    <w:p w14:paraId="739F930E">
      <w:pPr>
        <w:tabs>
          <w:tab w:val="left" w:pos="900"/>
          <w:tab w:val="left" w:pos="1080"/>
          <w:tab w:val="left" w:pos="1589"/>
        </w:tabs>
        <w:snapToGrid w:val="0"/>
        <w:spacing w:line="360" w:lineRule="auto"/>
        <w:ind w:left="357"/>
        <w:rPr>
          <w:sz w:val="24"/>
        </w:rPr>
      </w:pPr>
    </w:p>
    <w:p w14:paraId="2B471E70">
      <w:pPr>
        <w:pStyle w:val="3"/>
        <w:spacing w:before="0" w:line="360" w:lineRule="auto"/>
        <w:rPr>
          <w:rFonts w:ascii="Times New Roman" w:hAnsi="Times New Roman" w:eastAsia="宋体"/>
          <w:sz w:val="28"/>
        </w:rPr>
      </w:pPr>
      <w:bookmarkStart w:id="439" w:name="_Toc520356163"/>
      <w:bookmarkStart w:id="440" w:name="_Toc264969228"/>
      <w:bookmarkStart w:id="441" w:name="_Toc151193780"/>
      <w:bookmarkStart w:id="442" w:name="_Toc150509289"/>
      <w:bookmarkStart w:id="443" w:name="_Toc151190165"/>
      <w:bookmarkStart w:id="444" w:name="_Toc305158806"/>
      <w:bookmarkStart w:id="445" w:name="_Toc305158880"/>
      <w:bookmarkStart w:id="446" w:name="_Toc226309782"/>
      <w:bookmarkStart w:id="447" w:name="_Toc151193852"/>
      <w:bookmarkStart w:id="448" w:name="_Toc151193926"/>
      <w:bookmarkStart w:id="449" w:name="_Toc151193708"/>
      <w:bookmarkStart w:id="450" w:name="_Toc150774638"/>
      <w:bookmarkStart w:id="451" w:name="_Toc142311040"/>
      <w:bookmarkStart w:id="452" w:name="_Toc150774743"/>
      <w:bookmarkStart w:id="453" w:name="_Toc226337234"/>
      <w:bookmarkStart w:id="454" w:name="_Toc226965811"/>
      <w:bookmarkStart w:id="455" w:name="_Toc226965728"/>
      <w:bookmarkStart w:id="456" w:name="_Toc265228376"/>
      <w:bookmarkStart w:id="457" w:name="_Toc195842903"/>
      <w:bookmarkStart w:id="458" w:name="_Toc127151538"/>
      <w:bookmarkStart w:id="459" w:name="_Toc150480776"/>
      <w:bookmarkStart w:id="460" w:name="_Toc151193636"/>
      <w:r>
        <w:rPr>
          <w:rFonts w:ascii="Times New Roman" w:hAnsi="Times New Roman" w:eastAsia="宋体"/>
          <w:sz w:val="28"/>
        </w:rPr>
        <w:t xml:space="preserve">五   </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rPr>
          <w:rFonts w:ascii="Times New Roman" w:hAnsi="Times New Roman" w:eastAsia="宋体"/>
          <w:sz w:val="28"/>
        </w:rPr>
        <w:t>评审</w:t>
      </w:r>
    </w:p>
    <w:p w14:paraId="1DFA39A6">
      <w:pPr>
        <w:numPr>
          <w:ilvl w:val="0"/>
          <w:numId w:val="8"/>
        </w:numPr>
        <w:tabs>
          <w:tab w:val="left" w:pos="360"/>
        </w:tabs>
        <w:snapToGrid w:val="0"/>
        <w:spacing w:line="360" w:lineRule="auto"/>
        <w:ind w:left="357" w:hanging="357"/>
        <w:outlineLvl w:val="1"/>
        <w:rPr>
          <w:sz w:val="24"/>
        </w:rPr>
      </w:pPr>
      <w:r>
        <w:rPr>
          <w:sz w:val="24"/>
        </w:rPr>
        <w:t>响应文件的解密与开启</w:t>
      </w:r>
    </w:p>
    <w:p w14:paraId="55056BB3">
      <w:pPr>
        <w:numPr>
          <w:ilvl w:val="1"/>
          <w:numId w:val="8"/>
        </w:numPr>
        <w:tabs>
          <w:tab w:val="left" w:pos="1080"/>
          <w:tab w:val="left" w:pos="2014"/>
        </w:tabs>
        <w:snapToGrid w:val="0"/>
        <w:spacing w:line="360" w:lineRule="auto"/>
        <w:ind w:left="1077" w:hanging="720"/>
        <w:rPr>
          <w:sz w:val="24"/>
        </w:rPr>
      </w:pPr>
      <w:r>
        <w:rPr>
          <w:sz w:val="24"/>
        </w:rPr>
        <w:t>采购人或采购代理机构将按竞争性磋商文件的规定，在响应文件提交截止时间的同一时间和竞争性磋商文件预先确定的地点开启响应文件。</w:t>
      </w:r>
    </w:p>
    <w:p w14:paraId="12C92AA1">
      <w:pPr>
        <w:numPr>
          <w:ilvl w:val="1"/>
          <w:numId w:val="8"/>
        </w:numPr>
        <w:tabs>
          <w:tab w:val="left" w:pos="1080"/>
          <w:tab w:val="left" w:pos="2014"/>
        </w:tabs>
        <w:snapToGrid w:val="0"/>
        <w:spacing w:line="360" w:lineRule="auto"/>
        <w:ind w:left="1077" w:hanging="720"/>
        <w:rPr>
          <w:sz w:val="24"/>
        </w:rPr>
      </w:pPr>
      <w:r>
        <w:rPr>
          <w:sz w:val="24"/>
        </w:rPr>
        <w:t>供应商认为采购人员及相关人员与其他供应商有利害关系的，可以向采购人或采购代理机构书面提出回避申请，并说明理由。采购人或采购代理机构将及时询问被申请回避人员，有利害关系的被申请回避人员将回避。</w:t>
      </w:r>
    </w:p>
    <w:p w14:paraId="3AF1D8A9">
      <w:pPr>
        <w:numPr>
          <w:ilvl w:val="1"/>
          <w:numId w:val="8"/>
        </w:numPr>
        <w:tabs>
          <w:tab w:val="left" w:pos="1080"/>
          <w:tab w:val="left" w:pos="2014"/>
        </w:tabs>
        <w:snapToGrid w:val="0"/>
        <w:spacing w:line="360" w:lineRule="auto"/>
        <w:ind w:left="1077" w:hanging="720"/>
        <w:rPr>
          <w:sz w:val="24"/>
        </w:rPr>
      </w:pPr>
      <w:r>
        <w:rPr>
          <w:sz w:val="24"/>
        </w:rPr>
        <w:t>供应商不足3家的，不予</w:t>
      </w:r>
      <w:r>
        <w:rPr>
          <w:rFonts w:hint="eastAsia"/>
          <w:sz w:val="24"/>
        </w:rPr>
        <w:t>开标</w:t>
      </w:r>
      <w:r>
        <w:rPr>
          <w:sz w:val="24"/>
        </w:rPr>
        <w:t>。</w:t>
      </w:r>
    </w:p>
    <w:p w14:paraId="46E603AB">
      <w:pPr>
        <w:numPr>
          <w:ilvl w:val="1"/>
          <w:numId w:val="8"/>
        </w:numPr>
        <w:tabs>
          <w:tab w:val="left" w:pos="1080"/>
          <w:tab w:val="left" w:pos="2014"/>
        </w:tabs>
        <w:snapToGrid w:val="0"/>
        <w:spacing w:line="360" w:lineRule="auto"/>
        <w:ind w:left="1077" w:hanging="720"/>
        <w:rPr>
          <w:sz w:val="24"/>
        </w:rPr>
      </w:pPr>
      <w:bookmarkStart w:id="461" w:name="_Toc520356165"/>
      <w:r>
        <w:rPr>
          <w:sz w:val="24"/>
        </w:rPr>
        <w:t>本项目不公开报价。</w:t>
      </w:r>
    </w:p>
    <w:bookmarkEnd w:id="461"/>
    <w:p w14:paraId="223A0F0B">
      <w:pPr>
        <w:numPr>
          <w:ilvl w:val="0"/>
          <w:numId w:val="8"/>
        </w:numPr>
        <w:tabs>
          <w:tab w:val="left" w:pos="360"/>
        </w:tabs>
        <w:snapToGrid w:val="0"/>
        <w:spacing w:line="360" w:lineRule="auto"/>
        <w:ind w:left="357" w:hanging="357"/>
        <w:outlineLvl w:val="1"/>
        <w:rPr>
          <w:sz w:val="24"/>
        </w:rPr>
      </w:pPr>
      <w:r>
        <w:rPr>
          <w:sz w:val="24"/>
        </w:rPr>
        <w:t>磋商小组</w:t>
      </w:r>
    </w:p>
    <w:p w14:paraId="7143EA49">
      <w:pPr>
        <w:numPr>
          <w:ilvl w:val="1"/>
          <w:numId w:val="8"/>
        </w:numPr>
        <w:tabs>
          <w:tab w:val="left" w:pos="1080"/>
          <w:tab w:val="left" w:pos="2014"/>
        </w:tabs>
        <w:snapToGrid w:val="0"/>
        <w:spacing w:line="360" w:lineRule="auto"/>
        <w:ind w:left="1077" w:hanging="720"/>
        <w:rPr>
          <w:sz w:val="24"/>
        </w:rPr>
      </w:pPr>
      <w:r>
        <w:rPr>
          <w:sz w:val="24"/>
        </w:rPr>
        <w:t>磋商小组根据政府采购有关规定和本次采购项目的特点进行组建，并负责具体评审</w:t>
      </w:r>
      <w:r>
        <w:rPr>
          <w:rFonts w:hint="eastAsia"/>
          <w:sz w:val="24"/>
        </w:rPr>
        <w:t>与磋商</w:t>
      </w:r>
      <w:r>
        <w:rPr>
          <w:sz w:val="24"/>
        </w:rPr>
        <w:t>事务，独立履行职责。</w:t>
      </w:r>
      <w:bookmarkStart w:id="462" w:name="_Toc520356166"/>
    </w:p>
    <w:p w14:paraId="45FD143C">
      <w:pPr>
        <w:numPr>
          <w:ilvl w:val="1"/>
          <w:numId w:val="8"/>
        </w:numPr>
        <w:tabs>
          <w:tab w:val="left" w:pos="1080"/>
          <w:tab w:val="left" w:pos="2014"/>
        </w:tabs>
        <w:snapToGrid w:val="0"/>
        <w:spacing w:line="360" w:lineRule="auto"/>
        <w:ind w:left="1077" w:hanging="720"/>
        <w:rPr>
          <w:sz w:val="24"/>
        </w:rPr>
      </w:pPr>
      <w:r>
        <w:rPr>
          <w:sz w:val="24"/>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462"/>
      <w:bookmarkStart w:id="463" w:name="_Toc520356169"/>
    </w:p>
    <w:p w14:paraId="5E0CE9BA">
      <w:pPr>
        <w:numPr>
          <w:ilvl w:val="1"/>
          <w:numId w:val="8"/>
        </w:numPr>
        <w:tabs>
          <w:tab w:val="left" w:pos="1080"/>
          <w:tab w:val="left" w:pos="2014"/>
        </w:tabs>
        <w:snapToGrid w:val="0"/>
        <w:spacing w:line="360" w:lineRule="auto"/>
        <w:ind w:left="1077" w:hanging="720"/>
        <w:rPr>
          <w:sz w:val="24"/>
        </w:rPr>
      </w:pPr>
      <w:r>
        <w:rPr>
          <w:rFonts w:hint="eastAsia"/>
          <w:sz w:val="24"/>
        </w:rPr>
        <w:t>磋商小组的职责</w:t>
      </w:r>
    </w:p>
    <w:p w14:paraId="54386EB2">
      <w:pPr>
        <w:numPr>
          <w:ilvl w:val="2"/>
          <w:numId w:val="8"/>
        </w:numPr>
        <w:tabs>
          <w:tab w:val="left" w:pos="1080"/>
          <w:tab w:val="left" w:pos="2014"/>
          <w:tab w:val="clear" w:pos="1980"/>
        </w:tabs>
        <w:snapToGrid w:val="0"/>
        <w:spacing w:line="360" w:lineRule="auto"/>
        <w:rPr>
          <w:sz w:val="24"/>
        </w:rPr>
      </w:pPr>
      <w:r>
        <w:rPr>
          <w:rFonts w:hint="eastAsia"/>
          <w:sz w:val="24"/>
        </w:rPr>
        <w:t>审查响应文件是否符合磋商文件要求，并做出评价；</w:t>
      </w:r>
    </w:p>
    <w:p w14:paraId="364C6150">
      <w:pPr>
        <w:numPr>
          <w:ilvl w:val="2"/>
          <w:numId w:val="8"/>
        </w:numPr>
        <w:tabs>
          <w:tab w:val="left" w:pos="1080"/>
          <w:tab w:val="left" w:pos="2014"/>
          <w:tab w:val="clear" w:pos="1980"/>
        </w:tabs>
        <w:snapToGrid w:val="0"/>
        <w:spacing w:line="360" w:lineRule="auto"/>
        <w:rPr>
          <w:sz w:val="24"/>
        </w:rPr>
      </w:pPr>
      <w:r>
        <w:rPr>
          <w:rFonts w:hint="eastAsia"/>
          <w:sz w:val="24"/>
        </w:rPr>
        <w:t>根据需要，要求响应人对响应文件有关事项做出解释或者澄清；</w:t>
      </w:r>
    </w:p>
    <w:p w14:paraId="1AC35C3F">
      <w:pPr>
        <w:numPr>
          <w:ilvl w:val="2"/>
          <w:numId w:val="8"/>
        </w:numPr>
        <w:tabs>
          <w:tab w:val="left" w:pos="1080"/>
          <w:tab w:val="left" w:pos="2014"/>
          <w:tab w:val="clear" w:pos="1980"/>
        </w:tabs>
        <w:snapToGrid w:val="0"/>
        <w:spacing w:line="360" w:lineRule="auto"/>
        <w:rPr>
          <w:sz w:val="24"/>
        </w:rPr>
      </w:pPr>
      <w:r>
        <w:rPr>
          <w:rFonts w:hint="eastAsia"/>
          <w:sz w:val="24"/>
        </w:rPr>
        <w:t>推荐成交候选供应商名单。</w:t>
      </w:r>
    </w:p>
    <w:p w14:paraId="2C435DD3">
      <w:pPr>
        <w:numPr>
          <w:ilvl w:val="0"/>
          <w:numId w:val="8"/>
        </w:numPr>
        <w:tabs>
          <w:tab w:val="left" w:pos="360"/>
        </w:tabs>
        <w:snapToGrid w:val="0"/>
        <w:spacing w:line="360" w:lineRule="auto"/>
        <w:outlineLvl w:val="1"/>
        <w:rPr>
          <w:sz w:val="24"/>
        </w:rPr>
      </w:pPr>
      <w:r>
        <w:rPr>
          <w:sz w:val="24"/>
        </w:rPr>
        <w:t>评审方法和评审标准</w:t>
      </w:r>
    </w:p>
    <w:p w14:paraId="66A268F6">
      <w:pPr>
        <w:numPr>
          <w:ilvl w:val="1"/>
          <w:numId w:val="8"/>
        </w:numPr>
        <w:tabs>
          <w:tab w:val="left" w:pos="1080"/>
          <w:tab w:val="left" w:pos="2014"/>
        </w:tabs>
        <w:snapToGrid w:val="0"/>
        <w:spacing w:line="360" w:lineRule="auto"/>
        <w:ind w:left="1077" w:hanging="720"/>
        <w:rPr>
          <w:sz w:val="24"/>
        </w:rPr>
      </w:pPr>
      <w:r>
        <w:rPr>
          <w:sz w:val="24"/>
        </w:rPr>
        <w:t>见第三章《评审方法和评审标准》。</w:t>
      </w:r>
    </w:p>
    <w:p w14:paraId="52E82825">
      <w:pPr>
        <w:tabs>
          <w:tab w:val="left" w:pos="360"/>
          <w:tab w:val="left" w:pos="1080"/>
        </w:tabs>
        <w:snapToGrid w:val="0"/>
        <w:spacing w:line="360" w:lineRule="auto"/>
        <w:ind w:left="1080"/>
        <w:rPr>
          <w:sz w:val="24"/>
        </w:rPr>
      </w:pPr>
    </w:p>
    <w:p w14:paraId="1D2E9DFF">
      <w:pPr>
        <w:pStyle w:val="3"/>
        <w:spacing w:before="0" w:line="360" w:lineRule="auto"/>
        <w:rPr>
          <w:rFonts w:ascii="Times New Roman" w:hAnsi="Times New Roman" w:eastAsia="宋体"/>
          <w:sz w:val="28"/>
        </w:rPr>
      </w:pPr>
      <w:bookmarkStart w:id="464" w:name="_Toc151193787"/>
      <w:bookmarkStart w:id="465" w:name="_Toc226337241"/>
      <w:bookmarkStart w:id="466" w:name="_Toc127151545"/>
      <w:bookmarkStart w:id="467" w:name="_Toc142311047"/>
      <w:bookmarkStart w:id="468" w:name="_Toc226965818"/>
      <w:bookmarkStart w:id="469" w:name="_Toc195842910"/>
      <w:bookmarkStart w:id="470" w:name="_Toc151190172"/>
      <w:bookmarkStart w:id="471" w:name="_Toc265228383"/>
      <w:bookmarkStart w:id="472" w:name="_Toc226965735"/>
      <w:bookmarkStart w:id="473" w:name="_Toc305158813"/>
      <w:bookmarkStart w:id="474" w:name="_Toc151193643"/>
      <w:bookmarkStart w:id="475" w:name="_Toc150774750"/>
      <w:bookmarkStart w:id="476" w:name="_Toc151193933"/>
      <w:bookmarkStart w:id="477" w:name="_Toc151193715"/>
      <w:bookmarkStart w:id="478" w:name="_Toc264969235"/>
      <w:bookmarkStart w:id="479" w:name="_Toc150480783"/>
      <w:bookmarkStart w:id="480" w:name="_Toc226309789"/>
      <w:bookmarkStart w:id="481" w:name="_Toc150509296"/>
      <w:bookmarkStart w:id="482" w:name="_Toc150774645"/>
      <w:bookmarkStart w:id="483" w:name="_Toc305158887"/>
      <w:bookmarkStart w:id="484" w:name="_Toc151193859"/>
      <w:r>
        <w:rPr>
          <w:rFonts w:ascii="Times New Roman" w:hAnsi="Times New Roman" w:eastAsia="宋体"/>
          <w:sz w:val="28"/>
        </w:rPr>
        <w:t xml:space="preserve">六   </w:t>
      </w:r>
      <w:bookmarkEnd w:id="463"/>
      <w:r>
        <w:rPr>
          <w:rFonts w:ascii="Times New Roman" w:hAnsi="Times New Roman" w:eastAsia="宋体"/>
          <w:sz w:val="28"/>
        </w:rPr>
        <w:t>确定</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Pr>
          <w:rFonts w:ascii="Times New Roman" w:hAnsi="Times New Roman" w:eastAsia="宋体"/>
          <w:sz w:val="28"/>
        </w:rPr>
        <w:t>成交</w:t>
      </w:r>
    </w:p>
    <w:p w14:paraId="51BDB94D">
      <w:pPr>
        <w:numPr>
          <w:ilvl w:val="0"/>
          <w:numId w:val="8"/>
        </w:numPr>
        <w:tabs>
          <w:tab w:val="left" w:pos="360"/>
        </w:tabs>
        <w:snapToGrid w:val="0"/>
        <w:spacing w:line="360" w:lineRule="auto"/>
        <w:ind w:left="357" w:hanging="357"/>
        <w:outlineLvl w:val="1"/>
        <w:rPr>
          <w:sz w:val="24"/>
        </w:rPr>
      </w:pPr>
      <w:bookmarkStart w:id="485" w:name="_Toc226309791"/>
      <w:bookmarkStart w:id="486" w:name="_Toc164229242"/>
      <w:bookmarkStart w:id="487" w:name="_Toc164608816"/>
      <w:bookmarkStart w:id="488" w:name="_Toc150509298"/>
      <w:bookmarkStart w:id="489" w:name="_Toc305158889"/>
      <w:bookmarkStart w:id="490" w:name="_Toc226965737"/>
      <w:bookmarkStart w:id="491" w:name="_Toc265228385"/>
      <w:bookmarkStart w:id="492" w:name="_Toc151193935"/>
      <w:bookmarkStart w:id="493" w:name="_Toc142311049"/>
      <w:bookmarkStart w:id="494" w:name="_Toc127151748"/>
      <w:bookmarkStart w:id="495" w:name="_Toc151193645"/>
      <w:bookmarkStart w:id="496" w:name="_Toc226337243"/>
      <w:bookmarkStart w:id="497" w:name="_Toc150480785"/>
      <w:bookmarkStart w:id="498" w:name="_Toc127151547"/>
      <w:bookmarkStart w:id="499" w:name="_Toc150774647"/>
      <w:bookmarkStart w:id="500" w:name="_Toc149720840"/>
      <w:bookmarkStart w:id="501" w:name="_Toc226965820"/>
      <w:bookmarkStart w:id="502" w:name="_Toc164351641"/>
      <w:bookmarkStart w:id="503" w:name="_Toc127161461"/>
      <w:bookmarkStart w:id="504" w:name="_Toc151193861"/>
      <w:bookmarkStart w:id="505" w:name="_Toc305158815"/>
      <w:bookmarkStart w:id="506" w:name="_Toc151193789"/>
      <w:bookmarkStart w:id="507" w:name="_Toc164229388"/>
      <w:bookmarkStart w:id="508" w:name="_Toc164608661"/>
      <w:bookmarkStart w:id="509" w:name="_Toc264969237"/>
      <w:bookmarkStart w:id="510" w:name="_Toc195842912"/>
      <w:bookmarkStart w:id="511" w:name="_Toc150774752"/>
      <w:bookmarkStart w:id="512" w:name="_Toc151190174"/>
      <w:bookmarkStart w:id="513" w:name="_Toc151193717"/>
      <w:r>
        <w:rPr>
          <w:sz w:val="24"/>
        </w:rPr>
        <w:t>确定成交供应商</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2A43B9CE">
      <w:pPr>
        <w:numPr>
          <w:ilvl w:val="1"/>
          <w:numId w:val="8"/>
        </w:numPr>
        <w:tabs>
          <w:tab w:val="left" w:pos="1080"/>
          <w:tab w:val="left" w:pos="2014"/>
        </w:tabs>
        <w:snapToGrid w:val="0"/>
        <w:spacing w:line="360" w:lineRule="auto"/>
        <w:ind w:left="1077" w:hanging="720"/>
        <w:rPr>
          <w:sz w:val="24"/>
        </w:rPr>
      </w:pPr>
      <w:r>
        <w:rPr>
          <w:sz w:val="24"/>
        </w:rPr>
        <w:t>采购人将在收到评审报告后，从评审报告提出的成交候选供应商中，按照排序由高到低的原则确定成交供应商。采购人是否授权磋商小组直接确定成交供应商，见《供应商须知资料表》。成交候选人并列的，按照《供应商须知资料表》要求确定成交供应商。</w:t>
      </w:r>
    </w:p>
    <w:p w14:paraId="367D1958">
      <w:pPr>
        <w:numPr>
          <w:ilvl w:val="0"/>
          <w:numId w:val="8"/>
        </w:numPr>
        <w:tabs>
          <w:tab w:val="left" w:pos="360"/>
        </w:tabs>
        <w:snapToGrid w:val="0"/>
        <w:spacing w:line="360" w:lineRule="auto"/>
        <w:ind w:left="357" w:hanging="357"/>
        <w:outlineLvl w:val="1"/>
        <w:rPr>
          <w:sz w:val="24"/>
        </w:rPr>
      </w:pPr>
      <w:bookmarkStart w:id="514" w:name="_Toc305158817"/>
      <w:bookmarkStart w:id="515" w:name="_Toc305158891"/>
      <w:bookmarkStart w:id="516" w:name="_Toc195842914"/>
      <w:bookmarkStart w:id="517" w:name="_Toc127151750"/>
      <w:bookmarkStart w:id="518" w:name="_Toc164229390"/>
      <w:bookmarkStart w:id="519" w:name="_Toc164608818"/>
      <w:bookmarkStart w:id="520" w:name="_Toc164608663"/>
      <w:bookmarkStart w:id="521" w:name="_Toc226965739"/>
      <w:bookmarkStart w:id="522" w:name="_Toc151193791"/>
      <w:bookmarkStart w:id="523" w:name="_Toc127161463"/>
      <w:bookmarkStart w:id="524" w:name="_Toc151193937"/>
      <w:bookmarkStart w:id="525" w:name="_Toc151190176"/>
      <w:bookmarkStart w:id="526" w:name="_Toc151193647"/>
      <w:bookmarkStart w:id="527" w:name="_Toc127151549"/>
      <w:bookmarkStart w:id="528" w:name="_Toc164229244"/>
      <w:bookmarkStart w:id="529" w:name="_Toc264969239"/>
      <w:bookmarkStart w:id="530" w:name="_Toc142311051"/>
      <w:bookmarkStart w:id="531" w:name="_Toc226309793"/>
      <w:bookmarkStart w:id="532" w:name="_Toc226965822"/>
      <w:bookmarkStart w:id="533" w:name="_Toc151193863"/>
      <w:bookmarkStart w:id="534" w:name="_Toc150509300"/>
      <w:bookmarkStart w:id="535" w:name="_Toc150774754"/>
      <w:bookmarkStart w:id="536" w:name="_Toc265228387"/>
      <w:bookmarkStart w:id="537" w:name="_Toc150774649"/>
      <w:bookmarkStart w:id="538" w:name="_Toc151193719"/>
      <w:bookmarkStart w:id="539" w:name="_Toc149720842"/>
      <w:bookmarkStart w:id="540" w:name="_Toc164351643"/>
      <w:bookmarkStart w:id="541" w:name="_Toc226337245"/>
      <w:bookmarkStart w:id="542" w:name="_Toc150480787"/>
      <w:bookmarkStart w:id="543" w:name="_Toc520356176"/>
      <w:bookmarkStart w:id="544" w:name="_Ref467307090"/>
      <w:bookmarkStart w:id="545" w:name="_Ref467306425"/>
      <w:r>
        <w:rPr>
          <w:sz w:val="24"/>
        </w:rPr>
        <w:t>成交公告与成交通知书</w:t>
      </w:r>
      <w:bookmarkEnd w:id="514"/>
      <w:bookmarkEnd w:id="515"/>
    </w:p>
    <w:p w14:paraId="13FE7321">
      <w:pPr>
        <w:numPr>
          <w:ilvl w:val="1"/>
          <w:numId w:val="8"/>
        </w:numPr>
        <w:tabs>
          <w:tab w:val="left" w:pos="1080"/>
          <w:tab w:val="left" w:pos="2014"/>
        </w:tabs>
        <w:snapToGrid w:val="0"/>
        <w:spacing w:line="360" w:lineRule="auto"/>
        <w:ind w:left="1077" w:hanging="720"/>
        <w:rPr>
          <w:sz w:val="24"/>
        </w:rPr>
      </w:pPr>
      <w:r>
        <w:rPr>
          <w:sz w:val="24"/>
        </w:rPr>
        <w:t>采购人或采购代理机构将</w:t>
      </w:r>
      <w:r>
        <w:rPr>
          <w:kern w:val="0"/>
          <w:sz w:val="24"/>
        </w:rPr>
        <w:t>在成交供应商确定后2个工作日内，公告成交结果，同时向成交供应商发出成交通知书，</w:t>
      </w:r>
      <w:r>
        <w:rPr>
          <w:sz w:val="24"/>
        </w:rPr>
        <w:t>成交公告期限为1个工作日。</w:t>
      </w:r>
    </w:p>
    <w:p w14:paraId="18B38DDB">
      <w:pPr>
        <w:numPr>
          <w:ilvl w:val="1"/>
          <w:numId w:val="8"/>
        </w:numPr>
        <w:tabs>
          <w:tab w:val="left" w:pos="1080"/>
          <w:tab w:val="left" w:pos="2014"/>
        </w:tabs>
        <w:snapToGrid w:val="0"/>
        <w:spacing w:line="360" w:lineRule="auto"/>
        <w:ind w:left="1080" w:hanging="720"/>
        <w:rPr>
          <w:sz w:val="24"/>
        </w:rPr>
      </w:pPr>
      <w:r>
        <w:rPr>
          <w:sz w:val="24"/>
        </w:rPr>
        <w:t>成交通知书对采购人和成交供应商均具有法律效力。成交通知书发出后，采购人改变成交结果的，或者成交供应商放弃成交项目的，应当依法承担法律责任。</w:t>
      </w:r>
    </w:p>
    <w:p w14:paraId="36F4B5E4">
      <w:pPr>
        <w:numPr>
          <w:ilvl w:val="0"/>
          <w:numId w:val="8"/>
        </w:numPr>
        <w:tabs>
          <w:tab w:val="left" w:pos="360"/>
        </w:tabs>
        <w:snapToGrid w:val="0"/>
        <w:spacing w:line="360" w:lineRule="auto"/>
        <w:ind w:left="357" w:hanging="357"/>
        <w:outlineLvl w:val="1"/>
        <w:rPr>
          <w:sz w:val="24"/>
        </w:rPr>
      </w:pPr>
      <w:r>
        <w:rPr>
          <w:sz w:val="24"/>
        </w:rPr>
        <w:t>终止</w:t>
      </w:r>
    </w:p>
    <w:p w14:paraId="2C2A82E8">
      <w:pPr>
        <w:numPr>
          <w:ilvl w:val="1"/>
          <w:numId w:val="8"/>
        </w:numPr>
        <w:tabs>
          <w:tab w:val="left" w:pos="1080"/>
          <w:tab w:val="left" w:pos="2014"/>
        </w:tabs>
        <w:snapToGrid w:val="0"/>
        <w:spacing w:line="360" w:lineRule="auto"/>
        <w:ind w:left="1077" w:hanging="720"/>
        <w:rPr>
          <w:sz w:val="24"/>
        </w:rPr>
      </w:pPr>
      <w:r>
        <w:rPr>
          <w:sz w:val="24"/>
        </w:rPr>
        <w:t>出现下列情形之一的，采购人或采购代理机构将终止竞争性磋商采购活动，发布项目终止公告并说明原因，重新开展采购活动：</w:t>
      </w:r>
    </w:p>
    <w:p w14:paraId="14F1C759">
      <w:pPr>
        <w:numPr>
          <w:ilvl w:val="2"/>
          <w:numId w:val="8"/>
        </w:numPr>
        <w:snapToGrid w:val="0"/>
        <w:spacing w:line="360" w:lineRule="auto"/>
        <w:rPr>
          <w:sz w:val="24"/>
        </w:rPr>
      </w:pPr>
      <w:r>
        <w:rPr>
          <w:sz w:val="24"/>
        </w:rPr>
        <w:t>因情况变化，不再符合规定的竞争性磋商采购方式适用情形的；</w:t>
      </w:r>
    </w:p>
    <w:p w14:paraId="0810C65D">
      <w:pPr>
        <w:numPr>
          <w:ilvl w:val="2"/>
          <w:numId w:val="8"/>
        </w:numPr>
        <w:snapToGrid w:val="0"/>
        <w:spacing w:line="360" w:lineRule="auto"/>
        <w:rPr>
          <w:sz w:val="24"/>
        </w:rPr>
      </w:pPr>
      <w:r>
        <w:rPr>
          <w:sz w:val="24"/>
        </w:rPr>
        <w:t>出现影响采购公正的违法、违规行为的；</w:t>
      </w:r>
    </w:p>
    <w:p w14:paraId="41C32C78">
      <w:pPr>
        <w:numPr>
          <w:ilvl w:val="2"/>
          <w:numId w:val="8"/>
        </w:numPr>
        <w:snapToGrid w:val="0"/>
        <w:spacing w:line="360" w:lineRule="auto"/>
        <w:rPr>
          <w:sz w:val="24"/>
        </w:rPr>
      </w:pPr>
      <w:r>
        <w:rPr>
          <w:snapToGrid w:val="0"/>
          <w:kern w:val="0"/>
          <w:sz w:val="24"/>
          <w:szCs w:val="20"/>
        </w:rPr>
        <w:t>除了“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的情形外，在采购过程中符合要求的供应商或者报价未超过采购预算的供应商不足3家的。</w:t>
      </w:r>
    </w:p>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14:paraId="31B43391">
      <w:pPr>
        <w:numPr>
          <w:ilvl w:val="0"/>
          <w:numId w:val="8"/>
        </w:numPr>
        <w:tabs>
          <w:tab w:val="left" w:pos="360"/>
        </w:tabs>
        <w:snapToGrid w:val="0"/>
        <w:spacing w:line="360" w:lineRule="auto"/>
        <w:ind w:left="357" w:hanging="357"/>
        <w:outlineLvl w:val="1"/>
        <w:rPr>
          <w:sz w:val="24"/>
        </w:rPr>
      </w:pPr>
      <w:bookmarkStart w:id="546" w:name="_Toc151193720"/>
      <w:bookmarkStart w:id="547" w:name="_Toc151193648"/>
      <w:bookmarkStart w:id="548" w:name="_Toc127161464"/>
      <w:bookmarkStart w:id="549" w:name="_Toc520356175"/>
      <w:bookmarkStart w:id="550" w:name="_Toc164608664"/>
      <w:bookmarkStart w:id="551" w:name="_Toc151193938"/>
      <w:bookmarkStart w:id="552" w:name="_Toc150480788"/>
      <w:bookmarkStart w:id="553" w:name="_Toc226337246"/>
      <w:bookmarkStart w:id="554" w:name="_Toc151193792"/>
      <w:bookmarkStart w:id="555" w:name="_Toc164351644"/>
      <w:bookmarkStart w:id="556" w:name="_Toc226965740"/>
      <w:bookmarkStart w:id="557" w:name="_Toc164229391"/>
      <w:bookmarkStart w:id="558" w:name="_Toc150774650"/>
      <w:bookmarkStart w:id="559" w:name="_Toc164608819"/>
      <w:bookmarkStart w:id="560" w:name="_Ref467307204"/>
      <w:bookmarkStart w:id="561" w:name="_Toc305158818"/>
      <w:bookmarkStart w:id="562" w:name="_Toc151190177"/>
      <w:bookmarkStart w:id="563" w:name="_Toc127151751"/>
      <w:bookmarkStart w:id="564" w:name="_Ref467306978"/>
      <w:bookmarkStart w:id="565" w:name="_Toc151193864"/>
      <w:bookmarkStart w:id="566" w:name="_Toc305158892"/>
      <w:bookmarkStart w:id="567" w:name="_Toc127151550"/>
      <w:bookmarkStart w:id="568" w:name="_Toc149720843"/>
      <w:bookmarkStart w:id="569" w:name="_Toc150774755"/>
      <w:bookmarkStart w:id="570" w:name="_Toc265228388"/>
      <w:bookmarkStart w:id="571" w:name="_Toc264969240"/>
      <w:bookmarkStart w:id="572" w:name="_Ref467307062"/>
      <w:bookmarkStart w:id="573" w:name="_Toc226309794"/>
      <w:bookmarkStart w:id="574" w:name="_Toc226965823"/>
      <w:bookmarkStart w:id="575" w:name="_Ref467306377"/>
      <w:bookmarkStart w:id="576" w:name="_Toc164229245"/>
      <w:bookmarkStart w:id="577" w:name="_Toc142311052"/>
      <w:bookmarkStart w:id="578" w:name="_Toc195842915"/>
      <w:bookmarkStart w:id="579" w:name="_Toc150509301"/>
      <w:r>
        <w:rPr>
          <w:sz w:val="24"/>
        </w:rPr>
        <w:t>签订合同</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749E52D8">
      <w:pPr>
        <w:numPr>
          <w:ilvl w:val="1"/>
          <w:numId w:val="8"/>
        </w:numPr>
        <w:tabs>
          <w:tab w:val="left" w:pos="1080"/>
          <w:tab w:val="left" w:pos="2014"/>
        </w:tabs>
        <w:snapToGrid w:val="0"/>
        <w:spacing w:line="360" w:lineRule="auto"/>
        <w:ind w:left="1077" w:hanging="720"/>
        <w:rPr>
          <w:sz w:val="24"/>
        </w:rPr>
      </w:pPr>
      <w:r>
        <w:rPr>
          <w:sz w:val="24"/>
        </w:rPr>
        <w:t>采购人与成交供应商应当在成交通知书发出之日起30日内，按照磋商文件确定的合同文本以及采购标的、规格型号、采购金额、采购数量、技术和服务要求等事项签订政府采购合同。</w:t>
      </w:r>
    </w:p>
    <w:p w14:paraId="7AE028D0">
      <w:pPr>
        <w:numPr>
          <w:ilvl w:val="1"/>
          <w:numId w:val="8"/>
        </w:numPr>
        <w:tabs>
          <w:tab w:val="left" w:pos="1080"/>
          <w:tab w:val="left" w:pos="2014"/>
        </w:tabs>
        <w:snapToGrid w:val="0"/>
        <w:spacing w:line="360" w:lineRule="auto"/>
        <w:ind w:left="1077" w:hanging="720"/>
        <w:rPr>
          <w:sz w:val="24"/>
        </w:rPr>
      </w:pPr>
      <w:r>
        <w:rPr>
          <w:sz w:val="24"/>
        </w:rPr>
        <w:t>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7B05D607">
      <w:pPr>
        <w:numPr>
          <w:ilvl w:val="1"/>
          <w:numId w:val="8"/>
        </w:numPr>
        <w:tabs>
          <w:tab w:val="left" w:pos="1080"/>
          <w:tab w:val="left" w:pos="2014"/>
        </w:tabs>
        <w:snapToGrid w:val="0"/>
        <w:spacing w:line="360" w:lineRule="auto"/>
        <w:ind w:left="1077" w:hanging="720"/>
        <w:rPr>
          <w:sz w:val="24"/>
        </w:rPr>
      </w:pPr>
      <w:r>
        <w:rPr>
          <w:sz w:val="24"/>
        </w:rPr>
        <w:t>联合体成交的，联合体各方应当共同与采购人签订合同，就采购合同约定的事项向采购人承担连带责任。</w:t>
      </w:r>
    </w:p>
    <w:p w14:paraId="68C9306B">
      <w:pPr>
        <w:numPr>
          <w:ilvl w:val="1"/>
          <w:numId w:val="8"/>
        </w:numPr>
        <w:tabs>
          <w:tab w:val="left" w:pos="1080"/>
          <w:tab w:val="left" w:pos="2014"/>
        </w:tabs>
        <w:snapToGrid w:val="0"/>
        <w:spacing w:line="360" w:lineRule="auto"/>
        <w:ind w:left="1077" w:hanging="720"/>
        <w:rPr>
          <w:sz w:val="24"/>
        </w:rPr>
      </w:pPr>
      <w:r>
        <w:rPr>
          <w:sz w:val="24"/>
        </w:rPr>
        <w:t>政府采购合同不能转包。</w:t>
      </w:r>
    </w:p>
    <w:p w14:paraId="56A5059D">
      <w:pPr>
        <w:numPr>
          <w:ilvl w:val="1"/>
          <w:numId w:val="8"/>
        </w:numPr>
        <w:tabs>
          <w:tab w:val="left" w:pos="1080"/>
          <w:tab w:val="left" w:pos="2014"/>
        </w:tabs>
        <w:snapToGrid w:val="0"/>
        <w:spacing w:line="360" w:lineRule="auto"/>
        <w:ind w:left="1077" w:hanging="720"/>
        <w:rPr>
          <w:sz w:val="24"/>
        </w:rPr>
      </w:pPr>
      <w:r>
        <w:rPr>
          <w:sz w:val="24"/>
        </w:rPr>
        <w:t>采购人允许采用分包方式履行合同的，成交供应商可以依法采取分包方式履行合同。本项目是否允许分包，见《供应商须知资料表》。政府采购合同分包履行的，应当在响应文件中载明分包承担主体，分包承担主体应当具备相应资质条件且不得再次分包，</w:t>
      </w:r>
      <w:r>
        <w:rPr>
          <w:b/>
          <w:sz w:val="24"/>
        </w:rPr>
        <w:t>否则响应无效</w:t>
      </w:r>
      <w:r>
        <w:rPr>
          <w:sz w:val="24"/>
        </w:rPr>
        <w:t>。成交供应商就采购项目和分包项目向采购人负责，分包供应商就分包项目承担责任。</w:t>
      </w:r>
    </w:p>
    <w:p w14:paraId="745A0315">
      <w:pPr>
        <w:numPr>
          <w:ilvl w:val="1"/>
          <w:numId w:val="8"/>
        </w:numPr>
        <w:tabs>
          <w:tab w:val="left" w:pos="1080"/>
          <w:tab w:val="left" w:pos="2014"/>
        </w:tabs>
        <w:snapToGrid w:val="0"/>
        <w:spacing w:line="360" w:lineRule="auto"/>
        <w:ind w:left="1077" w:hanging="720"/>
        <w:rPr>
          <w:sz w:val="24"/>
        </w:rPr>
      </w:pPr>
      <w:r>
        <w:rPr>
          <w:rFonts w:hint="eastAsia" w:ascii="宋体" w:hAnsi="宋体"/>
          <w:sz w:val="24"/>
        </w:rPr>
        <w:t>“政采贷”融资指引：详见</w:t>
      </w:r>
      <w:r>
        <w:rPr>
          <w:sz w:val="24"/>
        </w:rPr>
        <w:t>《</w:t>
      </w:r>
      <w:r>
        <w:rPr>
          <w:rFonts w:hint="eastAsia"/>
          <w:sz w:val="24"/>
        </w:rPr>
        <w:t>供应商</w:t>
      </w:r>
      <w:r>
        <w:rPr>
          <w:sz w:val="24"/>
        </w:rPr>
        <w:t>须知资料表》</w:t>
      </w:r>
      <w:r>
        <w:rPr>
          <w:rFonts w:hint="eastAsia"/>
          <w:sz w:val="24"/>
        </w:rPr>
        <w:t>。</w:t>
      </w:r>
    </w:p>
    <w:bookmarkEnd w:id="543"/>
    <w:bookmarkEnd w:id="544"/>
    <w:bookmarkEnd w:id="545"/>
    <w:p w14:paraId="2BC9DF49">
      <w:pPr>
        <w:numPr>
          <w:ilvl w:val="0"/>
          <w:numId w:val="8"/>
        </w:numPr>
        <w:tabs>
          <w:tab w:val="left" w:pos="360"/>
        </w:tabs>
        <w:snapToGrid w:val="0"/>
        <w:spacing w:line="360" w:lineRule="auto"/>
        <w:ind w:left="357" w:hanging="357"/>
        <w:outlineLvl w:val="1"/>
        <w:rPr>
          <w:sz w:val="24"/>
        </w:rPr>
      </w:pPr>
      <w:r>
        <w:rPr>
          <w:sz w:val="24"/>
        </w:rPr>
        <w:t>询问与质疑</w:t>
      </w:r>
    </w:p>
    <w:p w14:paraId="694042AF">
      <w:pPr>
        <w:numPr>
          <w:ilvl w:val="1"/>
          <w:numId w:val="8"/>
        </w:numPr>
        <w:tabs>
          <w:tab w:val="left" w:pos="1080"/>
          <w:tab w:val="left" w:pos="2014"/>
        </w:tabs>
        <w:snapToGrid w:val="0"/>
        <w:spacing w:line="360" w:lineRule="auto"/>
        <w:ind w:left="1077" w:hanging="720"/>
        <w:rPr>
          <w:sz w:val="24"/>
        </w:rPr>
      </w:pPr>
      <w:r>
        <w:rPr>
          <w:sz w:val="24"/>
        </w:rPr>
        <w:t>询问</w:t>
      </w:r>
    </w:p>
    <w:p w14:paraId="1B055156">
      <w:pPr>
        <w:numPr>
          <w:ilvl w:val="2"/>
          <w:numId w:val="8"/>
        </w:numPr>
        <w:snapToGrid w:val="0"/>
        <w:spacing w:line="360" w:lineRule="auto"/>
        <w:rPr>
          <w:sz w:val="24"/>
        </w:rPr>
      </w:pPr>
      <w:bookmarkStart w:id="580" w:name="_Hlk179293422"/>
      <w:r>
        <w:rPr>
          <w:sz w:val="24"/>
        </w:rPr>
        <w:t>供应商对政府采购活动事项有疑问的，可依法</w:t>
      </w:r>
      <w:r>
        <w:rPr>
          <w:rFonts w:hint="eastAsia"/>
          <w:sz w:val="24"/>
        </w:rPr>
        <w:t>向采购人或采购代理机构</w:t>
      </w:r>
      <w:r>
        <w:rPr>
          <w:sz w:val="24"/>
        </w:rPr>
        <w:t>提出询问，</w:t>
      </w:r>
      <w:r>
        <w:rPr>
          <w:rFonts w:hint="eastAsia"/>
          <w:sz w:val="24"/>
        </w:rPr>
        <w:t>提出形式见</w:t>
      </w:r>
      <w:r>
        <w:rPr>
          <w:sz w:val="24"/>
        </w:rPr>
        <w:t>《</w:t>
      </w:r>
      <w:r>
        <w:rPr>
          <w:rFonts w:hint="eastAsia"/>
          <w:sz w:val="24"/>
        </w:rPr>
        <w:t>供应商</w:t>
      </w:r>
      <w:r>
        <w:rPr>
          <w:sz w:val="24"/>
        </w:rPr>
        <w:t>须知资料表》。</w:t>
      </w:r>
      <w:bookmarkEnd w:id="580"/>
    </w:p>
    <w:p w14:paraId="4160147C">
      <w:pPr>
        <w:numPr>
          <w:ilvl w:val="2"/>
          <w:numId w:val="8"/>
        </w:numPr>
        <w:snapToGrid w:val="0"/>
        <w:spacing w:line="360" w:lineRule="auto"/>
        <w:rPr>
          <w:sz w:val="24"/>
        </w:rPr>
      </w:pPr>
      <w:r>
        <w:rPr>
          <w:sz w:val="24"/>
        </w:rPr>
        <w:t>采购人或采购代理机构对供应商依法提出的询问，在3个工作日内作出答复，但答复的内容不得涉及商业秘密。</w:t>
      </w:r>
    </w:p>
    <w:p w14:paraId="2C04F4F9">
      <w:pPr>
        <w:numPr>
          <w:ilvl w:val="1"/>
          <w:numId w:val="8"/>
        </w:numPr>
        <w:tabs>
          <w:tab w:val="left" w:pos="1080"/>
          <w:tab w:val="left" w:pos="2014"/>
        </w:tabs>
        <w:snapToGrid w:val="0"/>
        <w:spacing w:line="360" w:lineRule="auto"/>
        <w:ind w:left="1077" w:hanging="720"/>
        <w:rPr>
          <w:sz w:val="24"/>
        </w:rPr>
      </w:pPr>
      <w:r>
        <w:rPr>
          <w:sz w:val="24"/>
        </w:rPr>
        <w:t>质疑</w:t>
      </w:r>
    </w:p>
    <w:p w14:paraId="326EB759">
      <w:pPr>
        <w:numPr>
          <w:ilvl w:val="2"/>
          <w:numId w:val="8"/>
        </w:numPr>
        <w:snapToGrid w:val="0"/>
        <w:spacing w:line="360" w:lineRule="auto"/>
        <w:rPr>
          <w:sz w:val="24"/>
        </w:rPr>
      </w:pPr>
      <w:r>
        <w:rPr>
          <w:sz w:val="24"/>
        </w:rPr>
        <w:t>供应商认为竞争性磋商文件、采购过程、成交结果使自己的权益受到损害的，可以在知道或者应知其权益受到损害之日起7个工作日内，以书面形式向采购人、采购代理机构提出质疑。采购人、采购代理机构在收到质疑函后7个工作日内作出答复。</w:t>
      </w:r>
    </w:p>
    <w:p w14:paraId="589D320E">
      <w:pPr>
        <w:numPr>
          <w:ilvl w:val="2"/>
          <w:numId w:val="8"/>
        </w:numPr>
        <w:snapToGrid w:val="0"/>
        <w:spacing w:line="360" w:lineRule="auto"/>
        <w:rPr>
          <w:sz w:val="24"/>
        </w:rPr>
      </w:pPr>
      <w:r>
        <w:rPr>
          <w:sz w:val="24"/>
        </w:rPr>
        <w:t>质疑函须使用财政部制定的范本文件。供应商为自然人的，质疑函应当由本人签字；供应商为法人或者其他组织的，质疑函应当由法定代表人、主要负责人，或者其授权代表签字或者盖章，并加盖公章。</w:t>
      </w:r>
    </w:p>
    <w:p w14:paraId="56C7ABA2">
      <w:pPr>
        <w:numPr>
          <w:ilvl w:val="2"/>
          <w:numId w:val="8"/>
        </w:numPr>
        <w:snapToGrid w:val="0"/>
        <w:spacing w:line="360" w:lineRule="auto"/>
        <w:rPr>
          <w:sz w:val="24"/>
        </w:rPr>
      </w:pPr>
      <w:r>
        <w:rPr>
          <w:sz w:val="24"/>
        </w:rPr>
        <w:t>供应商委托代理人进行质疑的，应当随质疑函同时提交供应商签署的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0EB722F5">
      <w:pPr>
        <w:numPr>
          <w:ilvl w:val="2"/>
          <w:numId w:val="8"/>
        </w:numPr>
        <w:snapToGrid w:val="0"/>
        <w:spacing w:line="360" w:lineRule="auto"/>
        <w:rPr>
          <w:sz w:val="24"/>
        </w:rPr>
      </w:pPr>
      <w:r>
        <w:rPr>
          <w:sz w:val="24"/>
        </w:rPr>
        <w:t>供应商应在法定质疑期内一次性提出针对同一采购程序环节的质疑，法定质疑期内针对同一采购程序环节再次提出的质疑，采购人、采购代理机构有权不予答复。</w:t>
      </w:r>
    </w:p>
    <w:p w14:paraId="56F13146">
      <w:pPr>
        <w:numPr>
          <w:ilvl w:val="1"/>
          <w:numId w:val="8"/>
        </w:numPr>
        <w:tabs>
          <w:tab w:val="left" w:pos="1080"/>
          <w:tab w:val="left" w:pos="2014"/>
        </w:tabs>
        <w:snapToGrid w:val="0"/>
        <w:spacing w:line="360" w:lineRule="auto"/>
        <w:ind w:left="1077" w:hanging="720"/>
        <w:rPr>
          <w:sz w:val="24"/>
        </w:rPr>
      </w:pPr>
      <w:r>
        <w:rPr>
          <w:sz w:val="24"/>
        </w:rPr>
        <w:t>接收询问和质疑的联系部门、联系电话和通讯地址见《供应商须知资料表》。</w:t>
      </w:r>
    </w:p>
    <w:p w14:paraId="701355C8">
      <w:pPr>
        <w:numPr>
          <w:ilvl w:val="0"/>
          <w:numId w:val="8"/>
        </w:numPr>
        <w:tabs>
          <w:tab w:val="left" w:pos="360"/>
        </w:tabs>
        <w:snapToGrid w:val="0"/>
        <w:spacing w:line="360" w:lineRule="auto"/>
        <w:ind w:left="357" w:hanging="357"/>
        <w:outlineLvl w:val="1"/>
        <w:rPr>
          <w:sz w:val="24"/>
        </w:rPr>
      </w:pPr>
      <w:r>
        <w:rPr>
          <w:sz w:val="24"/>
        </w:rPr>
        <w:t>代理费</w:t>
      </w:r>
    </w:p>
    <w:p w14:paraId="39E715B2">
      <w:pPr>
        <w:numPr>
          <w:ilvl w:val="1"/>
          <w:numId w:val="8"/>
        </w:numPr>
        <w:tabs>
          <w:tab w:val="left" w:pos="1080"/>
          <w:tab w:val="left" w:pos="2014"/>
        </w:tabs>
        <w:snapToGrid w:val="0"/>
        <w:spacing w:line="360" w:lineRule="auto"/>
        <w:ind w:left="1077" w:hanging="720"/>
        <w:rPr>
          <w:sz w:val="24"/>
        </w:rPr>
      </w:pPr>
      <w:r>
        <w:rPr>
          <w:sz w:val="24"/>
        </w:rPr>
        <w:t>收费对象、收费标准及缴纳时间见《供应商须知资料表》。由成交供应商支付的，成交供应商须一次性向采购代理机构缴纳代理费，报价应包含代理费用。</w:t>
      </w:r>
    </w:p>
    <w:p w14:paraId="1F730661">
      <w:pPr>
        <w:spacing w:line="360" w:lineRule="auto"/>
        <w:jc w:val="center"/>
        <w:outlineLvl w:val="0"/>
        <w:rPr>
          <w:b/>
          <w:sz w:val="36"/>
          <w:szCs w:val="36"/>
        </w:rPr>
      </w:pPr>
      <w:bookmarkStart w:id="581" w:name="_Toc305158822"/>
      <w:bookmarkStart w:id="582" w:name="_Toc305158896"/>
      <w:bookmarkStart w:id="583" w:name="_Toc150774759"/>
      <w:bookmarkStart w:id="584" w:name="_Toc127151554"/>
      <w:bookmarkStart w:id="585" w:name="_Toc265228392"/>
      <w:bookmarkStart w:id="586" w:name="_Toc226337250"/>
      <w:bookmarkStart w:id="587" w:name="_Toc226965827"/>
      <w:bookmarkStart w:id="588" w:name="_Toc353873934"/>
      <w:bookmarkStart w:id="589" w:name="_Toc142311056"/>
      <w:bookmarkStart w:id="590" w:name="_Toc150480792"/>
      <w:bookmarkStart w:id="591" w:name="_Toc353825544"/>
      <w:bookmarkStart w:id="592" w:name="_Toc264969244"/>
      <w:bookmarkStart w:id="593" w:name="_Toc353873664"/>
      <w:r>
        <w:rPr>
          <w:sz w:val="24"/>
        </w:rPr>
        <w:br w:type="page"/>
      </w:r>
      <w:bookmarkStart w:id="594" w:name="_Toc5681"/>
      <w:bookmarkStart w:id="595" w:name="_Toc97371943"/>
      <w:bookmarkStart w:id="596" w:name="_Toc16115"/>
      <w:r>
        <w:rPr>
          <w:b/>
          <w:sz w:val="36"/>
          <w:szCs w:val="36"/>
        </w:rPr>
        <w:t xml:space="preserve">第三章   </w:t>
      </w:r>
      <w:bookmarkEnd w:id="581"/>
      <w:bookmarkEnd w:id="582"/>
      <w:bookmarkEnd w:id="583"/>
      <w:bookmarkEnd w:id="584"/>
      <w:bookmarkEnd w:id="585"/>
      <w:bookmarkEnd w:id="586"/>
      <w:bookmarkEnd w:id="587"/>
      <w:bookmarkEnd w:id="588"/>
      <w:bookmarkEnd w:id="589"/>
      <w:bookmarkEnd w:id="590"/>
      <w:bookmarkEnd w:id="591"/>
      <w:bookmarkEnd w:id="592"/>
      <w:bookmarkEnd w:id="593"/>
      <w:r>
        <w:rPr>
          <w:b/>
          <w:sz w:val="36"/>
          <w:szCs w:val="36"/>
        </w:rPr>
        <w:t>评审方法和评审标准</w:t>
      </w:r>
      <w:bookmarkEnd w:id="594"/>
      <w:bookmarkEnd w:id="595"/>
      <w:bookmarkEnd w:id="596"/>
      <w:bookmarkStart w:id="597" w:name="_Toc487900382"/>
    </w:p>
    <w:p w14:paraId="042BFFCD">
      <w:pPr>
        <w:pStyle w:val="3"/>
        <w:spacing w:before="0" w:line="360" w:lineRule="auto"/>
        <w:rPr>
          <w:rFonts w:ascii="Times New Roman" w:hAnsi="Times New Roman" w:eastAsia="宋体"/>
          <w:sz w:val="24"/>
          <w:szCs w:val="24"/>
        </w:rPr>
      </w:pPr>
      <w:r>
        <w:rPr>
          <w:rFonts w:ascii="Times New Roman" w:hAnsi="Times New Roman" w:eastAsia="宋体"/>
          <w:sz w:val="24"/>
          <w:szCs w:val="24"/>
        </w:rPr>
        <w:t>一、</w:t>
      </w:r>
      <w:r>
        <w:rPr>
          <w:rFonts w:hint="eastAsia" w:ascii="Times New Roman" w:hAnsi="Times New Roman" w:eastAsia="宋体"/>
          <w:sz w:val="24"/>
          <w:szCs w:val="24"/>
        </w:rPr>
        <w:t>评审程序和方法</w:t>
      </w:r>
    </w:p>
    <w:p w14:paraId="2A4EE046">
      <w:pPr>
        <w:tabs>
          <w:tab w:val="left" w:pos="1080"/>
        </w:tabs>
        <w:snapToGrid w:val="0"/>
        <w:jc w:val="left"/>
        <w:rPr>
          <w:b/>
          <w:sz w:val="24"/>
        </w:rPr>
      </w:pPr>
    </w:p>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597"/>
    <w:p w14:paraId="1230DD9B">
      <w:pPr>
        <w:numPr>
          <w:ilvl w:val="0"/>
          <w:numId w:val="10"/>
        </w:numPr>
        <w:tabs>
          <w:tab w:val="left" w:pos="360"/>
        </w:tabs>
        <w:snapToGrid w:val="0"/>
        <w:spacing w:line="360" w:lineRule="auto"/>
        <w:outlineLvl w:val="1"/>
        <w:rPr>
          <w:sz w:val="24"/>
        </w:rPr>
      </w:pPr>
      <w:bookmarkStart w:id="598" w:name="_Toc150509292"/>
      <w:bookmarkStart w:id="599" w:name="_Toc164229236"/>
      <w:bookmarkStart w:id="600" w:name="_Toc127151541"/>
      <w:bookmarkStart w:id="601" w:name="_Toc164229382"/>
      <w:bookmarkStart w:id="602" w:name="_Toc151193855"/>
      <w:bookmarkStart w:id="603" w:name="_Toc127161455"/>
      <w:bookmarkStart w:id="604" w:name="_Toc264969231"/>
      <w:bookmarkStart w:id="605" w:name="_Toc151193711"/>
      <w:bookmarkStart w:id="606" w:name="_Toc226337237"/>
      <w:bookmarkStart w:id="607" w:name="_Toc226965731"/>
      <w:bookmarkStart w:id="608" w:name="_Toc151193639"/>
      <w:bookmarkStart w:id="609" w:name="_Toc226965814"/>
      <w:bookmarkStart w:id="610" w:name="_Toc142311043"/>
      <w:bookmarkStart w:id="611" w:name="_Toc151193783"/>
      <w:bookmarkStart w:id="612" w:name="_Toc226309785"/>
      <w:bookmarkStart w:id="613" w:name="_Toc195842906"/>
      <w:bookmarkStart w:id="614" w:name="_Toc151193929"/>
      <w:bookmarkStart w:id="615" w:name="_Toc151190168"/>
      <w:bookmarkStart w:id="616" w:name="_Toc164351635"/>
      <w:bookmarkStart w:id="617" w:name="_Toc127151742"/>
      <w:bookmarkStart w:id="618" w:name="_Toc305158883"/>
      <w:bookmarkStart w:id="619" w:name="_Toc150774746"/>
      <w:bookmarkStart w:id="620" w:name="_Toc305158809"/>
      <w:bookmarkStart w:id="621" w:name="_Toc150480779"/>
      <w:bookmarkStart w:id="622" w:name="_Toc164608810"/>
      <w:bookmarkStart w:id="623" w:name="_Toc164608655"/>
      <w:bookmarkStart w:id="624" w:name="_Toc150774641"/>
      <w:bookmarkStart w:id="625" w:name="_Toc265228379"/>
      <w:bookmarkStart w:id="626" w:name="_Toc149720834"/>
      <w:bookmarkStart w:id="627" w:name="_Toc353873941"/>
      <w:bookmarkStart w:id="628" w:name="_Toc353825551"/>
      <w:bookmarkStart w:id="629" w:name="_Toc142311057"/>
      <w:bookmarkStart w:id="630" w:name="_Toc226965828"/>
      <w:bookmarkStart w:id="631" w:name="_Toc353873665"/>
      <w:bookmarkStart w:id="632" w:name="_Toc353873935"/>
      <w:bookmarkStart w:id="633" w:name="_Toc127151555"/>
      <w:bookmarkStart w:id="634" w:name="_Toc265228393"/>
      <w:bookmarkStart w:id="635" w:name="_Toc305158897"/>
      <w:bookmarkStart w:id="636" w:name="_Toc150480793"/>
      <w:bookmarkStart w:id="637" w:name="_Toc353825545"/>
      <w:bookmarkStart w:id="638" w:name="_Toc264969245"/>
      <w:bookmarkStart w:id="639" w:name="_Toc305158823"/>
      <w:bookmarkStart w:id="640" w:name="_Toc195842920"/>
      <w:bookmarkStart w:id="641" w:name="_Toc226337251"/>
      <w:bookmarkStart w:id="642" w:name="_Toc150774760"/>
      <w:r>
        <w:rPr>
          <w:sz w:val="24"/>
        </w:rPr>
        <w:t>响应文件的</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r>
        <w:rPr>
          <w:sz w:val="24"/>
        </w:rPr>
        <w:t>资格审查和符合性审查</w:t>
      </w:r>
    </w:p>
    <w:p w14:paraId="3684E864">
      <w:pPr>
        <w:numPr>
          <w:ilvl w:val="1"/>
          <w:numId w:val="10"/>
        </w:numPr>
        <w:tabs>
          <w:tab w:val="left" w:pos="1080"/>
        </w:tabs>
        <w:snapToGrid w:val="0"/>
        <w:spacing w:line="360" w:lineRule="auto"/>
        <w:ind w:left="1077" w:hanging="720"/>
        <w:rPr>
          <w:sz w:val="24"/>
        </w:rPr>
      </w:pPr>
      <w:r>
        <w:rPr>
          <w:sz w:val="24"/>
        </w:rPr>
        <w:t>磋商小组将根据《资格审查要求》和《符合性审查要求》中规定的内容，对供应商进行检查，并形成检查结果。供应商《响应文件》有任何一项不符合《资格审查要求》和《符合性审查要求》要求的，视为未实质性响应磋商文件。未实质性响应磋商文件的响应文件按</w:t>
      </w:r>
      <w:r>
        <w:rPr>
          <w:b/>
          <w:sz w:val="24"/>
        </w:rPr>
        <w:t>无效响应</w:t>
      </w:r>
      <w:r>
        <w:rPr>
          <w:rFonts w:hint="eastAsia"/>
          <w:sz w:val="24"/>
        </w:rPr>
        <w:t>处理</w:t>
      </w:r>
      <w:r>
        <w:rPr>
          <w:sz w:val="24"/>
        </w:rPr>
        <w:t>，磋商小组应当告知提交响应文件的供应商。</w:t>
      </w:r>
    </w:p>
    <w:p w14:paraId="7EF791CE">
      <w:pPr>
        <w:numPr>
          <w:ilvl w:val="1"/>
          <w:numId w:val="10"/>
        </w:numPr>
        <w:tabs>
          <w:tab w:val="left" w:pos="1080"/>
        </w:tabs>
        <w:snapToGrid w:val="0"/>
        <w:spacing w:line="360" w:lineRule="auto"/>
        <w:ind w:left="1077" w:hanging="720"/>
        <w:rPr>
          <w:sz w:val="24"/>
        </w:rPr>
      </w:pPr>
      <w:r>
        <w:rPr>
          <w:sz w:val="24"/>
        </w:rPr>
        <w:t>《资格审查要求》中对格式有要求的，除竞争性磋商文件另有规定外，均为</w:t>
      </w:r>
      <w:r>
        <w:rPr>
          <w:rFonts w:hint="eastAsia"/>
          <w:sz w:val="24"/>
        </w:rPr>
        <w:t>“</w:t>
      </w:r>
      <w:r>
        <w:rPr>
          <w:sz w:val="24"/>
        </w:rPr>
        <w:t>实质性格式</w:t>
      </w:r>
      <w:r>
        <w:rPr>
          <w:rFonts w:hint="eastAsia"/>
          <w:sz w:val="24"/>
        </w:rPr>
        <w:t>”</w:t>
      </w:r>
      <w:r>
        <w:rPr>
          <w:sz w:val="24"/>
        </w:rPr>
        <w:t>文件。</w:t>
      </w:r>
    </w:p>
    <w:p w14:paraId="14C089F0">
      <w:pPr>
        <w:numPr>
          <w:ilvl w:val="1"/>
          <w:numId w:val="10"/>
        </w:numPr>
        <w:tabs>
          <w:tab w:val="left" w:pos="1080"/>
        </w:tabs>
        <w:snapToGrid w:val="0"/>
        <w:spacing w:line="360" w:lineRule="auto"/>
        <w:ind w:left="1077" w:hanging="720"/>
        <w:rPr>
          <w:sz w:val="24"/>
        </w:rPr>
      </w:pPr>
      <w:r>
        <w:rPr>
          <w:sz w:val="24"/>
        </w:rPr>
        <w:t>《资格审查要求》见下表：</w:t>
      </w:r>
    </w:p>
    <w:p w14:paraId="5AD57889">
      <w:pPr>
        <w:tabs>
          <w:tab w:val="left" w:pos="900"/>
          <w:tab w:val="left" w:pos="1080"/>
        </w:tabs>
        <w:snapToGrid w:val="0"/>
        <w:spacing w:line="360" w:lineRule="auto"/>
        <w:ind w:left="1077" w:firstLine="2650" w:firstLineChars="1100"/>
        <w:rPr>
          <w:b/>
          <w:sz w:val="24"/>
        </w:rPr>
      </w:pPr>
      <w:r>
        <w:rPr>
          <w:b/>
          <w:sz w:val="24"/>
        </w:rPr>
        <w:t>资格审查要求</w:t>
      </w:r>
    </w:p>
    <w:tbl>
      <w:tblPr>
        <w:tblStyle w:val="43"/>
        <w:tblW w:w="89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4"/>
        <w:gridCol w:w="1700"/>
        <w:gridCol w:w="4674"/>
        <w:gridCol w:w="1833"/>
      </w:tblGrid>
      <w:tr w14:paraId="52A61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blHeader/>
          <w:jc w:val="center"/>
        </w:trPr>
        <w:tc>
          <w:tcPr>
            <w:tcW w:w="754" w:type="dxa"/>
            <w:vAlign w:val="center"/>
          </w:tcPr>
          <w:p w14:paraId="1FAB1EFB">
            <w:pPr>
              <w:tabs>
                <w:tab w:val="left" w:pos="1080"/>
              </w:tabs>
              <w:snapToGrid w:val="0"/>
              <w:jc w:val="center"/>
              <w:rPr>
                <w:b/>
                <w:sz w:val="24"/>
              </w:rPr>
            </w:pPr>
            <w:bookmarkStart w:id="643" w:name="_Hlt487972895"/>
            <w:bookmarkEnd w:id="643"/>
            <w:r>
              <w:rPr>
                <w:b/>
                <w:sz w:val="24"/>
              </w:rPr>
              <w:t>序号</w:t>
            </w:r>
          </w:p>
        </w:tc>
        <w:tc>
          <w:tcPr>
            <w:tcW w:w="1700" w:type="dxa"/>
            <w:vAlign w:val="center"/>
          </w:tcPr>
          <w:p w14:paraId="4BDA91ED">
            <w:pPr>
              <w:tabs>
                <w:tab w:val="left" w:pos="1080"/>
              </w:tabs>
              <w:snapToGrid w:val="0"/>
              <w:jc w:val="center"/>
              <w:rPr>
                <w:b/>
                <w:sz w:val="24"/>
              </w:rPr>
            </w:pPr>
            <w:r>
              <w:rPr>
                <w:b/>
                <w:sz w:val="24"/>
              </w:rPr>
              <w:t>检查因素</w:t>
            </w:r>
          </w:p>
        </w:tc>
        <w:tc>
          <w:tcPr>
            <w:tcW w:w="4674" w:type="dxa"/>
            <w:vAlign w:val="center"/>
          </w:tcPr>
          <w:p w14:paraId="23EB18EC">
            <w:pPr>
              <w:tabs>
                <w:tab w:val="left" w:pos="1080"/>
              </w:tabs>
              <w:snapToGrid w:val="0"/>
              <w:jc w:val="center"/>
              <w:rPr>
                <w:b/>
                <w:sz w:val="24"/>
              </w:rPr>
            </w:pPr>
            <w:r>
              <w:rPr>
                <w:b/>
                <w:sz w:val="24"/>
              </w:rPr>
              <w:t>检查内容</w:t>
            </w:r>
          </w:p>
        </w:tc>
        <w:tc>
          <w:tcPr>
            <w:tcW w:w="1833" w:type="dxa"/>
            <w:vAlign w:val="center"/>
          </w:tcPr>
          <w:p w14:paraId="692055F1">
            <w:pPr>
              <w:tabs>
                <w:tab w:val="left" w:pos="1080"/>
              </w:tabs>
              <w:snapToGrid w:val="0"/>
              <w:jc w:val="center"/>
              <w:rPr>
                <w:b/>
                <w:sz w:val="24"/>
              </w:rPr>
            </w:pPr>
            <w:r>
              <w:rPr>
                <w:b/>
                <w:sz w:val="24"/>
              </w:rPr>
              <w:t>格式要求</w:t>
            </w:r>
          </w:p>
        </w:tc>
      </w:tr>
      <w:tr w14:paraId="59400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jc w:val="center"/>
        </w:trPr>
        <w:tc>
          <w:tcPr>
            <w:tcW w:w="754" w:type="dxa"/>
            <w:vAlign w:val="center"/>
          </w:tcPr>
          <w:p w14:paraId="59C4C6E1">
            <w:pPr>
              <w:tabs>
                <w:tab w:val="left" w:pos="1080"/>
              </w:tabs>
              <w:snapToGrid w:val="0"/>
              <w:jc w:val="center"/>
              <w:rPr>
                <w:sz w:val="24"/>
              </w:rPr>
            </w:pPr>
            <w:r>
              <w:rPr>
                <w:sz w:val="24"/>
              </w:rPr>
              <w:t>1</w:t>
            </w:r>
          </w:p>
        </w:tc>
        <w:tc>
          <w:tcPr>
            <w:tcW w:w="1700" w:type="dxa"/>
            <w:vAlign w:val="center"/>
          </w:tcPr>
          <w:p w14:paraId="43474AA6">
            <w:pPr>
              <w:tabs>
                <w:tab w:val="left" w:pos="1080"/>
              </w:tabs>
              <w:snapToGrid w:val="0"/>
              <w:jc w:val="left"/>
              <w:rPr>
                <w:sz w:val="24"/>
              </w:rPr>
            </w:pPr>
            <w:r>
              <w:rPr>
                <w:sz w:val="24"/>
              </w:rPr>
              <w:t>满足《中华人民共和国政府采购法》第二十二条规定</w:t>
            </w:r>
          </w:p>
        </w:tc>
        <w:tc>
          <w:tcPr>
            <w:tcW w:w="4674" w:type="dxa"/>
            <w:vAlign w:val="center"/>
          </w:tcPr>
          <w:p w14:paraId="39377188">
            <w:pPr>
              <w:tabs>
                <w:tab w:val="left" w:pos="1080"/>
              </w:tabs>
              <w:snapToGrid w:val="0"/>
              <w:jc w:val="left"/>
              <w:rPr>
                <w:sz w:val="24"/>
              </w:rPr>
            </w:pPr>
            <w:r>
              <w:rPr>
                <w:sz w:val="24"/>
              </w:rPr>
              <w:t>具体规定见第一章《采购邀请》</w:t>
            </w:r>
          </w:p>
        </w:tc>
        <w:tc>
          <w:tcPr>
            <w:tcW w:w="1833" w:type="dxa"/>
            <w:vAlign w:val="center"/>
          </w:tcPr>
          <w:p w14:paraId="4BE630F7">
            <w:pPr>
              <w:tabs>
                <w:tab w:val="left" w:pos="1080"/>
              </w:tabs>
              <w:snapToGrid w:val="0"/>
              <w:jc w:val="left"/>
              <w:rPr>
                <w:sz w:val="24"/>
              </w:rPr>
            </w:pPr>
          </w:p>
        </w:tc>
      </w:tr>
      <w:tr w14:paraId="5C578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038" w:hRule="atLeast"/>
          <w:jc w:val="center"/>
        </w:trPr>
        <w:tc>
          <w:tcPr>
            <w:tcW w:w="754" w:type="dxa"/>
            <w:vAlign w:val="center"/>
          </w:tcPr>
          <w:p w14:paraId="3F5D7D73">
            <w:pPr>
              <w:tabs>
                <w:tab w:val="left" w:pos="1080"/>
              </w:tabs>
              <w:snapToGrid w:val="0"/>
              <w:jc w:val="center"/>
              <w:rPr>
                <w:sz w:val="24"/>
              </w:rPr>
            </w:pPr>
            <w:r>
              <w:rPr>
                <w:sz w:val="24"/>
              </w:rPr>
              <w:t>1-1</w:t>
            </w:r>
          </w:p>
        </w:tc>
        <w:tc>
          <w:tcPr>
            <w:tcW w:w="1700" w:type="dxa"/>
            <w:vAlign w:val="center"/>
          </w:tcPr>
          <w:p w14:paraId="13C0BB49">
            <w:pPr>
              <w:tabs>
                <w:tab w:val="left" w:pos="1080"/>
              </w:tabs>
              <w:snapToGrid w:val="0"/>
              <w:jc w:val="left"/>
              <w:rPr>
                <w:sz w:val="24"/>
              </w:rPr>
            </w:pPr>
            <w:r>
              <w:rPr>
                <w:sz w:val="24"/>
              </w:rPr>
              <w:t>营业执照等证明文件</w:t>
            </w:r>
          </w:p>
        </w:tc>
        <w:tc>
          <w:tcPr>
            <w:tcW w:w="4674" w:type="dxa"/>
            <w:vAlign w:val="center"/>
          </w:tcPr>
          <w:p w14:paraId="1D1A2F34">
            <w:pPr>
              <w:tabs>
                <w:tab w:val="left" w:pos="1080"/>
              </w:tabs>
              <w:snapToGrid w:val="0"/>
              <w:jc w:val="left"/>
              <w:rPr>
                <w:sz w:val="24"/>
              </w:rPr>
            </w:pPr>
            <w:r>
              <w:rPr>
                <w:sz w:val="24"/>
              </w:rPr>
              <w:t>供应商为企业（包括合伙企业）的，应提供有效的</w:t>
            </w:r>
            <w:r>
              <w:rPr>
                <w:rFonts w:hint="eastAsia"/>
                <w:sz w:val="24"/>
              </w:rPr>
              <w:t>“</w:t>
            </w:r>
            <w:r>
              <w:rPr>
                <w:sz w:val="24"/>
              </w:rPr>
              <w:t>营业执照</w:t>
            </w:r>
            <w:r>
              <w:rPr>
                <w:rFonts w:hint="eastAsia"/>
                <w:sz w:val="24"/>
              </w:rPr>
              <w:t>”</w:t>
            </w:r>
            <w:r>
              <w:rPr>
                <w:sz w:val="24"/>
              </w:rPr>
              <w:t>；</w:t>
            </w:r>
          </w:p>
          <w:p w14:paraId="751BE165">
            <w:pPr>
              <w:tabs>
                <w:tab w:val="left" w:pos="1080"/>
              </w:tabs>
              <w:snapToGrid w:val="0"/>
              <w:jc w:val="left"/>
              <w:rPr>
                <w:sz w:val="24"/>
              </w:rPr>
            </w:pPr>
            <w:r>
              <w:rPr>
                <w:sz w:val="24"/>
              </w:rPr>
              <w:t>供应商为事业单位的，应提供有效的</w:t>
            </w:r>
            <w:r>
              <w:rPr>
                <w:rFonts w:hint="eastAsia"/>
                <w:sz w:val="24"/>
              </w:rPr>
              <w:t>“</w:t>
            </w:r>
            <w:r>
              <w:rPr>
                <w:sz w:val="24"/>
              </w:rPr>
              <w:t>事业单位法人证书</w:t>
            </w:r>
            <w:r>
              <w:rPr>
                <w:rFonts w:hint="eastAsia"/>
                <w:sz w:val="24"/>
              </w:rPr>
              <w:t>”</w:t>
            </w:r>
            <w:r>
              <w:rPr>
                <w:sz w:val="24"/>
              </w:rPr>
              <w:t>；</w:t>
            </w:r>
          </w:p>
          <w:p w14:paraId="19385261">
            <w:pPr>
              <w:tabs>
                <w:tab w:val="left" w:pos="1080"/>
              </w:tabs>
              <w:snapToGrid w:val="0"/>
              <w:jc w:val="left"/>
              <w:rPr>
                <w:sz w:val="24"/>
              </w:rPr>
            </w:pPr>
            <w:r>
              <w:rPr>
                <w:sz w:val="24"/>
              </w:rPr>
              <w:t>供应商是非企业机构的，应提供有效的</w:t>
            </w:r>
            <w:r>
              <w:rPr>
                <w:rFonts w:hint="eastAsia"/>
                <w:sz w:val="24"/>
              </w:rPr>
              <w:t>“</w:t>
            </w:r>
            <w:r>
              <w:rPr>
                <w:sz w:val="24"/>
              </w:rPr>
              <w:t>执业许可证</w:t>
            </w:r>
            <w:r>
              <w:rPr>
                <w:rFonts w:hint="eastAsia"/>
                <w:sz w:val="24"/>
              </w:rPr>
              <w:t>”</w:t>
            </w:r>
            <w:r>
              <w:rPr>
                <w:sz w:val="24"/>
              </w:rPr>
              <w:t>、</w:t>
            </w:r>
            <w:r>
              <w:rPr>
                <w:rFonts w:hint="eastAsia"/>
                <w:sz w:val="24"/>
              </w:rPr>
              <w:t>“</w:t>
            </w:r>
            <w:r>
              <w:rPr>
                <w:sz w:val="24"/>
              </w:rPr>
              <w:t>登记证书</w:t>
            </w:r>
            <w:r>
              <w:rPr>
                <w:rFonts w:hint="eastAsia"/>
                <w:sz w:val="24"/>
              </w:rPr>
              <w:t>”</w:t>
            </w:r>
            <w:r>
              <w:rPr>
                <w:sz w:val="24"/>
              </w:rPr>
              <w:t>等证明文件；</w:t>
            </w:r>
          </w:p>
          <w:p w14:paraId="65C5E666">
            <w:pPr>
              <w:tabs>
                <w:tab w:val="left" w:pos="1080"/>
              </w:tabs>
              <w:snapToGrid w:val="0"/>
              <w:jc w:val="left"/>
              <w:rPr>
                <w:sz w:val="24"/>
              </w:rPr>
            </w:pPr>
            <w:r>
              <w:rPr>
                <w:sz w:val="24"/>
              </w:rPr>
              <w:t>供应商是个体工商户的，应提供有效的</w:t>
            </w:r>
            <w:r>
              <w:rPr>
                <w:rFonts w:hint="eastAsia"/>
                <w:sz w:val="24"/>
              </w:rPr>
              <w:t>“</w:t>
            </w:r>
            <w:r>
              <w:rPr>
                <w:sz w:val="24"/>
              </w:rPr>
              <w:t>个体工商户营业执照</w:t>
            </w:r>
            <w:r>
              <w:rPr>
                <w:rFonts w:hint="eastAsia"/>
                <w:sz w:val="24"/>
              </w:rPr>
              <w:t>”</w:t>
            </w:r>
            <w:r>
              <w:rPr>
                <w:sz w:val="24"/>
              </w:rPr>
              <w:t>；</w:t>
            </w:r>
          </w:p>
          <w:p w14:paraId="7D4ACBD0">
            <w:pPr>
              <w:tabs>
                <w:tab w:val="left" w:pos="1080"/>
              </w:tabs>
              <w:snapToGrid w:val="0"/>
              <w:jc w:val="left"/>
              <w:rPr>
                <w:sz w:val="24"/>
              </w:rPr>
            </w:pPr>
            <w:r>
              <w:rPr>
                <w:sz w:val="24"/>
              </w:rPr>
              <w:t>供应商是自然人的，应提供有效的自然人身份证明。</w:t>
            </w:r>
          </w:p>
          <w:p w14:paraId="295964BE">
            <w:pPr>
              <w:tabs>
                <w:tab w:val="left" w:pos="1080"/>
              </w:tabs>
              <w:snapToGrid w:val="0"/>
              <w:jc w:val="left"/>
              <w:rPr>
                <w:color w:val="000000"/>
                <w:sz w:val="24"/>
              </w:rPr>
            </w:pPr>
            <w:r>
              <w:rPr>
                <w:color w:val="000000"/>
                <w:sz w:val="24"/>
              </w:rPr>
              <w:t>分支机构参加响应的，应提供该分支机构或其所属法人</w:t>
            </w:r>
            <w:r>
              <w:rPr>
                <w:rFonts w:hint="eastAsia"/>
                <w:color w:val="000000"/>
                <w:sz w:val="24"/>
              </w:rPr>
              <w:t>/</w:t>
            </w:r>
            <w:r>
              <w:rPr>
                <w:color w:val="000000"/>
                <w:sz w:val="24"/>
              </w:rPr>
              <w:t>其他组织的相应证明文件；同时还应提供其所属法人/其他组织出具的授权其参与本项目的授权书（格式自拟，须加</w:t>
            </w:r>
            <w:r>
              <w:rPr>
                <w:sz w:val="24"/>
              </w:rPr>
              <w:t>盖其所属法人/其他组织的公章）；对于</w:t>
            </w:r>
            <w:r>
              <w:rPr>
                <w:iCs/>
                <w:sz w:val="24"/>
              </w:rPr>
              <w:t>银行、保险、石油石化、电力、电信等行业的分支机构，可以提供上述</w:t>
            </w:r>
            <w:r>
              <w:rPr>
                <w:sz w:val="24"/>
              </w:rPr>
              <w:t>授权，也</w:t>
            </w:r>
            <w:r>
              <w:rPr>
                <w:color w:val="000000"/>
                <w:sz w:val="24"/>
              </w:rPr>
              <w:t>可以提供其所属法人/其他组织的有关文件或制度等能够证明授权其独立开展业务的证明材料。</w:t>
            </w:r>
          </w:p>
        </w:tc>
        <w:tc>
          <w:tcPr>
            <w:tcW w:w="1833" w:type="dxa"/>
            <w:vAlign w:val="center"/>
          </w:tcPr>
          <w:p w14:paraId="7C6E33B5">
            <w:pPr>
              <w:tabs>
                <w:tab w:val="left" w:pos="1080"/>
              </w:tabs>
              <w:snapToGrid w:val="0"/>
              <w:jc w:val="left"/>
              <w:rPr>
                <w:sz w:val="24"/>
              </w:rPr>
            </w:pPr>
            <w:r>
              <w:rPr>
                <w:sz w:val="24"/>
              </w:rPr>
              <w:t>提供证明文件的</w:t>
            </w:r>
            <w:r>
              <w:rPr>
                <w:rFonts w:hint="eastAsia"/>
                <w:sz w:val="24"/>
              </w:rPr>
              <w:t>相关复印件</w:t>
            </w:r>
          </w:p>
        </w:tc>
      </w:tr>
      <w:tr w14:paraId="1EB30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62" w:hRule="atLeast"/>
          <w:jc w:val="center"/>
        </w:trPr>
        <w:tc>
          <w:tcPr>
            <w:tcW w:w="754" w:type="dxa"/>
            <w:vAlign w:val="center"/>
          </w:tcPr>
          <w:p w14:paraId="18A8BF77">
            <w:pPr>
              <w:tabs>
                <w:tab w:val="left" w:pos="1080"/>
              </w:tabs>
              <w:snapToGrid w:val="0"/>
              <w:jc w:val="center"/>
              <w:rPr>
                <w:sz w:val="24"/>
              </w:rPr>
            </w:pPr>
            <w:r>
              <w:rPr>
                <w:sz w:val="24"/>
              </w:rPr>
              <w:t>1-2</w:t>
            </w:r>
          </w:p>
        </w:tc>
        <w:tc>
          <w:tcPr>
            <w:tcW w:w="1700" w:type="dxa"/>
            <w:vAlign w:val="center"/>
          </w:tcPr>
          <w:p w14:paraId="590C6FEE">
            <w:pPr>
              <w:tabs>
                <w:tab w:val="left" w:pos="1080"/>
              </w:tabs>
              <w:snapToGrid w:val="0"/>
              <w:jc w:val="left"/>
              <w:rPr>
                <w:sz w:val="24"/>
              </w:rPr>
            </w:pPr>
            <w:r>
              <w:rPr>
                <w:sz w:val="24"/>
              </w:rPr>
              <w:t>供应商资格声明书</w:t>
            </w:r>
          </w:p>
        </w:tc>
        <w:tc>
          <w:tcPr>
            <w:tcW w:w="4674" w:type="dxa"/>
            <w:vAlign w:val="center"/>
          </w:tcPr>
          <w:p w14:paraId="6CD81B39">
            <w:pPr>
              <w:tabs>
                <w:tab w:val="left" w:pos="1080"/>
              </w:tabs>
              <w:snapToGrid w:val="0"/>
              <w:jc w:val="left"/>
              <w:rPr>
                <w:sz w:val="24"/>
              </w:rPr>
            </w:pPr>
            <w:r>
              <w:rPr>
                <w:sz w:val="24"/>
              </w:rPr>
              <w:t>提供了符合竞争性磋商文件要求的《供应商资格声明书》。</w:t>
            </w:r>
          </w:p>
        </w:tc>
        <w:tc>
          <w:tcPr>
            <w:tcW w:w="1833" w:type="dxa"/>
            <w:vAlign w:val="center"/>
          </w:tcPr>
          <w:p w14:paraId="78CE0B49">
            <w:pPr>
              <w:tabs>
                <w:tab w:val="left" w:pos="1080"/>
              </w:tabs>
              <w:snapToGrid w:val="0"/>
              <w:jc w:val="left"/>
              <w:rPr>
                <w:sz w:val="24"/>
              </w:rPr>
            </w:pPr>
            <w:r>
              <w:rPr>
                <w:sz w:val="24"/>
              </w:rPr>
              <w:t>格式见《响应文件格式》</w:t>
            </w:r>
          </w:p>
        </w:tc>
      </w:tr>
      <w:tr w14:paraId="6B8BE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467" w:hRule="atLeast"/>
          <w:jc w:val="center"/>
        </w:trPr>
        <w:tc>
          <w:tcPr>
            <w:tcW w:w="754" w:type="dxa"/>
            <w:vAlign w:val="center"/>
          </w:tcPr>
          <w:p w14:paraId="1A8ED917">
            <w:pPr>
              <w:tabs>
                <w:tab w:val="left" w:pos="1080"/>
              </w:tabs>
              <w:snapToGrid w:val="0"/>
              <w:jc w:val="center"/>
              <w:rPr>
                <w:sz w:val="24"/>
              </w:rPr>
            </w:pPr>
            <w:r>
              <w:rPr>
                <w:sz w:val="24"/>
              </w:rPr>
              <w:t>1-3</w:t>
            </w:r>
          </w:p>
        </w:tc>
        <w:tc>
          <w:tcPr>
            <w:tcW w:w="1700" w:type="dxa"/>
            <w:vAlign w:val="center"/>
          </w:tcPr>
          <w:p w14:paraId="22FE3533">
            <w:pPr>
              <w:tabs>
                <w:tab w:val="left" w:pos="1080"/>
              </w:tabs>
              <w:snapToGrid w:val="0"/>
              <w:rPr>
                <w:sz w:val="24"/>
              </w:rPr>
            </w:pPr>
            <w:r>
              <w:rPr>
                <w:sz w:val="24"/>
              </w:rPr>
              <w:t>供应商信用记录</w:t>
            </w:r>
          </w:p>
        </w:tc>
        <w:tc>
          <w:tcPr>
            <w:tcW w:w="4674" w:type="dxa"/>
            <w:vAlign w:val="center"/>
          </w:tcPr>
          <w:p w14:paraId="4E68089F">
            <w:pPr>
              <w:tabs>
                <w:tab w:val="left" w:pos="1080"/>
              </w:tabs>
              <w:snapToGrid w:val="0"/>
              <w:rPr>
                <w:sz w:val="24"/>
              </w:rPr>
            </w:pPr>
            <w:r>
              <w:rPr>
                <w:sz w:val="24"/>
              </w:rPr>
              <w:t>查询渠道：信用中国网站和中国政府采购网（</w:t>
            </w:r>
            <w:r>
              <w:t>www.creditchina.gov.cn</w:t>
            </w:r>
            <w:r>
              <w:rPr>
                <w:sz w:val="24"/>
              </w:rPr>
              <w:t>、</w:t>
            </w:r>
            <w:r>
              <w:t>www.ccgp.gov.cn</w:t>
            </w:r>
            <w:r>
              <w:rPr>
                <w:sz w:val="24"/>
              </w:rPr>
              <w:t>）；</w:t>
            </w:r>
          </w:p>
          <w:p w14:paraId="7BAAED93">
            <w:pPr>
              <w:tabs>
                <w:tab w:val="left" w:pos="900"/>
                <w:tab w:val="left" w:pos="1980"/>
              </w:tabs>
              <w:snapToGrid w:val="0"/>
              <w:rPr>
                <w:sz w:val="24"/>
              </w:rPr>
            </w:pPr>
            <w:r>
              <w:rPr>
                <w:sz w:val="24"/>
              </w:rPr>
              <w:t>截止时点：</w:t>
            </w:r>
            <w:r>
              <w:rPr>
                <w:color w:val="000000"/>
                <w:kern w:val="0"/>
                <w:sz w:val="24"/>
                <w:szCs w:val="20"/>
              </w:rPr>
              <w:t>首次响应文件提交截止时间以后</w:t>
            </w:r>
            <w:r>
              <w:rPr>
                <w:sz w:val="24"/>
              </w:rPr>
              <w:t>、资格审查阶段采购人或采购代理机构的实际查询时间；</w:t>
            </w:r>
          </w:p>
          <w:p w14:paraId="656A8A96">
            <w:pPr>
              <w:tabs>
                <w:tab w:val="left" w:pos="900"/>
                <w:tab w:val="left" w:pos="1980"/>
              </w:tabs>
              <w:snapToGrid w:val="0"/>
              <w:rPr>
                <w:sz w:val="24"/>
              </w:rPr>
            </w:pPr>
            <w:r>
              <w:rPr>
                <w:sz w:val="24"/>
              </w:rPr>
              <w:t>信用信息查询记录和证据留存具体方式：查询结果网页打印页作为查询记录和证据，与其他竞争性磋商文件一并保存；</w:t>
            </w:r>
          </w:p>
          <w:p w14:paraId="031F34CA">
            <w:pPr>
              <w:tabs>
                <w:tab w:val="left" w:pos="1080"/>
              </w:tabs>
              <w:snapToGrid w:val="0"/>
              <w:rPr>
                <w:sz w:val="24"/>
              </w:rPr>
            </w:pPr>
            <w:r>
              <w:rPr>
                <w:sz w:val="24"/>
              </w:rPr>
              <w:t>信用信息的使用原则：经认定的被列入失信被执行人、</w:t>
            </w:r>
            <w:r>
              <w:rPr>
                <w:rFonts w:hint="eastAsia"/>
                <w:sz w:val="24"/>
              </w:rPr>
              <w:t>重大税收违法失信主体</w:t>
            </w:r>
            <w:r>
              <w:rPr>
                <w:sz w:val="24"/>
              </w:rPr>
              <w:t>、政府采购严重违法失信行为记录名单的供应商，其</w:t>
            </w:r>
            <w:r>
              <w:rPr>
                <w:b/>
                <w:sz w:val="24"/>
              </w:rPr>
              <w:t>响应无效</w:t>
            </w:r>
            <w:r>
              <w:rPr>
                <w:sz w:val="24"/>
              </w:rPr>
              <w:t>。联合体形式磋商的，联合体成员存在不良信用记录，视同联合体存在不良信用记录。</w:t>
            </w:r>
          </w:p>
        </w:tc>
        <w:tc>
          <w:tcPr>
            <w:tcW w:w="1833" w:type="dxa"/>
            <w:vAlign w:val="center"/>
          </w:tcPr>
          <w:p w14:paraId="77CA9542">
            <w:pPr>
              <w:tabs>
                <w:tab w:val="left" w:pos="1080"/>
              </w:tabs>
              <w:snapToGrid w:val="0"/>
              <w:rPr>
                <w:sz w:val="24"/>
              </w:rPr>
            </w:pPr>
            <w:r>
              <w:rPr>
                <w:sz w:val="24"/>
              </w:rPr>
              <w:t>无须供应商提供，由采购人或采购代理机构查询。</w:t>
            </w:r>
          </w:p>
        </w:tc>
      </w:tr>
      <w:tr w14:paraId="46136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68" w:hRule="atLeast"/>
          <w:jc w:val="center"/>
        </w:trPr>
        <w:tc>
          <w:tcPr>
            <w:tcW w:w="754" w:type="dxa"/>
            <w:vAlign w:val="center"/>
          </w:tcPr>
          <w:p w14:paraId="7F1B1F7B">
            <w:pPr>
              <w:tabs>
                <w:tab w:val="left" w:pos="1080"/>
              </w:tabs>
              <w:snapToGrid w:val="0"/>
              <w:jc w:val="center"/>
              <w:rPr>
                <w:sz w:val="24"/>
              </w:rPr>
            </w:pPr>
            <w:r>
              <w:rPr>
                <w:sz w:val="24"/>
              </w:rPr>
              <w:t>1-4</w:t>
            </w:r>
          </w:p>
        </w:tc>
        <w:tc>
          <w:tcPr>
            <w:tcW w:w="1700" w:type="dxa"/>
            <w:vAlign w:val="center"/>
          </w:tcPr>
          <w:p w14:paraId="323E435C">
            <w:pPr>
              <w:tabs>
                <w:tab w:val="left" w:pos="1080"/>
              </w:tabs>
              <w:snapToGrid w:val="0"/>
              <w:rPr>
                <w:sz w:val="24"/>
              </w:rPr>
            </w:pPr>
            <w:r>
              <w:rPr>
                <w:sz w:val="24"/>
              </w:rPr>
              <w:t>法律、行政法规规定的其他条件</w:t>
            </w:r>
          </w:p>
        </w:tc>
        <w:tc>
          <w:tcPr>
            <w:tcW w:w="4674" w:type="dxa"/>
            <w:vAlign w:val="center"/>
          </w:tcPr>
          <w:p w14:paraId="27AF57CB">
            <w:pPr>
              <w:tabs>
                <w:tab w:val="left" w:pos="1080"/>
              </w:tabs>
              <w:snapToGrid w:val="0"/>
              <w:rPr>
                <w:sz w:val="24"/>
              </w:rPr>
            </w:pPr>
            <w:r>
              <w:rPr>
                <w:sz w:val="24"/>
              </w:rPr>
              <w:t>法律、行政法规规定的其他条件</w:t>
            </w:r>
          </w:p>
        </w:tc>
        <w:tc>
          <w:tcPr>
            <w:tcW w:w="1833" w:type="dxa"/>
            <w:vAlign w:val="center"/>
          </w:tcPr>
          <w:p w14:paraId="5BFAE088">
            <w:pPr>
              <w:tabs>
                <w:tab w:val="left" w:pos="1080"/>
              </w:tabs>
              <w:snapToGrid w:val="0"/>
              <w:jc w:val="center"/>
              <w:rPr>
                <w:sz w:val="24"/>
              </w:rPr>
            </w:pPr>
            <w:r>
              <w:rPr>
                <w:sz w:val="24"/>
              </w:rPr>
              <w:t>/</w:t>
            </w:r>
          </w:p>
        </w:tc>
      </w:tr>
      <w:tr w14:paraId="1FDE7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028" w:hRule="atLeast"/>
          <w:jc w:val="center"/>
        </w:trPr>
        <w:tc>
          <w:tcPr>
            <w:tcW w:w="754" w:type="dxa"/>
            <w:vAlign w:val="center"/>
          </w:tcPr>
          <w:p w14:paraId="6CEBE478">
            <w:pPr>
              <w:tabs>
                <w:tab w:val="left" w:pos="1080"/>
              </w:tabs>
              <w:snapToGrid w:val="0"/>
              <w:jc w:val="center"/>
              <w:rPr>
                <w:sz w:val="24"/>
              </w:rPr>
            </w:pPr>
            <w:r>
              <w:rPr>
                <w:sz w:val="24"/>
              </w:rPr>
              <w:t>2</w:t>
            </w:r>
          </w:p>
        </w:tc>
        <w:tc>
          <w:tcPr>
            <w:tcW w:w="1700" w:type="dxa"/>
            <w:vAlign w:val="center"/>
          </w:tcPr>
          <w:p w14:paraId="614C1DE0">
            <w:pPr>
              <w:tabs>
                <w:tab w:val="left" w:pos="1080"/>
              </w:tabs>
              <w:snapToGrid w:val="0"/>
              <w:jc w:val="left"/>
              <w:rPr>
                <w:sz w:val="24"/>
              </w:rPr>
            </w:pPr>
            <w:r>
              <w:rPr>
                <w:sz w:val="24"/>
              </w:rPr>
              <w:t>落实政府采购政策需满足的资格要求</w:t>
            </w:r>
          </w:p>
        </w:tc>
        <w:tc>
          <w:tcPr>
            <w:tcW w:w="4674" w:type="dxa"/>
            <w:vAlign w:val="center"/>
          </w:tcPr>
          <w:p w14:paraId="29A71E08">
            <w:pPr>
              <w:tabs>
                <w:tab w:val="left" w:pos="1080"/>
              </w:tabs>
              <w:snapToGrid w:val="0"/>
              <w:jc w:val="left"/>
              <w:rPr>
                <w:sz w:val="24"/>
              </w:rPr>
            </w:pPr>
            <w:r>
              <w:rPr>
                <w:sz w:val="24"/>
              </w:rPr>
              <w:t>具体要求见第一章《采购邀请》</w:t>
            </w:r>
          </w:p>
        </w:tc>
        <w:tc>
          <w:tcPr>
            <w:tcW w:w="1833" w:type="dxa"/>
            <w:vAlign w:val="center"/>
          </w:tcPr>
          <w:p w14:paraId="79A68650">
            <w:pPr>
              <w:tabs>
                <w:tab w:val="left" w:pos="1080"/>
              </w:tabs>
              <w:snapToGrid w:val="0"/>
              <w:jc w:val="left"/>
              <w:rPr>
                <w:sz w:val="24"/>
              </w:rPr>
            </w:pPr>
          </w:p>
        </w:tc>
      </w:tr>
      <w:tr w14:paraId="00F53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62" w:hRule="atLeast"/>
          <w:jc w:val="center"/>
        </w:trPr>
        <w:tc>
          <w:tcPr>
            <w:tcW w:w="754" w:type="dxa"/>
            <w:vAlign w:val="center"/>
          </w:tcPr>
          <w:p w14:paraId="185B7CC8">
            <w:pPr>
              <w:tabs>
                <w:tab w:val="left" w:pos="1080"/>
              </w:tabs>
              <w:snapToGrid w:val="0"/>
              <w:jc w:val="center"/>
              <w:rPr>
                <w:sz w:val="24"/>
              </w:rPr>
            </w:pPr>
            <w:r>
              <w:rPr>
                <w:sz w:val="24"/>
              </w:rPr>
              <w:t>2-1</w:t>
            </w:r>
          </w:p>
        </w:tc>
        <w:tc>
          <w:tcPr>
            <w:tcW w:w="1700" w:type="dxa"/>
            <w:vAlign w:val="center"/>
          </w:tcPr>
          <w:p w14:paraId="2DABA63E">
            <w:pPr>
              <w:tabs>
                <w:tab w:val="left" w:pos="1080"/>
              </w:tabs>
              <w:snapToGrid w:val="0"/>
              <w:jc w:val="left"/>
              <w:rPr>
                <w:sz w:val="24"/>
              </w:rPr>
            </w:pPr>
            <w:r>
              <w:rPr>
                <w:sz w:val="24"/>
              </w:rPr>
              <w:t>中小企业政策</w:t>
            </w:r>
            <w:r>
              <w:rPr>
                <w:rFonts w:hint="eastAsia"/>
                <w:sz w:val="24"/>
              </w:rPr>
              <w:t>证明文件</w:t>
            </w:r>
          </w:p>
        </w:tc>
        <w:tc>
          <w:tcPr>
            <w:tcW w:w="4674" w:type="dxa"/>
            <w:vAlign w:val="center"/>
          </w:tcPr>
          <w:p w14:paraId="426080A3">
            <w:pPr>
              <w:tabs>
                <w:tab w:val="left" w:pos="1080"/>
              </w:tabs>
              <w:snapToGrid w:val="0"/>
              <w:jc w:val="left"/>
              <w:rPr>
                <w:sz w:val="24"/>
              </w:rPr>
            </w:pPr>
            <w:r>
              <w:rPr>
                <w:sz w:val="24"/>
              </w:rPr>
              <w:t>具体要求见第一章《采购邀请》</w:t>
            </w:r>
          </w:p>
        </w:tc>
        <w:tc>
          <w:tcPr>
            <w:tcW w:w="1833" w:type="dxa"/>
            <w:vAlign w:val="center"/>
          </w:tcPr>
          <w:p w14:paraId="154BC476">
            <w:pPr>
              <w:tabs>
                <w:tab w:val="left" w:pos="1080"/>
              </w:tabs>
              <w:snapToGrid w:val="0"/>
              <w:jc w:val="left"/>
              <w:rPr>
                <w:sz w:val="24"/>
              </w:rPr>
            </w:pPr>
          </w:p>
        </w:tc>
      </w:tr>
      <w:tr w14:paraId="09284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150" w:hRule="atLeast"/>
          <w:jc w:val="center"/>
        </w:trPr>
        <w:tc>
          <w:tcPr>
            <w:tcW w:w="754" w:type="dxa"/>
            <w:vAlign w:val="center"/>
          </w:tcPr>
          <w:p w14:paraId="2FEDBCFF">
            <w:pPr>
              <w:tabs>
                <w:tab w:val="left" w:pos="1080"/>
              </w:tabs>
              <w:snapToGrid w:val="0"/>
              <w:jc w:val="center"/>
              <w:rPr>
                <w:sz w:val="24"/>
              </w:rPr>
            </w:pPr>
            <w:r>
              <w:rPr>
                <w:sz w:val="24"/>
              </w:rPr>
              <w:t>2-1-1</w:t>
            </w:r>
          </w:p>
        </w:tc>
        <w:tc>
          <w:tcPr>
            <w:tcW w:w="1700" w:type="dxa"/>
            <w:vAlign w:val="center"/>
          </w:tcPr>
          <w:p w14:paraId="3AAA0C84">
            <w:pPr>
              <w:tabs>
                <w:tab w:val="left" w:pos="1080"/>
              </w:tabs>
              <w:snapToGrid w:val="0"/>
              <w:jc w:val="left"/>
              <w:rPr>
                <w:sz w:val="24"/>
              </w:rPr>
            </w:pPr>
            <w:r>
              <w:rPr>
                <w:sz w:val="24"/>
              </w:rPr>
              <w:t>中小企业证明文件</w:t>
            </w:r>
          </w:p>
        </w:tc>
        <w:tc>
          <w:tcPr>
            <w:tcW w:w="4674" w:type="dxa"/>
            <w:vAlign w:val="center"/>
          </w:tcPr>
          <w:p w14:paraId="6FC3CC63">
            <w:pPr>
              <w:tabs>
                <w:tab w:val="left" w:pos="1080"/>
              </w:tabs>
              <w:snapToGrid w:val="0"/>
              <w:jc w:val="left"/>
              <w:rPr>
                <w:sz w:val="24"/>
              </w:rPr>
            </w:pPr>
            <w:r>
              <w:rPr>
                <w:sz w:val="24"/>
              </w:rPr>
              <w:t xml:space="preserve">当本项目（包）涉及预留份额专门面向中小企业采购，提供如下资料： </w:t>
            </w:r>
          </w:p>
          <w:p w14:paraId="6B9FE444">
            <w:pPr>
              <w:tabs>
                <w:tab w:val="left" w:pos="1080"/>
              </w:tabs>
              <w:snapToGrid w:val="0"/>
              <w:jc w:val="left"/>
              <w:rPr>
                <w:sz w:val="24"/>
              </w:rPr>
            </w:pPr>
            <w:r>
              <w:rPr>
                <w:sz w:val="24"/>
              </w:rPr>
              <w:t>1、供应商单独响应的，应提供《中小企业声明函》或《残疾人福利性单位声明函》或由省级以上监狱管理局、戒毒管理局（含新疆生产建设兵团）出具的属于监狱企业的证明文件。</w:t>
            </w:r>
          </w:p>
          <w:p w14:paraId="4CB1DD2A">
            <w:pPr>
              <w:tabs>
                <w:tab w:val="left" w:pos="1080"/>
              </w:tabs>
              <w:snapToGrid w:val="0"/>
              <w:jc w:val="left"/>
              <w:rPr>
                <w:sz w:val="24"/>
              </w:rPr>
            </w:pPr>
            <w:r>
              <w:rPr>
                <w:sz w:val="24"/>
              </w:rPr>
              <w:t>2、如磋商文件要求以联合体形式参加或者要求合同分包的，且供应商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采购文件关于预留份额的要求。</w:t>
            </w:r>
          </w:p>
        </w:tc>
        <w:tc>
          <w:tcPr>
            <w:tcW w:w="1833" w:type="dxa"/>
            <w:vAlign w:val="center"/>
          </w:tcPr>
          <w:p w14:paraId="10D50701">
            <w:pPr>
              <w:tabs>
                <w:tab w:val="left" w:pos="1080"/>
              </w:tabs>
              <w:snapToGrid w:val="0"/>
              <w:jc w:val="left"/>
              <w:rPr>
                <w:sz w:val="24"/>
              </w:rPr>
            </w:pPr>
            <w:r>
              <w:rPr>
                <w:sz w:val="24"/>
              </w:rPr>
              <w:t>格式见《响应文件格式》</w:t>
            </w:r>
          </w:p>
        </w:tc>
      </w:tr>
      <w:tr w14:paraId="74D34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525" w:hRule="atLeast"/>
          <w:jc w:val="center"/>
        </w:trPr>
        <w:tc>
          <w:tcPr>
            <w:tcW w:w="754" w:type="dxa"/>
            <w:vAlign w:val="center"/>
          </w:tcPr>
          <w:p w14:paraId="31DA8CE2">
            <w:pPr>
              <w:tabs>
                <w:tab w:val="left" w:pos="1080"/>
              </w:tabs>
              <w:snapToGrid w:val="0"/>
              <w:jc w:val="center"/>
              <w:rPr>
                <w:sz w:val="24"/>
              </w:rPr>
            </w:pPr>
            <w:r>
              <w:rPr>
                <w:sz w:val="24"/>
              </w:rPr>
              <w:t>2-1-2</w:t>
            </w:r>
          </w:p>
        </w:tc>
        <w:tc>
          <w:tcPr>
            <w:tcW w:w="1700" w:type="dxa"/>
            <w:vAlign w:val="center"/>
          </w:tcPr>
          <w:p w14:paraId="6C6DCB64">
            <w:pPr>
              <w:tabs>
                <w:tab w:val="left" w:pos="1080"/>
              </w:tabs>
              <w:snapToGrid w:val="0"/>
              <w:jc w:val="left"/>
              <w:rPr>
                <w:sz w:val="24"/>
              </w:rPr>
            </w:pPr>
            <w:r>
              <w:rPr>
                <w:sz w:val="24"/>
              </w:rPr>
              <w:t>拟分包情况说明及分包意向协议</w:t>
            </w:r>
            <w:r>
              <w:rPr>
                <w:rFonts w:hint="eastAsia"/>
                <w:sz w:val="24"/>
              </w:rPr>
              <w:t>（本项目不适用）</w:t>
            </w:r>
          </w:p>
        </w:tc>
        <w:tc>
          <w:tcPr>
            <w:tcW w:w="4674" w:type="dxa"/>
            <w:vAlign w:val="center"/>
          </w:tcPr>
          <w:p w14:paraId="085872EB">
            <w:pPr>
              <w:tabs>
                <w:tab w:val="left" w:pos="1080"/>
              </w:tabs>
              <w:snapToGrid w:val="0"/>
              <w:jc w:val="left"/>
              <w:rPr>
                <w:sz w:val="24"/>
              </w:rPr>
            </w:pPr>
            <w:r>
              <w:rPr>
                <w:sz w:val="24"/>
              </w:rPr>
              <w:t>如本项目（包）要求通过分包措施预留部分采购份额面向中小企业采购、且供应商因落实政府采购政策拟进行分包的，必须提供；否则无须提供。</w:t>
            </w:r>
          </w:p>
          <w:p w14:paraId="23356332">
            <w:pPr>
              <w:tabs>
                <w:tab w:val="left" w:pos="1080"/>
              </w:tabs>
              <w:snapToGrid w:val="0"/>
              <w:jc w:val="left"/>
              <w:rPr>
                <w:b/>
                <w:sz w:val="24"/>
              </w:rPr>
            </w:pPr>
            <w:r>
              <w:rPr>
                <w:sz w:val="24"/>
              </w:rPr>
              <w:t>对于预留份额专门面向中小企业采购的项目（包），组成联合体或者接受分包合同的中小企业与联合体内其他企业、分包企业之间不得存在直接控股、管理关系。</w:t>
            </w:r>
          </w:p>
        </w:tc>
        <w:tc>
          <w:tcPr>
            <w:tcW w:w="1833" w:type="dxa"/>
            <w:vAlign w:val="center"/>
          </w:tcPr>
          <w:p w14:paraId="1BE1A9B9">
            <w:pPr>
              <w:tabs>
                <w:tab w:val="left" w:pos="1080"/>
              </w:tabs>
              <w:snapToGrid w:val="0"/>
              <w:jc w:val="left"/>
              <w:rPr>
                <w:sz w:val="24"/>
              </w:rPr>
            </w:pPr>
            <w:r>
              <w:rPr>
                <w:sz w:val="24"/>
              </w:rPr>
              <w:t>格式见《响应文件格式》</w:t>
            </w:r>
          </w:p>
        </w:tc>
      </w:tr>
      <w:tr w14:paraId="10CAC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013" w:hRule="atLeast"/>
          <w:jc w:val="center"/>
        </w:trPr>
        <w:tc>
          <w:tcPr>
            <w:tcW w:w="754" w:type="dxa"/>
            <w:vAlign w:val="center"/>
          </w:tcPr>
          <w:p w14:paraId="5E277BB9">
            <w:pPr>
              <w:tabs>
                <w:tab w:val="left" w:pos="1080"/>
              </w:tabs>
              <w:snapToGrid w:val="0"/>
              <w:jc w:val="center"/>
              <w:rPr>
                <w:sz w:val="24"/>
              </w:rPr>
            </w:pPr>
            <w:r>
              <w:rPr>
                <w:sz w:val="24"/>
              </w:rPr>
              <w:t>2-2</w:t>
            </w:r>
          </w:p>
        </w:tc>
        <w:tc>
          <w:tcPr>
            <w:tcW w:w="1700" w:type="dxa"/>
            <w:vAlign w:val="center"/>
          </w:tcPr>
          <w:p w14:paraId="796F7D17">
            <w:pPr>
              <w:tabs>
                <w:tab w:val="left" w:pos="1080"/>
              </w:tabs>
              <w:snapToGrid w:val="0"/>
              <w:jc w:val="left"/>
              <w:rPr>
                <w:sz w:val="24"/>
              </w:rPr>
            </w:pPr>
            <w:r>
              <w:rPr>
                <w:sz w:val="24"/>
              </w:rPr>
              <w:t>其它落实政府采购政策的资格要求</w:t>
            </w:r>
          </w:p>
        </w:tc>
        <w:tc>
          <w:tcPr>
            <w:tcW w:w="4674" w:type="dxa"/>
            <w:vAlign w:val="center"/>
          </w:tcPr>
          <w:p w14:paraId="703AAB99">
            <w:pPr>
              <w:tabs>
                <w:tab w:val="left" w:pos="1080"/>
              </w:tabs>
              <w:snapToGrid w:val="0"/>
              <w:jc w:val="left"/>
              <w:rPr>
                <w:sz w:val="24"/>
              </w:rPr>
            </w:pPr>
            <w:r>
              <w:rPr>
                <w:sz w:val="24"/>
              </w:rPr>
              <w:t>如有，见第一章《采购邀请》</w:t>
            </w:r>
          </w:p>
        </w:tc>
        <w:tc>
          <w:tcPr>
            <w:tcW w:w="1833" w:type="dxa"/>
            <w:vAlign w:val="center"/>
          </w:tcPr>
          <w:p w14:paraId="568BF799">
            <w:pPr>
              <w:tabs>
                <w:tab w:val="left" w:pos="1080"/>
              </w:tabs>
              <w:snapToGrid w:val="0"/>
              <w:jc w:val="left"/>
              <w:rPr>
                <w:sz w:val="24"/>
              </w:rPr>
            </w:pPr>
            <w:r>
              <w:rPr>
                <w:sz w:val="24"/>
              </w:rPr>
              <w:t>提供证明文件的</w:t>
            </w:r>
            <w:r>
              <w:rPr>
                <w:rFonts w:hint="eastAsia"/>
                <w:sz w:val="24"/>
              </w:rPr>
              <w:t>相关复印件</w:t>
            </w:r>
          </w:p>
        </w:tc>
      </w:tr>
      <w:tr w14:paraId="66D3E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jc w:val="center"/>
        </w:trPr>
        <w:tc>
          <w:tcPr>
            <w:tcW w:w="754" w:type="dxa"/>
            <w:vAlign w:val="center"/>
          </w:tcPr>
          <w:p w14:paraId="06626957">
            <w:pPr>
              <w:tabs>
                <w:tab w:val="left" w:pos="1080"/>
              </w:tabs>
              <w:snapToGrid w:val="0"/>
              <w:jc w:val="center"/>
              <w:rPr>
                <w:sz w:val="24"/>
              </w:rPr>
            </w:pPr>
            <w:r>
              <w:rPr>
                <w:sz w:val="24"/>
              </w:rPr>
              <w:t>3</w:t>
            </w:r>
          </w:p>
        </w:tc>
        <w:tc>
          <w:tcPr>
            <w:tcW w:w="1700" w:type="dxa"/>
            <w:vAlign w:val="center"/>
          </w:tcPr>
          <w:p w14:paraId="0AA11238">
            <w:pPr>
              <w:tabs>
                <w:tab w:val="left" w:pos="1080"/>
              </w:tabs>
              <w:snapToGrid w:val="0"/>
              <w:jc w:val="left"/>
              <w:rPr>
                <w:sz w:val="24"/>
              </w:rPr>
            </w:pPr>
            <w:r>
              <w:rPr>
                <w:sz w:val="24"/>
              </w:rPr>
              <w:t>本项目的特定资格要求</w:t>
            </w:r>
          </w:p>
        </w:tc>
        <w:tc>
          <w:tcPr>
            <w:tcW w:w="4674" w:type="dxa"/>
            <w:vAlign w:val="center"/>
          </w:tcPr>
          <w:p w14:paraId="1B14E776">
            <w:pPr>
              <w:tabs>
                <w:tab w:val="left" w:pos="1080"/>
              </w:tabs>
              <w:snapToGrid w:val="0"/>
              <w:jc w:val="left"/>
              <w:rPr>
                <w:sz w:val="24"/>
              </w:rPr>
            </w:pPr>
            <w:r>
              <w:rPr>
                <w:sz w:val="24"/>
              </w:rPr>
              <w:t>如有，见第一章《采购邀请》</w:t>
            </w:r>
          </w:p>
        </w:tc>
        <w:tc>
          <w:tcPr>
            <w:tcW w:w="1833" w:type="dxa"/>
            <w:vAlign w:val="center"/>
          </w:tcPr>
          <w:p w14:paraId="002072A6">
            <w:pPr>
              <w:tabs>
                <w:tab w:val="left" w:pos="1080"/>
              </w:tabs>
              <w:snapToGrid w:val="0"/>
              <w:jc w:val="left"/>
              <w:rPr>
                <w:sz w:val="24"/>
              </w:rPr>
            </w:pPr>
          </w:p>
        </w:tc>
      </w:tr>
      <w:tr w14:paraId="6F6F5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jc w:val="center"/>
        </w:trPr>
        <w:tc>
          <w:tcPr>
            <w:tcW w:w="754" w:type="dxa"/>
            <w:vAlign w:val="center"/>
          </w:tcPr>
          <w:p w14:paraId="0C92AAA5">
            <w:pPr>
              <w:tabs>
                <w:tab w:val="left" w:pos="1080"/>
              </w:tabs>
              <w:snapToGrid w:val="0"/>
              <w:jc w:val="center"/>
              <w:rPr>
                <w:sz w:val="24"/>
              </w:rPr>
            </w:pPr>
            <w:r>
              <w:rPr>
                <w:sz w:val="24"/>
              </w:rPr>
              <w:t>3-1</w:t>
            </w:r>
          </w:p>
        </w:tc>
        <w:tc>
          <w:tcPr>
            <w:tcW w:w="1700" w:type="dxa"/>
            <w:vAlign w:val="center"/>
          </w:tcPr>
          <w:p w14:paraId="58D945E1">
            <w:pPr>
              <w:tabs>
                <w:tab w:val="left" w:pos="1080"/>
              </w:tabs>
              <w:snapToGrid w:val="0"/>
              <w:rPr>
                <w:sz w:val="24"/>
              </w:rPr>
            </w:pPr>
            <w:r>
              <w:rPr>
                <w:sz w:val="24"/>
              </w:rPr>
              <w:t>本项目对于联合体的要求</w:t>
            </w:r>
            <w:r>
              <w:rPr>
                <w:rFonts w:hint="eastAsia"/>
                <w:sz w:val="24"/>
              </w:rPr>
              <w:t>（本项目不适用）</w:t>
            </w:r>
          </w:p>
        </w:tc>
        <w:tc>
          <w:tcPr>
            <w:tcW w:w="4674" w:type="dxa"/>
            <w:vAlign w:val="center"/>
          </w:tcPr>
          <w:p w14:paraId="2C428D5E">
            <w:pPr>
              <w:tabs>
                <w:tab w:val="left" w:pos="1080"/>
              </w:tabs>
              <w:snapToGrid w:val="0"/>
              <w:rPr>
                <w:sz w:val="24"/>
              </w:rPr>
            </w:pPr>
            <w:r>
              <w:rPr>
                <w:sz w:val="24"/>
              </w:rPr>
              <w:t>1、如本项目接受联合体磋商，且供应商为联合体时必须提供《联合协议》，明确各方拟承担的工作和责任，并指定联合体牵头人，授权其代表所有联合体成员负责本项目磋商和合同实施阶段的牵头、协调工作。该联合协议应当作为响应文件的组成部分，与响应文件其他内容同时提交。</w:t>
            </w:r>
          </w:p>
          <w:p w14:paraId="17D4FCF8">
            <w:pPr>
              <w:tabs>
                <w:tab w:val="left" w:pos="1080"/>
              </w:tabs>
              <w:snapToGrid w:val="0"/>
              <w:rPr>
                <w:sz w:val="24"/>
              </w:rPr>
            </w:pPr>
            <w:r>
              <w:rPr>
                <w:sz w:val="24"/>
              </w:rPr>
              <w:t>2、联合体各成员单位均须提供本表中序号1-1、1-2的证明文件。联合体各成员单位均应满足本表3-2项规定。</w:t>
            </w:r>
          </w:p>
          <w:p w14:paraId="69DB184D">
            <w:pPr>
              <w:tabs>
                <w:tab w:val="left" w:pos="1080"/>
              </w:tabs>
              <w:snapToGrid w:val="0"/>
              <w:rPr>
                <w:sz w:val="24"/>
              </w:rPr>
            </w:pPr>
            <w:r>
              <w:rPr>
                <w:sz w:val="24"/>
              </w:rPr>
              <w:t>3、本表序号3-3项规定的其他特定资格要求中的每一小项要求，联合体各方中至少应当有一方符合本表中其他资格要求并提供证明文件。</w:t>
            </w:r>
          </w:p>
          <w:p w14:paraId="69D85B2C">
            <w:pPr>
              <w:tabs>
                <w:tab w:val="left" w:pos="1080"/>
              </w:tabs>
              <w:snapToGrid w:val="0"/>
              <w:rPr>
                <w:sz w:val="24"/>
              </w:rPr>
            </w:pPr>
            <w:r>
              <w:rPr>
                <w:sz w:val="24"/>
              </w:rPr>
              <w:t>4、联合体中有同类资质的供应商按照联合体分工承担相同工作的，应当按照资质等级较低的供应商确定资质等级。</w:t>
            </w:r>
          </w:p>
          <w:p w14:paraId="6E2CE820">
            <w:pPr>
              <w:tabs>
                <w:tab w:val="left" w:pos="1080"/>
              </w:tabs>
              <w:snapToGrid w:val="0"/>
              <w:rPr>
                <w:sz w:val="24"/>
              </w:rPr>
            </w:pPr>
            <w:r>
              <w:rPr>
                <w:sz w:val="24"/>
              </w:rPr>
              <w:t>5、以联合体形式参加政府采购活动的，联合体各方不得再单独参加或者与其他供应商另外组成联合体参加同一合同项下的政府采购活动。</w:t>
            </w:r>
          </w:p>
          <w:p w14:paraId="6E91AA62">
            <w:pPr>
              <w:tabs>
                <w:tab w:val="left" w:pos="1080"/>
              </w:tabs>
              <w:snapToGrid w:val="0"/>
              <w:rPr>
                <w:sz w:val="24"/>
              </w:rPr>
            </w:pPr>
            <w:r>
              <w:rPr>
                <w:sz w:val="24"/>
              </w:rPr>
              <w:t>6、若联合体中任一成员单位中途退出，则该联合体的</w:t>
            </w:r>
            <w:r>
              <w:rPr>
                <w:b/>
                <w:sz w:val="24"/>
              </w:rPr>
              <w:t>响应无效</w:t>
            </w:r>
            <w:r>
              <w:rPr>
                <w:sz w:val="24"/>
              </w:rPr>
              <w:t>。</w:t>
            </w:r>
          </w:p>
          <w:p w14:paraId="09E602C2">
            <w:pPr>
              <w:tabs>
                <w:tab w:val="left" w:pos="1080"/>
              </w:tabs>
              <w:snapToGrid w:val="0"/>
              <w:rPr>
                <w:sz w:val="24"/>
              </w:rPr>
            </w:pPr>
            <w:r>
              <w:rPr>
                <w:sz w:val="24"/>
              </w:rPr>
              <w:t>7、本项目不接受联合体响应时，供应商不得为联合体。</w:t>
            </w:r>
          </w:p>
        </w:tc>
        <w:tc>
          <w:tcPr>
            <w:tcW w:w="1833" w:type="dxa"/>
            <w:vAlign w:val="center"/>
          </w:tcPr>
          <w:p w14:paraId="5A1F57A2">
            <w:pPr>
              <w:tabs>
                <w:tab w:val="left" w:pos="1080"/>
              </w:tabs>
              <w:snapToGrid w:val="0"/>
              <w:rPr>
                <w:sz w:val="24"/>
              </w:rPr>
            </w:pPr>
            <w:r>
              <w:rPr>
                <w:sz w:val="24"/>
              </w:rPr>
              <w:t>提供《联合协议》原件</w:t>
            </w:r>
          </w:p>
          <w:p w14:paraId="513385C3">
            <w:pPr>
              <w:tabs>
                <w:tab w:val="left" w:pos="1080"/>
              </w:tabs>
              <w:snapToGrid w:val="0"/>
              <w:rPr>
                <w:sz w:val="24"/>
              </w:rPr>
            </w:pPr>
            <w:r>
              <w:rPr>
                <w:sz w:val="24"/>
              </w:rPr>
              <w:t>格式见《响应文件格式》</w:t>
            </w:r>
          </w:p>
        </w:tc>
      </w:tr>
      <w:tr w14:paraId="18539C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322" w:hRule="atLeast"/>
          <w:jc w:val="center"/>
        </w:trPr>
        <w:tc>
          <w:tcPr>
            <w:tcW w:w="754" w:type="dxa"/>
            <w:vAlign w:val="center"/>
          </w:tcPr>
          <w:p w14:paraId="08724ED2">
            <w:pPr>
              <w:tabs>
                <w:tab w:val="left" w:pos="1080"/>
              </w:tabs>
              <w:snapToGrid w:val="0"/>
              <w:jc w:val="center"/>
              <w:rPr>
                <w:sz w:val="24"/>
              </w:rPr>
            </w:pPr>
            <w:r>
              <w:rPr>
                <w:sz w:val="24"/>
              </w:rPr>
              <w:t>3-2</w:t>
            </w:r>
          </w:p>
        </w:tc>
        <w:tc>
          <w:tcPr>
            <w:tcW w:w="1700" w:type="dxa"/>
            <w:vAlign w:val="center"/>
          </w:tcPr>
          <w:p w14:paraId="7088DEB1">
            <w:pPr>
              <w:tabs>
                <w:tab w:val="left" w:pos="1080"/>
              </w:tabs>
              <w:snapToGrid w:val="0"/>
              <w:rPr>
                <w:sz w:val="24"/>
              </w:rPr>
            </w:pPr>
            <w:r>
              <w:rPr>
                <w:sz w:val="24"/>
              </w:rPr>
              <w:t>政府购买服务承接主体的要求</w:t>
            </w:r>
            <w:r>
              <w:rPr>
                <w:rFonts w:hint="eastAsia"/>
                <w:sz w:val="24"/>
              </w:rPr>
              <w:t>（本项目不适用）</w:t>
            </w:r>
          </w:p>
        </w:tc>
        <w:tc>
          <w:tcPr>
            <w:tcW w:w="4674" w:type="dxa"/>
            <w:vAlign w:val="center"/>
          </w:tcPr>
          <w:p w14:paraId="76E5C21B">
            <w:pPr>
              <w:tabs>
                <w:tab w:val="left" w:pos="1080"/>
              </w:tabs>
              <w:snapToGrid w:val="0"/>
              <w:rPr>
                <w:sz w:val="24"/>
              </w:rPr>
            </w:pPr>
            <w:r>
              <w:rPr>
                <w:sz w:val="24"/>
              </w:rPr>
              <w:t>如本项目属于政府购买服务，供应商不属于公益一类事业单位、使用事业编制且由财政拨款保障的群团组织。</w:t>
            </w:r>
          </w:p>
        </w:tc>
        <w:tc>
          <w:tcPr>
            <w:tcW w:w="1833" w:type="dxa"/>
            <w:vAlign w:val="center"/>
          </w:tcPr>
          <w:p w14:paraId="531E4EE3">
            <w:pPr>
              <w:tabs>
                <w:tab w:val="left" w:pos="1080"/>
              </w:tabs>
              <w:snapToGrid w:val="0"/>
              <w:rPr>
                <w:sz w:val="24"/>
              </w:rPr>
            </w:pPr>
            <w:r>
              <w:rPr>
                <w:sz w:val="24"/>
              </w:rPr>
              <w:t>格式见《响应文件格式》</w:t>
            </w:r>
            <w:r>
              <w:rPr>
                <w:rFonts w:hint="eastAsia"/>
                <w:sz w:val="24"/>
              </w:rPr>
              <w:t>“</w:t>
            </w:r>
            <w:r>
              <w:rPr>
                <w:sz w:val="24"/>
              </w:rPr>
              <w:t xml:space="preserve">1-2 </w:t>
            </w:r>
            <w:r>
              <w:rPr>
                <w:rFonts w:hint="eastAsia"/>
                <w:sz w:val="24"/>
              </w:rPr>
              <w:t>供应商资格声明书”</w:t>
            </w:r>
          </w:p>
        </w:tc>
      </w:tr>
      <w:tr w14:paraId="4D896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97" w:hRule="atLeast"/>
          <w:jc w:val="center"/>
        </w:trPr>
        <w:tc>
          <w:tcPr>
            <w:tcW w:w="754" w:type="dxa"/>
            <w:vAlign w:val="center"/>
          </w:tcPr>
          <w:p w14:paraId="6BECFA68">
            <w:pPr>
              <w:tabs>
                <w:tab w:val="left" w:pos="1080"/>
              </w:tabs>
              <w:snapToGrid w:val="0"/>
              <w:jc w:val="center"/>
              <w:rPr>
                <w:sz w:val="24"/>
              </w:rPr>
            </w:pPr>
            <w:r>
              <w:rPr>
                <w:sz w:val="24"/>
              </w:rPr>
              <w:t>3-3</w:t>
            </w:r>
          </w:p>
        </w:tc>
        <w:tc>
          <w:tcPr>
            <w:tcW w:w="1700" w:type="dxa"/>
            <w:vAlign w:val="center"/>
          </w:tcPr>
          <w:p w14:paraId="73AEF4EA">
            <w:pPr>
              <w:tabs>
                <w:tab w:val="left" w:pos="1080"/>
              </w:tabs>
              <w:snapToGrid w:val="0"/>
              <w:rPr>
                <w:sz w:val="24"/>
              </w:rPr>
            </w:pPr>
            <w:r>
              <w:rPr>
                <w:sz w:val="24"/>
              </w:rPr>
              <w:t>其他特定资格要求</w:t>
            </w:r>
          </w:p>
        </w:tc>
        <w:tc>
          <w:tcPr>
            <w:tcW w:w="4674" w:type="dxa"/>
            <w:vAlign w:val="center"/>
          </w:tcPr>
          <w:p w14:paraId="1B9C5E56">
            <w:pPr>
              <w:tabs>
                <w:tab w:val="left" w:pos="1080"/>
              </w:tabs>
              <w:snapToGrid w:val="0"/>
              <w:rPr>
                <w:sz w:val="24"/>
              </w:rPr>
            </w:pPr>
            <w:r>
              <w:rPr>
                <w:color w:val="000000"/>
                <w:sz w:val="24"/>
              </w:rPr>
              <w:t>如有，见</w:t>
            </w:r>
            <w:r>
              <w:rPr>
                <w:sz w:val="24"/>
              </w:rPr>
              <w:t>第一章《采购邀请》</w:t>
            </w:r>
          </w:p>
          <w:p w14:paraId="2077D4D4">
            <w:pPr>
              <w:tabs>
                <w:tab w:val="left" w:pos="1080"/>
              </w:tabs>
              <w:snapToGrid w:val="0"/>
              <w:rPr>
                <w:sz w:val="24"/>
              </w:rPr>
            </w:pPr>
            <w:r>
              <w:rPr>
                <w:rFonts w:hint="eastAsia"/>
                <w:sz w:val="24"/>
              </w:rPr>
              <w:t>3.2.4供应商具备市政公用工程施工总承包资质三级及以上资质，外地来京建筑企业须办理进京备案；</w:t>
            </w:r>
          </w:p>
          <w:p w14:paraId="5108B5A8">
            <w:pPr>
              <w:tabs>
                <w:tab w:val="left" w:pos="1080"/>
              </w:tabs>
              <w:snapToGrid w:val="0"/>
              <w:rPr>
                <w:sz w:val="24"/>
              </w:rPr>
            </w:pPr>
            <w:r>
              <w:rPr>
                <w:rFonts w:hint="eastAsia"/>
                <w:sz w:val="24"/>
              </w:rPr>
              <w:t>3.2.5供应商须具备有效的安全生产许可证；</w:t>
            </w:r>
          </w:p>
          <w:p w14:paraId="106F56F0">
            <w:pPr>
              <w:tabs>
                <w:tab w:val="left" w:pos="1080"/>
              </w:tabs>
              <w:snapToGrid w:val="0"/>
              <w:rPr>
                <w:sz w:val="24"/>
              </w:rPr>
            </w:pPr>
            <w:r>
              <w:rPr>
                <w:rFonts w:hint="eastAsia"/>
                <w:sz w:val="24"/>
              </w:rPr>
              <w:t>3.2.6供应商拟派项目经理须具备市政公用工程专业二级（含）以上注册建造师执业资格，具备有效的安全生产考核合格证书（B本），且在确定成交人时不得担任其他在施建设工程项目的项目经理；</w:t>
            </w:r>
          </w:p>
          <w:p w14:paraId="7175842D">
            <w:pPr>
              <w:tabs>
                <w:tab w:val="left" w:pos="1080"/>
              </w:tabs>
              <w:snapToGrid w:val="0"/>
              <w:rPr>
                <w:sz w:val="24"/>
              </w:rPr>
            </w:pPr>
            <w:r>
              <w:rPr>
                <w:rFonts w:hint="eastAsia"/>
                <w:sz w:val="24"/>
              </w:rPr>
              <w:t>注：如</w:t>
            </w:r>
            <w:r>
              <w:rPr>
                <w:sz w:val="24"/>
              </w:rPr>
              <w:t>联合体中有同类资质的供应商按照联合体分工承担相同工作的，</w:t>
            </w:r>
            <w:r>
              <w:rPr>
                <w:rFonts w:hint="eastAsia"/>
                <w:sz w:val="24"/>
              </w:rPr>
              <w:t>均</w:t>
            </w:r>
            <w:r>
              <w:rPr>
                <w:sz w:val="24"/>
              </w:rPr>
              <w:t>应当</w:t>
            </w:r>
            <w:r>
              <w:rPr>
                <w:rFonts w:hint="eastAsia"/>
                <w:sz w:val="24"/>
              </w:rPr>
              <w:t>提供资质证书相关复印件。</w:t>
            </w:r>
          </w:p>
        </w:tc>
        <w:tc>
          <w:tcPr>
            <w:tcW w:w="1833" w:type="dxa"/>
            <w:vAlign w:val="center"/>
          </w:tcPr>
          <w:p w14:paraId="5DE729DF">
            <w:pPr>
              <w:tabs>
                <w:tab w:val="left" w:pos="1080"/>
              </w:tabs>
              <w:snapToGrid w:val="0"/>
              <w:rPr>
                <w:sz w:val="24"/>
              </w:rPr>
            </w:pPr>
            <w:r>
              <w:rPr>
                <w:sz w:val="24"/>
              </w:rPr>
              <w:t>提供证明文件的</w:t>
            </w:r>
            <w:r>
              <w:rPr>
                <w:rFonts w:hint="eastAsia"/>
                <w:sz w:val="24"/>
              </w:rPr>
              <w:t>相关复印件</w:t>
            </w:r>
          </w:p>
        </w:tc>
      </w:tr>
      <w:tr w14:paraId="6DE24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45" w:hRule="atLeast"/>
          <w:jc w:val="center"/>
        </w:trPr>
        <w:tc>
          <w:tcPr>
            <w:tcW w:w="754" w:type="dxa"/>
            <w:vAlign w:val="center"/>
          </w:tcPr>
          <w:p w14:paraId="747A83A1">
            <w:pPr>
              <w:tabs>
                <w:tab w:val="left" w:pos="1080"/>
              </w:tabs>
              <w:snapToGrid w:val="0"/>
              <w:jc w:val="center"/>
              <w:rPr>
                <w:sz w:val="24"/>
              </w:rPr>
            </w:pPr>
            <w:r>
              <w:rPr>
                <w:sz w:val="24"/>
              </w:rPr>
              <w:t>4</w:t>
            </w:r>
          </w:p>
        </w:tc>
        <w:tc>
          <w:tcPr>
            <w:tcW w:w="1700" w:type="dxa"/>
            <w:vAlign w:val="center"/>
          </w:tcPr>
          <w:p w14:paraId="0B72BF9A">
            <w:pPr>
              <w:tabs>
                <w:tab w:val="left" w:pos="1080"/>
              </w:tabs>
              <w:snapToGrid w:val="0"/>
              <w:rPr>
                <w:sz w:val="24"/>
              </w:rPr>
            </w:pPr>
            <w:r>
              <w:rPr>
                <w:color w:val="000000"/>
                <w:kern w:val="0"/>
                <w:sz w:val="24"/>
              </w:rPr>
              <w:t>磋商保证金</w:t>
            </w:r>
          </w:p>
        </w:tc>
        <w:tc>
          <w:tcPr>
            <w:tcW w:w="4674" w:type="dxa"/>
            <w:vAlign w:val="center"/>
          </w:tcPr>
          <w:p w14:paraId="070D72EF">
            <w:pPr>
              <w:tabs>
                <w:tab w:val="left" w:pos="1080"/>
              </w:tabs>
              <w:snapToGrid w:val="0"/>
              <w:rPr>
                <w:color w:val="000000"/>
                <w:sz w:val="24"/>
              </w:rPr>
            </w:pPr>
            <w:r>
              <w:rPr>
                <w:color w:val="000000"/>
                <w:kern w:val="0"/>
                <w:sz w:val="24"/>
              </w:rPr>
              <w:t>按照竞争性磋商文件的要求提交磋商保证金。</w:t>
            </w:r>
          </w:p>
        </w:tc>
        <w:tc>
          <w:tcPr>
            <w:tcW w:w="1833" w:type="dxa"/>
            <w:vAlign w:val="center"/>
          </w:tcPr>
          <w:p w14:paraId="767AEFC2">
            <w:pPr>
              <w:tabs>
                <w:tab w:val="left" w:pos="1080"/>
              </w:tabs>
              <w:snapToGrid w:val="0"/>
              <w:rPr>
                <w:sz w:val="24"/>
              </w:rPr>
            </w:pPr>
          </w:p>
        </w:tc>
      </w:tr>
      <w:tr w14:paraId="012D7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781" w:hRule="atLeast"/>
          <w:jc w:val="center"/>
        </w:trPr>
        <w:tc>
          <w:tcPr>
            <w:tcW w:w="754" w:type="dxa"/>
            <w:vAlign w:val="center"/>
          </w:tcPr>
          <w:p w14:paraId="3C4C3891">
            <w:pPr>
              <w:tabs>
                <w:tab w:val="left" w:pos="1080"/>
              </w:tabs>
              <w:snapToGrid w:val="0"/>
              <w:jc w:val="center"/>
              <w:rPr>
                <w:sz w:val="24"/>
              </w:rPr>
            </w:pPr>
            <w:r>
              <w:rPr>
                <w:rFonts w:hint="eastAsia"/>
                <w:sz w:val="24"/>
              </w:rPr>
              <w:t>5</w:t>
            </w:r>
          </w:p>
        </w:tc>
        <w:tc>
          <w:tcPr>
            <w:tcW w:w="1700" w:type="dxa"/>
            <w:vAlign w:val="center"/>
          </w:tcPr>
          <w:p w14:paraId="19CE87B7">
            <w:pPr>
              <w:tabs>
                <w:tab w:val="left" w:pos="1080"/>
              </w:tabs>
              <w:snapToGrid w:val="0"/>
              <w:rPr>
                <w:color w:val="000000"/>
                <w:kern w:val="0"/>
                <w:sz w:val="24"/>
              </w:rPr>
            </w:pPr>
            <w:r>
              <w:rPr>
                <w:rFonts w:hint="eastAsia"/>
                <w:color w:val="000000"/>
                <w:kern w:val="0"/>
                <w:sz w:val="24"/>
              </w:rPr>
              <w:t>获取磋商文件</w:t>
            </w:r>
          </w:p>
        </w:tc>
        <w:tc>
          <w:tcPr>
            <w:tcW w:w="4674" w:type="dxa"/>
            <w:vAlign w:val="center"/>
          </w:tcPr>
          <w:p w14:paraId="1994235E">
            <w:pPr>
              <w:tabs>
                <w:tab w:val="left" w:pos="1080"/>
              </w:tabs>
              <w:snapToGrid w:val="0"/>
              <w:rPr>
                <w:color w:val="000000"/>
                <w:kern w:val="0"/>
                <w:sz w:val="24"/>
              </w:rPr>
            </w:pPr>
            <w:r>
              <w:rPr>
                <w:rFonts w:hint="eastAsia"/>
                <w:color w:val="000000"/>
                <w:kern w:val="0"/>
                <w:sz w:val="24"/>
              </w:rPr>
              <w:t>在规定期限内通过北京市政府采购电子交易平台获取所参与包的磋商文件。</w:t>
            </w:r>
          </w:p>
          <w:p w14:paraId="76BEE46F">
            <w:pPr>
              <w:tabs>
                <w:tab w:val="left" w:pos="1080"/>
              </w:tabs>
              <w:snapToGrid w:val="0"/>
              <w:rPr>
                <w:color w:val="000000"/>
                <w:kern w:val="0"/>
                <w:sz w:val="24"/>
              </w:rPr>
            </w:pPr>
            <w:r>
              <w:rPr>
                <w:rFonts w:hint="eastAsia"/>
                <w:color w:val="000000"/>
                <w:kern w:val="0"/>
                <w:sz w:val="24"/>
              </w:rPr>
              <w:t>注：如本项目接受联合体，且供应商为联合体时，联合体中任一成员获取文件即视为满足要求。</w:t>
            </w:r>
          </w:p>
        </w:tc>
        <w:tc>
          <w:tcPr>
            <w:tcW w:w="1833" w:type="dxa"/>
            <w:vAlign w:val="center"/>
          </w:tcPr>
          <w:p w14:paraId="5BDC95B0">
            <w:pPr>
              <w:tabs>
                <w:tab w:val="left" w:pos="1080"/>
              </w:tabs>
              <w:snapToGrid w:val="0"/>
              <w:rPr>
                <w:sz w:val="24"/>
              </w:rPr>
            </w:pPr>
          </w:p>
        </w:tc>
      </w:tr>
    </w:tbl>
    <w:p w14:paraId="4017D158">
      <w:pPr>
        <w:widowControl/>
        <w:jc w:val="left"/>
        <w:rPr>
          <w:sz w:val="24"/>
        </w:rPr>
      </w:pPr>
    </w:p>
    <w:p w14:paraId="252D595E">
      <w:pPr>
        <w:numPr>
          <w:ilvl w:val="1"/>
          <w:numId w:val="10"/>
        </w:numPr>
        <w:tabs>
          <w:tab w:val="left" w:pos="1080"/>
        </w:tabs>
        <w:snapToGrid w:val="0"/>
        <w:spacing w:line="360" w:lineRule="auto"/>
        <w:ind w:left="1077" w:hanging="720"/>
        <w:rPr>
          <w:sz w:val="24"/>
        </w:rPr>
      </w:pPr>
      <w:r>
        <w:rPr>
          <w:sz w:val="24"/>
        </w:rPr>
        <w:br w:type="page"/>
      </w:r>
      <w:r>
        <w:rPr>
          <w:sz w:val="24"/>
        </w:rPr>
        <w:t>《符合性审查要求》见下表：</w:t>
      </w:r>
    </w:p>
    <w:p w14:paraId="2D5690CF">
      <w:pPr>
        <w:widowControl/>
        <w:spacing w:line="360" w:lineRule="auto"/>
        <w:jc w:val="center"/>
        <w:rPr>
          <w:b/>
          <w:color w:val="000000"/>
          <w:kern w:val="0"/>
          <w:sz w:val="24"/>
        </w:rPr>
      </w:pPr>
      <w:r>
        <w:rPr>
          <w:b/>
          <w:color w:val="000000"/>
          <w:kern w:val="0"/>
          <w:sz w:val="24"/>
        </w:rPr>
        <w:t>符合性审查要求</w:t>
      </w:r>
    </w:p>
    <w:tbl>
      <w:tblPr>
        <w:tblStyle w:val="43"/>
        <w:tblW w:w="9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688"/>
        <w:gridCol w:w="5008"/>
        <w:gridCol w:w="1751"/>
      </w:tblGrid>
      <w:tr w14:paraId="56F09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28" w:type="dxa"/>
            <w:vAlign w:val="center"/>
          </w:tcPr>
          <w:p w14:paraId="3C36C278">
            <w:pPr>
              <w:widowControl/>
              <w:jc w:val="center"/>
              <w:rPr>
                <w:b/>
                <w:color w:val="000000"/>
                <w:kern w:val="0"/>
                <w:sz w:val="24"/>
              </w:rPr>
            </w:pPr>
            <w:r>
              <w:rPr>
                <w:b/>
                <w:color w:val="000000"/>
                <w:kern w:val="0"/>
                <w:sz w:val="24"/>
              </w:rPr>
              <w:t>序号</w:t>
            </w:r>
          </w:p>
        </w:tc>
        <w:tc>
          <w:tcPr>
            <w:tcW w:w="1688" w:type="dxa"/>
            <w:vAlign w:val="center"/>
          </w:tcPr>
          <w:p w14:paraId="139220EB">
            <w:pPr>
              <w:widowControl/>
              <w:jc w:val="center"/>
              <w:rPr>
                <w:b/>
                <w:color w:val="000000"/>
                <w:kern w:val="0"/>
                <w:sz w:val="24"/>
              </w:rPr>
            </w:pPr>
            <w:r>
              <w:rPr>
                <w:b/>
                <w:sz w:val="24"/>
              </w:rPr>
              <w:t>检查</w:t>
            </w:r>
            <w:r>
              <w:rPr>
                <w:b/>
                <w:color w:val="000000"/>
                <w:kern w:val="0"/>
                <w:sz w:val="24"/>
              </w:rPr>
              <w:t>因素</w:t>
            </w:r>
          </w:p>
        </w:tc>
        <w:tc>
          <w:tcPr>
            <w:tcW w:w="5008" w:type="dxa"/>
            <w:vAlign w:val="center"/>
          </w:tcPr>
          <w:p w14:paraId="44AF09E3">
            <w:pPr>
              <w:widowControl/>
              <w:jc w:val="center"/>
              <w:rPr>
                <w:b/>
                <w:color w:val="000000"/>
                <w:kern w:val="0"/>
                <w:sz w:val="24"/>
              </w:rPr>
            </w:pPr>
            <w:r>
              <w:rPr>
                <w:b/>
                <w:sz w:val="24"/>
              </w:rPr>
              <w:t>检查</w:t>
            </w:r>
            <w:r>
              <w:rPr>
                <w:b/>
                <w:color w:val="000000"/>
                <w:kern w:val="0"/>
                <w:sz w:val="24"/>
              </w:rPr>
              <w:t>内容</w:t>
            </w:r>
          </w:p>
        </w:tc>
        <w:tc>
          <w:tcPr>
            <w:tcW w:w="1751" w:type="dxa"/>
            <w:vAlign w:val="center"/>
          </w:tcPr>
          <w:p w14:paraId="213AEF0D">
            <w:pPr>
              <w:widowControl/>
              <w:jc w:val="center"/>
              <w:rPr>
                <w:b/>
                <w:color w:val="000000"/>
                <w:kern w:val="0"/>
                <w:sz w:val="24"/>
              </w:rPr>
            </w:pPr>
            <w:r>
              <w:rPr>
                <w:b/>
                <w:color w:val="000000"/>
                <w:kern w:val="0"/>
                <w:sz w:val="24"/>
              </w:rPr>
              <w:t>是否允许澄清、说明或者更正</w:t>
            </w:r>
          </w:p>
        </w:tc>
      </w:tr>
      <w:tr w14:paraId="2E3EF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28" w:type="dxa"/>
            <w:vAlign w:val="center"/>
          </w:tcPr>
          <w:p w14:paraId="6338F6A5">
            <w:pPr>
              <w:tabs>
                <w:tab w:val="left" w:pos="1080"/>
              </w:tabs>
              <w:snapToGrid w:val="0"/>
              <w:jc w:val="center"/>
              <w:rPr>
                <w:sz w:val="24"/>
              </w:rPr>
            </w:pPr>
            <w:r>
              <w:rPr>
                <w:rFonts w:hint="eastAsia"/>
                <w:sz w:val="24"/>
              </w:rPr>
              <w:t>1</w:t>
            </w:r>
          </w:p>
        </w:tc>
        <w:tc>
          <w:tcPr>
            <w:tcW w:w="1688" w:type="dxa"/>
            <w:vAlign w:val="center"/>
          </w:tcPr>
          <w:p w14:paraId="74C1F269">
            <w:pPr>
              <w:tabs>
                <w:tab w:val="left" w:pos="1080"/>
              </w:tabs>
              <w:snapToGrid w:val="0"/>
              <w:jc w:val="center"/>
              <w:rPr>
                <w:sz w:val="24"/>
              </w:rPr>
            </w:pPr>
            <w:r>
              <w:rPr>
                <w:rFonts w:hint="eastAsia"/>
                <w:sz w:val="24"/>
              </w:rPr>
              <w:t>授权委托书</w:t>
            </w:r>
          </w:p>
        </w:tc>
        <w:tc>
          <w:tcPr>
            <w:tcW w:w="5008" w:type="dxa"/>
            <w:vAlign w:val="center"/>
          </w:tcPr>
          <w:p w14:paraId="31B87F5C">
            <w:pPr>
              <w:tabs>
                <w:tab w:val="left" w:pos="1080"/>
              </w:tabs>
              <w:snapToGrid w:val="0"/>
              <w:jc w:val="left"/>
              <w:rPr>
                <w:sz w:val="24"/>
              </w:rPr>
            </w:pPr>
            <w:r>
              <w:rPr>
                <w:rFonts w:hint="eastAsia"/>
                <w:sz w:val="24"/>
              </w:rPr>
              <w:t>按竞争性磋商文件要求提供授权委托书；</w:t>
            </w:r>
          </w:p>
        </w:tc>
        <w:tc>
          <w:tcPr>
            <w:tcW w:w="1751" w:type="dxa"/>
            <w:vAlign w:val="center"/>
          </w:tcPr>
          <w:p w14:paraId="42EA0639">
            <w:pPr>
              <w:tabs>
                <w:tab w:val="left" w:pos="1080"/>
              </w:tabs>
              <w:snapToGrid w:val="0"/>
              <w:jc w:val="center"/>
              <w:rPr>
                <w:sz w:val="24"/>
              </w:rPr>
            </w:pPr>
            <w:r>
              <w:rPr>
                <w:rFonts w:hint="eastAsia"/>
                <w:sz w:val="24"/>
              </w:rPr>
              <w:t>不允许</w:t>
            </w:r>
          </w:p>
        </w:tc>
      </w:tr>
      <w:tr w14:paraId="7E18E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28" w:type="dxa"/>
            <w:vAlign w:val="center"/>
          </w:tcPr>
          <w:p w14:paraId="5D5976D0">
            <w:pPr>
              <w:tabs>
                <w:tab w:val="left" w:pos="1080"/>
              </w:tabs>
              <w:snapToGrid w:val="0"/>
              <w:jc w:val="center"/>
              <w:rPr>
                <w:sz w:val="24"/>
              </w:rPr>
            </w:pPr>
            <w:r>
              <w:rPr>
                <w:rFonts w:hint="eastAsia"/>
                <w:sz w:val="24"/>
              </w:rPr>
              <w:t>2</w:t>
            </w:r>
          </w:p>
        </w:tc>
        <w:tc>
          <w:tcPr>
            <w:tcW w:w="1688" w:type="dxa"/>
            <w:vAlign w:val="center"/>
          </w:tcPr>
          <w:p w14:paraId="6FC26DB3">
            <w:pPr>
              <w:tabs>
                <w:tab w:val="left" w:pos="1080"/>
              </w:tabs>
              <w:snapToGrid w:val="0"/>
              <w:jc w:val="center"/>
              <w:rPr>
                <w:sz w:val="24"/>
              </w:rPr>
            </w:pPr>
            <w:r>
              <w:rPr>
                <w:rFonts w:hint="eastAsia"/>
                <w:sz w:val="24"/>
              </w:rPr>
              <w:t>响应完整性</w:t>
            </w:r>
          </w:p>
        </w:tc>
        <w:tc>
          <w:tcPr>
            <w:tcW w:w="5008" w:type="dxa"/>
            <w:vAlign w:val="center"/>
          </w:tcPr>
          <w:p w14:paraId="716F144E">
            <w:pPr>
              <w:tabs>
                <w:tab w:val="left" w:pos="1080"/>
              </w:tabs>
              <w:snapToGrid w:val="0"/>
              <w:jc w:val="left"/>
              <w:rPr>
                <w:sz w:val="24"/>
              </w:rPr>
            </w:pPr>
            <w:r>
              <w:rPr>
                <w:rFonts w:hint="eastAsia"/>
                <w:sz w:val="24"/>
              </w:rPr>
              <w:t>未将一个采购项目中的内容拆解响应；</w:t>
            </w:r>
          </w:p>
        </w:tc>
        <w:tc>
          <w:tcPr>
            <w:tcW w:w="1751" w:type="dxa"/>
            <w:vAlign w:val="center"/>
          </w:tcPr>
          <w:p w14:paraId="4CD012AA">
            <w:pPr>
              <w:tabs>
                <w:tab w:val="left" w:pos="1080"/>
              </w:tabs>
              <w:snapToGrid w:val="0"/>
              <w:jc w:val="center"/>
              <w:rPr>
                <w:sz w:val="24"/>
              </w:rPr>
            </w:pPr>
            <w:r>
              <w:rPr>
                <w:rFonts w:hint="eastAsia"/>
                <w:sz w:val="24"/>
              </w:rPr>
              <w:t>不允许</w:t>
            </w:r>
          </w:p>
        </w:tc>
      </w:tr>
      <w:tr w14:paraId="1E68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28" w:type="dxa"/>
            <w:vAlign w:val="center"/>
          </w:tcPr>
          <w:p w14:paraId="549DB3BB">
            <w:pPr>
              <w:tabs>
                <w:tab w:val="left" w:pos="1080"/>
              </w:tabs>
              <w:snapToGrid w:val="0"/>
              <w:jc w:val="center"/>
              <w:rPr>
                <w:sz w:val="24"/>
              </w:rPr>
            </w:pPr>
            <w:r>
              <w:rPr>
                <w:rFonts w:hint="eastAsia"/>
                <w:sz w:val="24"/>
              </w:rPr>
              <w:t>3</w:t>
            </w:r>
          </w:p>
        </w:tc>
        <w:tc>
          <w:tcPr>
            <w:tcW w:w="1688" w:type="dxa"/>
            <w:vAlign w:val="center"/>
          </w:tcPr>
          <w:p w14:paraId="23A96CD2">
            <w:pPr>
              <w:tabs>
                <w:tab w:val="left" w:pos="1080"/>
              </w:tabs>
              <w:snapToGrid w:val="0"/>
              <w:jc w:val="center"/>
              <w:rPr>
                <w:sz w:val="24"/>
              </w:rPr>
            </w:pPr>
            <w:r>
              <w:rPr>
                <w:rFonts w:hint="eastAsia"/>
                <w:sz w:val="24"/>
              </w:rPr>
              <w:t>投标报价</w:t>
            </w:r>
          </w:p>
        </w:tc>
        <w:tc>
          <w:tcPr>
            <w:tcW w:w="5008" w:type="dxa"/>
            <w:vAlign w:val="center"/>
          </w:tcPr>
          <w:p w14:paraId="7E9179D4">
            <w:pPr>
              <w:tabs>
                <w:tab w:val="left" w:pos="1080"/>
              </w:tabs>
              <w:snapToGrid w:val="0"/>
              <w:jc w:val="left"/>
              <w:rPr>
                <w:sz w:val="24"/>
              </w:rPr>
            </w:pPr>
            <w:r>
              <w:rPr>
                <w:rFonts w:hint="eastAsia"/>
                <w:sz w:val="24"/>
              </w:rPr>
              <w:t>投标报价未超过竞争性磋商文件中规定的项目预算金额或者项目最高限价；</w:t>
            </w:r>
          </w:p>
        </w:tc>
        <w:tc>
          <w:tcPr>
            <w:tcW w:w="1751" w:type="dxa"/>
            <w:vAlign w:val="center"/>
          </w:tcPr>
          <w:p w14:paraId="3892FF05">
            <w:pPr>
              <w:tabs>
                <w:tab w:val="left" w:pos="1080"/>
              </w:tabs>
              <w:snapToGrid w:val="0"/>
              <w:jc w:val="center"/>
              <w:rPr>
                <w:sz w:val="24"/>
              </w:rPr>
            </w:pPr>
            <w:r>
              <w:rPr>
                <w:rFonts w:hint="eastAsia"/>
                <w:sz w:val="24"/>
              </w:rPr>
              <w:t>不允许</w:t>
            </w:r>
          </w:p>
        </w:tc>
      </w:tr>
      <w:tr w14:paraId="0017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28" w:type="dxa"/>
            <w:vAlign w:val="center"/>
          </w:tcPr>
          <w:p w14:paraId="325F1A94">
            <w:pPr>
              <w:tabs>
                <w:tab w:val="left" w:pos="1080"/>
              </w:tabs>
              <w:snapToGrid w:val="0"/>
              <w:jc w:val="center"/>
              <w:rPr>
                <w:sz w:val="24"/>
              </w:rPr>
            </w:pPr>
            <w:r>
              <w:rPr>
                <w:rFonts w:hint="eastAsia"/>
                <w:sz w:val="24"/>
              </w:rPr>
              <w:t>4</w:t>
            </w:r>
          </w:p>
        </w:tc>
        <w:tc>
          <w:tcPr>
            <w:tcW w:w="1688" w:type="dxa"/>
            <w:vAlign w:val="center"/>
          </w:tcPr>
          <w:p w14:paraId="606D48FC">
            <w:pPr>
              <w:tabs>
                <w:tab w:val="left" w:pos="1080"/>
              </w:tabs>
              <w:snapToGrid w:val="0"/>
              <w:jc w:val="center"/>
              <w:rPr>
                <w:sz w:val="24"/>
              </w:rPr>
            </w:pPr>
            <w:r>
              <w:rPr>
                <w:rFonts w:hint="eastAsia"/>
                <w:sz w:val="24"/>
              </w:rPr>
              <w:t>报价唯一性</w:t>
            </w:r>
          </w:p>
        </w:tc>
        <w:tc>
          <w:tcPr>
            <w:tcW w:w="5008" w:type="dxa"/>
            <w:vAlign w:val="center"/>
          </w:tcPr>
          <w:p w14:paraId="6ABB6B78">
            <w:pPr>
              <w:tabs>
                <w:tab w:val="left" w:pos="1080"/>
              </w:tabs>
              <w:snapToGrid w:val="0"/>
              <w:jc w:val="left"/>
              <w:rPr>
                <w:sz w:val="24"/>
              </w:rPr>
            </w:pPr>
            <w:r>
              <w:rPr>
                <w:rFonts w:hint="eastAsia"/>
                <w:sz w:val="24"/>
              </w:rPr>
              <w:t>响应文件未出现可选择性或可调整的报价；</w:t>
            </w:r>
          </w:p>
        </w:tc>
        <w:tc>
          <w:tcPr>
            <w:tcW w:w="1751" w:type="dxa"/>
            <w:vAlign w:val="center"/>
          </w:tcPr>
          <w:p w14:paraId="3929000E">
            <w:pPr>
              <w:tabs>
                <w:tab w:val="left" w:pos="1080"/>
              </w:tabs>
              <w:snapToGrid w:val="0"/>
              <w:jc w:val="center"/>
              <w:rPr>
                <w:sz w:val="24"/>
              </w:rPr>
            </w:pPr>
            <w:r>
              <w:rPr>
                <w:rFonts w:hint="eastAsia"/>
                <w:sz w:val="24"/>
              </w:rPr>
              <w:t>不允许</w:t>
            </w:r>
          </w:p>
        </w:tc>
      </w:tr>
      <w:tr w14:paraId="34504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28" w:type="dxa"/>
            <w:vAlign w:val="center"/>
          </w:tcPr>
          <w:p w14:paraId="6BB9D47F">
            <w:pPr>
              <w:tabs>
                <w:tab w:val="left" w:pos="1080"/>
              </w:tabs>
              <w:snapToGrid w:val="0"/>
              <w:jc w:val="center"/>
              <w:rPr>
                <w:sz w:val="24"/>
              </w:rPr>
            </w:pPr>
            <w:r>
              <w:rPr>
                <w:rFonts w:hint="eastAsia"/>
                <w:sz w:val="24"/>
              </w:rPr>
              <w:t>5</w:t>
            </w:r>
          </w:p>
        </w:tc>
        <w:tc>
          <w:tcPr>
            <w:tcW w:w="1688" w:type="dxa"/>
            <w:vAlign w:val="center"/>
          </w:tcPr>
          <w:p w14:paraId="76D95707">
            <w:pPr>
              <w:tabs>
                <w:tab w:val="left" w:pos="1080"/>
              </w:tabs>
              <w:snapToGrid w:val="0"/>
              <w:jc w:val="center"/>
              <w:rPr>
                <w:sz w:val="24"/>
              </w:rPr>
            </w:pPr>
            <w:r>
              <w:rPr>
                <w:rFonts w:hint="eastAsia"/>
                <w:sz w:val="24"/>
              </w:rPr>
              <w:t>响应有效期</w:t>
            </w:r>
          </w:p>
        </w:tc>
        <w:tc>
          <w:tcPr>
            <w:tcW w:w="5008" w:type="dxa"/>
            <w:vAlign w:val="center"/>
          </w:tcPr>
          <w:p w14:paraId="419F7349">
            <w:pPr>
              <w:tabs>
                <w:tab w:val="left" w:pos="1080"/>
              </w:tabs>
              <w:snapToGrid w:val="0"/>
              <w:jc w:val="left"/>
              <w:rPr>
                <w:sz w:val="24"/>
              </w:rPr>
            </w:pPr>
            <w:r>
              <w:rPr>
                <w:rFonts w:hint="eastAsia"/>
                <w:sz w:val="24"/>
              </w:rPr>
              <w:t>响应文件中承诺的响应有效期满足竞争性磋商文件中载明的响应有效期的；</w:t>
            </w:r>
          </w:p>
        </w:tc>
        <w:tc>
          <w:tcPr>
            <w:tcW w:w="1751" w:type="dxa"/>
            <w:vAlign w:val="center"/>
          </w:tcPr>
          <w:p w14:paraId="37C369FB">
            <w:pPr>
              <w:tabs>
                <w:tab w:val="left" w:pos="1080"/>
              </w:tabs>
              <w:snapToGrid w:val="0"/>
              <w:jc w:val="center"/>
              <w:rPr>
                <w:sz w:val="24"/>
              </w:rPr>
            </w:pPr>
            <w:r>
              <w:rPr>
                <w:rFonts w:hint="eastAsia"/>
                <w:sz w:val="24"/>
              </w:rPr>
              <w:t>不允许</w:t>
            </w:r>
          </w:p>
        </w:tc>
      </w:tr>
      <w:tr w14:paraId="62C8A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28" w:type="dxa"/>
            <w:vAlign w:val="center"/>
          </w:tcPr>
          <w:p w14:paraId="1C5EDC8F">
            <w:pPr>
              <w:tabs>
                <w:tab w:val="left" w:pos="1080"/>
              </w:tabs>
              <w:snapToGrid w:val="0"/>
              <w:jc w:val="center"/>
              <w:rPr>
                <w:sz w:val="24"/>
              </w:rPr>
            </w:pPr>
            <w:r>
              <w:rPr>
                <w:rFonts w:hint="eastAsia"/>
                <w:sz w:val="24"/>
              </w:rPr>
              <w:t>6</w:t>
            </w:r>
          </w:p>
        </w:tc>
        <w:tc>
          <w:tcPr>
            <w:tcW w:w="1688" w:type="dxa"/>
            <w:vAlign w:val="center"/>
          </w:tcPr>
          <w:p w14:paraId="37594B74">
            <w:pPr>
              <w:tabs>
                <w:tab w:val="left" w:pos="1080"/>
              </w:tabs>
              <w:snapToGrid w:val="0"/>
              <w:jc w:val="center"/>
              <w:rPr>
                <w:sz w:val="24"/>
              </w:rPr>
            </w:pPr>
            <w:r>
              <w:rPr>
                <w:rFonts w:hint="eastAsia"/>
                <w:sz w:val="24"/>
              </w:rPr>
              <w:t>签署、盖章</w:t>
            </w:r>
          </w:p>
        </w:tc>
        <w:tc>
          <w:tcPr>
            <w:tcW w:w="5008" w:type="dxa"/>
            <w:vAlign w:val="center"/>
          </w:tcPr>
          <w:p w14:paraId="3B037ADB">
            <w:pPr>
              <w:tabs>
                <w:tab w:val="left" w:pos="1080"/>
              </w:tabs>
              <w:snapToGrid w:val="0"/>
              <w:jc w:val="left"/>
              <w:rPr>
                <w:sz w:val="24"/>
              </w:rPr>
            </w:pPr>
            <w:r>
              <w:rPr>
                <w:rFonts w:hint="eastAsia"/>
                <w:sz w:val="24"/>
              </w:rPr>
              <w:t>按照竞争性磋商文件要求签署、盖章的；</w:t>
            </w:r>
          </w:p>
        </w:tc>
        <w:tc>
          <w:tcPr>
            <w:tcW w:w="1751" w:type="dxa"/>
            <w:vAlign w:val="center"/>
          </w:tcPr>
          <w:p w14:paraId="38EEF9F2">
            <w:pPr>
              <w:tabs>
                <w:tab w:val="left" w:pos="1080"/>
              </w:tabs>
              <w:snapToGrid w:val="0"/>
              <w:jc w:val="center"/>
              <w:rPr>
                <w:sz w:val="24"/>
              </w:rPr>
            </w:pPr>
            <w:r>
              <w:rPr>
                <w:rFonts w:hint="eastAsia"/>
                <w:sz w:val="24"/>
              </w:rPr>
              <w:t>不允许</w:t>
            </w:r>
          </w:p>
        </w:tc>
      </w:tr>
      <w:tr w14:paraId="4A5C6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28" w:type="dxa"/>
            <w:vAlign w:val="center"/>
          </w:tcPr>
          <w:p w14:paraId="0B5468AF">
            <w:pPr>
              <w:tabs>
                <w:tab w:val="left" w:pos="1080"/>
              </w:tabs>
              <w:snapToGrid w:val="0"/>
              <w:jc w:val="center"/>
              <w:rPr>
                <w:sz w:val="24"/>
              </w:rPr>
            </w:pPr>
            <w:r>
              <w:rPr>
                <w:rFonts w:hint="eastAsia"/>
                <w:sz w:val="24"/>
              </w:rPr>
              <w:t>7</w:t>
            </w:r>
          </w:p>
        </w:tc>
        <w:tc>
          <w:tcPr>
            <w:tcW w:w="1688" w:type="dxa"/>
            <w:vAlign w:val="center"/>
          </w:tcPr>
          <w:p w14:paraId="2B3E5F6D">
            <w:pPr>
              <w:tabs>
                <w:tab w:val="left" w:pos="1080"/>
              </w:tabs>
              <w:snapToGrid w:val="0"/>
              <w:jc w:val="center"/>
              <w:rPr>
                <w:sz w:val="24"/>
              </w:rPr>
            </w:pPr>
            <w:r>
              <w:rPr>
                <w:rFonts w:hint="eastAsia"/>
                <w:sz w:val="24"/>
              </w:rPr>
              <w:t>实质性格式</w:t>
            </w:r>
          </w:p>
        </w:tc>
        <w:tc>
          <w:tcPr>
            <w:tcW w:w="5008" w:type="dxa"/>
            <w:vAlign w:val="center"/>
          </w:tcPr>
          <w:p w14:paraId="72F876CF">
            <w:pPr>
              <w:tabs>
                <w:tab w:val="left" w:pos="1080"/>
              </w:tabs>
              <w:snapToGrid w:val="0"/>
              <w:jc w:val="left"/>
              <w:rPr>
                <w:sz w:val="24"/>
              </w:rPr>
            </w:pPr>
            <w:r>
              <w:rPr>
                <w:rFonts w:hint="eastAsia"/>
                <w:sz w:val="24"/>
              </w:rPr>
              <w:t>标记为“实质性格式”的文件均按竞争性磋商文件要求提供；</w:t>
            </w:r>
          </w:p>
        </w:tc>
        <w:tc>
          <w:tcPr>
            <w:tcW w:w="1751" w:type="dxa"/>
            <w:vAlign w:val="center"/>
          </w:tcPr>
          <w:p w14:paraId="23E7B475">
            <w:pPr>
              <w:tabs>
                <w:tab w:val="left" w:pos="1080"/>
              </w:tabs>
              <w:snapToGrid w:val="0"/>
              <w:jc w:val="center"/>
              <w:rPr>
                <w:sz w:val="24"/>
              </w:rPr>
            </w:pPr>
            <w:r>
              <w:rPr>
                <w:rFonts w:hint="eastAsia"/>
                <w:sz w:val="24"/>
              </w:rPr>
              <w:t>不允许</w:t>
            </w:r>
          </w:p>
        </w:tc>
      </w:tr>
      <w:tr w14:paraId="7FA5D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28" w:type="dxa"/>
            <w:vAlign w:val="center"/>
          </w:tcPr>
          <w:p w14:paraId="3708686D">
            <w:pPr>
              <w:tabs>
                <w:tab w:val="left" w:pos="1080"/>
              </w:tabs>
              <w:snapToGrid w:val="0"/>
              <w:jc w:val="center"/>
              <w:rPr>
                <w:sz w:val="24"/>
              </w:rPr>
            </w:pPr>
            <w:r>
              <w:rPr>
                <w:rFonts w:hint="eastAsia"/>
                <w:sz w:val="24"/>
              </w:rPr>
              <w:t>8</w:t>
            </w:r>
          </w:p>
        </w:tc>
        <w:tc>
          <w:tcPr>
            <w:tcW w:w="1688" w:type="dxa"/>
            <w:vAlign w:val="center"/>
          </w:tcPr>
          <w:p w14:paraId="2E0C8059">
            <w:pPr>
              <w:widowControl/>
              <w:jc w:val="center"/>
              <w:rPr>
                <w:sz w:val="24"/>
              </w:rPr>
            </w:pPr>
            <w:r>
              <w:rPr>
                <w:rFonts w:ascii="Segoe UI Symbol" w:hAnsi="Segoe UI Symbol" w:cs="Segoe UI Symbol"/>
                <w:color w:val="000000"/>
                <w:kern w:val="0"/>
                <w:sz w:val="24"/>
              </w:rPr>
              <w:t>★</w:t>
            </w:r>
            <w:r>
              <w:rPr>
                <w:color w:val="000000"/>
                <w:kern w:val="0"/>
                <w:sz w:val="24"/>
              </w:rPr>
              <w:t>号条款响应</w:t>
            </w:r>
          </w:p>
        </w:tc>
        <w:tc>
          <w:tcPr>
            <w:tcW w:w="5008" w:type="dxa"/>
            <w:vAlign w:val="center"/>
          </w:tcPr>
          <w:p w14:paraId="69461138">
            <w:pPr>
              <w:tabs>
                <w:tab w:val="left" w:pos="1080"/>
              </w:tabs>
              <w:snapToGrid w:val="0"/>
              <w:jc w:val="left"/>
              <w:rPr>
                <w:sz w:val="24"/>
              </w:rPr>
            </w:pPr>
            <w:r>
              <w:rPr>
                <w:rFonts w:hint="eastAsia"/>
                <w:sz w:val="24"/>
              </w:rPr>
              <w:t>响应文件满足竞争性磋商文件第四章《采购需求》中★号条款要求的；</w:t>
            </w:r>
          </w:p>
        </w:tc>
        <w:tc>
          <w:tcPr>
            <w:tcW w:w="1751" w:type="dxa"/>
            <w:vAlign w:val="center"/>
          </w:tcPr>
          <w:p w14:paraId="4E75F37A">
            <w:pPr>
              <w:tabs>
                <w:tab w:val="left" w:pos="1080"/>
              </w:tabs>
              <w:snapToGrid w:val="0"/>
              <w:jc w:val="center"/>
              <w:rPr>
                <w:sz w:val="24"/>
              </w:rPr>
            </w:pPr>
            <w:r>
              <w:rPr>
                <w:rFonts w:hint="eastAsia"/>
                <w:sz w:val="24"/>
              </w:rPr>
              <w:t>不允许</w:t>
            </w:r>
          </w:p>
        </w:tc>
      </w:tr>
      <w:tr w14:paraId="1F9D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jc w:val="center"/>
        </w:trPr>
        <w:tc>
          <w:tcPr>
            <w:tcW w:w="728" w:type="dxa"/>
            <w:vAlign w:val="center"/>
          </w:tcPr>
          <w:p w14:paraId="042A0A00">
            <w:pPr>
              <w:tabs>
                <w:tab w:val="left" w:pos="1080"/>
              </w:tabs>
              <w:snapToGrid w:val="0"/>
              <w:jc w:val="center"/>
              <w:rPr>
                <w:sz w:val="24"/>
              </w:rPr>
            </w:pPr>
            <w:r>
              <w:rPr>
                <w:rFonts w:hint="eastAsia"/>
                <w:sz w:val="24"/>
              </w:rPr>
              <w:t>9</w:t>
            </w:r>
          </w:p>
        </w:tc>
        <w:tc>
          <w:tcPr>
            <w:tcW w:w="1688" w:type="dxa"/>
            <w:vAlign w:val="center"/>
          </w:tcPr>
          <w:p w14:paraId="0A13957B">
            <w:pPr>
              <w:tabs>
                <w:tab w:val="left" w:pos="1080"/>
              </w:tabs>
              <w:snapToGrid w:val="0"/>
              <w:jc w:val="center"/>
              <w:rPr>
                <w:sz w:val="24"/>
              </w:rPr>
            </w:pPr>
            <w:r>
              <w:rPr>
                <w:rFonts w:hint="eastAsia"/>
                <w:sz w:val="24"/>
              </w:rPr>
              <w:t>报价合理性</w:t>
            </w:r>
          </w:p>
        </w:tc>
        <w:tc>
          <w:tcPr>
            <w:tcW w:w="5008" w:type="dxa"/>
            <w:vAlign w:val="center"/>
          </w:tcPr>
          <w:p w14:paraId="4B815BFA">
            <w:pPr>
              <w:tabs>
                <w:tab w:val="left" w:pos="1080"/>
              </w:tabs>
              <w:snapToGrid w:val="0"/>
              <w:jc w:val="left"/>
              <w:rPr>
                <w:sz w:val="24"/>
              </w:rPr>
            </w:pPr>
            <w:r>
              <w:rPr>
                <w:rFonts w:hint="eastAsia"/>
                <w:sz w:val="24"/>
              </w:rPr>
              <w:t>报价合理，或供应商的报价明显低于其他通过符合性审查供应商的报价，不能诚信履约的，能够应磋商小组要求在规定时间内证明其报价合理性的；</w:t>
            </w:r>
          </w:p>
        </w:tc>
        <w:tc>
          <w:tcPr>
            <w:tcW w:w="1751" w:type="dxa"/>
            <w:vAlign w:val="center"/>
          </w:tcPr>
          <w:p w14:paraId="0D8BC18B">
            <w:pPr>
              <w:tabs>
                <w:tab w:val="left" w:pos="1080"/>
              </w:tabs>
              <w:snapToGrid w:val="0"/>
              <w:jc w:val="center"/>
              <w:rPr>
                <w:sz w:val="24"/>
              </w:rPr>
            </w:pPr>
            <w:r>
              <w:rPr>
                <w:rFonts w:hint="eastAsia"/>
                <w:sz w:val="24"/>
              </w:rPr>
              <w:t>不允许</w:t>
            </w:r>
          </w:p>
        </w:tc>
      </w:tr>
      <w:tr w14:paraId="73CA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728" w:type="dxa"/>
            <w:vAlign w:val="center"/>
          </w:tcPr>
          <w:p w14:paraId="1B41BB27">
            <w:pPr>
              <w:tabs>
                <w:tab w:val="left" w:pos="1080"/>
              </w:tabs>
              <w:snapToGrid w:val="0"/>
              <w:jc w:val="center"/>
              <w:rPr>
                <w:sz w:val="24"/>
              </w:rPr>
            </w:pPr>
            <w:r>
              <w:rPr>
                <w:rFonts w:hint="eastAsia"/>
                <w:sz w:val="24"/>
              </w:rPr>
              <w:t>10</w:t>
            </w:r>
          </w:p>
        </w:tc>
        <w:tc>
          <w:tcPr>
            <w:tcW w:w="1688" w:type="dxa"/>
            <w:vAlign w:val="center"/>
          </w:tcPr>
          <w:p w14:paraId="7E2163C4">
            <w:pPr>
              <w:tabs>
                <w:tab w:val="left" w:pos="1080"/>
              </w:tabs>
              <w:snapToGrid w:val="0"/>
              <w:jc w:val="center"/>
              <w:rPr>
                <w:sz w:val="24"/>
              </w:rPr>
            </w:pPr>
            <w:r>
              <w:rPr>
                <w:rFonts w:hint="eastAsia"/>
                <w:sz w:val="24"/>
              </w:rPr>
              <w:t>公平竞争</w:t>
            </w:r>
          </w:p>
        </w:tc>
        <w:tc>
          <w:tcPr>
            <w:tcW w:w="5008" w:type="dxa"/>
            <w:vAlign w:val="center"/>
          </w:tcPr>
          <w:p w14:paraId="5B463E4E">
            <w:pPr>
              <w:tabs>
                <w:tab w:val="left" w:pos="1080"/>
              </w:tabs>
              <w:snapToGrid w:val="0"/>
              <w:jc w:val="left"/>
              <w:rPr>
                <w:sz w:val="24"/>
              </w:rPr>
            </w:pPr>
            <w:r>
              <w:rPr>
                <w:rFonts w:hint="eastAsia"/>
                <w:sz w:val="24"/>
              </w:rPr>
              <w:t>供应商遵循公平竞争的原则，不存在恶意串通，妨碍其他供应商的竞争行为，不存在损害采购人或者其他供应商的合法权益情形的；</w:t>
            </w:r>
          </w:p>
        </w:tc>
        <w:tc>
          <w:tcPr>
            <w:tcW w:w="1751" w:type="dxa"/>
            <w:vAlign w:val="center"/>
          </w:tcPr>
          <w:p w14:paraId="37EB581E">
            <w:pPr>
              <w:tabs>
                <w:tab w:val="left" w:pos="1080"/>
              </w:tabs>
              <w:snapToGrid w:val="0"/>
              <w:jc w:val="center"/>
              <w:rPr>
                <w:sz w:val="24"/>
              </w:rPr>
            </w:pPr>
            <w:r>
              <w:rPr>
                <w:rFonts w:hint="eastAsia"/>
                <w:sz w:val="24"/>
              </w:rPr>
              <w:t>不允许</w:t>
            </w:r>
          </w:p>
        </w:tc>
      </w:tr>
      <w:tr w14:paraId="72704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9" w:hRule="atLeast"/>
          <w:jc w:val="center"/>
        </w:trPr>
        <w:tc>
          <w:tcPr>
            <w:tcW w:w="728" w:type="dxa"/>
            <w:vAlign w:val="center"/>
          </w:tcPr>
          <w:p w14:paraId="2D2D25FC">
            <w:pPr>
              <w:tabs>
                <w:tab w:val="left" w:pos="1080"/>
              </w:tabs>
              <w:snapToGrid w:val="0"/>
              <w:jc w:val="center"/>
              <w:rPr>
                <w:sz w:val="24"/>
              </w:rPr>
            </w:pPr>
            <w:r>
              <w:rPr>
                <w:rFonts w:hint="eastAsia"/>
                <w:sz w:val="24"/>
              </w:rPr>
              <w:t>11</w:t>
            </w:r>
          </w:p>
        </w:tc>
        <w:tc>
          <w:tcPr>
            <w:tcW w:w="1688" w:type="dxa"/>
            <w:vAlign w:val="center"/>
          </w:tcPr>
          <w:p w14:paraId="22932800">
            <w:pPr>
              <w:tabs>
                <w:tab w:val="left" w:pos="1080"/>
              </w:tabs>
              <w:snapToGrid w:val="0"/>
              <w:jc w:val="center"/>
              <w:rPr>
                <w:sz w:val="24"/>
              </w:rPr>
            </w:pPr>
            <w:r>
              <w:rPr>
                <w:rFonts w:hint="eastAsia"/>
                <w:sz w:val="24"/>
              </w:rPr>
              <w:t>串通投标</w:t>
            </w:r>
          </w:p>
        </w:tc>
        <w:tc>
          <w:tcPr>
            <w:tcW w:w="5008" w:type="dxa"/>
            <w:vAlign w:val="center"/>
          </w:tcPr>
          <w:p w14:paraId="2B6E7E07">
            <w:pPr>
              <w:widowControl/>
              <w:jc w:val="left"/>
              <w:rPr>
                <w:sz w:val="24"/>
              </w:rPr>
            </w:pPr>
            <w:r>
              <w:rPr>
                <w:rFonts w:hint="eastAsia"/>
                <w:color w:val="000000"/>
                <w:sz w:val="24"/>
              </w:rPr>
              <w:t>不存在供应商串通投标的情形：（一）不同供应商的响应文件由同一单位或者个人编制；（二）不同供应商委托同一单位或者个人办理投标事宜；（三）不同供应商的响应文件载明的项目管理成员或者联系人员为同一人；（四）不同供应商的响应文件异常一致或者投标报价呈规律性差异；（五）不同供应商的响应文件相互混装；（六）不同响应的磋商保证金从同一单位或者个人的账户转出</w:t>
            </w:r>
            <w:r>
              <w:rPr>
                <w:color w:val="000000"/>
                <w:sz w:val="24"/>
              </w:rPr>
              <w:t>；</w:t>
            </w:r>
          </w:p>
        </w:tc>
        <w:tc>
          <w:tcPr>
            <w:tcW w:w="1751" w:type="dxa"/>
            <w:vAlign w:val="center"/>
          </w:tcPr>
          <w:p w14:paraId="154AB76E">
            <w:pPr>
              <w:tabs>
                <w:tab w:val="left" w:pos="1080"/>
              </w:tabs>
              <w:snapToGrid w:val="0"/>
              <w:jc w:val="center"/>
              <w:rPr>
                <w:sz w:val="24"/>
              </w:rPr>
            </w:pPr>
            <w:r>
              <w:rPr>
                <w:rFonts w:hint="eastAsia"/>
                <w:sz w:val="24"/>
              </w:rPr>
              <w:t>不允许</w:t>
            </w:r>
          </w:p>
        </w:tc>
      </w:tr>
      <w:tr w14:paraId="63F55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28" w:type="dxa"/>
            <w:vAlign w:val="center"/>
          </w:tcPr>
          <w:p w14:paraId="5A84C2B4">
            <w:pPr>
              <w:tabs>
                <w:tab w:val="left" w:pos="1080"/>
              </w:tabs>
              <w:snapToGrid w:val="0"/>
              <w:jc w:val="center"/>
              <w:rPr>
                <w:sz w:val="24"/>
              </w:rPr>
            </w:pPr>
            <w:r>
              <w:rPr>
                <w:rFonts w:hint="eastAsia"/>
                <w:sz w:val="24"/>
              </w:rPr>
              <w:t>12</w:t>
            </w:r>
          </w:p>
        </w:tc>
        <w:tc>
          <w:tcPr>
            <w:tcW w:w="1688" w:type="dxa"/>
            <w:vAlign w:val="center"/>
          </w:tcPr>
          <w:p w14:paraId="13A86F21">
            <w:pPr>
              <w:tabs>
                <w:tab w:val="left" w:pos="1080"/>
              </w:tabs>
              <w:snapToGrid w:val="0"/>
              <w:jc w:val="center"/>
              <w:rPr>
                <w:sz w:val="24"/>
              </w:rPr>
            </w:pPr>
            <w:r>
              <w:rPr>
                <w:rFonts w:hint="eastAsia"/>
                <w:sz w:val="24"/>
              </w:rPr>
              <w:t>附加条件</w:t>
            </w:r>
          </w:p>
        </w:tc>
        <w:tc>
          <w:tcPr>
            <w:tcW w:w="5008" w:type="dxa"/>
            <w:vAlign w:val="center"/>
          </w:tcPr>
          <w:p w14:paraId="43C4C26D">
            <w:pPr>
              <w:tabs>
                <w:tab w:val="left" w:pos="1080"/>
              </w:tabs>
              <w:snapToGrid w:val="0"/>
              <w:jc w:val="left"/>
              <w:rPr>
                <w:sz w:val="24"/>
              </w:rPr>
            </w:pPr>
            <w:r>
              <w:rPr>
                <w:rFonts w:hint="eastAsia"/>
                <w:sz w:val="24"/>
              </w:rPr>
              <w:t>响应文件未含有采购人不能接受的附加条件的；</w:t>
            </w:r>
          </w:p>
        </w:tc>
        <w:tc>
          <w:tcPr>
            <w:tcW w:w="1751" w:type="dxa"/>
            <w:vAlign w:val="center"/>
          </w:tcPr>
          <w:p w14:paraId="59CAC362">
            <w:pPr>
              <w:tabs>
                <w:tab w:val="left" w:pos="1080"/>
              </w:tabs>
              <w:snapToGrid w:val="0"/>
              <w:jc w:val="center"/>
              <w:rPr>
                <w:sz w:val="24"/>
              </w:rPr>
            </w:pPr>
            <w:r>
              <w:rPr>
                <w:rFonts w:hint="eastAsia"/>
                <w:sz w:val="24"/>
              </w:rPr>
              <w:t>不允许</w:t>
            </w:r>
          </w:p>
        </w:tc>
      </w:tr>
      <w:tr w14:paraId="063C0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28" w:type="dxa"/>
            <w:vAlign w:val="center"/>
          </w:tcPr>
          <w:p w14:paraId="4186A5B3">
            <w:pPr>
              <w:tabs>
                <w:tab w:val="left" w:pos="1080"/>
              </w:tabs>
              <w:snapToGrid w:val="0"/>
              <w:jc w:val="center"/>
              <w:rPr>
                <w:sz w:val="24"/>
              </w:rPr>
            </w:pPr>
            <w:r>
              <w:rPr>
                <w:rFonts w:hint="eastAsia"/>
                <w:sz w:val="24"/>
              </w:rPr>
              <w:t>13</w:t>
            </w:r>
          </w:p>
        </w:tc>
        <w:tc>
          <w:tcPr>
            <w:tcW w:w="1688" w:type="dxa"/>
            <w:vAlign w:val="center"/>
          </w:tcPr>
          <w:p w14:paraId="3965A827">
            <w:pPr>
              <w:tabs>
                <w:tab w:val="left" w:pos="1080"/>
              </w:tabs>
              <w:snapToGrid w:val="0"/>
              <w:jc w:val="center"/>
              <w:rPr>
                <w:sz w:val="24"/>
              </w:rPr>
            </w:pPr>
            <w:r>
              <w:rPr>
                <w:rFonts w:hint="eastAsia"/>
                <w:sz w:val="24"/>
              </w:rPr>
              <w:t>其他无效情形</w:t>
            </w:r>
          </w:p>
        </w:tc>
        <w:tc>
          <w:tcPr>
            <w:tcW w:w="5008" w:type="dxa"/>
            <w:vAlign w:val="center"/>
          </w:tcPr>
          <w:p w14:paraId="60978116">
            <w:pPr>
              <w:tabs>
                <w:tab w:val="left" w:pos="1080"/>
              </w:tabs>
              <w:snapToGrid w:val="0"/>
              <w:jc w:val="left"/>
              <w:rPr>
                <w:sz w:val="24"/>
              </w:rPr>
            </w:pPr>
            <w:r>
              <w:rPr>
                <w:rFonts w:hint="eastAsia"/>
                <w:sz w:val="24"/>
              </w:rPr>
              <w:t>供应商、响应文件不存在不符合法律、法规和竞争性磋商文件规定的其他无效情形。</w:t>
            </w:r>
          </w:p>
        </w:tc>
        <w:tc>
          <w:tcPr>
            <w:tcW w:w="1751" w:type="dxa"/>
            <w:vAlign w:val="center"/>
          </w:tcPr>
          <w:p w14:paraId="089E87EC">
            <w:pPr>
              <w:tabs>
                <w:tab w:val="left" w:pos="1080"/>
              </w:tabs>
              <w:snapToGrid w:val="0"/>
              <w:jc w:val="center"/>
              <w:rPr>
                <w:sz w:val="24"/>
              </w:rPr>
            </w:pPr>
            <w:r>
              <w:rPr>
                <w:rFonts w:hint="eastAsia"/>
                <w:sz w:val="24"/>
              </w:rPr>
              <w:t>不允许</w:t>
            </w:r>
          </w:p>
        </w:tc>
      </w:tr>
    </w:tbl>
    <w:p w14:paraId="155057DD">
      <w:pPr>
        <w:tabs>
          <w:tab w:val="left" w:pos="900"/>
          <w:tab w:val="left" w:pos="1080"/>
          <w:tab w:val="left" w:pos="1589"/>
        </w:tabs>
        <w:snapToGrid w:val="0"/>
        <w:spacing w:line="360" w:lineRule="auto"/>
        <w:rPr>
          <w:sz w:val="24"/>
        </w:rPr>
      </w:pPr>
    </w:p>
    <w:p w14:paraId="64D66772">
      <w:pPr>
        <w:numPr>
          <w:ilvl w:val="0"/>
          <w:numId w:val="10"/>
        </w:numPr>
        <w:tabs>
          <w:tab w:val="left" w:pos="360"/>
        </w:tabs>
        <w:snapToGrid w:val="0"/>
        <w:spacing w:line="360" w:lineRule="auto"/>
        <w:outlineLvl w:val="1"/>
        <w:rPr>
          <w:sz w:val="24"/>
        </w:rPr>
      </w:pPr>
      <w:r>
        <w:rPr>
          <w:sz w:val="24"/>
        </w:rPr>
        <w:t>磋商、响应文件有关事项的澄清、说明或者更正和最后报价</w:t>
      </w:r>
    </w:p>
    <w:p w14:paraId="2683D5D9">
      <w:pPr>
        <w:numPr>
          <w:ilvl w:val="1"/>
          <w:numId w:val="10"/>
        </w:numPr>
        <w:tabs>
          <w:tab w:val="left" w:pos="1080"/>
        </w:tabs>
        <w:snapToGrid w:val="0"/>
        <w:spacing w:line="360" w:lineRule="auto"/>
        <w:ind w:left="1077" w:hanging="720"/>
        <w:rPr>
          <w:sz w:val="24"/>
        </w:rPr>
      </w:pPr>
      <w:r>
        <w:rPr>
          <w:sz w:val="24"/>
        </w:rPr>
        <w:t>磋商小组所有成员将集中与单一供应商分别进行磋商，并给予所有参加磋商的供应商平等的磋商机会。</w:t>
      </w:r>
    </w:p>
    <w:p w14:paraId="2CAB6B8C">
      <w:pPr>
        <w:numPr>
          <w:ilvl w:val="1"/>
          <w:numId w:val="10"/>
        </w:numPr>
        <w:tabs>
          <w:tab w:val="left" w:pos="1080"/>
          <w:tab w:val="left" w:pos="1872"/>
        </w:tabs>
        <w:snapToGrid w:val="0"/>
        <w:spacing w:line="360" w:lineRule="auto"/>
        <w:ind w:left="1077" w:hanging="720"/>
        <w:rPr>
          <w:sz w:val="24"/>
        </w:rPr>
      </w:pPr>
      <w:r>
        <w:rPr>
          <w:rFonts w:hint="eastAsia"/>
          <w:kern w:val="0"/>
          <w:sz w:val="24"/>
        </w:rPr>
        <w:t>在磋商过程中，磋商小组可以根据磋商文件和磋商情况实质性变动采购需求中的技术、服务要求以及合同草案条款，但不得变动磋商文件中的其他内容。实质性变动的内容，须经采购人代表确认。</w:t>
      </w:r>
    </w:p>
    <w:p w14:paraId="34903CE9">
      <w:pPr>
        <w:numPr>
          <w:ilvl w:val="1"/>
          <w:numId w:val="10"/>
        </w:numPr>
        <w:tabs>
          <w:tab w:val="left" w:pos="1080"/>
          <w:tab w:val="left" w:pos="1872"/>
        </w:tabs>
        <w:snapToGrid w:val="0"/>
        <w:spacing w:line="360" w:lineRule="auto"/>
        <w:ind w:left="1077" w:hanging="720"/>
        <w:rPr>
          <w:kern w:val="0"/>
          <w:sz w:val="24"/>
        </w:rPr>
      </w:pPr>
      <w:r>
        <w:rPr>
          <w:rFonts w:hint="eastAsia"/>
          <w:kern w:val="0"/>
          <w:sz w:val="24"/>
        </w:rPr>
        <w:t>对磋商文件作出的实质性变动是磋商文件的有效组成部分，磋商小组应当及时以书面形式同时通知所有参加磋商的供应商。</w:t>
      </w:r>
    </w:p>
    <w:p w14:paraId="7A925EB9">
      <w:pPr>
        <w:numPr>
          <w:ilvl w:val="1"/>
          <w:numId w:val="10"/>
        </w:numPr>
        <w:tabs>
          <w:tab w:val="left" w:pos="1080"/>
          <w:tab w:val="left" w:pos="1872"/>
        </w:tabs>
        <w:snapToGrid w:val="0"/>
        <w:spacing w:line="360" w:lineRule="auto"/>
        <w:ind w:left="1077" w:hanging="720"/>
        <w:rPr>
          <w:kern w:val="0"/>
          <w:sz w:val="24"/>
        </w:rPr>
      </w:pPr>
      <w:r>
        <w:rPr>
          <w:rFonts w:hint="eastAsia"/>
          <w:kern w:val="0"/>
          <w:sz w:val="24"/>
        </w:rPr>
        <w:t>供应商应当按照磋商文件的变动情况和磋商小组的要求重新提交响应文件，并由其法定代表人（</w:t>
      </w:r>
      <w:r>
        <w:rPr>
          <w:rFonts w:hint="eastAsia"/>
          <w:color w:val="000000"/>
          <w:sz w:val="24"/>
          <w:szCs w:val="20"/>
        </w:rPr>
        <w:t>若供应商为事业单位或其他组织或分支机构，可为单位负责人</w:t>
      </w:r>
      <w:r>
        <w:rPr>
          <w:rFonts w:hint="eastAsia"/>
          <w:kern w:val="0"/>
          <w:sz w:val="24"/>
        </w:rPr>
        <w:t>）或授权代表签字或者加盖公章。由授权代表签字的，应当附授权委托书。供应商为自然人的，应当由本人签字并附身份证明。</w:t>
      </w:r>
    </w:p>
    <w:p w14:paraId="5E8F0188">
      <w:pPr>
        <w:numPr>
          <w:ilvl w:val="1"/>
          <w:numId w:val="10"/>
        </w:numPr>
        <w:tabs>
          <w:tab w:val="left" w:pos="1080"/>
          <w:tab w:val="left" w:pos="1872"/>
        </w:tabs>
        <w:snapToGrid w:val="0"/>
        <w:spacing w:line="360" w:lineRule="auto"/>
        <w:ind w:left="1077" w:hanging="720"/>
        <w:rPr>
          <w:sz w:val="24"/>
        </w:rPr>
      </w:pPr>
      <w:r>
        <w:rPr>
          <w:rFonts w:hint="eastAsia"/>
          <w:sz w:val="24"/>
        </w:rPr>
        <w:t>响应文件的澄清、说明或者更正：</w:t>
      </w:r>
    </w:p>
    <w:p w14:paraId="66728AD7">
      <w:pPr>
        <w:numPr>
          <w:ilvl w:val="2"/>
          <w:numId w:val="10"/>
        </w:numPr>
        <w:snapToGrid w:val="0"/>
        <w:spacing w:line="360" w:lineRule="auto"/>
        <w:rPr>
          <w:sz w:val="24"/>
        </w:rPr>
      </w:pPr>
      <w:r>
        <w:rPr>
          <w:sz w:val="24"/>
        </w:rPr>
        <w:t>磋商小组在对响应文件的有效性、完整性和响应程度进行审查时，可以要求供应商对响应文件中含义不明确、同类问题表述不一致或者有明显文字和计算错误的内容等作出必要的澄清、说明或者更正。</w:t>
      </w:r>
    </w:p>
    <w:p w14:paraId="74861593">
      <w:pPr>
        <w:numPr>
          <w:ilvl w:val="2"/>
          <w:numId w:val="10"/>
        </w:numPr>
        <w:snapToGrid w:val="0"/>
        <w:spacing w:line="360" w:lineRule="auto"/>
        <w:rPr>
          <w:sz w:val="24"/>
        </w:rPr>
      </w:pPr>
      <w:r>
        <w:rPr>
          <w:sz w:val="24"/>
        </w:rPr>
        <w:t>磋商小组对响应文件进行审查，如发现供应商提交的响应文件存在不满足《符合性审查要求》的内容，如属于表中“不允许”澄清、说明或者更正的内容，则供应商响应文件按</w:t>
      </w:r>
      <w:r>
        <w:rPr>
          <w:b/>
          <w:sz w:val="24"/>
        </w:rPr>
        <w:t>无效处理</w:t>
      </w:r>
      <w:r>
        <w:rPr>
          <w:sz w:val="24"/>
        </w:rPr>
        <w:t>；如属于表中的“允许”澄清、说明或更正的内容，磋商小组将要求供应商在规定的时间内对响应文件进行澄清、说明或者更正。如供应商在磋商小组规定的时间内未作出必要的澄清、说明或者更正，或澄清、说明或者更正后仍不能满足采购文件要求的，则供应商的响应文件按</w:t>
      </w:r>
      <w:r>
        <w:rPr>
          <w:b/>
          <w:sz w:val="24"/>
        </w:rPr>
        <w:t>无效处理</w:t>
      </w:r>
      <w:r>
        <w:rPr>
          <w:sz w:val="24"/>
        </w:rPr>
        <w:t>。</w:t>
      </w:r>
    </w:p>
    <w:p w14:paraId="1121F79E">
      <w:pPr>
        <w:numPr>
          <w:ilvl w:val="2"/>
          <w:numId w:val="10"/>
        </w:numPr>
        <w:snapToGrid w:val="0"/>
        <w:spacing w:line="360" w:lineRule="auto"/>
        <w:rPr>
          <w:sz w:val="24"/>
        </w:rPr>
      </w:pPr>
      <w:r>
        <w:rPr>
          <w:sz w:val="24"/>
        </w:rPr>
        <w:t>供应商的澄清、说明或者更正不得超出响应文件的范围或者改变响应文件的实质性内容。磋商小组要求供应商澄清、说明或者更正响应文件应当以书面形式作出。供应商的澄清、说明或者更正应当由法定代表人</w:t>
      </w:r>
      <w:r>
        <w:rPr>
          <w:kern w:val="0"/>
          <w:sz w:val="24"/>
        </w:rPr>
        <w:t>（</w:t>
      </w:r>
      <w:r>
        <w:rPr>
          <w:color w:val="000000"/>
          <w:sz w:val="24"/>
          <w:szCs w:val="20"/>
        </w:rPr>
        <w:t>若</w:t>
      </w:r>
      <w:r>
        <w:rPr>
          <w:rFonts w:hint="eastAsia"/>
          <w:color w:val="000000"/>
          <w:sz w:val="24"/>
          <w:szCs w:val="20"/>
        </w:rPr>
        <w:t>供应商</w:t>
      </w:r>
      <w:r>
        <w:rPr>
          <w:color w:val="000000"/>
          <w:sz w:val="24"/>
          <w:szCs w:val="20"/>
        </w:rPr>
        <w:t>为事业单位或其他组织或分支机构，可为单位负责人</w:t>
      </w:r>
      <w:r>
        <w:rPr>
          <w:kern w:val="0"/>
          <w:sz w:val="24"/>
        </w:rPr>
        <w:t>）</w:t>
      </w:r>
      <w:r>
        <w:rPr>
          <w:sz w:val="24"/>
        </w:rPr>
        <w:t>或其授权代表签字或者加盖公章。由授权代表签字的，应当附授权委托书。供应商为自然人的，应当由本人签字并附身份证明。澄清、说明或者更正文件将作为响应文件内容的一部分。</w:t>
      </w:r>
    </w:p>
    <w:p w14:paraId="1890EC6E">
      <w:pPr>
        <w:numPr>
          <w:ilvl w:val="1"/>
          <w:numId w:val="10"/>
        </w:numPr>
        <w:tabs>
          <w:tab w:val="left" w:pos="1080"/>
          <w:tab w:val="left" w:pos="1872"/>
        </w:tabs>
        <w:snapToGrid w:val="0"/>
        <w:spacing w:line="360" w:lineRule="auto"/>
        <w:ind w:left="1077" w:hanging="720"/>
        <w:rPr>
          <w:sz w:val="24"/>
        </w:rPr>
      </w:pPr>
      <w:r>
        <w:rPr>
          <w:sz w:val="24"/>
        </w:rPr>
        <w:t>磋商结束后，磋商小组将要求所有实质性响应的供应商在规定时间内提交最后报价。最后报价时间为磋商小组指定的时间，具体时间根据磋商进度另行通知。</w:t>
      </w:r>
    </w:p>
    <w:p w14:paraId="671BAE66">
      <w:pPr>
        <w:numPr>
          <w:ilvl w:val="1"/>
          <w:numId w:val="10"/>
        </w:numPr>
        <w:tabs>
          <w:tab w:val="left" w:pos="1080"/>
          <w:tab w:val="left" w:pos="1872"/>
        </w:tabs>
        <w:wordWrap w:val="0"/>
        <w:topLinePunct/>
        <w:snapToGrid w:val="0"/>
        <w:spacing w:line="360" w:lineRule="auto"/>
        <w:ind w:left="1077" w:hanging="720"/>
        <w:rPr>
          <w:sz w:val="24"/>
        </w:rPr>
      </w:pPr>
      <w:bookmarkStart w:id="644" w:name="_Hlk220085436"/>
      <w:r>
        <w:rPr>
          <w:rFonts w:hint="eastAsia"/>
          <w:sz w:val="24"/>
        </w:rPr>
        <w:t>异常低价处理</w:t>
      </w:r>
    </w:p>
    <w:p w14:paraId="6CF8DB02">
      <w:pPr>
        <w:numPr>
          <w:ilvl w:val="2"/>
          <w:numId w:val="10"/>
        </w:numPr>
        <w:tabs>
          <w:tab w:val="left" w:pos="1080"/>
          <w:tab w:val="left" w:pos="1872"/>
          <w:tab w:val="clear" w:pos="1980"/>
        </w:tabs>
        <w:wordWrap w:val="0"/>
        <w:topLinePunct/>
        <w:snapToGrid w:val="0"/>
        <w:spacing w:line="360" w:lineRule="auto"/>
        <w:rPr>
          <w:sz w:val="24"/>
        </w:rPr>
      </w:pPr>
      <w:r>
        <w:rPr>
          <w:rFonts w:hint="eastAsia"/>
          <w:sz w:val="24"/>
        </w:rPr>
        <w:t>政府采购评审中出现下列情形之一的，评审委员会应当启动异常低价投标（响应）审查程序：</w:t>
      </w:r>
    </w:p>
    <w:p w14:paraId="7938523C">
      <w:pPr>
        <w:tabs>
          <w:tab w:val="left" w:pos="1080"/>
          <w:tab w:val="left" w:pos="1872"/>
        </w:tabs>
        <w:wordWrap w:val="0"/>
        <w:topLinePunct/>
        <w:snapToGrid w:val="0"/>
        <w:spacing w:line="360" w:lineRule="auto"/>
        <w:ind w:left="1676" w:leftChars="798"/>
        <w:rPr>
          <w:sz w:val="24"/>
        </w:rPr>
      </w:pPr>
      <w:r>
        <w:rPr>
          <w:rFonts w:hint="eastAsia"/>
          <w:sz w:val="24"/>
        </w:rPr>
        <w:t>（</w:t>
      </w:r>
      <w:r>
        <w:rPr>
          <w:sz w:val="24"/>
        </w:rPr>
        <w:t>1</w:t>
      </w:r>
      <w:r>
        <w:rPr>
          <w:rFonts w:hint="eastAsia"/>
          <w:sz w:val="24"/>
        </w:rPr>
        <w:t>）投标（响应）报价低于全部通过符合性审查供应商投标（响应）报价平均值</w:t>
      </w:r>
      <w:r>
        <w:rPr>
          <w:rFonts w:hint="eastAsia"/>
          <w:sz w:val="24"/>
          <w:u w:val="single"/>
        </w:rPr>
        <w:t xml:space="preserve"> </w:t>
      </w:r>
      <w:r>
        <w:rPr>
          <w:rFonts w:hint="eastAsia"/>
          <w:sz w:val="24"/>
          <w:u w:val="single"/>
          <w:lang w:val="en-US" w:eastAsia="zh-CN"/>
        </w:rPr>
        <w:t>50</w:t>
      </w:r>
      <w:r>
        <w:rPr>
          <w:rFonts w:hint="eastAsia"/>
          <w:sz w:val="24"/>
          <w:u w:val="single"/>
        </w:rPr>
        <w:t xml:space="preserve"> </w:t>
      </w:r>
      <w:r>
        <w:rPr>
          <w:sz w:val="24"/>
        </w:rPr>
        <w:t>%</w:t>
      </w:r>
      <w:r>
        <w:rPr>
          <w:rFonts w:hint="eastAsia"/>
          <w:sz w:val="24"/>
        </w:rPr>
        <w:t>的，即投标（响应）报价</w:t>
      </w:r>
      <w:r>
        <w:rPr>
          <w:sz w:val="24"/>
        </w:rPr>
        <w:t>&lt;</w:t>
      </w:r>
      <w:r>
        <w:rPr>
          <w:rFonts w:hint="eastAsia"/>
          <w:sz w:val="24"/>
        </w:rPr>
        <w:t>全部通过符合性审查供应商投标（响应）报价平均值×</w:t>
      </w:r>
      <w:r>
        <w:rPr>
          <w:rFonts w:hint="eastAsia"/>
          <w:sz w:val="24"/>
          <w:u w:val="single"/>
        </w:rPr>
        <w:t xml:space="preserve"> </w:t>
      </w:r>
      <w:r>
        <w:rPr>
          <w:rFonts w:hint="eastAsia"/>
          <w:sz w:val="24"/>
          <w:u w:val="single"/>
          <w:lang w:val="en-US" w:eastAsia="zh-CN"/>
        </w:rPr>
        <w:t>50</w:t>
      </w:r>
      <w:r>
        <w:rPr>
          <w:rFonts w:hint="eastAsia"/>
          <w:sz w:val="24"/>
          <w:u w:val="single"/>
        </w:rPr>
        <w:t xml:space="preserve"> </w:t>
      </w:r>
      <w:r>
        <w:rPr>
          <w:sz w:val="24"/>
        </w:rPr>
        <w:t>%</w:t>
      </w:r>
      <w:r>
        <w:rPr>
          <w:rFonts w:hint="eastAsia"/>
          <w:sz w:val="24"/>
        </w:rPr>
        <w:t>；</w:t>
      </w:r>
    </w:p>
    <w:p w14:paraId="4CD87E9C">
      <w:pPr>
        <w:tabs>
          <w:tab w:val="left" w:pos="1080"/>
          <w:tab w:val="left" w:pos="1872"/>
        </w:tabs>
        <w:wordWrap w:val="0"/>
        <w:topLinePunct/>
        <w:snapToGrid w:val="0"/>
        <w:spacing w:line="360" w:lineRule="auto"/>
        <w:ind w:left="1596" w:leftChars="760" w:firstLine="93" w:firstLineChars="39"/>
        <w:rPr>
          <w:sz w:val="24"/>
        </w:rPr>
      </w:pPr>
      <w:r>
        <w:rPr>
          <w:rFonts w:hint="eastAsia"/>
          <w:sz w:val="24"/>
        </w:rPr>
        <w:t>（</w:t>
      </w:r>
      <w:r>
        <w:rPr>
          <w:sz w:val="24"/>
        </w:rPr>
        <w:t>2</w:t>
      </w:r>
      <w:r>
        <w:rPr>
          <w:rFonts w:hint="eastAsia"/>
          <w:sz w:val="24"/>
        </w:rPr>
        <w:t>）投标（响应）报价低于通过符合性审查的次低报价供应商投标（响应）报价</w:t>
      </w:r>
      <w:r>
        <w:rPr>
          <w:rFonts w:hint="eastAsia"/>
          <w:sz w:val="24"/>
          <w:u w:val="single"/>
        </w:rPr>
        <w:t xml:space="preserve"> </w:t>
      </w:r>
      <w:r>
        <w:rPr>
          <w:rFonts w:hint="eastAsia"/>
          <w:sz w:val="24"/>
          <w:u w:val="single"/>
          <w:lang w:val="en-US" w:eastAsia="zh-CN"/>
        </w:rPr>
        <w:t>50</w:t>
      </w:r>
      <w:r>
        <w:rPr>
          <w:rFonts w:hint="eastAsia"/>
          <w:sz w:val="24"/>
          <w:u w:val="single"/>
        </w:rPr>
        <w:t xml:space="preserve"> </w:t>
      </w:r>
      <w:r>
        <w:rPr>
          <w:sz w:val="24"/>
        </w:rPr>
        <w:t>%</w:t>
      </w:r>
      <w:r>
        <w:rPr>
          <w:rFonts w:hint="eastAsia"/>
          <w:sz w:val="24"/>
        </w:rPr>
        <w:t>的，即投标（响应）报价</w:t>
      </w:r>
      <w:r>
        <w:rPr>
          <w:sz w:val="24"/>
        </w:rPr>
        <w:t>&lt;</w:t>
      </w:r>
      <w:r>
        <w:rPr>
          <w:rFonts w:hint="eastAsia"/>
          <w:sz w:val="24"/>
        </w:rPr>
        <w:t>通过符合性审查的次低报价供应商投标（响应）报价×</w:t>
      </w:r>
      <w:r>
        <w:rPr>
          <w:rFonts w:hint="eastAsia"/>
          <w:sz w:val="24"/>
          <w:u w:val="single"/>
        </w:rPr>
        <w:t xml:space="preserve"> </w:t>
      </w:r>
      <w:r>
        <w:rPr>
          <w:rFonts w:hint="eastAsia"/>
          <w:sz w:val="24"/>
          <w:u w:val="single"/>
          <w:lang w:val="en-US" w:eastAsia="zh-CN"/>
        </w:rPr>
        <w:t>50</w:t>
      </w:r>
      <w:r>
        <w:rPr>
          <w:rFonts w:hint="eastAsia"/>
          <w:sz w:val="24"/>
          <w:u w:val="single"/>
        </w:rPr>
        <w:t xml:space="preserve"> </w:t>
      </w:r>
      <w:r>
        <w:rPr>
          <w:sz w:val="24"/>
        </w:rPr>
        <w:t>%</w:t>
      </w:r>
      <w:r>
        <w:rPr>
          <w:rFonts w:hint="eastAsia"/>
          <w:sz w:val="24"/>
        </w:rPr>
        <w:t>；</w:t>
      </w:r>
    </w:p>
    <w:p w14:paraId="54716ED5">
      <w:pPr>
        <w:tabs>
          <w:tab w:val="left" w:pos="1080"/>
          <w:tab w:val="left" w:pos="1872"/>
        </w:tabs>
        <w:wordWrap w:val="0"/>
        <w:topLinePunct/>
        <w:snapToGrid w:val="0"/>
        <w:spacing w:line="360" w:lineRule="auto"/>
        <w:ind w:left="1596" w:leftChars="760" w:firstLine="93" w:firstLineChars="39"/>
        <w:rPr>
          <w:sz w:val="24"/>
        </w:rPr>
      </w:pPr>
      <w:r>
        <w:rPr>
          <w:rFonts w:hint="eastAsia"/>
          <w:sz w:val="24"/>
        </w:rPr>
        <w:t>（</w:t>
      </w:r>
      <w:r>
        <w:rPr>
          <w:sz w:val="24"/>
        </w:rPr>
        <w:t>3</w:t>
      </w:r>
      <w:r>
        <w:rPr>
          <w:rFonts w:hint="eastAsia"/>
          <w:sz w:val="24"/>
        </w:rPr>
        <w:t>）投标（响应）报价低于采购项目最高限价</w:t>
      </w:r>
      <w:r>
        <w:rPr>
          <w:rFonts w:hint="eastAsia"/>
          <w:sz w:val="24"/>
          <w:u w:val="single"/>
        </w:rPr>
        <w:t xml:space="preserve"> </w:t>
      </w:r>
      <w:r>
        <w:rPr>
          <w:rFonts w:hint="eastAsia"/>
          <w:sz w:val="24"/>
          <w:u w:val="single"/>
          <w:lang w:val="en-US" w:eastAsia="zh-CN"/>
        </w:rPr>
        <w:t>50</w:t>
      </w:r>
      <w:r>
        <w:rPr>
          <w:rFonts w:hint="eastAsia"/>
          <w:sz w:val="24"/>
          <w:u w:val="single"/>
        </w:rPr>
        <w:t xml:space="preserve"> </w:t>
      </w:r>
      <w:r>
        <w:rPr>
          <w:sz w:val="24"/>
        </w:rPr>
        <w:t>%</w:t>
      </w:r>
      <w:r>
        <w:rPr>
          <w:rFonts w:hint="eastAsia"/>
          <w:sz w:val="24"/>
        </w:rPr>
        <w:t>的，即投标（响应）报价</w:t>
      </w:r>
      <w:r>
        <w:rPr>
          <w:sz w:val="24"/>
        </w:rPr>
        <w:t>&lt;</w:t>
      </w:r>
      <w:r>
        <w:rPr>
          <w:rFonts w:hint="eastAsia"/>
          <w:sz w:val="24"/>
        </w:rPr>
        <w:t>采购项目最高限价×</w:t>
      </w:r>
      <w:r>
        <w:rPr>
          <w:rFonts w:hint="eastAsia"/>
          <w:sz w:val="24"/>
          <w:u w:val="single"/>
        </w:rPr>
        <w:t xml:space="preserve"> </w:t>
      </w:r>
      <w:r>
        <w:rPr>
          <w:rFonts w:hint="eastAsia"/>
          <w:sz w:val="24"/>
          <w:u w:val="single"/>
          <w:lang w:val="en-US" w:eastAsia="zh-CN"/>
        </w:rPr>
        <w:t>50</w:t>
      </w:r>
      <w:r>
        <w:rPr>
          <w:rFonts w:hint="eastAsia"/>
          <w:sz w:val="24"/>
          <w:u w:val="single"/>
        </w:rPr>
        <w:t xml:space="preserve"> </w:t>
      </w:r>
      <w:r>
        <w:rPr>
          <w:sz w:val="24"/>
        </w:rPr>
        <w:t>%</w:t>
      </w:r>
      <w:r>
        <w:rPr>
          <w:rFonts w:hint="eastAsia"/>
          <w:sz w:val="24"/>
        </w:rPr>
        <w:t>；未设定最高限价的采购项目，以采购项目预算金额作为最高限价；</w:t>
      </w:r>
    </w:p>
    <w:p w14:paraId="742E6198">
      <w:pPr>
        <w:tabs>
          <w:tab w:val="left" w:pos="1080"/>
          <w:tab w:val="left" w:pos="1872"/>
        </w:tabs>
        <w:wordWrap w:val="0"/>
        <w:topLinePunct/>
        <w:snapToGrid w:val="0"/>
        <w:spacing w:line="360" w:lineRule="auto"/>
        <w:ind w:left="1596" w:leftChars="760" w:firstLine="93" w:firstLineChars="39"/>
        <w:rPr>
          <w:sz w:val="24"/>
        </w:rPr>
      </w:pPr>
      <w:r>
        <w:rPr>
          <w:rFonts w:hint="eastAsia"/>
          <w:sz w:val="24"/>
        </w:rPr>
        <w:t>（</w:t>
      </w:r>
      <w:r>
        <w:rPr>
          <w:sz w:val="24"/>
        </w:rPr>
        <w:t>4</w:t>
      </w:r>
      <w:r>
        <w:rPr>
          <w:rFonts w:hint="eastAsia"/>
          <w:sz w:val="24"/>
        </w:rPr>
        <w:t>）评审委员会基于专业判断，认为供应商报价过低，有可能影响产品质量或者不能诚信履约的其他情形。</w:t>
      </w:r>
    </w:p>
    <w:p w14:paraId="55AF7258">
      <w:pPr>
        <w:numPr>
          <w:ilvl w:val="2"/>
          <w:numId w:val="10"/>
        </w:numPr>
        <w:tabs>
          <w:tab w:val="left" w:pos="1080"/>
          <w:tab w:val="left" w:pos="1872"/>
          <w:tab w:val="clear" w:pos="1980"/>
        </w:tabs>
        <w:snapToGrid w:val="0"/>
        <w:spacing w:line="360" w:lineRule="auto"/>
        <w:rPr>
          <w:sz w:val="24"/>
        </w:rPr>
      </w:pPr>
      <w:r>
        <w:rPr>
          <w:rFonts w:hint="eastAsia"/>
          <w:sz w:val="24"/>
        </w:rPr>
        <w:t>评审委员会启动异常低价投标（响应）审查后，属于前述第（</w:t>
      </w:r>
      <w:r>
        <w:rPr>
          <w:sz w:val="24"/>
        </w:rPr>
        <w:t>1</w:t>
      </w:r>
      <w:r>
        <w:rPr>
          <w:rFonts w:hint="eastAsia"/>
          <w:sz w:val="24"/>
        </w:rPr>
        <w:t>）项至第（</w:t>
      </w:r>
      <w:r>
        <w:rPr>
          <w:sz w:val="24"/>
        </w:rPr>
        <w:t>4</w:t>
      </w:r>
      <w:r>
        <w:rPr>
          <w:rFonts w:hint="eastAsia"/>
          <w:sz w:val="24"/>
        </w:rPr>
        <w:t>）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w:t>
      </w:r>
      <w:r>
        <w:rPr>
          <w:sz w:val="24"/>
        </w:rPr>
        <w:t>30</w:t>
      </w:r>
      <w:r>
        <w:rPr>
          <w:rFonts w:hint="eastAsia"/>
          <w:sz w:val="24"/>
        </w:rPr>
        <w:t>分钟。其中，属于第（</w:t>
      </w:r>
      <w:r>
        <w:rPr>
          <w:sz w:val="24"/>
        </w:rPr>
        <w:t>3</w:t>
      </w:r>
      <w:r>
        <w:rPr>
          <w:rFonts w:hint="eastAsia"/>
          <w:sz w:val="24"/>
        </w:rPr>
        <w:t>）项情形，供应商已随投标（响应）文件一并提交相关书面说明及必要的证明材料的，在评审现场可不再重复提交。</w:t>
      </w:r>
    </w:p>
    <w:p w14:paraId="5E6E465F">
      <w:pPr>
        <w:numPr>
          <w:ilvl w:val="2"/>
          <w:numId w:val="10"/>
        </w:numPr>
        <w:tabs>
          <w:tab w:val="left" w:pos="1080"/>
          <w:tab w:val="left" w:pos="1872"/>
          <w:tab w:val="clear" w:pos="1980"/>
        </w:tabs>
        <w:snapToGrid w:val="0"/>
        <w:spacing w:line="360" w:lineRule="auto"/>
        <w:rPr>
          <w:sz w:val="24"/>
        </w:rPr>
      </w:pPr>
      <w:r>
        <w:rPr>
          <w:rFonts w:hint="eastAsia"/>
          <w:sz w:val="24"/>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62FC064B">
      <w:pPr>
        <w:numPr>
          <w:ilvl w:val="2"/>
          <w:numId w:val="10"/>
        </w:numPr>
        <w:tabs>
          <w:tab w:val="left" w:pos="1080"/>
          <w:tab w:val="left" w:pos="1872"/>
          <w:tab w:val="clear" w:pos="1980"/>
        </w:tabs>
        <w:snapToGrid w:val="0"/>
        <w:spacing w:line="360" w:lineRule="auto"/>
        <w:rPr>
          <w:sz w:val="24"/>
        </w:rPr>
      </w:pPr>
      <w:bookmarkStart w:id="645" w:name="_Hlk190337965"/>
      <w:r>
        <w:rPr>
          <w:rFonts w:hint="eastAsia"/>
          <w:sz w:val="24"/>
        </w:rPr>
        <w:t>上述投标（响应）报价指按照本章</w:t>
      </w:r>
      <w:r>
        <w:rPr>
          <w:sz w:val="24"/>
        </w:rPr>
        <w:t>3.2</w:t>
      </w:r>
      <w:r>
        <w:rPr>
          <w:rFonts w:hint="eastAsia"/>
          <w:sz w:val="24"/>
        </w:rPr>
        <w:t>修正后的报价</w:t>
      </w:r>
      <w:bookmarkEnd w:id="645"/>
      <w:r>
        <w:rPr>
          <w:rFonts w:hint="eastAsia"/>
          <w:sz w:val="24"/>
        </w:rPr>
        <w:t>。</w:t>
      </w:r>
      <w:bookmarkEnd w:id="644"/>
    </w:p>
    <w:p w14:paraId="415E5D98">
      <w:pPr>
        <w:numPr>
          <w:ilvl w:val="1"/>
          <w:numId w:val="10"/>
        </w:numPr>
        <w:tabs>
          <w:tab w:val="left" w:pos="1080"/>
          <w:tab w:val="left" w:pos="1872"/>
        </w:tabs>
        <w:snapToGrid w:val="0"/>
        <w:spacing w:line="360" w:lineRule="auto"/>
        <w:ind w:left="1077" w:hanging="720"/>
        <w:rPr>
          <w:sz w:val="24"/>
        </w:rPr>
      </w:pPr>
      <w:r>
        <w:rPr>
          <w:snapToGrid w:val="0"/>
          <w:sz w:val="24"/>
        </w:rPr>
        <w:t>磋商文件能够详细列明采购标的的技术、服务要求的，磋商结束后，磋商小组应当要求所有实质性响应的供应商在规定时间内提交最后报价，提交最后报价的供应商不得少于3家。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r>
        <w:rPr>
          <w:sz w:val="24"/>
        </w:rPr>
        <w:t>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w:t>
      </w:r>
    </w:p>
    <w:p w14:paraId="76F83F05">
      <w:pPr>
        <w:numPr>
          <w:ilvl w:val="1"/>
          <w:numId w:val="10"/>
        </w:numPr>
        <w:tabs>
          <w:tab w:val="left" w:pos="1080"/>
          <w:tab w:val="left" w:pos="1872"/>
        </w:tabs>
        <w:snapToGrid w:val="0"/>
        <w:spacing w:line="360" w:lineRule="auto"/>
        <w:ind w:left="1077" w:hanging="720"/>
        <w:rPr>
          <w:sz w:val="24"/>
        </w:rPr>
      </w:pPr>
      <w:r>
        <w:rPr>
          <w:sz w:val="24"/>
        </w:rPr>
        <w:t>最后报价是供应商响应文件的有效组成部分。</w:t>
      </w:r>
    </w:p>
    <w:p w14:paraId="3CAA0223">
      <w:pPr>
        <w:numPr>
          <w:ilvl w:val="1"/>
          <w:numId w:val="10"/>
        </w:numPr>
        <w:tabs>
          <w:tab w:val="left" w:pos="1080"/>
          <w:tab w:val="left" w:pos="1872"/>
        </w:tabs>
        <w:snapToGrid w:val="0"/>
        <w:spacing w:line="360" w:lineRule="auto"/>
        <w:ind w:left="1077" w:hanging="720"/>
        <w:rPr>
          <w:sz w:val="24"/>
        </w:rPr>
      </w:pPr>
      <w:r>
        <w:rPr>
          <w:sz w:val="24"/>
        </w:rPr>
        <w:t>已提交响应文件的供应商，在提交最后报价之前，可以根据磋商情况退出磋商。</w:t>
      </w:r>
    </w:p>
    <w:p w14:paraId="7741B0A9">
      <w:pPr>
        <w:numPr>
          <w:ilvl w:val="0"/>
          <w:numId w:val="10"/>
        </w:numPr>
        <w:tabs>
          <w:tab w:val="left" w:pos="360"/>
        </w:tabs>
        <w:snapToGrid w:val="0"/>
        <w:spacing w:line="360" w:lineRule="auto"/>
        <w:outlineLvl w:val="1"/>
        <w:rPr>
          <w:sz w:val="24"/>
        </w:rPr>
      </w:pPr>
      <w:r>
        <w:rPr>
          <w:sz w:val="24"/>
        </w:rPr>
        <w:t>最后报价的算术修正及政策调整</w:t>
      </w:r>
    </w:p>
    <w:p w14:paraId="38A26B05">
      <w:pPr>
        <w:numPr>
          <w:ilvl w:val="1"/>
          <w:numId w:val="10"/>
        </w:numPr>
        <w:tabs>
          <w:tab w:val="left" w:pos="1080"/>
        </w:tabs>
        <w:snapToGrid w:val="0"/>
        <w:spacing w:line="360" w:lineRule="auto"/>
        <w:ind w:left="1077" w:hanging="720"/>
        <w:rPr>
          <w:sz w:val="24"/>
        </w:rPr>
      </w:pPr>
      <w:r>
        <w:rPr>
          <w:sz w:val="24"/>
        </w:rPr>
        <w:t>最后报价须包含竞争性磋商文件全部内容，如最后分项报价表有缺漏视为已含在其他各项报价中，将不对最后报价进行调整。磋商小组有权要求供应商在评审现场合理的时间内对此进行书面确认，供应商不确认的，视为将一个采购包中的内容拆分响应，其</w:t>
      </w:r>
      <w:r>
        <w:rPr>
          <w:b/>
          <w:sz w:val="24"/>
        </w:rPr>
        <w:t>响应无效</w:t>
      </w:r>
      <w:r>
        <w:rPr>
          <w:sz w:val="24"/>
        </w:rPr>
        <w:t>。</w:t>
      </w:r>
    </w:p>
    <w:p w14:paraId="1D4F229B">
      <w:pPr>
        <w:numPr>
          <w:ilvl w:val="1"/>
          <w:numId w:val="10"/>
        </w:numPr>
        <w:tabs>
          <w:tab w:val="left" w:pos="1080"/>
          <w:tab w:val="left" w:pos="1872"/>
        </w:tabs>
        <w:snapToGrid w:val="0"/>
        <w:spacing w:line="360" w:lineRule="auto"/>
        <w:ind w:left="1077" w:hanging="720"/>
        <w:rPr>
          <w:sz w:val="24"/>
        </w:rPr>
      </w:pPr>
      <w:r>
        <w:rPr>
          <w:sz w:val="24"/>
        </w:rPr>
        <w:t>最后报价出现前后不一致的，按照下列规定修正：</w:t>
      </w:r>
    </w:p>
    <w:p w14:paraId="1397B716">
      <w:pPr>
        <w:numPr>
          <w:ilvl w:val="2"/>
          <w:numId w:val="10"/>
        </w:numPr>
        <w:tabs>
          <w:tab w:val="left" w:pos="1080"/>
          <w:tab w:val="left" w:pos="1589"/>
          <w:tab w:val="left" w:pos="2035"/>
          <w:tab w:val="left" w:pos="2114"/>
        </w:tabs>
        <w:snapToGrid w:val="0"/>
        <w:spacing w:line="360" w:lineRule="auto"/>
        <w:ind w:left="2035"/>
        <w:rPr>
          <w:sz w:val="24"/>
        </w:rPr>
      </w:pPr>
      <w:r>
        <w:rPr>
          <w:sz w:val="24"/>
        </w:rPr>
        <w:t>竞争性磋商文件对于报价修正是否另有规定：</w:t>
      </w:r>
    </w:p>
    <w:p w14:paraId="2ECE9810">
      <w:pPr>
        <w:tabs>
          <w:tab w:val="left" w:pos="1080"/>
          <w:tab w:val="left" w:pos="1589"/>
          <w:tab w:val="left" w:pos="2035"/>
          <w:tab w:val="left" w:pos="2114"/>
        </w:tabs>
        <w:snapToGrid w:val="0"/>
        <w:spacing w:line="360" w:lineRule="auto"/>
        <w:ind w:left="2035"/>
        <w:rPr>
          <w:sz w:val="24"/>
          <w:u w:val="single"/>
        </w:rPr>
      </w:pPr>
      <w:r>
        <w:rPr>
          <w:sz w:val="24"/>
        </w:rPr>
        <w:t>□有，具体规定为：___________</w:t>
      </w:r>
    </w:p>
    <w:p w14:paraId="50947C19">
      <w:pPr>
        <w:tabs>
          <w:tab w:val="left" w:pos="1080"/>
          <w:tab w:val="left" w:pos="1589"/>
          <w:tab w:val="left" w:pos="2035"/>
          <w:tab w:val="left" w:pos="2114"/>
        </w:tabs>
        <w:snapToGrid w:val="0"/>
        <w:spacing w:line="360" w:lineRule="auto"/>
        <w:ind w:left="2035"/>
        <w:rPr>
          <w:sz w:val="24"/>
        </w:rPr>
      </w:pPr>
      <w:r>
        <w:rPr>
          <w:sz w:val="24"/>
        </w:rPr>
        <w:t>■无，按下述3.2.2-3.2.</w:t>
      </w:r>
      <w:r>
        <w:rPr>
          <w:rFonts w:hint="eastAsia"/>
          <w:sz w:val="24"/>
        </w:rPr>
        <w:t>6</w:t>
      </w:r>
      <w:r>
        <w:rPr>
          <w:sz w:val="24"/>
        </w:rPr>
        <w:t>项规定修正。</w:t>
      </w:r>
    </w:p>
    <w:p w14:paraId="0126FB85">
      <w:pPr>
        <w:numPr>
          <w:ilvl w:val="2"/>
          <w:numId w:val="10"/>
        </w:numPr>
        <w:tabs>
          <w:tab w:val="left" w:pos="2035"/>
          <w:tab w:val="left" w:pos="2114"/>
          <w:tab w:val="left" w:pos="2977"/>
        </w:tabs>
        <w:snapToGrid w:val="0"/>
        <w:spacing w:line="360" w:lineRule="auto"/>
        <w:ind w:left="2035"/>
        <w:rPr>
          <w:color w:val="000000"/>
          <w:sz w:val="24"/>
        </w:rPr>
      </w:pPr>
      <w:r>
        <w:rPr>
          <w:color w:val="000000"/>
          <w:sz w:val="24"/>
        </w:rPr>
        <w:t>大写金额和小写金额不一致的，以大写金额为准；</w:t>
      </w:r>
    </w:p>
    <w:p w14:paraId="7F7227E2">
      <w:pPr>
        <w:numPr>
          <w:ilvl w:val="2"/>
          <w:numId w:val="10"/>
        </w:numPr>
        <w:tabs>
          <w:tab w:val="left" w:pos="2035"/>
          <w:tab w:val="left" w:pos="2114"/>
          <w:tab w:val="left" w:pos="2977"/>
        </w:tabs>
        <w:snapToGrid w:val="0"/>
        <w:spacing w:line="360" w:lineRule="auto"/>
        <w:ind w:left="2035"/>
        <w:rPr>
          <w:color w:val="000000"/>
          <w:sz w:val="24"/>
        </w:rPr>
      </w:pPr>
      <w:r>
        <w:rPr>
          <w:color w:val="000000"/>
          <w:sz w:val="24"/>
        </w:rPr>
        <w:t>单价金额小数点或者百分比有明显错位的，以总价为准，并修改单价；</w:t>
      </w:r>
    </w:p>
    <w:p w14:paraId="41B3E04B">
      <w:pPr>
        <w:numPr>
          <w:ilvl w:val="2"/>
          <w:numId w:val="10"/>
        </w:numPr>
        <w:tabs>
          <w:tab w:val="left" w:pos="2035"/>
          <w:tab w:val="left" w:pos="2114"/>
          <w:tab w:val="left" w:pos="2977"/>
        </w:tabs>
        <w:snapToGrid w:val="0"/>
        <w:spacing w:line="360" w:lineRule="auto"/>
        <w:ind w:left="2035"/>
        <w:rPr>
          <w:color w:val="000000"/>
          <w:sz w:val="24"/>
        </w:rPr>
      </w:pPr>
      <w:r>
        <w:rPr>
          <w:color w:val="000000"/>
          <w:sz w:val="24"/>
        </w:rPr>
        <w:t>总价金额与按单价汇总金额不一致的，以单价金额计算结果为准。</w:t>
      </w:r>
    </w:p>
    <w:p w14:paraId="0D75BE50">
      <w:pPr>
        <w:numPr>
          <w:ilvl w:val="2"/>
          <w:numId w:val="10"/>
        </w:numPr>
        <w:tabs>
          <w:tab w:val="left" w:pos="1080"/>
          <w:tab w:val="left" w:pos="1589"/>
          <w:tab w:val="left" w:pos="2035"/>
          <w:tab w:val="left" w:pos="2114"/>
        </w:tabs>
        <w:snapToGrid w:val="0"/>
        <w:spacing w:line="360" w:lineRule="auto"/>
        <w:ind w:left="2035"/>
        <w:rPr>
          <w:sz w:val="24"/>
        </w:rPr>
      </w:pPr>
      <w:r>
        <w:rPr>
          <w:sz w:val="24"/>
        </w:rPr>
        <w:t>同时出现两种以上不一致的，按照前款规定的顺序修正。</w:t>
      </w:r>
    </w:p>
    <w:p w14:paraId="1FA87DB0">
      <w:pPr>
        <w:numPr>
          <w:ilvl w:val="2"/>
          <w:numId w:val="10"/>
        </w:numPr>
        <w:tabs>
          <w:tab w:val="left" w:pos="1080"/>
          <w:tab w:val="left" w:pos="1589"/>
          <w:tab w:val="left" w:pos="2035"/>
          <w:tab w:val="left" w:pos="2114"/>
        </w:tabs>
        <w:snapToGrid w:val="0"/>
        <w:spacing w:line="360" w:lineRule="auto"/>
        <w:ind w:left="2035"/>
        <w:rPr>
          <w:sz w:val="24"/>
        </w:rPr>
      </w:pPr>
      <w:r>
        <w:rPr>
          <w:sz w:val="24"/>
        </w:rPr>
        <w:t>修正后的报价经供应商书面确认后产生约束力，供应商不确认的，</w:t>
      </w:r>
      <w:r>
        <w:rPr>
          <w:b/>
          <w:sz w:val="24"/>
        </w:rPr>
        <w:t>其响应无效</w:t>
      </w:r>
      <w:r>
        <w:rPr>
          <w:sz w:val="24"/>
        </w:rPr>
        <w:t>。</w:t>
      </w:r>
    </w:p>
    <w:p w14:paraId="7C9C35DB">
      <w:pPr>
        <w:numPr>
          <w:ilvl w:val="1"/>
          <w:numId w:val="10"/>
        </w:numPr>
        <w:tabs>
          <w:tab w:val="left" w:pos="1080"/>
          <w:tab w:val="left" w:pos="1872"/>
        </w:tabs>
        <w:wordWrap w:val="0"/>
        <w:topLinePunct/>
        <w:snapToGrid w:val="0"/>
        <w:spacing w:line="360" w:lineRule="auto"/>
        <w:ind w:left="1077" w:hanging="720"/>
        <w:rPr>
          <w:sz w:val="24"/>
        </w:rPr>
      </w:pPr>
      <w:r>
        <w:rPr>
          <w:sz w:val="24"/>
        </w:rPr>
        <w:t>落实政府采购政策的价格调整：只有符合第二章《供应商须知》4.2条规定情形的，可以享受中小企业扶持政策，用扣除后的价格参加评审；否则，评审时价格不予扣除。</w:t>
      </w:r>
    </w:p>
    <w:p w14:paraId="43CCDC46">
      <w:pPr>
        <w:numPr>
          <w:ilvl w:val="2"/>
          <w:numId w:val="10"/>
        </w:numPr>
        <w:tabs>
          <w:tab w:val="left" w:pos="1080"/>
          <w:tab w:val="left" w:pos="1589"/>
          <w:tab w:val="left" w:pos="2035"/>
        </w:tabs>
        <w:wordWrap w:val="0"/>
        <w:topLinePunct/>
        <w:snapToGrid w:val="0"/>
        <w:spacing w:line="360" w:lineRule="auto"/>
        <w:ind w:left="2035"/>
        <w:rPr>
          <w:sz w:val="24"/>
        </w:rPr>
      </w:pPr>
      <w:r>
        <w:rPr>
          <w:sz w:val="24"/>
        </w:rPr>
        <w:t>对于未预留份额专门面向中小企业采购的采购项目，以及预留份额项目中的非预留部分采购包，对小微企业报价给予</w:t>
      </w:r>
      <w:r>
        <w:rPr>
          <w:rFonts w:hint="eastAsia"/>
          <w:sz w:val="24"/>
          <w:u w:val="single"/>
        </w:rPr>
        <w:t>4</w:t>
      </w:r>
      <w:r>
        <w:rPr>
          <w:sz w:val="24"/>
        </w:rPr>
        <w:t>%的扣除，用扣除后的价格参加评审。</w:t>
      </w:r>
    </w:p>
    <w:p w14:paraId="3DA4E485">
      <w:pPr>
        <w:numPr>
          <w:ilvl w:val="2"/>
          <w:numId w:val="10"/>
        </w:numPr>
        <w:tabs>
          <w:tab w:val="left" w:pos="1080"/>
          <w:tab w:val="left" w:pos="1589"/>
          <w:tab w:val="left" w:pos="2035"/>
        </w:tabs>
        <w:snapToGrid w:val="0"/>
        <w:spacing w:line="360" w:lineRule="auto"/>
        <w:ind w:left="2035"/>
        <w:rPr>
          <w:sz w:val="24"/>
        </w:rPr>
      </w:pPr>
      <w:r>
        <w:rPr>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30%以上的联合体或者大中型企业的报价给予</w:t>
      </w:r>
      <w:r>
        <w:rPr>
          <w:rFonts w:hint="eastAsia"/>
          <w:sz w:val="24"/>
          <w:u w:val="single"/>
        </w:rPr>
        <w:t xml:space="preserve"> 2 </w:t>
      </w:r>
      <w:r>
        <w:rPr>
          <w:sz w:val="24"/>
        </w:rPr>
        <w:t>%的扣除，用扣除后的价格参加评审。</w:t>
      </w:r>
    </w:p>
    <w:p w14:paraId="5585B74D">
      <w:pPr>
        <w:numPr>
          <w:ilvl w:val="2"/>
          <w:numId w:val="10"/>
        </w:numPr>
        <w:tabs>
          <w:tab w:val="left" w:pos="1080"/>
          <w:tab w:val="left" w:pos="1589"/>
          <w:tab w:val="left" w:pos="2035"/>
        </w:tabs>
        <w:snapToGrid w:val="0"/>
        <w:spacing w:line="360" w:lineRule="auto"/>
        <w:ind w:left="2035"/>
        <w:rPr>
          <w:sz w:val="24"/>
        </w:rPr>
      </w:pPr>
      <w:r>
        <w:rPr>
          <w:sz w:val="24"/>
        </w:rPr>
        <w:t>组成联合体或者接受分包的小微企业与联合体内其他企业、分包企业之间存在直接控股、管理关系的，不享受价格扣除优惠政策。</w:t>
      </w:r>
    </w:p>
    <w:p w14:paraId="1C88B5C3">
      <w:pPr>
        <w:numPr>
          <w:ilvl w:val="2"/>
          <w:numId w:val="10"/>
        </w:numPr>
        <w:tabs>
          <w:tab w:val="left" w:pos="1080"/>
          <w:tab w:val="left" w:pos="1589"/>
          <w:tab w:val="left" w:pos="2035"/>
        </w:tabs>
        <w:snapToGrid w:val="0"/>
        <w:spacing w:line="360" w:lineRule="auto"/>
        <w:ind w:left="2035"/>
        <w:rPr>
          <w:sz w:val="24"/>
        </w:rPr>
      </w:pPr>
      <w:r>
        <w:rPr>
          <w:sz w:val="24"/>
        </w:rPr>
        <w:t>价格扣除比例对小型企业和微型企业同等对待，不作区分。</w:t>
      </w:r>
    </w:p>
    <w:p w14:paraId="6E377DA1">
      <w:pPr>
        <w:numPr>
          <w:ilvl w:val="2"/>
          <w:numId w:val="10"/>
        </w:numPr>
        <w:tabs>
          <w:tab w:val="left" w:pos="1080"/>
          <w:tab w:val="left" w:pos="1589"/>
          <w:tab w:val="left" w:pos="2035"/>
        </w:tabs>
        <w:snapToGrid w:val="0"/>
        <w:spacing w:line="360" w:lineRule="auto"/>
        <w:ind w:left="2035"/>
        <w:rPr>
          <w:sz w:val="24"/>
        </w:rPr>
      </w:pPr>
      <w:r>
        <w:rPr>
          <w:color w:val="000000"/>
          <w:sz w:val="24"/>
        </w:rPr>
        <w:t>中小企业参加政府采购活动，应当按照竞争性磋商文件给定的格式出具《中小企业声明函》，否则不得享受相关中小企业扶持政策。</w:t>
      </w:r>
    </w:p>
    <w:p w14:paraId="70CC9F81">
      <w:pPr>
        <w:numPr>
          <w:ilvl w:val="2"/>
          <w:numId w:val="10"/>
        </w:numPr>
        <w:tabs>
          <w:tab w:val="left" w:pos="1080"/>
          <w:tab w:val="left" w:pos="1589"/>
          <w:tab w:val="left" w:pos="2035"/>
        </w:tabs>
        <w:snapToGrid w:val="0"/>
        <w:spacing w:line="360" w:lineRule="auto"/>
        <w:ind w:left="2035"/>
        <w:rPr>
          <w:sz w:val="24"/>
        </w:rPr>
      </w:pPr>
      <w:r>
        <w:rPr>
          <w:sz w:val="24"/>
        </w:rPr>
        <w:t>监狱企业提供了由省级以上监狱管理局、戒毒管理局（含新疆生产建设兵团）出具的属于监狱企业的证明文件的，视同小微企业。</w:t>
      </w:r>
    </w:p>
    <w:p w14:paraId="03C86EB5">
      <w:pPr>
        <w:numPr>
          <w:ilvl w:val="2"/>
          <w:numId w:val="10"/>
        </w:numPr>
        <w:tabs>
          <w:tab w:val="left" w:pos="1080"/>
          <w:tab w:val="left" w:pos="1589"/>
          <w:tab w:val="left" w:pos="2035"/>
        </w:tabs>
        <w:snapToGrid w:val="0"/>
        <w:spacing w:line="360" w:lineRule="auto"/>
        <w:ind w:left="2035"/>
        <w:rPr>
          <w:sz w:val="24"/>
        </w:rPr>
      </w:pPr>
      <w:r>
        <w:rPr>
          <w:sz w:val="24"/>
        </w:rPr>
        <w:t>残疾人福利性单位按竞争性磋商文件要求提供了《残疾人福利性单位声明函》的，视同小微企业。</w:t>
      </w:r>
    </w:p>
    <w:p w14:paraId="655CF73B">
      <w:pPr>
        <w:numPr>
          <w:ilvl w:val="2"/>
          <w:numId w:val="10"/>
        </w:numPr>
        <w:tabs>
          <w:tab w:val="left" w:pos="1080"/>
          <w:tab w:val="left" w:pos="1589"/>
          <w:tab w:val="left" w:pos="2014"/>
        </w:tabs>
        <w:snapToGrid w:val="0"/>
        <w:spacing w:line="360" w:lineRule="auto"/>
        <w:ind w:left="2035"/>
        <w:rPr>
          <w:sz w:val="24"/>
        </w:rPr>
      </w:pPr>
      <w:r>
        <w:rPr>
          <w:sz w:val="24"/>
        </w:rPr>
        <w:t>若供应商同时属于小型或微型企业、监狱企业、残疾人福利性单位中的两种及以上，将不重复享受小微企业价格扣减的优惠政策。</w:t>
      </w:r>
    </w:p>
    <w:p w14:paraId="452E4C8A">
      <w:pPr>
        <w:numPr>
          <w:ilvl w:val="2"/>
          <w:numId w:val="10"/>
        </w:numPr>
        <w:tabs>
          <w:tab w:val="left" w:pos="1080"/>
          <w:tab w:val="left" w:pos="1589"/>
          <w:tab w:val="left" w:pos="2014"/>
        </w:tabs>
        <w:snapToGrid w:val="0"/>
        <w:spacing w:line="360" w:lineRule="auto"/>
        <w:ind w:left="2035"/>
        <w:rPr>
          <w:sz w:val="24"/>
        </w:rPr>
      </w:pPr>
      <w:r>
        <w:rPr>
          <w:sz w:val="24"/>
        </w:rPr>
        <w:t>其他为落实政府采购政策实施的优先采购：</w:t>
      </w:r>
      <w:r>
        <w:rPr>
          <w:rFonts w:hint="eastAsia"/>
          <w:sz w:val="24"/>
          <w:u w:val="single"/>
        </w:rPr>
        <w:t xml:space="preserve">   /   </w:t>
      </w:r>
      <w:r>
        <w:rPr>
          <w:sz w:val="24"/>
        </w:rPr>
        <w:t>。</w:t>
      </w:r>
    </w:p>
    <w:p w14:paraId="30025594">
      <w:pPr>
        <w:numPr>
          <w:ilvl w:val="0"/>
          <w:numId w:val="10"/>
        </w:numPr>
        <w:tabs>
          <w:tab w:val="left" w:pos="360"/>
        </w:tabs>
        <w:snapToGrid w:val="0"/>
        <w:spacing w:line="360" w:lineRule="auto"/>
        <w:outlineLvl w:val="1"/>
        <w:rPr>
          <w:sz w:val="24"/>
        </w:rPr>
      </w:pPr>
      <w:r>
        <w:rPr>
          <w:sz w:val="24"/>
        </w:rPr>
        <w:t>磋商环节及提交最后报价后如出现以下情况的，供应商的</w:t>
      </w:r>
      <w:r>
        <w:rPr>
          <w:b/>
          <w:sz w:val="24"/>
        </w:rPr>
        <w:t>响应文件无效</w:t>
      </w:r>
      <w:r>
        <w:rPr>
          <w:sz w:val="24"/>
        </w:rPr>
        <w:t>：</w:t>
      </w:r>
    </w:p>
    <w:p w14:paraId="3825C0AA">
      <w:pPr>
        <w:numPr>
          <w:ilvl w:val="1"/>
          <w:numId w:val="10"/>
        </w:numPr>
        <w:tabs>
          <w:tab w:val="left" w:pos="1080"/>
        </w:tabs>
        <w:snapToGrid w:val="0"/>
        <w:spacing w:line="360" w:lineRule="auto"/>
        <w:ind w:left="1077" w:hanging="720"/>
        <w:rPr>
          <w:sz w:val="24"/>
        </w:rPr>
      </w:pPr>
      <w:r>
        <w:rPr>
          <w:sz w:val="24"/>
        </w:rPr>
        <w:t>供应商对实质性变动不予确认的；</w:t>
      </w:r>
    </w:p>
    <w:p w14:paraId="0D360F08">
      <w:pPr>
        <w:numPr>
          <w:ilvl w:val="1"/>
          <w:numId w:val="10"/>
        </w:numPr>
        <w:tabs>
          <w:tab w:val="left" w:pos="1080"/>
        </w:tabs>
        <w:snapToGrid w:val="0"/>
        <w:spacing w:line="360" w:lineRule="auto"/>
        <w:ind w:left="1077" w:hanging="720"/>
        <w:rPr>
          <w:sz w:val="24"/>
        </w:rPr>
      </w:pPr>
      <w:r>
        <w:rPr>
          <w:sz w:val="24"/>
        </w:rPr>
        <w:t>不满足磋商文件</w:t>
      </w:r>
      <w:r>
        <w:rPr>
          <w:rFonts w:ascii="Segoe UI Symbol" w:hAnsi="Segoe UI Symbol" w:cs="Segoe UI Symbol"/>
          <w:sz w:val="24"/>
        </w:rPr>
        <w:t>★</w:t>
      </w:r>
      <w:r>
        <w:rPr>
          <w:sz w:val="24"/>
        </w:rPr>
        <w:t>号条款或磋商文件技术指标超出磋商文件《采购需求》中主要技术参数允许偏差的最大范围的（如有）；</w:t>
      </w:r>
    </w:p>
    <w:p w14:paraId="697F9C70">
      <w:pPr>
        <w:numPr>
          <w:ilvl w:val="1"/>
          <w:numId w:val="10"/>
        </w:numPr>
        <w:tabs>
          <w:tab w:val="left" w:pos="1080"/>
        </w:tabs>
        <w:snapToGrid w:val="0"/>
        <w:spacing w:line="360" w:lineRule="auto"/>
        <w:ind w:left="1077" w:hanging="720"/>
        <w:rPr>
          <w:sz w:val="24"/>
        </w:rPr>
      </w:pPr>
      <w:r>
        <w:rPr>
          <w:sz w:val="24"/>
        </w:rPr>
        <w:t>未按照磋商小组规定的时间、逾期提交最后报价的；</w:t>
      </w:r>
    </w:p>
    <w:p w14:paraId="5455B692">
      <w:pPr>
        <w:numPr>
          <w:ilvl w:val="1"/>
          <w:numId w:val="10"/>
        </w:numPr>
        <w:tabs>
          <w:tab w:val="left" w:pos="1080"/>
        </w:tabs>
        <w:snapToGrid w:val="0"/>
        <w:spacing w:line="360" w:lineRule="auto"/>
        <w:ind w:left="1077" w:hanging="720"/>
        <w:rPr>
          <w:sz w:val="24"/>
        </w:rPr>
      </w:pPr>
      <w:r>
        <w:rPr>
          <w:sz w:val="24"/>
        </w:rPr>
        <w:t>如供应商的最后报价超过竞争性磋商文件中规定的项目/采购包预算金额或者项目/采购包最高限价的；</w:t>
      </w:r>
    </w:p>
    <w:p w14:paraId="26629B18">
      <w:pPr>
        <w:numPr>
          <w:ilvl w:val="1"/>
          <w:numId w:val="10"/>
        </w:numPr>
        <w:tabs>
          <w:tab w:val="left" w:pos="1080"/>
        </w:tabs>
        <w:snapToGrid w:val="0"/>
        <w:spacing w:line="360" w:lineRule="auto"/>
        <w:ind w:left="1077" w:hanging="720"/>
        <w:rPr>
          <w:sz w:val="24"/>
        </w:rPr>
      </w:pPr>
      <w:r>
        <w:rPr>
          <w:sz w:val="24"/>
        </w:rPr>
        <w:t>响应文件中出现可选择性或可调整的报价的（竞争性磋商文件另有规定的除外）；</w:t>
      </w:r>
    </w:p>
    <w:p w14:paraId="56CD00C0">
      <w:pPr>
        <w:numPr>
          <w:ilvl w:val="1"/>
          <w:numId w:val="10"/>
        </w:numPr>
        <w:tabs>
          <w:tab w:val="left" w:pos="1080"/>
        </w:tabs>
        <w:snapToGrid w:val="0"/>
        <w:spacing w:line="360" w:lineRule="auto"/>
        <w:ind w:left="1077" w:hanging="720"/>
        <w:rPr>
          <w:sz w:val="24"/>
        </w:rPr>
      </w:pPr>
      <w:r>
        <w:rPr>
          <w:sz w:val="24"/>
        </w:rPr>
        <w:t>最后报价出现前后不一致，供应商对修正后的报价不予确认的；</w:t>
      </w:r>
    </w:p>
    <w:p w14:paraId="2336C1A6">
      <w:pPr>
        <w:numPr>
          <w:ilvl w:val="1"/>
          <w:numId w:val="10"/>
        </w:numPr>
        <w:tabs>
          <w:tab w:val="left" w:pos="1080"/>
        </w:tabs>
        <w:snapToGrid w:val="0"/>
        <w:spacing w:line="360" w:lineRule="auto"/>
        <w:ind w:left="1077" w:hanging="720"/>
        <w:rPr>
          <w:sz w:val="24"/>
        </w:rPr>
      </w:pPr>
      <w:r>
        <w:rPr>
          <w:sz w:val="24"/>
        </w:rPr>
        <w:t>其他：</w:t>
      </w:r>
      <w:r>
        <w:rPr>
          <w:rFonts w:hint="eastAsia"/>
          <w:sz w:val="24"/>
          <w:u w:val="single"/>
        </w:rPr>
        <w:t xml:space="preserve">   /   </w:t>
      </w:r>
      <w:r>
        <w:rPr>
          <w:sz w:val="24"/>
        </w:rPr>
        <w:t>。</w:t>
      </w:r>
    </w:p>
    <w:bookmarkEnd w:id="627"/>
    <w:bookmarkEnd w:id="628"/>
    <w:p w14:paraId="003DF845">
      <w:pPr>
        <w:numPr>
          <w:ilvl w:val="0"/>
          <w:numId w:val="10"/>
        </w:numPr>
        <w:tabs>
          <w:tab w:val="left" w:pos="360"/>
        </w:tabs>
        <w:snapToGrid w:val="0"/>
        <w:spacing w:line="360" w:lineRule="auto"/>
        <w:outlineLvl w:val="1"/>
        <w:rPr>
          <w:sz w:val="24"/>
        </w:rPr>
      </w:pPr>
      <w:r>
        <w:rPr>
          <w:sz w:val="24"/>
        </w:rPr>
        <w:t>评审方法和评审标准</w:t>
      </w:r>
    </w:p>
    <w:p w14:paraId="13D3B7BA">
      <w:pPr>
        <w:numPr>
          <w:ilvl w:val="1"/>
          <w:numId w:val="10"/>
        </w:numPr>
        <w:tabs>
          <w:tab w:val="left" w:pos="1080"/>
          <w:tab w:val="left" w:pos="1872"/>
        </w:tabs>
        <w:snapToGrid w:val="0"/>
        <w:spacing w:line="360" w:lineRule="auto"/>
        <w:ind w:left="1077" w:hanging="720"/>
        <w:rPr>
          <w:sz w:val="24"/>
        </w:rPr>
      </w:pPr>
      <w:r>
        <w:rPr>
          <w:sz w:val="24"/>
        </w:rPr>
        <w:t>本项目采用的评审方法为：本项目的评审采用综合评分法。综合评分法，是指响应文件满足磋商文件全部实质性要求且按评审因素的量化指标评审得分最高的供应商为成交候选供应商的评审方法。</w:t>
      </w:r>
    </w:p>
    <w:p w14:paraId="12F93F0C">
      <w:pPr>
        <w:numPr>
          <w:ilvl w:val="1"/>
          <w:numId w:val="10"/>
        </w:numPr>
        <w:tabs>
          <w:tab w:val="left" w:pos="1080"/>
          <w:tab w:val="left" w:pos="1872"/>
        </w:tabs>
        <w:snapToGrid w:val="0"/>
        <w:spacing w:line="360" w:lineRule="auto"/>
        <w:ind w:left="1077" w:hanging="720"/>
        <w:rPr>
          <w:sz w:val="24"/>
        </w:rPr>
      </w:pPr>
      <w:r>
        <w:rPr>
          <w:rFonts w:hint="eastAsia"/>
          <w:sz w:val="24"/>
        </w:rPr>
        <w:t>综合评分法评审标准中的分值设置应当与评审因素的量化指标相对应。</w:t>
      </w:r>
      <w:r>
        <w:rPr>
          <w:sz w:val="24"/>
        </w:rPr>
        <w:t>竞争性磋商文件中没有规定的评审标准不得作为评审依据。</w:t>
      </w:r>
    </w:p>
    <w:p w14:paraId="575E4CBD">
      <w:pPr>
        <w:numPr>
          <w:ilvl w:val="1"/>
          <w:numId w:val="10"/>
        </w:numPr>
        <w:tabs>
          <w:tab w:val="left" w:pos="1080"/>
          <w:tab w:val="left" w:pos="1872"/>
        </w:tabs>
        <w:snapToGrid w:val="0"/>
        <w:spacing w:line="360" w:lineRule="auto"/>
        <w:ind w:left="1077" w:hanging="720"/>
        <w:rPr>
          <w:sz w:val="24"/>
        </w:rPr>
      </w:pPr>
      <w:r>
        <w:rPr>
          <w:rFonts w:hint="eastAsia"/>
          <w:sz w:val="24"/>
        </w:rPr>
        <w:t>评审时，磋商小组各成员应当独立对每个有效响应的文件进行评价、打分，然后汇总每个供应商每项评分因素的得分。</w:t>
      </w:r>
    </w:p>
    <w:p w14:paraId="08414835">
      <w:pPr>
        <w:numPr>
          <w:ilvl w:val="1"/>
          <w:numId w:val="10"/>
        </w:numPr>
        <w:tabs>
          <w:tab w:val="left" w:pos="1080"/>
          <w:tab w:val="left" w:pos="1872"/>
        </w:tabs>
        <w:snapToGrid w:val="0"/>
        <w:spacing w:line="360" w:lineRule="auto"/>
        <w:ind w:left="1077" w:hanging="720"/>
        <w:rPr>
          <w:sz w:val="24"/>
        </w:rPr>
      </w:pPr>
      <w:r>
        <w:rPr>
          <w:sz w:val="24"/>
        </w:rPr>
        <w:t>非政府强制采购的节能产品或环境标志产品，依据品目清单和认证证书实施政府优先采购。优先采购的具体规定（如涉及）</w:t>
      </w:r>
      <w:r>
        <w:rPr>
          <w:rFonts w:hint="eastAsia"/>
          <w:sz w:val="24"/>
          <w:u w:val="single"/>
        </w:rPr>
        <w:t xml:space="preserve">   /   </w:t>
      </w:r>
      <w:r>
        <w:rPr>
          <w:sz w:val="24"/>
        </w:rPr>
        <w:t>。</w:t>
      </w:r>
    </w:p>
    <w:p w14:paraId="04D0A4CC">
      <w:pPr>
        <w:numPr>
          <w:ilvl w:val="0"/>
          <w:numId w:val="10"/>
        </w:numPr>
        <w:tabs>
          <w:tab w:val="left" w:pos="360"/>
        </w:tabs>
        <w:snapToGrid w:val="0"/>
        <w:spacing w:line="360" w:lineRule="auto"/>
        <w:outlineLvl w:val="1"/>
        <w:rPr>
          <w:sz w:val="24"/>
        </w:rPr>
      </w:pPr>
      <w:r>
        <w:rPr>
          <w:sz w:val="24"/>
        </w:rPr>
        <w:t>确定</w:t>
      </w:r>
      <w:bookmarkStart w:id="646" w:name="_Toc127151747"/>
      <w:bookmarkStart w:id="647" w:name="_Toc164229241"/>
      <w:bookmarkStart w:id="648" w:name="_Toc150480784"/>
      <w:bookmarkStart w:id="649" w:name="_Toc151193788"/>
      <w:bookmarkStart w:id="650" w:name="_Toc164351640"/>
      <w:bookmarkStart w:id="651" w:name="_Toc226965819"/>
      <w:bookmarkStart w:id="652" w:name="_Ref467307010"/>
      <w:bookmarkStart w:id="653" w:name="_Toc150774751"/>
      <w:bookmarkStart w:id="654" w:name="_Toc150509297"/>
      <w:bookmarkStart w:id="655" w:name="_Toc305158888"/>
      <w:bookmarkStart w:id="656" w:name="_Toc151193934"/>
      <w:bookmarkStart w:id="657" w:name="_Toc520356170"/>
      <w:bookmarkStart w:id="658" w:name="_Toc164608660"/>
      <w:bookmarkStart w:id="659" w:name="_Toc305158814"/>
      <w:bookmarkStart w:id="660" w:name="_Toc164229387"/>
      <w:bookmarkStart w:id="661" w:name="_Toc226337242"/>
      <w:bookmarkStart w:id="662" w:name="_Toc195842911"/>
      <w:bookmarkStart w:id="663" w:name="_Toc149720839"/>
      <w:bookmarkStart w:id="664" w:name="_Toc127161460"/>
      <w:bookmarkStart w:id="665" w:name="_Toc265228384"/>
      <w:bookmarkStart w:id="666" w:name="_Toc151190173"/>
      <w:bookmarkStart w:id="667" w:name="_Toc127151546"/>
      <w:bookmarkStart w:id="668" w:name="_Toc151193644"/>
      <w:bookmarkStart w:id="669" w:name="_Toc164608815"/>
      <w:bookmarkStart w:id="670" w:name="_Toc151193716"/>
      <w:bookmarkStart w:id="671" w:name="_Toc150774646"/>
      <w:bookmarkStart w:id="672" w:name="_Toc142311048"/>
      <w:bookmarkStart w:id="673" w:name="_Toc226965736"/>
      <w:bookmarkStart w:id="674" w:name="_Toc264969236"/>
      <w:bookmarkStart w:id="675" w:name="_Toc226309790"/>
      <w:bookmarkStart w:id="676" w:name="_Toc151193860"/>
      <w:r>
        <w:rPr>
          <w:sz w:val="24"/>
        </w:rPr>
        <w:t>成交候选人名单</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2D96B59D">
      <w:pPr>
        <w:numPr>
          <w:ilvl w:val="1"/>
          <w:numId w:val="10"/>
        </w:numPr>
        <w:tabs>
          <w:tab w:val="left" w:pos="1080"/>
          <w:tab w:val="left" w:pos="1872"/>
        </w:tabs>
        <w:snapToGrid w:val="0"/>
        <w:spacing w:line="360" w:lineRule="auto"/>
        <w:ind w:left="1077" w:hanging="720"/>
        <w:rPr>
          <w:sz w:val="24"/>
        </w:rPr>
      </w:pPr>
      <w:r>
        <w:rPr>
          <w:sz w:val="24"/>
        </w:rPr>
        <w:t xml:space="preserve">磋商小组将根据各供应商的评审排序以及磋商文件中关于成交候选人的相关规定，确定本项目成交候选人名单，按照评审得分由高到低顺序推荐成交候选人的排名顺序。评审得分相同的，按照最后报价由低到高的顺序推荐。评审得分且最后报价相同的，按照技术指标优劣顺序推荐。响应文件满足竞争性磋商文件全部实质性要求，且按照评审因素的量化指标评审得分最高的供应商为排名第一的成交候选人。评分分值计算保留小数点后两位，第三位四舍五入。 </w:t>
      </w:r>
    </w:p>
    <w:p w14:paraId="39860300">
      <w:pPr>
        <w:numPr>
          <w:ilvl w:val="1"/>
          <w:numId w:val="10"/>
        </w:numPr>
        <w:tabs>
          <w:tab w:val="left" w:pos="1080"/>
          <w:tab w:val="left" w:pos="1872"/>
        </w:tabs>
        <w:snapToGrid w:val="0"/>
        <w:spacing w:line="360" w:lineRule="auto"/>
        <w:ind w:left="1077" w:hanging="720"/>
        <w:rPr>
          <w:sz w:val="24"/>
        </w:rPr>
      </w:pPr>
      <w:r>
        <w:rPr>
          <w:kern w:val="0"/>
          <w:sz w:val="24"/>
          <w:szCs w:val="20"/>
        </w:rPr>
        <w:t>磋商小组根据上述供应商排序，依次推荐排序前</w:t>
      </w:r>
      <w:r>
        <w:rPr>
          <w:rFonts w:hint="eastAsia"/>
          <w:kern w:val="0"/>
          <w:sz w:val="24"/>
          <w:szCs w:val="20"/>
          <w:u w:val="single"/>
        </w:rPr>
        <w:t xml:space="preserve"> </w:t>
      </w:r>
      <w:r>
        <w:rPr>
          <w:rFonts w:hint="eastAsia"/>
          <w:sz w:val="24"/>
          <w:u w:val="single"/>
        </w:rPr>
        <w:t xml:space="preserve"> 3  </w:t>
      </w:r>
      <w:r>
        <w:rPr>
          <w:sz w:val="24"/>
        </w:rPr>
        <w:t>名</w:t>
      </w:r>
      <w:r>
        <w:rPr>
          <w:kern w:val="0"/>
          <w:sz w:val="24"/>
          <w:szCs w:val="20"/>
        </w:rPr>
        <w:t>的供应商为</w:t>
      </w:r>
      <w:r>
        <w:rPr>
          <w:snapToGrid w:val="0"/>
          <w:kern w:val="0"/>
          <w:sz w:val="24"/>
          <w:szCs w:val="21"/>
        </w:rPr>
        <w:t>成交候选供应商</w:t>
      </w:r>
      <w:r>
        <w:rPr>
          <w:kern w:val="0"/>
          <w:sz w:val="24"/>
          <w:szCs w:val="20"/>
        </w:rPr>
        <w:t>（若在磋商文件允许的情形下提交最后报价的供应商为二家，则依次推荐二名供应商为成交候选供应商），并编写评审报告。</w:t>
      </w:r>
    </w:p>
    <w:p w14:paraId="4C4C1E82">
      <w:pPr>
        <w:numPr>
          <w:ilvl w:val="1"/>
          <w:numId w:val="10"/>
        </w:numPr>
        <w:tabs>
          <w:tab w:val="left" w:pos="1080"/>
          <w:tab w:val="left" w:pos="1872"/>
        </w:tabs>
        <w:snapToGrid w:val="0"/>
        <w:spacing w:line="360" w:lineRule="auto"/>
        <w:ind w:left="1077" w:hanging="720"/>
        <w:rPr>
          <w:sz w:val="24"/>
        </w:rPr>
      </w:pPr>
      <w:r>
        <w:rPr>
          <w:sz w:val="24"/>
        </w:rPr>
        <w:t>磋商小组要对评分汇总情况进行复核，特别是对排名第一的、报价最低的、响应文件被认定为无效的情形进行重点复核。</w:t>
      </w:r>
    </w:p>
    <w:p w14:paraId="15C92815">
      <w:pPr>
        <w:numPr>
          <w:ilvl w:val="0"/>
          <w:numId w:val="10"/>
        </w:numPr>
        <w:tabs>
          <w:tab w:val="left" w:pos="360"/>
        </w:tabs>
        <w:snapToGrid w:val="0"/>
        <w:spacing w:line="360" w:lineRule="auto"/>
        <w:outlineLvl w:val="1"/>
        <w:rPr>
          <w:sz w:val="24"/>
        </w:rPr>
      </w:pPr>
      <w:r>
        <w:rPr>
          <w:rFonts w:hint="eastAsia"/>
          <w:sz w:val="24"/>
        </w:rPr>
        <w:t>编写评审报告</w:t>
      </w:r>
    </w:p>
    <w:p w14:paraId="042D99CA">
      <w:pPr>
        <w:numPr>
          <w:ilvl w:val="1"/>
          <w:numId w:val="10"/>
        </w:numPr>
        <w:tabs>
          <w:tab w:val="left" w:pos="360"/>
          <w:tab w:val="clear" w:pos="1589"/>
        </w:tabs>
        <w:snapToGrid w:val="0"/>
        <w:spacing w:line="360" w:lineRule="auto"/>
        <w:rPr>
          <w:sz w:val="24"/>
        </w:rPr>
      </w:pPr>
      <w:r>
        <w:rPr>
          <w:rFonts w:hint="eastAsia"/>
          <w:sz w:val="24"/>
        </w:rPr>
        <w:t>评审报告应当包括以下主要内容：</w:t>
      </w:r>
    </w:p>
    <w:p w14:paraId="68E6ACA9">
      <w:pPr>
        <w:numPr>
          <w:ilvl w:val="255"/>
          <w:numId w:val="0"/>
        </w:numPr>
        <w:tabs>
          <w:tab w:val="left" w:pos="360"/>
        </w:tabs>
        <w:snapToGrid w:val="0"/>
        <w:spacing w:line="360" w:lineRule="auto"/>
        <w:ind w:left="568"/>
        <w:rPr>
          <w:sz w:val="24"/>
        </w:rPr>
      </w:pPr>
      <w:r>
        <w:rPr>
          <w:rFonts w:hint="eastAsia"/>
          <w:sz w:val="24"/>
        </w:rPr>
        <w:t>（1）邀请供应商参加采购活动的具体方式和相关情况；</w:t>
      </w:r>
    </w:p>
    <w:p w14:paraId="0AFE350E">
      <w:pPr>
        <w:numPr>
          <w:ilvl w:val="255"/>
          <w:numId w:val="0"/>
        </w:numPr>
        <w:tabs>
          <w:tab w:val="left" w:pos="360"/>
        </w:tabs>
        <w:snapToGrid w:val="0"/>
        <w:spacing w:line="360" w:lineRule="auto"/>
        <w:ind w:left="568"/>
        <w:rPr>
          <w:sz w:val="24"/>
        </w:rPr>
      </w:pPr>
      <w:r>
        <w:rPr>
          <w:rFonts w:hint="eastAsia"/>
          <w:sz w:val="24"/>
        </w:rPr>
        <w:t>（2）响应文件开启日期和地点；</w:t>
      </w:r>
    </w:p>
    <w:p w14:paraId="23B9B582">
      <w:pPr>
        <w:tabs>
          <w:tab w:val="left" w:pos="360"/>
        </w:tabs>
        <w:snapToGrid w:val="0"/>
        <w:spacing w:line="360" w:lineRule="auto"/>
        <w:ind w:left="568"/>
        <w:rPr>
          <w:sz w:val="24"/>
        </w:rPr>
      </w:pPr>
      <w:r>
        <w:rPr>
          <w:rFonts w:hint="eastAsia"/>
          <w:sz w:val="24"/>
        </w:rPr>
        <w:t>（3）获取磋商文件的供应商名单和磋商小组成员名单；</w:t>
      </w:r>
    </w:p>
    <w:p w14:paraId="40A388A0">
      <w:pPr>
        <w:tabs>
          <w:tab w:val="left" w:pos="360"/>
        </w:tabs>
        <w:snapToGrid w:val="0"/>
        <w:spacing w:line="360" w:lineRule="auto"/>
        <w:ind w:left="568"/>
        <w:rPr>
          <w:sz w:val="24"/>
        </w:rPr>
      </w:pPr>
      <w:r>
        <w:rPr>
          <w:rFonts w:hint="eastAsia"/>
          <w:sz w:val="24"/>
        </w:rPr>
        <w:t>（4）评审情况记录和说明，包括对供应商的资格审查情况、供应商响应文件评审情况、磋商情况、报价情况等；</w:t>
      </w:r>
    </w:p>
    <w:p w14:paraId="38F3DF1C">
      <w:pPr>
        <w:tabs>
          <w:tab w:val="left" w:pos="360"/>
        </w:tabs>
        <w:snapToGrid w:val="0"/>
        <w:spacing w:line="360" w:lineRule="auto"/>
        <w:ind w:left="568"/>
        <w:rPr>
          <w:sz w:val="24"/>
        </w:rPr>
      </w:pPr>
      <w:r>
        <w:rPr>
          <w:rFonts w:hint="eastAsia"/>
          <w:sz w:val="24"/>
        </w:rPr>
        <w:t>（5）提出的成交候选供应商的排序名单及理由。</w:t>
      </w:r>
    </w:p>
    <w:p w14:paraId="61839722">
      <w:pPr>
        <w:numPr>
          <w:ilvl w:val="0"/>
          <w:numId w:val="10"/>
        </w:numPr>
        <w:tabs>
          <w:tab w:val="left" w:pos="360"/>
        </w:tabs>
        <w:snapToGrid w:val="0"/>
        <w:spacing w:line="360" w:lineRule="auto"/>
        <w:outlineLvl w:val="1"/>
        <w:rPr>
          <w:sz w:val="24"/>
        </w:rPr>
      </w:pPr>
      <w:r>
        <w:rPr>
          <w:sz w:val="24"/>
        </w:rPr>
        <w:t>报告违法行为</w:t>
      </w:r>
    </w:p>
    <w:p w14:paraId="0EC7CDDB">
      <w:pPr>
        <w:numPr>
          <w:ilvl w:val="1"/>
          <w:numId w:val="10"/>
        </w:numPr>
        <w:tabs>
          <w:tab w:val="left" w:pos="1080"/>
          <w:tab w:val="left" w:pos="1872"/>
        </w:tabs>
        <w:wordWrap w:val="0"/>
        <w:topLinePunct/>
        <w:snapToGrid w:val="0"/>
        <w:spacing w:line="360" w:lineRule="auto"/>
        <w:ind w:left="0" w:firstLine="480" w:firstLineChars="200"/>
        <w:jc w:val="left"/>
        <w:rPr>
          <w:b/>
          <w:sz w:val="24"/>
        </w:rPr>
        <w:sectPr>
          <w:headerReference r:id="rId12" w:type="first"/>
          <w:footerReference r:id="rId13" w:type="default"/>
          <w:footerReference r:id="rId14" w:type="even"/>
          <w:pgSz w:w="11906" w:h="16838"/>
          <w:pgMar w:top="1440" w:right="1800" w:bottom="1440" w:left="1800" w:header="851" w:footer="992" w:gutter="0"/>
          <w:cols w:space="720" w:num="1"/>
          <w:titlePg/>
          <w:docGrid w:type="lines" w:linePitch="312" w:charSpace="0"/>
        </w:sectPr>
      </w:pPr>
      <w:r>
        <w:rPr>
          <w:sz w:val="24"/>
        </w:rPr>
        <w:t>磋商小组在评审过程中发现供应商有行贿、提供虚假材料或者串通等违法行为时，</w:t>
      </w:r>
      <w:r>
        <w:rPr>
          <w:rFonts w:hint="eastAsia"/>
          <w:sz w:val="24"/>
        </w:rPr>
        <w:t>应当及时向财政部门报告</w:t>
      </w:r>
      <w:r>
        <w:rPr>
          <w:sz w:val="24"/>
        </w:rPr>
        <w:t>。</w:t>
      </w:r>
    </w:p>
    <w:p w14:paraId="665242D2">
      <w:pPr>
        <w:widowControl/>
        <w:tabs>
          <w:tab w:val="left" w:pos="1080"/>
          <w:tab w:val="left" w:pos="1872"/>
        </w:tabs>
        <w:snapToGrid w:val="0"/>
        <w:spacing w:line="360" w:lineRule="auto"/>
        <w:jc w:val="center"/>
        <w:outlineLvl w:val="1"/>
        <w:rPr>
          <w:b/>
          <w:sz w:val="24"/>
        </w:rPr>
      </w:pPr>
      <w:r>
        <w:rPr>
          <w:b/>
          <w:sz w:val="24"/>
        </w:rPr>
        <w:t>二、评审标准</w:t>
      </w:r>
    </w:p>
    <w:p w14:paraId="2E7538E8">
      <w:pPr>
        <w:spacing w:before="120" w:beforeLines="50" w:after="120" w:afterLines="50"/>
        <w:rPr>
          <w:b/>
          <w:bCs/>
          <w:sz w:val="24"/>
        </w:rPr>
      </w:pPr>
      <w:r>
        <w:rPr>
          <w:rFonts w:hint="eastAsia"/>
          <w:b/>
          <w:bCs/>
          <w:sz w:val="24"/>
        </w:rPr>
        <w:t>一、价格评审标准</w:t>
      </w:r>
    </w:p>
    <w:tbl>
      <w:tblPr>
        <w:tblStyle w:val="44"/>
        <w:tblW w:w="87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343"/>
        <w:gridCol w:w="979"/>
        <w:gridCol w:w="5718"/>
      </w:tblGrid>
      <w:tr w14:paraId="2253C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705" w:type="dxa"/>
            <w:vAlign w:val="center"/>
          </w:tcPr>
          <w:p w14:paraId="40FFE2D5">
            <w:pPr>
              <w:spacing w:line="360" w:lineRule="exact"/>
              <w:jc w:val="center"/>
              <w:rPr>
                <w:rFonts w:hint="eastAsia" w:ascii="宋体" w:hAnsi="宋体" w:cs="宋体"/>
                <w:b/>
                <w:bCs/>
                <w:sz w:val="24"/>
              </w:rPr>
            </w:pPr>
            <w:r>
              <w:rPr>
                <w:rFonts w:hint="eastAsia" w:ascii="宋体" w:hAnsi="宋体" w:cs="宋体"/>
                <w:b/>
                <w:bCs/>
                <w:sz w:val="24"/>
              </w:rPr>
              <w:t>序号</w:t>
            </w:r>
          </w:p>
        </w:tc>
        <w:tc>
          <w:tcPr>
            <w:tcW w:w="1343" w:type="dxa"/>
            <w:vAlign w:val="center"/>
          </w:tcPr>
          <w:p w14:paraId="52352DA3">
            <w:pPr>
              <w:spacing w:line="360" w:lineRule="exact"/>
              <w:jc w:val="center"/>
              <w:rPr>
                <w:rFonts w:hint="eastAsia" w:ascii="宋体" w:hAnsi="宋体" w:cs="宋体"/>
                <w:b/>
                <w:bCs/>
                <w:sz w:val="24"/>
              </w:rPr>
            </w:pPr>
            <w:r>
              <w:rPr>
                <w:rFonts w:hint="eastAsia" w:ascii="宋体" w:hAnsi="宋体" w:cs="宋体"/>
                <w:b/>
                <w:bCs/>
                <w:sz w:val="24"/>
              </w:rPr>
              <w:t>评审因素</w:t>
            </w:r>
          </w:p>
        </w:tc>
        <w:tc>
          <w:tcPr>
            <w:tcW w:w="979" w:type="dxa"/>
            <w:vAlign w:val="center"/>
          </w:tcPr>
          <w:p w14:paraId="0300730B">
            <w:pPr>
              <w:spacing w:line="360" w:lineRule="exact"/>
              <w:jc w:val="center"/>
              <w:rPr>
                <w:rFonts w:hint="eastAsia" w:ascii="宋体" w:hAnsi="宋体" w:cs="宋体"/>
                <w:b/>
                <w:bCs/>
                <w:sz w:val="24"/>
              </w:rPr>
            </w:pPr>
            <w:r>
              <w:rPr>
                <w:rFonts w:hint="eastAsia" w:ascii="宋体" w:hAnsi="宋体" w:cs="宋体"/>
                <w:b/>
                <w:bCs/>
                <w:sz w:val="24"/>
              </w:rPr>
              <w:t>分值</w:t>
            </w:r>
          </w:p>
        </w:tc>
        <w:tc>
          <w:tcPr>
            <w:tcW w:w="5718" w:type="dxa"/>
            <w:vAlign w:val="center"/>
          </w:tcPr>
          <w:p w14:paraId="7B542017">
            <w:pPr>
              <w:spacing w:line="360" w:lineRule="exact"/>
              <w:jc w:val="center"/>
              <w:rPr>
                <w:rFonts w:hint="eastAsia" w:ascii="宋体" w:hAnsi="宋体" w:cs="宋体"/>
                <w:b/>
                <w:bCs/>
                <w:sz w:val="24"/>
              </w:rPr>
            </w:pPr>
            <w:r>
              <w:rPr>
                <w:rFonts w:hint="eastAsia" w:ascii="宋体" w:hAnsi="宋体" w:cs="宋体"/>
                <w:b/>
                <w:bCs/>
                <w:sz w:val="24"/>
              </w:rPr>
              <w:t>评分标准说明</w:t>
            </w:r>
          </w:p>
        </w:tc>
      </w:tr>
      <w:tr w14:paraId="4B6D8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0" w:hRule="atLeast"/>
          <w:jc w:val="center"/>
        </w:trPr>
        <w:tc>
          <w:tcPr>
            <w:tcW w:w="705" w:type="dxa"/>
            <w:vAlign w:val="center"/>
          </w:tcPr>
          <w:p w14:paraId="67D2AAAB">
            <w:pPr>
              <w:spacing w:line="360" w:lineRule="exact"/>
              <w:jc w:val="center"/>
              <w:rPr>
                <w:rFonts w:hint="eastAsia" w:ascii="宋体" w:hAnsi="宋体" w:cs="宋体"/>
                <w:sz w:val="24"/>
              </w:rPr>
            </w:pPr>
            <w:r>
              <w:rPr>
                <w:rFonts w:hint="eastAsia" w:ascii="宋体" w:hAnsi="宋体" w:cs="宋体"/>
                <w:sz w:val="24"/>
              </w:rPr>
              <w:t>1</w:t>
            </w:r>
          </w:p>
        </w:tc>
        <w:tc>
          <w:tcPr>
            <w:tcW w:w="1343" w:type="dxa"/>
            <w:vAlign w:val="center"/>
          </w:tcPr>
          <w:p w14:paraId="69731353">
            <w:pPr>
              <w:spacing w:line="360" w:lineRule="exact"/>
              <w:jc w:val="center"/>
              <w:rPr>
                <w:rFonts w:hint="eastAsia" w:ascii="宋体" w:hAnsi="宋体" w:cs="宋体"/>
                <w:sz w:val="24"/>
              </w:rPr>
            </w:pPr>
            <w:r>
              <w:rPr>
                <w:rFonts w:hint="eastAsia" w:ascii="宋体" w:hAnsi="宋体" w:cs="宋体"/>
                <w:sz w:val="24"/>
              </w:rPr>
              <w:t>价格分</w:t>
            </w:r>
          </w:p>
        </w:tc>
        <w:tc>
          <w:tcPr>
            <w:tcW w:w="979" w:type="dxa"/>
            <w:vAlign w:val="center"/>
          </w:tcPr>
          <w:p w14:paraId="0FCFE38E">
            <w:pPr>
              <w:spacing w:line="360" w:lineRule="exact"/>
              <w:jc w:val="center"/>
              <w:rPr>
                <w:rFonts w:hint="eastAsia" w:ascii="宋体" w:hAnsi="宋体" w:cs="宋体"/>
                <w:sz w:val="24"/>
              </w:rPr>
            </w:pPr>
            <w:r>
              <w:rPr>
                <w:rFonts w:hint="eastAsia" w:ascii="宋体" w:hAnsi="宋体" w:cs="宋体"/>
                <w:sz w:val="24"/>
              </w:rPr>
              <w:t>30分</w:t>
            </w:r>
          </w:p>
        </w:tc>
        <w:tc>
          <w:tcPr>
            <w:tcW w:w="5718" w:type="dxa"/>
            <w:vAlign w:val="center"/>
          </w:tcPr>
          <w:p w14:paraId="2294FD15">
            <w:pPr>
              <w:spacing w:line="360" w:lineRule="exact"/>
              <w:jc w:val="left"/>
              <w:rPr>
                <w:rFonts w:hint="eastAsia" w:ascii="宋体" w:hAnsi="宋体" w:cs="宋体"/>
                <w:sz w:val="24"/>
              </w:rPr>
            </w:pPr>
            <w:r>
              <w:rPr>
                <w:rFonts w:hint="eastAsia" w:ascii="宋体" w:hAnsi="宋体" w:cs="宋体"/>
                <w:sz w:val="24"/>
              </w:rPr>
              <w:t>1、价格分统一采用低价优先法计算即满足竞争性磋商文件要求且投标价格最低的有效响应报价（即除低于成本报价以外的所有报价）为评审基准价，其价格分为满分。</w:t>
            </w:r>
          </w:p>
          <w:p w14:paraId="03CAECD4">
            <w:pPr>
              <w:spacing w:line="360" w:lineRule="exact"/>
              <w:jc w:val="left"/>
              <w:rPr>
                <w:rFonts w:hint="eastAsia" w:ascii="宋体" w:hAnsi="宋体" w:cs="宋体"/>
                <w:sz w:val="24"/>
              </w:rPr>
            </w:pPr>
            <w:r>
              <w:rPr>
                <w:rFonts w:hint="eastAsia" w:ascii="宋体" w:hAnsi="宋体" w:cs="宋体"/>
                <w:sz w:val="24"/>
              </w:rPr>
              <w:t>2、其他供应商的价格分统一按照以下公式计算：响应报价得分=（评审基准价/响应报价）×30</w:t>
            </w:r>
          </w:p>
          <w:p w14:paraId="50CE61AC">
            <w:pPr>
              <w:spacing w:line="360" w:lineRule="exact"/>
              <w:jc w:val="left"/>
              <w:rPr>
                <w:rFonts w:hint="eastAsia" w:ascii="宋体" w:hAnsi="宋体" w:cs="宋体"/>
                <w:sz w:val="24"/>
              </w:rPr>
            </w:pPr>
            <w:r>
              <w:rPr>
                <w:rFonts w:hint="eastAsia" w:ascii="宋体" w:hAnsi="宋体" w:cs="宋体"/>
                <w:sz w:val="24"/>
              </w:rPr>
              <w:t>3、最低报价不作为成交的保证。</w:t>
            </w:r>
          </w:p>
        </w:tc>
      </w:tr>
      <w:tr w14:paraId="70168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48" w:type="dxa"/>
            <w:gridSpan w:val="2"/>
            <w:vAlign w:val="center"/>
          </w:tcPr>
          <w:p w14:paraId="0E715124">
            <w:pPr>
              <w:spacing w:line="360" w:lineRule="exact"/>
              <w:jc w:val="center"/>
              <w:rPr>
                <w:rFonts w:hint="eastAsia" w:ascii="宋体" w:hAnsi="宋体" w:cs="宋体"/>
                <w:b/>
                <w:bCs/>
                <w:sz w:val="24"/>
              </w:rPr>
            </w:pPr>
            <w:r>
              <w:rPr>
                <w:rFonts w:hint="eastAsia" w:ascii="宋体" w:hAnsi="宋体" w:cs="宋体"/>
                <w:b/>
                <w:bCs/>
                <w:sz w:val="24"/>
              </w:rPr>
              <w:t>合计</w:t>
            </w:r>
          </w:p>
        </w:tc>
        <w:tc>
          <w:tcPr>
            <w:tcW w:w="6697" w:type="dxa"/>
            <w:gridSpan w:val="2"/>
            <w:vAlign w:val="center"/>
          </w:tcPr>
          <w:p w14:paraId="1D99292B">
            <w:pPr>
              <w:spacing w:line="360" w:lineRule="exact"/>
              <w:jc w:val="center"/>
              <w:rPr>
                <w:rFonts w:hint="eastAsia" w:ascii="宋体" w:hAnsi="宋体" w:cs="宋体"/>
                <w:b/>
                <w:bCs/>
                <w:sz w:val="24"/>
              </w:rPr>
            </w:pPr>
            <w:r>
              <w:rPr>
                <w:rFonts w:hint="eastAsia" w:ascii="宋体" w:hAnsi="宋体" w:cs="宋体"/>
                <w:b/>
                <w:bCs/>
                <w:sz w:val="24"/>
              </w:rPr>
              <w:t>满分30分</w:t>
            </w:r>
          </w:p>
        </w:tc>
      </w:tr>
    </w:tbl>
    <w:p w14:paraId="4A94478A">
      <w:pPr>
        <w:tabs>
          <w:tab w:val="left" w:pos="360"/>
          <w:tab w:val="left" w:pos="900"/>
          <w:tab w:val="left" w:pos="1080"/>
          <w:tab w:val="left" w:pos="2014"/>
        </w:tabs>
        <w:snapToGrid w:val="0"/>
        <w:spacing w:line="360" w:lineRule="auto"/>
        <w:rPr>
          <w:b/>
          <w:sz w:val="24"/>
        </w:rPr>
      </w:pPr>
      <w:r>
        <w:rPr>
          <w:rFonts w:hint="eastAsia"/>
          <w:b/>
          <w:sz w:val="24"/>
        </w:rPr>
        <w:br w:type="page"/>
      </w:r>
    </w:p>
    <w:p w14:paraId="080EDAAC">
      <w:pPr>
        <w:spacing w:before="120" w:beforeLines="50" w:after="120" w:afterLines="50"/>
        <w:rPr>
          <w:rFonts w:hint="eastAsia" w:ascii="宋体" w:hAnsi="宋体" w:cs="宋体"/>
          <w:b/>
          <w:bCs/>
          <w:sz w:val="24"/>
        </w:rPr>
      </w:pPr>
      <w:r>
        <w:rPr>
          <w:rFonts w:hint="eastAsia" w:ascii="宋体" w:hAnsi="宋体" w:cs="宋体"/>
          <w:b/>
          <w:bCs/>
          <w:sz w:val="24"/>
        </w:rPr>
        <w:t>二、商务评分标准</w:t>
      </w:r>
    </w:p>
    <w:tbl>
      <w:tblPr>
        <w:tblStyle w:val="44"/>
        <w:tblW w:w="8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1457"/>
        <w:gridCol w:w="945"/>
        <w:gridCol w:w="825"/>
        <w:gridCol w:w="4903"/>
      </w:tblGrid>
      <w:tr w14:paraId="4BCBB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4" w:type="dxa"/>
            <w:vAlign w:val="center"/>
          </w:tcPr>
          <w:p w14:paraId="5322C750">
            <w:pPr>
              <w:tabs>
                <w:tab w:val="left" w:pos="360"/>
                <w:tab w:val="left" w:pos="900"/>
                <w:tab w:val="left" w:pos="1080"/>
                <w:tab w:val="left" w:pos="2014"/>
              </w:tabs>
              <w:snapToGrid w:val="0"/>
              <w:spacing w:line="360" w:lineRule="exact"/>
              <w:jc w:val="center"/>
              <w:rPr>
                <w:rFonts w:hint="eastAsia" w:ascii="宋体" w:hAnsi="宋体" w:cs="宋体"/>
                <w:b/>
                <w:sz w:val="24"/>
              </w:rPr>
            </w:pPr>
            <w:r>
              <w:rPr>
                <w:rFonts w:hint="eastAsia" w:ascii="宋体" w:hAnsi="宋体" w:cs="宋体"/>
                <w:b/>
                <w:sz w:val="24"/>
              </w:rPr>
              <w:t>序号</w:t>
            </w:r>
          </w:p>
        </w:tc>
        <w:tc>
          <w:tcPr>
            <w:tcW w:w="1457" w:type="dxa"/>
            <w:vAlign w:val="center"/>
          </w:tcPr>
          <w:p w14:paraId="088E0E56">
            <w:pPr>
              <w:tabs>
                <w:tab w:val="left" w:pos="360"/>
                <w:tab w:val="left" w:pos="900"/>
                <w:tab w:val="left" w:pos="1080"/>
                <w:tab w:val="left" w:pos="2014"/>
              </w:tabs>
              <w:snapToGrid w:val="0"/>
              <w:spacing w:line="360" w:lineRule="exact"/>
              <w:jc w:val="center"/>
              <w:rPr>
                <w:rFonts w:hint="eastAsia" w:ascii="宋体" w:hAnsi="宋体" w:cs="宋体"/>
                <w:b/>
                <w:sz w:val="24"/>
              </w:rPr>
            </w:pPr>
            <w:r>
              <w:rPr>
                <w:rFonts w:hint="eastAsia" w:ascii="宋体" w:hAnsi="宋体" w:cs="宋体"/>
                <w:b/>
                <w:sz w:val="24"/>
              </w:rPr>
              <w:t>评审因素</w:t>
            </w:r>
          </w:p>
        </w:tc>
        <w:tc>
          <w:tcPr>
            <w:tcW w:w="1770" w:type="dxa"/>
            <w:gridSpan w:val="2"/>
            <w:vAlign w:val="center"/>
          </w:tcPr>
          <w:p w14:paraId="6536A2FE">
            <w:pPr>
              <w:tabs>
                <w:tab w:val="left" w:pos="360"/>
                <w:tab w:val="left" w:pos="900"/>
                <w:tab w:val="left" w:pos="1080"/>
                <w:tab w:val="left" w:pos="2014"/>
              </w:tabs>
              <w:snapToGrid w:val="0"/>
              <w:spacing w:line="360" w:lineRule="exact"/>
              <w:jc w:val="center"/>
              <w:rPr>
                <w:rFonts w:hint="eastAsia" w:ascii="宋体" w:hAnsi="宋体" w:cs="宋体"/>
                <w:b/>
                <w:sz w:val="24"/>
              </w:rPr>
            </w:pPr>
            <w:r>
              <w:rPr>
                <w:rFonts w:hint="eastAsia" w:ascii="宋体" w:hAnsi="宋体" w:cs="宋体"/>
                <w:b/>
                <w:sz w:val="24"/>
              </w:rPr>
              <w:t>分值</w:t>
            </w:r>
          </w:p>
        </w:tc>
        <w:tc>
          <w:tcPr>
            <w:tcW w:w="4903" w:type="dxa"/>
            <w:vAlign w:val="center"/>
          </w:tcPr>
          <w:p w14:paraId="7A93209C">
            <w:pPr>
              <w:tabs>
                <w:tab w:val="left" w:pos="360"/>
                <w:tab w:val="left" w:pos="900"/>
                <w:tab w:val="left" w:pos="1080"/>
                <w:tab w:val="left" w:pos="2014"/>
              </w:tabs>
              <w:snapToGrid w:val="0"/>
              <w:spacing w:line="360" w:lineRule="exact"/>
              <w:jc w:val="center"/>
              <w:rPr>
                <w:rFonts w:hint="eastAsia" w:ascii="宋体" w:hAnsi="宋体" w:cs="宋体"/>
                <w:b/>
                <w:sz w:val="24"/>
              </w:rPr>
            </w:pPr>
            <w:r>
              <w:rPr>
                <w:rFonts w:hint="eastAsia" w:ascii="宋体" w:hAnsi="宋体" w:cs="宋体"/>
                <w:b/>
                <w:sz w:val="24"/>
              </w:rPr>
              <w:t>评分标准说明</w:t>
            </w:r>
          </w:p>
        </w:tc>
      </w:tr>
      <w:tr w14:paraId="2A210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84" w:type="dxa"/>
            <w:vMerge w:val="restart"/>
            <w:vAlign w:val="center"/>
          </w:tcPr>
          <w:p w14:paraId="1120DA81">
            <w:pPr>
              <w:tabs>
                <w:tab w:val="left" w:pos="360"/>
                <w:tab w:val="left" w:pos="900"/>
                <w:tab w:val="left" w:pos="1080"/>
                <w:tab w:val="left" w:pos="2014"/>
              </w:tabs>
              <w:snapToGrid w:val="0"/>
              <w:spacing w:before="48" w:beforeLines="20" w:after="48" w:afterLines="20" w:line="380" w:lineRule="exact"/>
              <w:jc w:val="center"/>
              <w:rPr>
                <w:rFonts w:hint="eastAsia" w:ascii="宋体" w:hAnsi="宋体" w:cs="宋体"/>
                <w:bCs/>
                <w:sz w:val="24"/>
              </w:rPr>
            </w:pPr>
            <w:r>
              <w:rPr>
                <w:rFonts w:hint="eastAsia" w:ascii="宋体" w:hAnsi="宋体" w:cs="宋体"/>
                <w:bCs/>
                <w:sz w:val="24"/>
              </w:rPr>
              <w:t>1</w:t>
            </w:r>
          </w:p>
        </w:tc>
        <w:tc>
          <w:tcPr>
            <w:tcW w:w="1457" w:type="dxa"/>
            <w:vMerge w:val="restart"/>
            <w:vAlign w:val="center"/>
          </w:tcPr>
          <w:p w14:paraId="139317B7">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项目管理机构其他人员配备</w:t>
            </w:r>
          </w:p>
        </w:tc>
        <w:tc>
          <w:tcPr>
            <w:tcW w:w="945" w:type="dxa"/>
            <w:vMerge w:val="restart"/>
            <w:vAlign w:val="center"/>
          </w:tcPr>
          <w:p w14:paraId="5A7E533E">
            <w:pPr>
              <w:tabs>
                <w:tab w:val="left" w:pos="360"/>
                <w:tab w:val="left" w:pos="900"/>
                <w:tab w:val="left" w:pos="1080"/>
                <w:tab w:val="left" w:pos="2014"/>
              </w:tabs>
              <w:snapToGrid w:val="0"/>
              <w:spacing w:before="48" w:beforeLines="20" w:after="48" w:afterLines="20" w:line="380" w:lineRule="exact"/>
              <w:jc w:val="center"/>
              <w:rPr>
                <w:rFonts w:hint="eastAsia" w:ascii="宋体" w:hAnsi="宋体" w:cs="宋体"/>
                <w:bCs/>
                <w:sz w:val="24"/>
              </w:rPr>
            </w:pPr>
            <w:r>
              <w:rPr>
                <w:rFonts w:hint="eastAsia" w:ascii="宋体" w:hAnsi="宋体" w:cs="宋体"/>
                <w:bCs/>
                <w:sz w:val="24"/>
              </w:rPr>
              <w:t>0-7分</w:t>
            </w:r>
          </w:p>
        </w:tc>
        <w:tc>
          <w:tcPr>
            <w:tcW w:w="825" w:type="dxa"/>
            <w:vAlign w:val="center"/>
          </w:tcPr>
          <w:p w14:paraId="1144245E">
            <w:pPr>
              <w:tabs>
                <w:tab w:val="left" w:pos="360"/>
                <w:tab w:val="left" w:pos="900"/>
                <w:tab w:val="left" w:pos="1080"/>
                <w:tab w:val="left" w:pos="2014"/>
              </w:tabs>
              <w:snapToGrid w:val="0"/>
              <w:spacing w:before="48" w:beforeLines="20" w:after="48" w:afterLines="20" w:line="380" w:lineRule="exact"/>
              <w:jc w:val="center"/>
              <w:rPr>
                <w:rFonts w:hint="eastAsia" w:ascii="宋体" w:hAnsi="宋体" w:cs="宋体"/>
                <w:bCs/>
                <w:sz w:val="24"/>
              </w:rPr>
            </w:pPr>
            <w:r>
              <w:rPr>
                <w:rFonts w:hint="eastAsia" w:ascii="宋体" w:hAnsi="宋体" w:cs="宋体"/>
                <w:bCs/>
                <w:sz w:val="24"/>
              </w:rPr>
              <w:t>7分</w:t>
            </w:r>
          </w:p>
        </w:tc>
        <w:tc>
          <w:tcPr>
            <w:tcW w:w="4903" w:type="dxa"/>
            <w:vAlign w:val="center"/>
          </w:tcPr>
          <w:p w14:paraId="65144B85">
            <w:pPr>
              <w:tabs>
                <w:tab w:val="left" w:pos="360"/>
                <w:tab w:val="left" w:pos="900"/>
                <w:tab w:val="left" w:pos="1080"/>
                <w:tab w:val="left" w:pos="2014"/>
              </w:tabs>
              <w:wordWrap w:val="0"/>
              <w:snapToGrid w:val="0"/>
              <w:spacing w:line="360" w:lineRule="exact"/>
              <w:jc w:val="left"/>
              <w:rPr>
                <w:rFonts w:hint="eastAsia" w:ascii="宋体" w:hAnsi="宋体" w:cs="宋体"/>
                <w:bCs/>
                <w:sz w:val="24"/>
              </w:rPr>
            </w:pPr>
            <w:r>
              <w:rPr>
                <w:rFonts w:hint="eastAsia" w:ascii="宋体" w:hAnsi="宋体" w:cs="宋体"/>
                <w:bCs/>
                <w:sz w:val="24"/>
              </w:rPr>
              <w:t>组织机构健全，人员配置充足，专业结构合理</w:t>
            </w:r>
          </w:p>
        </w:tc>
      </w:tr>
      <w:tr w14:paraId="593A4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84" w:type="dxa"/>
            <w:vMerge w:val="continue"/>
            <w:vAlign w:val="center"/>
          </w:tcPr>
          <w:p w14:paraId="70957BBE">
            <w:pPr>
              <w:tabs>
                <w:tab w:val="left" w:pos="360"/>
                <w:tab w:val="left" w:pos="900"/>
                <w:tab w:val="left" w:pos="1080"/>
                <w:tab w:val="left" w:pos="2014"/>
              </w:tabs>
              <w:snapToGrid w:val="0"/>
              <w:spacing w:before="48" w:beforeLines="20" w:after="48" w:afterLines="20" w:line="380" w:lineRule="exact"/>
              <w:jc w:val="center"/>
              <w:rPr>
                <w:rFonts w:hint="eastAsia" w:ascii="宋体" w:hAnsi="宋体" w:cs="宋体"/>
                <w:bCs/>
                <w:sz w:val="24"/>
              </w:rPr>
            </w:pPr>
          </w:p>
        </w:tc>
        <w:tc>
          <w:tcPr>
            <w:tcW w:w="1457" w:type="dxa"/>
            <w:vMerge w:val="continue"/>
            <w:vAlign w:val="center"/>
          </w:tcPr>
          <w:p w14:paraId="60546D14">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945" w:type="dxa"/>
            <w:vMerge w:val="continue"/>
            <w:vAlign w:val="center"/>
          </w:tcPr>
          <w:p w14:paraId="202D30AA">
            <w:pPr>
              <w:tabs>
                <w:tab w:val="left" w:pos="360"/>
                <w:tab w:val="left" w:pos="900"/>
                <w:tab w:val="left" w:pos="1080"/>
                <w:tab w:val="left" w:pos="2014"/>
              </w:tabs>
              <w:snapToGrid w:val="0"/>
              <w:spacing w:before="48" w:beforeLines="20" w:after="48" w:afterLines="20" w:line="380" w:lineRule="exact"/>
              <w:jc w:val="center"/>
              <w:rPr>
                <w:rFonts w:hint="eastAsia" w:ascii="宋体" w:hAnsi="宋体" w:cs="宋体"/>
                <w:bCs/>
                <w:sz w:val="24"/>
              </w:rPr>
            </w:pPr>
          </w:p>
        </w:tc>
        <w:tc>
          <w:tcPr>
            <w:tcW w:w="825" w:type="dxa"/>
            <w:vAlign w:val="center"/>
          </w:tcPr>
          <w:p w14:paraId="775FB9C2">
            <w:pPr>
              <w:tabs>
                <w:tab w:val="left" w:pos="360"/>
                <w:tab w:val="left" w:pos="900"/>
                <w:tab w:val="left" w:pos="1080"/>
                <w:tab w:val="left" w:pos="2014"/>
              </w:tabs>
              <w:snapToGrid w:val="0"/>
              <w:spacing w:before="48" w:beforeLines="20" w:after="48" w:afterLines="20" w:line="380" w:lineRule="exact"/>
              <w:jc w:val="center"/>
              <w:rPr>
                <w:rFonts w:hint="eastAsia" w:ascii="宋体" w:hAnsi="宋体" w:cs="宋体"/>
                <w:bCs/>
                <w:sz w:val="24"/>
              </w:rPr>
            </w:pPr>
            <w:r>
              <w:rPr>
                <w:rFonts w:hint="eastAsia" w:ascii="宋体" w:hAnsi="宋体" w:cs="宋体"/>
                <w:bCs/>
                <w:sz w:val="24"/>
              </w:rPr>
              <w:t>5分</w:t>
            </w:r>
          </w:p>
        </w:tc>
        <w:tc>
          <w:tcPr>
            <w:tcW w:w="4903" w:type="dxa"/>
            <w:vAlign w:val="center"/>
          </w:tcPr>
          <w:p w14:paraId="6123525A">
            <w:pPr>
              <w:tabs>
                <w:tab w:val="left" w:pos="360"/>
                <w:tab w:val="left" w:pos="900"/>
                <w:tab w:val="left" w:pos="1080"/>
                <w:tab w:val="left" w:pos="2014"/>
              </w:tabs>
              <w:wordWrap w:val="0"/>
              <w:snapToGrid w:val="0"/>
              <w:spacing w:line="360" w:lineRule="exact"/>
              <w:jc w:val="left"/>
              <w:rPr>
                <w:rFonts w:hint="eastAsia" w:ascii="宋体" w:hAnsi="宋体" w:cs="宋体"/>
                <w:bCs/>
                <w:sz w:val="24"/>
              </w:rPr>
            </w:pPr>
            <w:r>
              <w:rPr>
                <w:rFonts w:hint="eastAsia" w:ascii="宋体" w:hAnsi="宋体" w:cs="宋体"/>
                <w:bCs/>
                <w:sz w:val="24"/>
              </w:rPr>
              <w:t>组织机构较健全，人员配置较充足，专业结构较合理</w:t>
            </w:r>
          </w:p>
        </w:tc>
      </w:tr>
      <w:tr w14:paraId="7664B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84" w:type="dxa"/>
            <w:vMerge w:val="continue"/>
            <w:vAlign w:val="center"/>
          </w:tcPr>
          <w:p w14:paraId="2DD50E69">
            <w:pPr>
              <w:tabs>
                <w:tab w:val="left" w:pos="360"/>
                <w:tab w:val="left" w:pos="900"/>
                <w:tab w:val="left" w:pos="1080"/>
                <w:tab w:val="left" w:pos="2014"/>
              </w:tabs>
              <w:snapToGrid w:val="0"/>
              <w:spacing w:before="48" w:beforeLines="20" w:after="48" w:afterLines="20" w:line="380" w:lineRule="exact"/>
              <w:jc w:val="center"/>
              <w:rPr>
                <w:rFonts w:hint="eastAsia" w:ascii="宋体" w:hAnsi="宋体" w:cs="宋体"/>
                <w:sz w:val="24"/>
              </w:rPr>
            </w:pPr>
          </w:p>
        </w:tc>
        <w:tc>
          <w:tcPr>
            <w:tcW w:w="1457" w:type="dxa"/>
            <w:vMerge w:val="continue"/>
            <w:vAlign w:val="center"/>
          </w:tcPr>
          <w:p w14:paraId="0294958C">
            <w:pPr>
              <w:tabs>
                <w:tab w:val="left" w:pos="360"/>
                <w:tab w:val="left" w:pos="900"/>
                <w:tab w:val="left" w:pos="1080"/>
                <w:tab w:val="left" w:pos="2014"/>
              </w:tabs>
              <w:wordWrap w:val="0"/>
              <w:snapToGrid w:val="0"/>
              <w:spacing w:line="360" w:lineRule="exact"/>
              <w:jc w:val="center"/>
              <w:rPr>
                <w:rFonts w:hint="eastAsia" w:ascii="宋体" w:hAnsi="宋体" w:cs="宋体"/>
                <w:sz w:val="24"/>
              </w:rPr>
            </w:pPr>
          </w:p>
        </w:tc>
        <w:tc>
          <w:tcPr>
            <w:tcW w:w="945" w:type="dxa"/>
            <w:vMerge w:val="continue"/>
            <w:vAlign w:val="center"/>
          </w:tcPr>
          <w:p w14:paraId="642A7596">
            <w:pPr>
              <w:tabs>
                <w:tab w:val="left" w:pos="360"/>
                <w:tab w:val="left" w:pos="900"/>
                <w:tab w:val="left" w:pos="1080"/>
                <w:tab w:val="left" w:pos="2014"/>
              </w:tabs>
              <w:snapToGrid w:val="0"/>
              <w:spacing w:before="48" w:beforeLines="20" w:after="48" w:afterLines="20" w:line="380" w:lineRule="exact"/>
              <w:jc w:val="center"/>
              <w:rPr>
                <w:rFonts w:hint="eastAsia" w:ascii="宋体" w:hAnsi="宋体" w:cs="宋体"/>
                <w:sz w:val="24"/>
              </w:rPr>
            </w:pPr>
          </w:p>
        </w:tc>
        <w:tc>
          <w:tcPr>
            <w:tcW w:w="825" w:type="dxa"/>
            <w:vAlign w:val="center"/>
          </w:tcPr>
          <w:p w14:paraId="6CAF581E">
            <w:pPr>
              <w:tabs>
                <w:tab w:val="left" w:pos="360"/>
                <w:tab w:val="left" w:pos="900"/>
                <w:tab w:val="left" w:pos="1080"/>
                <w:tab w:val="left" w:pos="2014"/>
              </w:tabs>
              <w:snapToGrid w:val="0"/>
              <w:spacing w:before="48" w:beforeLines="20" w:after="48" w:afterLines="20" w:line="380" w:lineRule="exact"/>
              <w:jc w:val="center"/>
              <w:rPr>
                <w:rFonts w:hint="eastAsia" w:ascii="宋体" w:hAnsi="宋体" w:cs="宋体"/>
                <w:bCs/>
                <w:sz w:val="24"/>
              </w:rPr>
            </w:pPr>
            <w:r>
              <w:rPr>
                <w:rFonts w:hint="eastAsia" w:ascii="宋体" w:hAnsi="宋体" w:cs="宋体"/>
                <w:bCs/>
                <w:sz w:val="24"/>
              </w:rPr>
              <w:t>3分</w:t>
            </w:r>
          </w:p>
        </w:tc>
        <w:tc>
          <w:tcPr>
            <w:tcW w:w="4903" w:type="dxa"/>
            <w:vAlign w:val="center"/>
          </w:tcPr>
          <w:p w14:paraId="5633974F">
            <w:pPr>
              <w:tabs>
                <w:tab w:val="left" w:pos="360"/>
                <w:tab w:val="left" w:pos="900"/>
                <w:tab w:val="left" w:pos="1080"/>
                <w:tab w:val="left" w:pos="2014"/>
              </w:tabs>
              <w:wordWrap w:val="0"/>
              <w:snapToGrid w:val="0"/>
              <w:spacing w:line="360" w:lineRule="exact"/>
              <w:jc w:val="left"/>
              <w:rPr>
                <w:rFonts w:hint="eastAsia" w:ascii="宋体" w:hAnsi="宋体" w:cs="宋体"/>
                <w:bCs/>
                <w:sz w:val="24"/>
              </w:rPr>
            </w:pPr>
            <w:r>
              <w:rPr>
                <w:rFonts w:hint="eastAsia" w:ascii="宋体" w:hAnsi="宋体" w:cs="宋体"/>
                <w:bCs/>
                <w:sz w:val="24"/>
              </w:rPr>
              <w:t>组织机构基本健全，人员配置基本充足，专业结构基本合理</w:t>
            </w:r>
          </w:p>
        </w:tc>
      </w:tr>
      <w:tr w14:paraId="30687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84" w:type="dxa"/>
            <w:vMerge w:val="continue"/>
            <w:vAlign w:val="center"/>
          </w:tcPr>
          <w:p w14:paraId="67399E8B">
            <w:pPr>
              <w:tabs>
                <w:tab w:val="left" w:pos="360"/>
                <w:tab w:val="left" w:pos="900"/>
                <w:tab w:val="left" w:pos="1080"/>
                <w:tab w:val="left" w:pos="2014"/>
              </w:tabs>
              <w:snapToGrid w:val="0"/>
              <w:spacing w:before="48" w:beforeLines="20" w:after="48" w:afterLines="20" w:line="380" w:lineRule="exact"/>
              <w:jc w:val="center"/>
              <w:rPr>
                <w:rFonts w:hint="eastAsia" w:ascii="宋体" w:hAnsi="宋体" w:cs="宋体"/>
                <w:bCs/>
                <w:sz w:val="24"/>
              </w:rPr>
            </w:pPr>
          </w:p>
        </w:tc>
        <w:tc>
          <w:tcPr>
            <w:tcW w:w="1457" w:type="dxa"/>
            <w:vMerge w:val="continue"/>
            <w:vAlign w:val="center"/>
          </w:tcPr>
          <w:p w14:paraId="7D1D81BD">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945" w:type="dxa"/>
            <w:vMerge w:val="continue"/>
            <w:vAlign w:val="center"/>
          </w:tcPr>
          <w:p w14:paraId="248B3FD1">
            <w:pPr>
              <w:tabs>
                <w:tab w:val="left" w:pos="360"/>
                <w:tab w:val="left" w:pos="900"/>
                <w:tab w:val="left" w:pos="1080"/>
                <w:tab w:val="left" w:pos="2014"/>
              </w:tabs>
              <w:snapToGrid w:val="0"/>
              <w:spacing w:before="48" w:beforeLines="20" w:after="48" w:afterLines="20" w:line="380" w:lineRule="exact"/>
              <w:jc w:val="center"/>
              <w:rPr>
                <w:rFonts w:hint="eastAsia" w:ascii="宋体" w:hAnsi="宋体" w:cs="宋体"/>
                <w:bCs/>
                <w:sz w:val="24"/>
              </w:rPr>
            </w:pPr>
          </w:p>
        </w:tc>
        <w:tc>
          <w:tcPr>
            <w:tcW w:w="825" w:type="dxa"/>
            <w:vAlign w:val="center"/>
          </w:tcPr>
          <w:p w14:paraId="33C421C8">
            <w:pPr>
              <w:tabs>
                <w:tab w:val="left" w:pos="360"/>
                <w:tab w:val="left" w:pos="900"/>
                <w:tab w:val="left" w:pos="1080"/>
                <w:tab w:val="left" w:pos="2014"/>
              </w:tabs>
              <w:snapToGrid w:val="0"/>
              <w:spacing w:before="48" w:beforeLines="20" w:after="48" w:afterLines="20" w:line="380" w:lineRule="exact"/>
              <w:jc w:val="center"/>
              <w:rPr>
                <w:rFonts w:hint="eastAsia" w:ascii="宋体" w:hAnsi="宋体" w:cs="宋体"/>
                <w:bCs/>
                <w:sz w:val="24"/>
              </w:rPr>
            </w:pPr>
            <w:r>
              <w:rPr>
                <w:rFonts w:hint="eastAsia" w:ascii="宋体" w:hAnsi="宋体" w:cs="宋体"/>
                <w:bCs/>
                <w:sz w:val="24"/>
              </w:rPr>
              <w:t>0分</w:t>
            </w:r>
          </w:p>
        </w:tc>
        <w:tc>
          <w:tcPr>
            <w:tcW w:w="4903" w:type="dxa"/>
            <w:vAlign w:val="center"/>
          </w:tcPr>
          <w:p w14:paraId="65128758">
            <w:pPr>
              <w:tabs>
                <w:tab w:val="left" w:pos="360"/>
                <w:tab w:val="left" w:pos="900"/>
                <w:tab w:val="left" w:pos="1080"/>
                <w:tab w:val="left" w:pos="2014"/>
              </w:tabs>
              <w:wordWrap w:val="0"/>
              <w:snapToGrid w:val="0"/>
              <w:spacing w:line="360" w:lineRule="exact"/>
              <w:jc w:val="left"/>
              <w:rPr>
                <w:rFonts w:hint="eastAsia" w:ascii="宋体" w:hAnsi="宋体" w:cs="宋体"/>
                <w:bCs/>
                <w:sz w:val="24"/>
              </w:rPr>
            </w:pPr>
            <w:r>
              <w:rPr>
                <w:rFonts w:hint="eastAsia" w:ascii="宋体" w:hAnsi="宋体" w:cs="宋体"/>
                <w:bCs/>
                <w:sz w:val="24"/>
              </w:rPr>
              <w:t>未提供或不满足工程需要</w:t>
            </w:r>
          </w:p>
        </w:tc>
      </w:tr>
      <w:tr w14:paraId="62973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84" w:type="dxa"/>
            <w:vMerge w:val="restart"/>
            <w:vAlign w:val="center"/>
          </w:tcPr>
          <w:p w14:paraId="41325639">
            <w:pPr>
              <w:tabs>
                <w:tab w:val="left" w:pos="360"/>
                <w:tab w:val="left" w:pos="900"/>
                <w:tab w:val="left" w:pos="1080"/>
                <w:tab w:val="left" w:pos="2014"/>
              </w:tabs>
              <w:snapToGrid w:val="0"/>
              <w:spacing w:before="48" w:beforeLines="20" w:after="48" w:afterLines="20" w:line="380" w:lineRule="exact"/>
              <w:jc w:val="center"/>
              <w:rPr>
                <w:rFonts w:hint="eastAsia" w:ascii="宋体" w:hAnsi="宋体" w:cs="宋体"/>
                <w:bCs/>
                <w:sz w:val="24"/>
              </w:rPr>
            </w:pPr>
            <w:r>
              <w:rPr>
                <w:rFonts w:hint="eastAsia" w:ascii="宋体" w:hAnsi="宋体" w:cs="宋体"/>
                <w:bCs/>
                <w:sz w:val="24"/>
              </w:rPr>
              <w:t>2</w:t>
            </w:r>
          </w:p>
        </w:tc>
        <w:tc>
          <w:tcPr>
            <w:tcW w:w="1457" w:type="dxa"/>
            <w:vMerge w:val="restart"/>
            <w:vAlign w:val="center"/>
          </w:tcPr>
          <w:p w14:paraId="281AF658">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拟投入本项目机械设备和相关设备情况</w:t>
            </w:r>
          </w:p>
        </w:tc>
        <w:tc>
          <w:tcPr>
            <w:tcW w:w="945" w:type="dxa"/>
            <w:vMerge w:val="restart"/>
            <w:vAlign w:val="center"/>
          </w:tcPr>
          <w:p w14:paraId="6E2E8A8B">
            <w:pPr>
              <w:tabs>
                <w:tab w:val="left" w:pos="360"/>
                <w:tab w:val="left" w:pos="900"/>
                <w:tab w:val="left" w:pos="1080"/>
                <w:tab w:val="left" w:pos="2014"/>
              </w:tabs>
              <w:snapToGrid w:val="0"/>
              <w:spacing w:before="48" w:beforeLines="20" w:after="48" w:afterLines="20" w:line="380" w:lineRule="exact"/>
              <w:jc w:val="center"/>
              <w:rPr>
                <w:rFonts w:hint="eastAsia" w:ascii="宋体" w:hAnsi="宋体" w:cs="宋体"/>
                <w:bCs/>
                <w:sz w:val="24"/>
              </w:rPr>
            </w:pPr>
            <w:r>
              <w:rPr>
                <w:rFonts w:hint="eastAsia" w:ascii="宋体" w:hAnsi="宋体" w:cs="宋体"/>
                <w:bCs/>
                <w:sz w:val="24"/>
              </w:rPr>
              <w:t>0-7分</w:t>
            </w:r>
          </w:p>
        </w:tc>
        <w:tc>
          <w:tcPr>
            <w:tcW w:w="825" w:type="dxa"/>
            <w:vAlign w:val="center"/>
          </w:tcPr>
          <w:p w14:paraId="293D6EA6">
            <w:pPr>
              <w:tabs>
                <w:tab w:val="left" w:pos="360"/>
                <w:tab w:val="left" w:pos="900"/>
                <w:tab w:val="left" w:pos="1080"/>
                <w:tab w:val="left" w:pos="2014"/>
              </w:tabs>
              <w:snapToGrid w:val="0"/>
              <w:spacing w:before="48" w:beforeLines="20" w:after="48" w:afterLines="20" w:line="380" w:lineRule="exact"/>
              <w:jc w:val="center"/>
              <w:rPr>
                <w:rFonts w:hint="eastAsia" w:ascii="宋体" w:hAnsi="宋体" w:cs="宋体"/>
                <w:bCs/>
                <w:sz w:val="24"/>
              </w:rPr>
            </w:pPr>
            <w:r>
              <w:rPr>
                <w:rFonts w:hint="eastAsia" w:ascii="宋体" w:hAnsi="宋体" w:cs="宋体"/>
                <w:bCs/>
                <w:sz w:val="24"/>
              </w:rPr>
              <w:t>7分</w:t>
            </w:r>
          </w:p>
        </w:tc>
        <w:tc>
          <w:tcPr>
            <w:tcW w:w="4903" w:type="dxa"/>
            <w:vAlign w:val="center"/>
          </w:tcPr>
          <w:p w14:paraId="6366289C">
            <w:pPr>
              <w:tabs>
                <w:tab w:val="left" w:pos="360"/>
                <w:tab w:val="left" w:pos="900"/>
                <w:tab w:val="left" w:pos="1080"/>
                <w:tab w:val="left" w:pos="2014"/>
              </w:tabs>
              <w:wordWrap w:val="0"/>
              <w:snapToGrid w:val="0"/>
              <w:spacing w:line="360" w:lineRule="exact"/>
              <w:jc w:val="left"/>
              <w:rPr>
                <w:rFonts w:hint="eastAsia" w:ascii="宋体" w:hAnsi="宋体" w:cs="宋体"/>
                <w:bCs/>
                <w:sz w:val="24"/>
              </w:rPr>
            </w:pPr>
            <w:r>
              <w:rPr>
                <w:rFonts w:hint="eastAsia" w:ascii="宋体" w:hAnsi="宋体" w:cs="宋体"/>
                <w:bCs/>
                <w:sz w:val="24"/>
              </w:rPr>
              <w:t>拟投入机械设备及相关设备齐全且完好</w:t>
            </w:r>
          </w:p>
        </w:tc>
      </w:tr>
      <w:tr w14:paraId="3307B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84" w:type="dxa"/>
            <w:vMerge w:val="continue"/>
            <w:vAlign w:val="center"/>
          </w:tcPr>
          <w:p w14:paraId="2DD29376">
            <w:pPr>
              <w:tabs>
                <w:tab w:val="left" w:pos="360"/>
                <w:tab w:val="left" w:pos="900"/>
                <w:tab w:val="left" w:pos="1080"/>
                <w:tab w:val="left" w:pos="2014"/>
              </w:tabs>
              <w:snapToGrid w:val="0"/>
              <w:spacing w:before="48" w:beforeLines="20" w:after="48" w:afterLines="20" w:line="380" w:lineRule="exact"/>
              <w:jc w:val="center"/>
              <w:rPr>
                <w:rFonts w:hint="eastAsia" w:ascii="宋体" w:hAnsi="宋体" w:cs="宋体"/>
                <w:bCs/>
                <w:sz w:val="24"/>
              </w:rPr>
            </w:pPr>
          </w:p>
        </w:tc>
        <w:tc>
          <w:tcPr>
            <w:tcW w:w="1457" w:type="dxa"/>
            <w:vMerge w:val="continue"/>
            <w:vAlign w:val="center"/>
          </w:tcPr>
          <w:p w14:paraId="43614ABB">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945" w:type="dxa"/>
            <w:vMerge w:val="continue"/>
            <w:vAlign w:val="center"/>
          </w:tcPr>
          <w:p w14:paraId="1153BF63">
            <w:pPr>
              <w:tabs>
                <w:tab w:val="left" w:pos="360"/>
                <w:tab w:val="left" w:pos="900"/>
                <w:tab w:val="left" w:pos="1080"/>
                <w:tab w:val="left" w:pos="2014"/>
              </w:tabs>
              <w:snapToGrid w:val="0"/>
              <w:spacing w:before="48" w:beforeLines="20" w:after="48" w:afterLines="20" w:line="380" w:lineRule="exact"/>
              <w:jc w:val="center"/>
              <w:rPr>
                <w:rFonts w:hint="eastAsia" w:ascii="宋体" w:hAnsi="宋体" w:cs="宋体"/>
                <w:bCs/>
                <w:sz w:val="24"/>
              </w:rPr>
            </w:pPr>
          </w:p>
        </w:tc>
        <w:tc>
          <w:tcPr>
            <w:tcW w:w="825" w:type="dxa"/>
            <w:vAlign w:val="center"/>
          </w:tcPr>
          <w:p w14:paraId="55256B46">
            <w:pPr>
              <w:tabs>
                <w:tab w:val="left" w:pos="360"/>
                <w:tab w:val="left" w:pos="900"/>
                <w:tab w:val="left" w:pos="1080"/>
                <w:tab w:val="left" w:pos="2014"/>
              </w:tabs>
              <w:snapToGrid w:val="0"/>
              <w:spacing w:before="48" w:beforeLines="20" w:after="48" w:afterLines="20" w:line="380" w:lineRule="exact"/>
              <w:jc w:val="center"/>
              <w:rPr>
                <w:rFonts w:hint="eastAsia" w:ascii="宋体" w:hAnsi="宋体" w:cs="宋体"/>
                <w:bCs/>
                <w:sz w:val="24"/>
              </w:rPr>
            </w:pPr>
            <w:r>
              <w:rPr>
                <w:rFonts w:hint="eastAsia" w:ascii="宋体" w:hAnsi="宋体" w:cs="宋体"/>
                <w:bCs/>
                <w:sz w:val="24"/>
              </w:rPr>
              <w:t>5分</w:t>
            </w:r>
          </w:p>
        </w:tc>
        <w:tc>
          <w:tcPr>
            <w:tcW w:w="4903" w:type="dxa"/>
            <w:vAlign w:val="center"/>
          </w:tcPr>
          <w:p w14:paraId="73826EC7">
            <w:pPr>
              <w:tabs>
                <w:tab w:val="left" w:pos="360"/>
                <w:tab w:val="left" w:pos="900"/>
                <w:tab w:val="left" w:pos="1080"/>
                <w:tab w:val="left" w:pos="2014"/>
              </w:tabs>
              <w:wordWrap w:val="0"/>
              <w:snapToGrid w:val="0"/>
              <w:spacing w:line="360" w:lineRule="exact"/>
              <w:jc w:val="left"/>
              <w:rPr>
                <w:rFonts w:hint="eastAsia" w:ascii="宋体" w:hAnsi="宋体" w:cs="宋体"/>
                <w:bCs/>
                <w:sz w:val="24"/>
              </w:rPr>
            </w:pPr>
            <w:r>
              <w:rPr>
                <w:rFonts w:hint="eastAsia" w:ascii="宋体" w:hAnsi="宋体" w:cs="宋体"/>
                <w:bCs/>
                <w:sz w:val="24"/>
              </w:rPr>
              <w:t>拟投入机械设备及相关设备齐全较完好</w:t>
            </w:r>
          </w:p>
        </w:tc>
      </w:tr>
      <w:tr w14:paraId="50D3A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84" w:type="dxa"/>
            <w:vMerge w:val="continue"/>
            <w:vAlign w:val="center"/>
          </w:tcPr>
          <w:p w14:paraId="31AA7687">
            <w:pPr>
              <w:tabs>
                <w:tab w:val="left" w:pos="360"/>
                <w:tab w:val="left" w:pos="900"/>
                <w:tab w:val="left" w:pos="1080"/>
                <w:tab w:val="left" w:pos="2014"/>
              </w:tabs>
              <w:snapToGrid w:val="0"/>
              <w:spacing w:before="48" w:beforeLines="20" w:after="48" w:afterLines="20" w:line="380" w:lineRule="exact"/>
              <w:jc w:val="center"/>
              <w:rPr>
                <w:rFonts w:hint="eastAsia" w:ascii="宋体" w:hAnsi="宋体" w:cs="宋体"/>
                <w:bCs/>
                <w:sz w:val="24"/>
              </w:rPr>
            </w:pPr>
          </w:p>
        </w:tc>
        <w:tc>
          <w:tcPr>
            <w:tcW w:w="1457" w:type="dxa"/>
            <w:vMerge w:val="continue"/>
            <w:vAlign w:val="center"/>
          </w:tcPr>
          <w:p w14:paraId="1FDB56C6">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945" w:type="dxa"/>
            <w:vMerge w:val="continue"/>
            <w:vAlign w:val="center"/>
          </w:tcPr>
          <w:p w14:paraId="58D61E11">
            <w:pPr>
              <w:tabs>
                <w:tab w:val="left" w:pos="360"/>
                <w:tab w:val="left" w:pos="900"/>
                <w:tab w:val="left" w:pos="1080"/>
                <w:tab w:val="left" w:pos="2014"/>
              </w:tabs>
              <w:snapToGrid w:val="0"/>
              <w:spacing w:before="48" w:beforeLines="20" w:after="48" w:afterLines="20" w:line="380" w:lineRule="exact"/>
              <w:jc w:val="center"/>
              <w:rPr>
                <w:rFonts w:hint="eastAsia" w:ascii="宋体" w:hAnsi="宋体" w:cs="宋体"/>
                <w:bCs/>
                <w:sz w:val="24"/>
              </w:rPr>
            </w:pPr>
          </w:p>
        </w:tc>
        <w:tc>
          <w:tcPr>
            <w:tcW w:w="825" w:type="dxa"/>
            <w:vAlign w:val="center"/>
          </w:tcPr>
          <w:p w14:paraId="4B3EFCC9">
            <w:pPr>
              <w:tabs>
                <w:tab w:val="left" w:pos="360"/>
                <w:tab w:val="left" w:pos="900"/>
                <w:tab w:val="left" w:pos="1080"/>
                <w:tab w:val="left" w:pos="2014"/>
              </w:tabs>
              <w:snapToGrid w:val="0"/>
              <w:spacing w:before="48" w:beforeLines="20" w:after="48" w:afterLines="20" w:line="380" w:lineRule="exact"/>
              <w:jc w:val="center"/>
              <w:rPr>
                <w:rFonts w:hint="eastAsia" w:ascii="宋体" w:hAnsi="宋体" w:cs="宋体"/>
                <w:bCs/>
                <w:sz w:val="24"/>
              </w:rPr>
            </w:pPr>
            <w:r>
              <w:rPr>
                <w:rFonts w:hint="eastAsia" w:ascii="宋体" w:hAnsi="宋体" w:cs="宋体"/>
                <w:bCs/>
                <w:sz w:val="24"/>
              </w:rPr>
              <w:t>3分</w:t>
            </w:r>
          </w:p>
        </w:tc>
        <w:tc>
          <w:tcPr>
            <w:tcW w:w="4903" w:type="dxa"/>
            <w:vAlign w:val="center"/>
          </w:tcPr>
          <w:p w14:paraId="3E0A31D8">
            <w:pPr>
              <w:tabs>
                <w:tab w:val="left" w:pos="360"/>
                <w:tab w:val="left" w:pos="900"/>
                <w:tab w:val="left" w:pos="1080"/>
                <w:tab w:val="left" w:pos="2014"/>
              </w:tabs>
              <w:wordWrap w:val="0"/>
              <w:snapToGrid w:val="0"/>
              <w:spacing w:line="360" w:lineRule="exact"/>
              <w:jc w:val="left"/>
              <w:rPr>
                <w:rFonts w:hint="eastAsia" w:ascii="宋体" w:hAnsi="宋体" w:cs="宋体"/>
                <w:bCs/>
                <w:sz w:val="24"/>
              </w:rPr>
            </w:pPr>
            <w:r>
              <w:rPr>
                <w:rFonts w:hint="eastAsia" w:ascii="宋体" w:hAnsi="宋体" w:cs="宋体"/>
                <w:bCs/>
                <w:sz w:val="24"/>
              </w:rPr>
              <w:t>拟投入机械设备及相关设备不齐全，完好率差</w:t>
            </w:r>
          </w:p>
        </w:tc>
      </w:tr>
      <w:tr w14:paraId="14E35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84" w:type="dxa"/>
            <w:vMerge w:val="continue"/>
            <w:vAlign w:val="center"/>
          </w:tcPr>
          <w:p w14:paraId="02A71AEB">
            <w:pPr>
              <w:tabs>
                <w:tab w:val="left" w:pos="360"/>
                <w:tab w:val="left" w:pos="900"/>
                <w:tab w:val="left" w:pos="1080"/>
                <w:tab w:val="left" w:pos="2014"/>
              </w:tabs>
              <w:snapToGrid w:val="0"/>
              <w:spacing w:before="48" w:beforeLines="20" w:after="48" w:afterLines="20" w:line="380" w:lineRule="exact"/>
              <w:jc w:val="center"/>
              <w:rPr>
                <w:rFonts w:hint="eastAsia" w:ascii="宋体" w:hAnsi="宋体" w:cs="宋体"/>
                <w:bCs/>
                <w:sz w:val="24"/>
              </w:rPr>
            </w:pPr>
          </w:p>
        </w:tc>
        <w:tc>
          <w:tcPr>
            <w:tcW w:w="1457" w:type="dxa"/>
            <w:vMerge w:val="continue"/>
            <w:vAlign w:val="center"/>
          </w:tcPr>
          <w:p w14:paraId="0799FB61">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945" w:type="dxa"/>
            <w:vMerge w:val="continue"/>
            <w:vAlign w:val="center"/>
          </w:tcPr>
          <w:p w14:paraId="38591674">
            <w:pPr>
              <w:tabs>
                <w:tab w:val="left" w:pos="360"/>
                <w:tab w:val="left" w:pos="900"/>
                <w:tab w:val="left" w:pos="1080"/>
                <w:tab w:val="left" w:pos="2014"/>
              </w:tabs>
              <w:snapToGrid w:val="0"/>
              <w:spacing w:before="48" w:beforeLines="20" w:after="48" w:afterLines="20" w:line="380" w:lineRule="exact"/>
              <w:jc w:val="center"/>
              <w:rPr>
                <w:rFonts w:hint="eastAsia" w:ascii="宋体" w:hAnsi="宋体" w:cs="宋体"/>
                <w:bCs/>
                <w:sz w:val="24"/>
              </w:rPr>
            </w:pPr>
          </w:p>
        </w:tc>
        <w:tc>
          <w:tcPr>
            <w:tcW w:w="825" w:type="dxa"/>
            <w:vAlign w:val="center"/>
          </w:tcPr>
          <w:p w14:paraId="59D166F3">
            <w:pPr>
              <w:tabs>
                <w:tab w:val="left" w:pos="360"/>
                <w:tab w:val="left" w:pos="900"/>
                <w:tab w:val="left" w:pos="1080"/>
                <w:tab w:val="left" w:pos="2014"/>
              </w:tabs>
              <w:snapToGrid w:val="0"/>
              <w:spacing w:before="48" w:beforeLines="20" w:after="48" w:afterLines="20" w:line="380" w:lineRule="exact"/>
              <w:jc w:val="center"/>
              <w:rPr>
                <w:rFonts w:hint="eastAsia" w:ascii="宋体" w:hAnsi="宋体" w:cs="宋体"/>
                <w:bCs/>
                <w:sz w:val="24"/>
              </w:rPr>
            </w:pPr>
            <w:r>
              <w:rPr>
                <w:rFonts w:hint="eastAsia" w:ascii="宋体" w:hAnsi="宋体" w:cs="宋体"/>
                <w:bCs/>
                <w:sz w:val="24"/>
              </w:rPr>
              <w:t>0分</w:t>
            </w:r>
          </w:p>
        </w:tc>
        <w:tc>
          <w:tcPr>
            <w:tcW w:w="4903" w:type="dxa"/>
            <w:vAlign w:val="center"/>
          </w:tcPr>
          <w:p w14:paraId="2A77CF8F">
            <w:pPr>
              <w:tabs>
                <w:tab w:val="left" w:pos="360"/>
                <w:tab w:val="left" w:pos="900"/>
                <w:tab w:val="left" w:pos="1080"/>
                <w:tab w:val="left" w:pos="2014"/>
              </w:tabs>
              <w:wordWrap w:val="0"/>
              <w:snapToGrid w:val="0"/>
              <w:spacing w:line="360" w:lineRule="exact"/>
              <w:jc w:val="left"/>
              <w:rPr>
                <w:rFonts w:hint="eastAsia" w:ascii="宋体" w:hAnsi="宋体" w:cs="宋体"/>
                <w:bCs/>
                <w:sz w:val="24"/>
              </w:rPr>
            </w:pPr>
            <w:r>
              <w:rPr>
                <w:rFonts w:hint="eastAsia" w:ascii="宋体" w:hAnsi="宋体" w:cs="宋体"/>
                <w:bCs/>
                <w:sz w:val="24"/>
              </w:rPr>
              <w:t>未提供或不满足工程需要</w:t>
            </w:r>
          </w:p>
        </w:tc>
      </w:tr>
      <w:tr w14:paraId="0D82B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5" w:hRule="atLeast"/>
          <w:jc w:val="center"/>
        </w:trPr>
        <w:tc>
          <w:tcPr>
            <w:tcW w:w="784" w:type="dxa"/>
            <w:vAlign w:val="center"/>
          </w:tcPr>
          <w:p w14:paraId="6C86EF6E">
            <w:pPr>
              <w:tabs>
                <w:tab w:val="left" w:pos="360"/>
                <w:tab w:val="left" w:pos="900"/>
                <w:tab w:val="left" w:pos="1080"/>
                <w:tab w:val="left" w:pos="2014"/>
              </w:tabs>
              <w:snapToGrid w:val="0"/>
              <w:spacing w:before="48" w:beforeLines="20" w:after="48" w:afterLines="20" w:line="380" w:lineRule="exact"/>
              <w:jc w:val="center"/>
              <w:rPr>
                <w:rFonts w:hint="eastAsia" w:ascii="宋体" w:hAnsi="宋体" w:cs="宋体"/>
                <w:bCs/>
                <w:sz w:val="24"/>
              </w:rPr>
            </w:pPr>
            <w:r>
              <w:rPr>
                <w:rFonts w:hint="eastAsia" w:ascii="宋体" w:hAnsi="宋体" w:cs="宋体"/>
                <w:bCs/>
                <w:sz w:val="24"/>
              </w:rPr>
              <w:t>3</w:t>
            </w:r>
          </w:p>
        </w:tc>
        <w:tc>
          <w:tcPr>
            <w:tcW w:w="1457" w:type="dxa"/>
            <w:vAlign w:val="center"/>
          </w:tcPr>
          <w:p w14:paraId="0021DAE3">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企业类似</w:t>
            </w:r>
          </w:p>
          <w:p w14:paraId="777C560D">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业绩</w:t>
            </w:r>
          </w:p>
        </w:tc>
        <w:tc>
          <w:tcPr>
            <w:tcW w:w="1770" w:type="dxa"/>
            <w:gridSpan w:val="2"/>
            <w:vAlign w:val="center"/>
          </w:tcPr>
          <w:p w14:paraId="39D7A43B">
            <w:pPr>
              <w:tabs>
                <w:tab w:val="left" w:pos="360"/>
                <w:tab w:val="left" w:pos="900"/>
                <w:tab w:val="left" w:pos="1080"/>
                <w:tab w:val="left" w:pos="2014"/>
              </w:tabs>
              <w:snapToGrid w:val="0"/>
              <w:spacing w:before="48" w:beforeLines="20" w:after="48" w:afterLines="20" w:line="380" w:lineRule="exact"/>
              <w:jc w:val="center"/>
              <w:rPr>
                <w:rFonts w:hint="eastAsia" w:ascii="宋体" w:hAnsi="宋体" w:cs="宋体"/>
                <w:bCs/>
                <w:sz w:val="24"/>
              </w:rPr>
            </w:pPr>
            <w:r>
              <w:rPr>
                <w:rFonts w:hint="eastAsia" w:ascii="宋体" w:hAnsi="宋体" w:cs="宋体"/>
                <w:bCs/>
                <w:sz w:val="24"/>
              </w:rPr>
              <w:t>12分</w:t>
            </w:r>
          </w:p>
        </w:tc>
        <w:tc>
          <w:tcPr>
            <w:tcW w:w="4903" w:type="dxa"/>
            <w:vAlign w:val="center"/>
          </w:tcPr>
          <w:p w14:paraId="7145687C">
            <w:pPr>
              <w:tabs>
                <w:tab w:val="left" w:pos="360"/>
                <w:tab w:val="left" w:pos="900"/>
                <w:tab w:val="left" w:pos="1080"/>
                <w:tab w:val="left" w:pos="2014"/>
              </w:tabs>
              <w:wordWrap w:val="0"/>
              <w:snapToGrid w:val="0"/>
              <w:spacing w:line="360" w:lineRule="exact"/>
              <w:jc w:val="left"/>
              <w:rPr>
                <w:rFonts w:hint="eastAsia" w:ascii="宋体" w:hAnsi="宋体" w:cs="宋体"/>
                <w:bCs/>
                <w:sz w:val="24"/>
              </w:rPr>
            </w:pPr>
            <w:r>
              <w:rPr>
                <w:rFonts w:hint="eastAsia" w:ascii="宋体" w:hAnsi="宋体" w:cs="宋体"/>
                <w:bCs/>
                <w:sz w:val="24"/>
              </w:rPr>
              <w:t>业绩要求：近三年内（2023年1月1日至今）承担过类似工程项目业绩，每提供一项3分，最多12分（以合同签订时间为准）。</w:t>
            </w:r>
          </w:p>
          <w:p w14:paraId="1BB7A640">
            <w:pPr>
              <w:tabs>
                <w:tab w:val="left" w:pos="360"/>
                <w:tab w:val="left" w:pos="900"/>
                <w:tab w:val="left" w:pos="1080"/>
                <w:tab w:val="left" w:pos="2014"/>
              </w:tabs>
              <w:wordWrap w:val="0"/>
              <w:snapToGrid w:val="0"/>
              <w:spacing w:line="360" w:lineRule="exact"/>
              <w:jc w:val="left"/>
              <w:rPr>
                <w:rFonts w:hint="eastAsia" w:ascii="宋体" w:hAnsi="宋体" w:cs="宋体"/>
                <w:bCs/>
                <w:sz w:val="24"/>
              </w:rPr>
            </w:pPr>
            <w:r>
              <w:rPr>
                <w:rFonts w:hint="eastAsia" w:ascii="宋体" w:hAnsi="宋体" w:cs="宋体"/>
                <w:bCs/>
                <w:sz w:val="24"/>
              </w:rPr>
              <w:t>注：1、供应商必须提供能够证明上述项目业绩真实性的中标通知书（或合同）、工程竣工验收证书（工程竣工验收证明材料,即工程竣工验收备案登记表或单位工程质量竣工验收记录）的复印件并加盖公章；</w:t>
            </w:r>
          </w:p>
          <w:p w14:paraId="5305C87A">
            <w:pPr>
              <w:tabs>
                <w:tab w:val="left" w:pos="360"/>
                <w:tab w:val="left" w:pos="900"/>
                <w:tab w:val="left" w:pos="1080"/>
                <w:tab w:val="left" w:pos="2014"/>
              </w:tabs>
              <w:wordWrap w:val="0"/>
              <w:snapToGrid w:val="0"/>
              <w:spacing w:line="360" w:lineRule="exact"/>
              <w:jc w:val="left"/>
              <w:rPr>
                <w:rFonts w:hint="eastAsia" w:ascii="宋体" w:hAnsi="宋体" w:cs="宋体"/>
                <w:bCs/>
                <w:sz w:val="24"/>
              </w:rPr>
            </w:pPr>
            <w:r>
              <w:rPr>
                <w:rFonts w:hint="eastAsia" w:ascii="宋体" w:hAnsi="宋体" w:cs="宋体"/>
                <w:bCs/>
                <w:sz w:val="24"/>
              </w:rPr>
              <w:t>2、合同复印件应至少包括合同的甲乙双方、合同标的内容、合同金额、双方签章页，并对真实性负责。</w:t>
            </w:r>
          </w:p>
        </w:tc>
      </w:tr>
      <w:tr w14:paraId="5EC0C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41" w:type="dxa"/>
            <w:gridSpan w:val="2"/>
            <w:vAlign w:val="center"/>
          </w:tcPr>
          <w:p w14:paraId="676472F6">
            <w:pPr>
              <w:tabs>
                <w:tab w:val="left" w:pos="360"/>
                <w:tab w:val="left" w:pos="900"/>
                <w:tab w:val="left" w:pos="1080"/>
                <w:tab w:val="left" w:pos="2014"/>
              </w:tabs>
              <w:snapToGrid w:val="0"/>
              <w:spacing w:line="360" w:lineRule="exact"/>
              <w:jc w:val="center"/>
              <w:rPr>
                <w:rFonts w:hint="eastAsia" w:ascii="宋体" w:hAnsi="宋体" w:cs="宋体"/>
                <w:b/>
                <w:sz w:val="24"/>
              </w:rPr>
            </w:pPr>
            <w:r>
              <w:rPr>
                <w:rFonts w:hint="eastAsia" w:ascii="宋体" w:hAnsi="宋体" w:cs="宋体"/>
                <w:b/>
                <w:sz w:val="24"/>
              </w:rPr>
              <w:t>合计</w:t>
            </w:r>
          </w:p>
        </w:tc>
        <w:tc>
          <w:tcPr>
            <w:tcW w:w="6673" w:type="dxa"/>
            <w:gridSpan w:val="3"/>
            <w:vAlign w:val="center"/>
          </w:tcPr>
          <w:p w14:paraId="0004592E">
            <w:pPr>
              <w:tabs>
                <w:tab w:val="left" w:pos="360"/>
                <w:tab w:val="left" w:pos="900"/>
                <w:tab w:val="left" w:pos="1080"/>
                <w:tab w:val="left" w:pos="2014"/>
              </w:tabs>
              <w:snapToGrid w:val="0"/>
              <w:spacing w:line="360" w:lineRule="exact"/>
              <w:jc w:val="center"/>
              <w:rPr>
                <w:rFonts w:hint="eastAsia" w:ascii="宋体" w:hAnsi="宋体" w:cs="宋体"/>
                <w:b/>
                <w:sz w:val="24"/>
              </w:rPr>
            </w:pPr>
            <w:r>
              <w:rPr>
                <w:rFonts w:hint="eastAsia" w:ascii="宋体" w:hAnsi="宋体" w:cs="宋体"/>
                <w:b/>
                <w:sz w:val="24"/>
              </w:rPr>
              <w:t>满分26分</w:t>
            </w:r>
          </w:p>
        </w:tc>
      </w:tr>
    </w:tbl>
    <w:p w14:paraId="74CA985A">
      <w:pPr>
        <w:rPr>
          <w:rFonts w:hint="eastAsia" w:ascii="宋体" w:hAnsi="宋体" w:cs="宋体"/>
          <w:b/>
          <w:bCs/>
          <w:sz w:val="24"/>
        </w:rPr>
      </w:pPr>
      <w:r>
        <w:rPr>
          <w:rFonts w:hint="eastAsia" w:ascii="宋体" w:hAnsi="宋体" w:cs="宋体"/>
          <w:b/>
          <w:bCs/>
          <w:sz w:val="24"/>
        </w:rPr>
        <w:br w:type="page"/>
      </w:r>
    </w:p>
    <w:p w14:paraId="40C8E332">
      <w:pPr>
        <w:spacing w:before="120" w:beforeLines="50" w:after="120" w:afterLines="50"/>
        <w:rPr>
          <w:rFonts w:hint="eastAsia" w:ascii="宋体" w:hAnsi="宋体" w:cs="宋体"/>
          <w:b/>
          <w:bCs/>
          <w:sz w:val="24"/>
        </w:rPr>
      </w:pPr>
      <w:r>
        <w:rPr>
          <w:rFonts w:hint="eastAsia" w:ascii="宋体" w:hAnsi="宋体" w:cs="宋体"/>
          <w:b/>
          <w:bCs/>
          <w:sz w:val="24"/>
        </w:rPr>
        <w:t>三、技术评分标准</w:t>
      </w:r>
    </w:p>
    <w:tbl>
      <w:tblPr>
        <w:tblStyle w:val="44"/>
        <w:tblW w:w="8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225"/>
        <w:gridCol w:w="900"/>
        <w:gridCol w:w="765"/>
        <w:gridCol w:w="5361"/>
      </w:tblGrid>
      <w:tr w14:paraId="7C0A0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0" w:type="dxa"/>
            <w:vAlign w:val="center"/>
          </w:tcPr>
          <w:p w14:paraId="223ADBF6">
            <w:pPr>
              <w:tabs>
                <w:tab w:val="left" w:pos="360"/>
                <w:tab w:val="left" w:pos="900"/>
                <w:tab w:val="left" w:pos="1080"/>
                <w:tab w:val="left" w:pos="2014"/>
              </w:tabs>
              <w:snapToGrid w:val="0"/>
              <w:spacing w:line="360" w:lineRule="exact"/>
              <w:jc w:val="center"/>
              <w:rPr>
                <w:rFonts w:hint="eastAsia" w:ascii="宋体" w:hAnsi="宋体" w:cs="宋体"/>
                <w:b/>
                <w:sz w:val="24"/>
              </w:rPr>
            </w:pPr>
            <w:r>
              <w:rPr>
                <w:rFonts w:hint="eastAsia" w:ascii="宋体" w:hAnsi="宋体" w:cs="宋体"/>
                <w:b/>
                <w:sz w:val="24"/>
              </w:rPr>
              <w:t>序号</w:t>
            </w:r>
          </w:p>
        </w:tc>
        <w:tc>
          <w:tcPr>
            <w:tcW w:w="1225" w:type="dxa"/>
            <w:vAlign w:val="center"/>
          </w:tcPr>
          <w:p w14:paraId="6EECFDF7">
            <w:pPr>
              <w:tabs>
                <w:tab w:val="left" w:pos="360"/>
                <w:tab w:val="left" w:pos="900"/>
                <w:tab w:val="left" w:pos="1080"/>
                <w:tab w:val="left" w:pos="2014"/>
              </w:tabs>
              <w:snapToGrid w:val="0"/>
              <w:spacing w:line="360" w:lineRule="exact"/>
              <w:jc w:val="center"/>
              <w:rPr>
                <w:rFonts w:hint="eastAsia" w:ascii="宋体" w:hAnsi="宋体" w:cs="宋体"/>
                <w:b/>
                <w:sz w:val="24"/>
              </w:rPr>
            </w:pPr>
            <w:r>
              <w:rPr>
                <w:rFonts w:hint="eastAsia" w:ascii="宋体" w:hAnsi="宋体" w:cs="宋体"/>
                <w:b/>
                <w:sz w:val="24"/>
              </w:rPr>
              <w:t>评审因素</w:t>
            </w:r>
          </w:p>
        </w:tc>
        <w:tc>
          <w:tcPr>
            <w:tcW w:w="1665" w:type="dxa"/>
            <w:gridSpan w:val="2"/>
            <w:vAlign w:val="center"/>
          </w:tcPr>
          <w:p w14:paraId="31BE300E">
            <w:pPr>
              <w:tabs>
                <w:tab w:val="left" w:pos="360"/>
                <w:tab w:val="left" w:pos="900"/>
                <w:tab w:val="left" w:pos="1080"/>
                <w:tab w:val="left" w:pos="2014"/>
              </w:tabs>
              <w:snapToGrid w:val="0"/>
              <w:spacing w:line="360" w:lineRule="exact"/>
              <w:jc w:val="center"/>
              <w:rPr>
                <w:rFonts w:hint="eastAsia" w:ascii="宋体" w:hAnsi="宋体" w:cs="宋体"/>
                <w:b/>
                <w:sz w:val="24"/>
              </w:rPr>
            </w:pPr>
            <w:r>
              <w:rPr>
                <w:rFonts w:hint="eastAsia" w:ascii="宋体" w:hAnsi="宋体" w:cs="宋体"/>
                <w:b/>
                <w:sz w:val="24"/>
              </w:rPr>
              <w:t>分值</w:t>
            </w:r>
          </w:p>
        </w:tc>
        <w:tc>
          <w:tcPr>
            <w:tcW w:w="5361" w:type="dxa"/>
            <w:vAlign w:val="center"/>
          </w:tcPr>
          <w:p w14:paraId="50933971">
            <w:pPr>
              <w:tabs>
                <w:tab w:val="left" w:pos="360"/>
                <w:tab w:val="left" w:pos="900"/>
                <w:tab w:val="left" w:pos="1080"/>
                <w:tab w:val="left" w:pos="2014"/>
              </w:tabs>
              <w:snapToGrid w:val="0"/>
              <w:spacing w:line="360" w:lineRule="exact"/>
              <w:jc w:val="center"/>
              <w:rPr>
                <w:rFonts w:hint="eastAsia" w:ascii="宋体" w:hAnsi="宋体" w:cs="宋体"/>
                <w:b/>
                <w:sz w:val="24"/>
              </w:rPr>
            </w:pPr>
            <w:r>
              <w:rPr>
                <w:rFonts w:hint="eastAsia" w:ascii="宋体" w:hAnsi="宋体" w:cs="宋体"/>
                <w:b/>
                <w:sz w:val="24"/>
              </w:rPr>
              <w:t>评分标准</w:t>
            </w:r>
          </w:p>
        </w:tc>
      </w:tr>
      <w:tr w14:paraId="7C8F0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jc w:val="center"/>
        </w:trPr>
        <w:tc>
          <w:tcPr>
            <w:tcW w:w="720" w:type="dxa"/>
            <w:vMerge w:val="restart"/>
            <w:vAlign w:val="center"/>
          </w:tcPr>
          <w:p w14:paraId="1B1A6D5A">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1</w:t>
            </w:r>
          </w:p>
        </w:tc>
        <w:tc>
          <w:tcPr>
            <w:tcW w:w="1225" w:type="dxa"/>
            <w:vMerge w:val="restart"/>
            <w:vAlign w:val="center"/>
          </w:tcPr>
          <w:p w14:paraId="7BA8523C">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施工方案与技术措施</w:t>
            </w:r>
          </w:p>
        </w:tc>
        <w:tc>
          <w:tcPr>
            <w:tcW w:w="900" w:type="dxa"/>
            <w:vMerge w:val="restart"/>
            <w:vAlign w:val="center"/>
          </w:tcPr>
          <w:p w14:paraId="31927D4B">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0-8分</w:t>
            </w:r>
          </w:p>
        </w:tc>
        <w:tc>
          <w:tcPr>
            <w:tcW w:w="765" w:type="dxa"/>
            <w:vAlign w:val="center"/>
          </w:tcPr>
          <w:p w14:paraId="3EB9CAE9">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8分</w:t>
            </w:r>
          </w:p>
        </w:tc>
        <w:tc>
          <w:tcPr>
            <w:tcW w:w="5361" w:type="dxa"/>
            <w:vAlign w:val="center"/>
          </w:tcPr>
          <w:p w14:paraId="4572C360">
            <w:pPr>
              <w:tabs>
                <w:tab w:val="left" w:pos="360"/>
                <w:tab w:val="left" w:pos="900"/>
                <w:tab w:val="left" w:pos="1080"/>
                <w:tab w:val="left" w:pos="2014"/>
              </w:tabs>
              <w:wordWrap w:val="0"/>
              <w:snapToGrid w:val="0"/>
              <w:spacing w:line="360" w:lineRule="exact"/>
              <w:rPr>
                <w:rFonts w:hint="eastAsia" w:ascii="宋体" w:hAnsi="宋体" w:cs="宋体"/>
                <w:bCs/>
                <w:sz w:val="24"/>
              </w:rPr>
            </w:pPr>
            <w:r>
              <w:rPr>
                <w:rFonts w:hint="eastAsia" w:ascii="宋体" w:hAnsi="宋体" w:cs="宋体"/>
                <w:bCs/>
                <w:sz w:val="24"/>
              </w:rPr>
              <w:t>供应商应针对本项目特点，提出全面明确的整体实施方案,包括但不限于施工方案与技术措施、专业技术人员配备、资源配备计划等方案内容完全满足以上要求并且全面详细、切实可行、针对性强</w:t>
            </w:r>
          </w:p>
        </w:tc>
      </w:tr>
      <w:tr w14:paraId="5A0E1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720" w:type="dxa"/>
            <w:vMerge w:val="continue"/>
            <w:vAlign w:val="center"/>
          </w:tcPr>
          <w:p w14:paraId="11F2B5E0">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1225" w:type="dxa"/>
            <w:vMerge w:val="continue"/>
            <w:vAlign w:val="center"/>
          </w:tcPr>
          <w:p w14:paraId="6DEE7610">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900" w:type="dxa"/>
            <w:vMerge w:val="continue"/>
            <w:vAlign w:val="center"/>
          </w:tcPr>
          <w:p w14:paraId="7AC233AF">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765" w:type="dxa"/>
            <w:vAlign w:val="center"/>
          </w:tcPr>
          <w:p w14:paraId="7A4D24DB">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6分</w:t>
            </w:r>
          </w:p>
        </w:tc>
        <w:tc>
          <w:tcPr>
            <w:tcW w:w="5361" w:type="dxa"/>
            <w:vAlign w:val="center"/>
          </w:tcPr>
          <w:p w14:paraId="1F7E93EC">
            <w:pPr>
              <w:tabs>
                <w:tab w:val="left" w:pos="360"/>
                <w:tab w:val="left" w:pos="900"/>
                <w:tab w:val="left" w:pos="1080"/>
                <w:tab w:val="left" w:pos="2014"/>
              </w:tabs>
              <w:wordWrap w:val="0"/>
              <w:snapToGrid w:val="0"/>
              <w:spacing w:line="360" w:lineRule="exact"/>
              <w:rPr>
                <w:rFonts w:hint="eastAsia" w:ascii="宋体" w:hAnsi="宋体" w:cs="宋体"/>
                <w:bCs/>
                <w:sz w:val="24"/>
              </w:rPr>
            </w:pPr>
            <w:r>
              <w:rPr>
                <w:rFonts w:hint="eastAsia" w:ascii="宋体" w:hAnsi="宋体" w:cs="宋体"/>
                <w:bCs/>
                <w:sz w:val="24"/>
              </w:rPr>
              <w:t>施工技术方案与技术措施较全面、专业技术人员配备较合理、资源配备计划内容较全面、方案针对性较强</w:t>
            </w:r>
          </w:p>
        </w:tc>
      </w:tr>
      <w:tr w14:paraId="7B397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20" w:type="dxa"/>
            <w:vMerge w:val="continue"/>
            <w:vAlign w:val="center"/>
          </w:tcPr>
          <w:p w14:paraId="4D19BA98">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1225" w:type="dxa"/>
            <w:vMerge w:val="continue"/>
            <w:vAlign w:val="center"/>
          </w:tcPr>
          <w:p w14:paraId="1A8D84AC">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900" w:type="dxa"/>
            <w:vMerge w:val="continue"/>
            <w:vAlign w:val="center"/>
          </w:tcPr>
          <w:p w14:paraId="3D1FE795">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765" w:type="dxa"/>
            <w:vAlign w:val="center"/>
          </w:tcPr>
          <w:p w14:paraId="66DF3DB8">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4分</w:t>
            </w:r>
          </w:p>
        </w:tc>
        <w:tc>
          <w:tcPr>
            <w:tcW w:w="5361" w:type="dxa"/>
            <w:vAlign w:val="center"/>
          </w:tcPr>
          <w:p w14:paraId="75AEDD41">
            <w:pPr>
              <w:tabs>
                <w:tab w:val="left" w:pos="360"/>
                <w:tab w:val="left" w:pos="900"/>
                <w:tab w:val="left" w:pos="1080"/>
                <w:tab w:val="left" w:pos="2014"/>
              </w:tabs>
              <w:wordWrap w:val="0"/>
              <w:snapToGrid w:val="0"/>
              <w:spacing w:line="360" w:lineRule="exact"/>
              <w:rPr>
                <w:rFonts w:hint="eastAsia" w:ascii="宋体" w:hAnsi="宋体" w:cs="宋体"/>
                <w:bCs/>
                <w:sz w:val="24"/>
              </w:rPr>
            </w:pPr>
            <w:r>
              <w:rPr>
                <w:rFonts w:hint="eastAsia" w:ascii="宋体" w:hAnsi="宋体" w:cs="宋体"/>
                <w:bCs/>
                <w:sz w:val="24"/>
              </w:rPr>
              <w:t>施工技术方案与技术措施等内容基本完善，基本满足项目要求</w:t>
            </w:r>
          </w:p>
        </w:tc>
      </w:tr>
      <w:tr w14:paraId="6521A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20" w:type="dxa"/>
            <w:vMerge w:val="continue"/>
            <w:vAlign w:val="center"/>
          </w:tcPr>
          <w:p w14:paraId="6CC01342">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1225" w:type="dxa"/>
            <w:vMerge w:val="continue"/>
            <w:vAlign w:val="center"/>
          </w:tcPr>
          <w:p w14:paraId="04D43ECA">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900" w:type="dxa"/>
            <w:vMerge w:val="continue"/>
            <w:vAlign w:val="center"/>
          </w:tcPr>
          <w:p w14:paraId="474B6069">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765" w:type="dxa"/>
            <w:vAlign w:val="center"/>
          </w:tcPr>
          <w:p w14:paraId="23344E8A">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2分</w:t>
            </w:r>
          </w:p>
        </w:tc>
        <w:tc>
          <w:tcPr>
            <w:tcW w:w="5361" w:type="dxa"/>
            <w:vAlign w:val="center"/>
          </w:tcPr>
          <w:p w14:paraId="6FE72B54">
            <w:pPr>
              <w:tabs>
                <w:tab w:val="left" w:pos="360"/>
                <w:tab w:val="left" w:pos="900"/>
                <w:tab w:val="left" w:pos="1080"/>
                <w:tab w:val="left" w:pos="2014"/>
              </w:tabs>
              <w:wordWrap w:val="0"/>
              <w:snapToGrid w:val="0"/>
              <w:spacing w:line="360" w:lineRule="exact"/>
              <w:rPr>
                <w:rFonts w:hint="eastAsia" w:ascii="宋体" w:hAnsi="宋体" w:cs="宋体"/>
                <w:bCs/>
                <w:sz w:val="24"/>
              </w:rPr>
            </w:pPr>
            <w:r>
              <w:rPr>
                <w:rFonts w:hint="eastAsia" w:ascii="宋体" w:hAnsi="宋体" w:cs="宋体"/>
                <w:bCs/>
                <w:sz w:val="24"/>
              </w:rPr>
              <w:t>施工技术方案与技术措施内容不全、方案针对性较差，欠合理</w:t>
            </w:r>
          </w:p>
        </w:tc>
      </w:tr>
      <w:tr w14:paraId="27CEE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20" w:type="dxa"/>
            <w:vMerge w:val="continue"/>
            <w:vAlign w:val="center"/>
          </w:tcPr>
          <w:p w14:paraId="51257C8B">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1225" w:type="dxa"/>
            <w:vMerge w:val="continue"/>
            <w:vAlign w:val="center"/>
          </w:tcPr>
          <w:p w14:paraId="588AB4E3">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900" w:type="dxa"/>
            <w:vMerge w:val="continue"/>
            <w:vAlign w:val="center"/>
          </w:tcPr>
          <w:p w14:paraId="48535479">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765" w:type="dxa"/>
            <w:vAlign w:val="center"/>
          </w:tcPr>
          <w:p w14:paraId="513EA840">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0分</w:t>
            </w:r>
          </w:p>
        </w:tc>
        <w:tc>
          <w:tcPr>
            <w:tcW w:w="5361" w:type="dxa"/>
            <w:vAlign w:val="center"/>
          </w:tcPr>
          <w:p w14:paraId="2D26E9EF">
            <w:pPr>
              <w:tabs>
                <w:tab w:val="left" w:pos="360"/>
                <w:tab w:val="left" w:pos="900"/>
                <w:tab w:val="left" w:pos="1080"/>
                <w:tab w:val="left" w:pos="2014"/>
              </w:tabs>
              <w:wordWrap w:val="0"/>
              <w:snapToGrid w:val="0"/>
              <w:spacing w:line="360" w:lineRule="exact"/>
              <w:rPr>
                <w:rFonts w:hint="eastAsia" w:ascii="宋体" w:hAnsi="宋体" w:cs="宋体"/>
                <w:bCs/>
                <w:sz w:val="24"/>
              </w:rPr>
            </w:pPr>
            <w:r>
              <w:rPr>
                <w:rFonts w:hint="eastAsia" w:ascii="宋体" w:hAnsi="宋体" w:cs="宋体"/>
                <w:bCs/>
                <w:sz w:val="24"/>
              </w:rPr>
              <w:t>未提供或不满足工程需要</w:t>
            </w:r>
          </w:p>
        </w:tc>
      </w:tr>
      <w:tr w14:paraId="3C89D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0" w:hRule="atLeast"/>
          <w:jc w:val="center"/>
        </w:trPr>
        <w:tc>
          <w:tcPr>
            <w:tcW w:w="720" w:type="dxa"/>
            <w:vMerge w:val="restart"/>
            <w:vAlign w:val="center"/>
          </w:tcPr>
          <w:p w14:paraId="3B9280F7">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2</w:t>
            </w:r>
          </w:p>
        </w:tc>
        <w:tc>
          <w:tcPr>
            <w:tcW w:w="1225" w:type="dxa"/>
            <w:vMerge w:val="restart"/>
            <w:vAlign w:val="center"/>
          </w:tcPr>
          <w:p w14:paraId="3E8B45AC">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质量管理体系与保证措施</w:t>
            </w:r>
          </w:p>
        </w:tc>
        <w:tc>
          <w:tcPr>
            <w:tcW w:w="900" w:type="dxa"/>
            <w:vMerge w:val="restart"/>
            <w:vAlign w:val="center"/>
          </w:tcPr>
          <w:p w14:paraId="4B225F34">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0-8分</w:t>
            </w:r>
          </w:p>
        </w:tc>
        <w:tc>
          <w:tcPr>
            <w:tcW w:w="765" w:type="dxa"/>
            <w:vAlign w:val="center"/>
          </w:tcPr>
          <w:p w14:paraId="141B05FB">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8分</w:t>
            </w:r>
          </w:p>
        </w:tc>
        <w:tc>
          <w:tcPr>
            <w:tcW w:w="5361" w:type="dxa"/>
            <w:vAlign w:val="center"/>
          </w:tcPr>
          <w:p w14:paraId="3B59A1A1">
            <w:pPr>
              <w:tabs>
                <w:tab w:val="left" w:pos="360"/>
                <w:tab w:val="left" w:pos="900"/>
                <w:tab w:val="left" w:pos="1080"/>
                <w:tab w:val="left" w:pos="2014"/>
              </w:tabs>
              <w:wordWrap w:val="0"/>
              <w:snapToGrid w:val="0"/>
              <w:spacing w:line="360" w:lineRule="exact"/>
              <w:rPr>
                <w:rFonts w:hint="eastAsia" w:ascii="宋体" w:hAnsi="宋体" w:cs="宋体"/>
                <w:bCs/>
                <w:sz w:val="24"/>
              </w:rPr>
            </w:pPr>
            <w:r>
              <w:rPr>
                <w:rFonts w:hint="eastAsia" w:ascii="宋体" w:hAnsi="宋体" w:cs="宋体"/>
                <w:bCs/>
                <w:sz w:val="24"/>
              </w:rPr>
              <w:t>供应商应结合本项目特点，提供质量管理体系与保证措施，包括但不限于施工质量管理方法和保证措施，对关键部位、关键工序环节把控方案等内容，符合项目实际需求，细节考虑完善且切实可行</w:t>
            </w:r>
          </w:p>
        </w:tc>
      </w:tr>
      <w:tr w14:paraId="0D518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20" w:type="dxa"/>
            <w:vMerge w:val="continue"/>
            <w:vAlign w:val="center"/>
          </w:tcPr>
          <w:p w14:paraId="42CF42A8">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1225" w:type="dxa"/>
            <w:vMerge w:val="continue"/>
            <w:vAlign w:val="center"/>
          </w:tcPr>
          <w:p w14:paraId="6B130D75">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900" w:type="dxa"/>
            <w:vMerge w:val="continue"/>
            <w:vAlign w:val="center"/>
          </w:tcPr>
          <w:p w14:paraId="4FB3DF45">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765" w:type="dxa"/>
            <w:vAlign w:val="center"/>
          </w:tcPr>
          <w:p w14:paraId="12EC8810">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6分</w:t>
            </w:r>
          </w:p>
        </w:tc>
        <w:tc>
          <w:tcPr>
            <w:tcW w:w="5361" w:type="dxa"/>
            <w:vAlign w:val="center"/>
          </w:tcPr>
          <w:p w14:paraId="18DEEE34">
            <w:pPr>
              <w:tabs>
                <w:tab w:val="left" w:pos="360"/>
                <w:tab w:val="left" w:pos="900"/>
                <w:tab w:val="left" w:pos="1080"/>
                <w:tab w:val="left" w:pos="2014"/>
              </w:tabs>
              <w:wordWrap w:val="0"/>
              <w:snapToGrid w:val="0"/>
              <w:spacing w:line="360" w:lineRule="exact"/>
              <w:rPr>
                <w:rFonts w:hint="eastAsia" w:ascii="宋体" w:hAnsi="宋体" w:cs="宋体"/>
                <w:bCs/>
                <w:sz w:val="24"/>
              </w:rPr>
            </w:pPr>
            <w:r>
              <w:rPr>
                <w:rFonts w:hint="eastAsia" w:ascii="宋体" w:hAnsi="宋体" w:cs="宋体"/>
                <w:bCs/>
                <w:sz w:val="24"/>
              </w:rPr>
              <w:t>施工质量管理体系与保证措施内容较全面、方案针对性较强，细节待完善</w:t>
            </w:r>
          </w:p>
        </w:tc>
      </w:tr>
      <w:tr w14:paraId="6CF76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20" w:type="dxa"/>
            <w:vMerge w:val="continue"/>
            <w:vAlign w:val="center"/>
          </w:tcPr>
          <w:p w14:paraId="4F2FA029">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1225" w:type="dxa"/>
            <w:vMerge w:val="continue"/>
            <w:vAlign w:val="center"/>
          </w:tcPr>
          <w:p w14:paraId="49677CA8">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900" w:type="dxa"/>
            <w:vMerge w:val="continue"/>
            <w:vAlign w:val="center"/>
          </w:tcPr>
          <w:p w14:paraId="4C75DB9E">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765" w:type="dxa"/>
            <w:vAlign w:val="center"/>
          </w:tcPr>
          <w:p w14:paraId="33C741CB">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4分</w:t>
            </w:r>
          </w:p>
        </w:tc>
        <w:tc>
          <w:tcPr>
            <w:tcW w:w="5361" w:type="dxa"/>
            <w:vAlign w:val="center"/>
          </w:tcPr>
          <w:p w14:paraId="79B0248E">
            <w:pPr>
              <w:tabs>
                <w:tab w:val="left" w:pos="360"/>
                <w:tab w:val="left" w:pos="900"/>
                <w:tab w:val="left" w:pos="1080"/>
                <w:tab w:val="left" w:pos="2014"/>
              </w:tabs>
              <w:wordWrap w:val="0"/>
              <w:snapToGrid w:val="0"/>
              <w:spacing w:line="360" w:lineRule="exact"/>
              <w:rPr>
                <w:rFonts w:hint="eastAsia" w:ascii="宋体" w:hAnsi="宋体" w:cs="宋体"/>
                <w:bCs/>
                <w:sz w:val="24"/>
              </w:rPr>
            </w:pPr>
            <w:r>
              <w:rPr>
                <w:rFonts w:hint="eastAsia" w:ascii="宋体" w:hAnsi="宋体" w:cs="宋体"/>
                <w:bCs/>
                <w:sz w:val="24"/>
              </w:rPr>
              <w:t>施工质量管理体系与保证措施基本满足要求</w:t>
            </w:r>
          </w:p>
        </w:tc>
      </w:tr>
      <w:tr w14:paraId="75C43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20" w:type="dxa"/>
            <w:vMerge w:val="continue"/>
            <w:vAlign w:val="center"/>
          </w:tcPr>
          <w:p w14:paraId="54E2A7EF">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1225" w:type="dxa"/>
            <w:vMerge w:val="continue"/>
            <w:vAlign w:val="center"/>
          </w:tcPr>
          <w:p w14:paraId="628F9843">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900" w:type="dxa"/>
            <w:vMerge w:val="continue"/>
            <w:vAlign w:val="center"/>
          </w:tcPr>
          <w:p w14:paraId="5D7F2A07">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765" w:type="dxa"/>
            <w:vAlign w:val="center"/>
          </w:tcPr>
          <w:p w14:paraId="3C9B66E1">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2分</w:t>
            </w:r>
          </w:p>
        </w:tc>
        <w:tc>
          <w:tcPr>
            <w:tcW w:w="5361" w:type="dxa"/>
            <w:vAlign w:val="center"/>
          </w:tcPr>
          <w:p w14:paraId="63541C63">
            <w:pPr>
              <w:tabs>
                <w:tab w:val="left" w:pos="360"/>
                <w:tab w:val="left" w:pos="900"/>
                <w:tab w:val="left" w:pos="1080"/>
                <w:tab w:val="left" w:pos="2014"/>
              </w:tabs>
              <w:wordWrap w:val="0"/>
              <w:snapToGrid w:val="0"/>
              <w:spacing w:line="360" w:lineRule="exact"/>
              <w:rPr>
                <w:rFonts w:hint="eastAsia" w:ascii="宋体" w:hAnsi="宋体" w:cs="宋体"/>
                <w:bCs/>
                <w:sz w:val="24"/>
              </w:rPr>
            </w:pPr>
            <w:r>
              <w:rPr>
                <w:rFonts w:hint="eastAsia" w:ascii="宋体" w:hAnsi="宋体" w:cs="宋体"/>
                <w:bCs/>
                <w:sz w:val="24"/>
              </w:rPr>
              <w:t>施工质量管理体系与保证措施内容不全、方案针对性不强，欠合理</w:t>
            </w:r>
          </w:p>
        </w:tc>
      </w:tr>
      <w:tr w14:paraId="2144D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20" w:type="dxa"/>
            <w:vMerge w:val="continue"/>
            <w:vAlign w:val="center"/>
          </w:tcPr>
          <w:p w14:paraId="19A0F370">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1225" w:type="dxa"/>
            <w:vMerge w:val="continue"/>
            <w:vAlign w:val="center"/>
          </w:tcPr>
          <w:p w14:paraId="30DF01D9">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900" w:type="dxa"/>
            <w:vMerge w:val="continue"/>
            <w:vAlign w:val="center"/>
          </w:tcPr>
          <w:p w14:paraId="69401623">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765" w:type="dxa"/>
            <w:vAlign w:val="center"/>
          </w:tcPr>
          <w:p w14:paraId="7103711A">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0分</w:t>
            </w:r>
          </w:p>
        </w:tc>
        <w:tc>
          <w:tcPr>
            <w:tcW w:w="5361" w:type="dxa"/>
            <w:vAlign w:val="center"/>
          </w:tcPr>
          <w:p w14:paraId="71DD838F">
            <w:pPr>
              <w:tabs>
                <w:tab w:val="left" w:pos="360"/>
                <w:tab w:val="left" w:pos="900"/>
                <w:tab w:val="left" w:pos="1080"/>
                <w:tab w:val="left" w:pos="2014"/>
              </w:tabs>
              <w:wordWrap w:val="0"/>
              <w:snapToGrid w:val="0"/>
              <w:spacing w:line="360" w:lineRule="exact"/>
              <w:rPr>
                <w:rFonts w:hint="eastAsia" w:ascii="宋体" w:hAnsi="宋体" w:cs="宋体"/>
                <w:bCs/>
                <w:sz w:val="24"/>
              </w:rPr>
            </w:pPr>
            <w:r>
              <w:rPr>
                <w:rFonts w:hint="eastAsia" w:ascii="宋体" w:hAnsi="宋体" w:cs="宋体"/>
                <w:bCs/>
                <w:sz w:val="24"/>
              </w:rPr>
              <w:t>未提供或不满足工程需要</w:t>
            </w:r>
          </w:p>
        </w:tc>
      </w:tr>
      <w:tr w14:paraId="251DE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restart"/>
            <w:vAlign w:val="center"/>
          </w:tcPr>
          <w:p w14:paraId="33C5D1FA">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3</w:t>
            </w:r>
          </w:p>
        </w:tc>
        <w:tc>
          <w:tcPr>
            <w:tcW w:w="1225" w:type="dxa"/>
            <w:vMerge w:val="restart"/>
            <w:vAlign w:val="center"/>
          </w:tcPr>
          <w:p w14:paraId="2070E27F">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安全和文明施工保障措施</w:t>
            </w:r>
          </w:p>
        </w:tc>
        <w:tc>
          <w:tcPr>
            <w:tcW w:w="900" w:type="dxa"/>
            <w:vMerge w:val="restart"/>
            <w:vAlign w:val="center"/>
          </w:tcPr>
          <w:p w14:paraId="65B20443">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0-6分</w:t>
            </w:r>
          </w:p>
        </w:tc>
        <w:tc>
          <w:tcPr>
            <w:tcW w:w="765" w:type="dxa"/>
            <w:vAlign w:val="center"/>
          </w:tcPr>
          <w:p w14:paraId="3A305911">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6分</w:t>
            </w:r>
          </w:p>
        </w:tc>
        <w:tc>
          <w:tcPr>
            <w:tcW w:w="5361" w:type="dxa"/>
            <w:vAlign w:val="center"/>
          </w:tcPr>
          <w:p w14:paraId="1DCB9EC2">
            <w:pPr>
              <w:tabs>
                <w:tab w:val="left" w:pos="360"/>
                <w:tab w:val="left" w:pos="900"/>
                <w:tab w:val="left" w:pos="1080"/>
                <w:tab w:val="left" w:pos="2014"/>
              </w:tabs>
              <w:wordWrap w:val="0"/>
              <w:snapToGrid w:val="0"/>
              <w:spacing w:line="360" w:lineRule="exact"/>
              <w:rPr>
                <w:rFonts w:hint="eastAsia" w:ascii="宋体" w:hAnsi="宋体" w:cs="宋体"/>
                <w:bCs/>
                <w:sz w:val="24"/>
              </w:rPr>
            </w:pPr>
            <w:r>
              <w:rPr>
                <w:rFonts w:hint="eastAsia" w:ascii="宋体" w:hAnsi="宋体" w:cs="宋体"/>
                <w:bCs/>
                <w:sz w:val="24"/>
              </w:rPr>
              <w:t>供应商结合本项目特点，提供完整的安全和文明施工保障措施。包括但不限于各施工环节安全和文明施工保障措施、预防措施、安全技术交底、文明施工管理制度及责任制度、现场环境维护等内容，符合项目实际需求，细节考虑完善且切实可行</w:t>
            </w:r>
          </w:p>
        </w:tc>
      </w:tr>
      <w:tr w14:paraId="6056F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20" w:type="dxa"/>
            <w:vMerge w:val="continue"/>
            <w:vAlign w:val="center"/>
          </w:tcPr>
          <w:p w14:paraId="2F629A6A">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1225" w:type="dxa"/>
            <w:vMerge w:val="continue"/>
            <w:vAlign w:val="center"/>
          </w:tcPr>
          <w:p w14:paraId="6995FBD5">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900" w:type="dxa"/>
            <w:vMerge w:val="continue"/>
            <w:vAlign w:val="center"/>
          </w:tcPr>
          <w:p w14:paraId="72608C90">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765" w:type="dxa"/>
            <w:vAlign w:val="center"/>
          </w:tcPr>
          <w:p w14:paraId="5A625E79">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4分</w:t>
            </w:r>
          </w:p>
        </w:tc>
        <w:tc>
          <w:tcPr>
            <w:tcW w:w="5361" w:type="dxa"/>
            <w:vAlign w:val="center"/>
          </w:tcPr>
          <w:p w14:paraId="64355068">
            <w:pPr>
              <w:tabs>
                <w:tab w:val="left" w:pos="360"/>
                <w:tab w:val="left" w:pos="900"/>
                <w:tab w:val="left" w:pos="1080"/>
                <w:tab w:val="left" w:pos="2014"/>
              </w:tabs>
              <w:wordWrap w:val="0"/>
              <w:snapToGrid w:val="0"/>
              <w:spacing w:line="360" w:lineRule="exact"/>
              <w:rPr>
                <w:rFonts w:hint="eastAsia" w:ascii="宋体" w:hAnsi="宋体" w:cs="宋体"/>
                <w:bCs/>
                <w:sz w:val="24"/>
              </w:rPr>
            </w:pPr>
            <w:r>
              <w:rPr>
                <w:rFonts w:hint="eastAsia" w:ascii="宋体" w:hAnsi="宋体" w:cs="宋体"/>
                <w:bCs/>
                <w:sz w:val="24"/>
              </w:rPr>
              <w:t>安全和文明施工保障措施内容较全面、方案针对性较强，细节待完善</w:t>
            </w:r>
          </w:p>
        </w:tc>
      </w:tr>
      <w:tr w14:paraId="26514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20" w:type="dxa"/>
            <w:vMerge w:val="continue"/>
            <w:vAlign w:val="center"/>
          </w:tcPr>
          <w:p w14:paraId="143E5CF4">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1225" w:type="dxa"/>
            <w:vMerge w:val="continue"/>
            <w:vAlign w:val="center"/>
          </w:tcPr>
          <w:p w14:paraId="3295B091">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900" w:type="dxa"/>
            <w:vMerge w:val="continue"/>
            <w:vAlign w:val="center"/>
          </w:tcPr>
          <w:p w14:paraId="0A356835">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765" w:type="dxa"/>
            <w:vAlign w:val="center"/>
          </w:tcPr>
          <w:p w14:paraId="559F227E">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2分</w:t>
            </w:r>
          </w:p>
        </w:tc>
        <w:tc>
          <w:tcPr>
            <w:tcW w:w="5361" w:type="dxa"/>
            <w:vAlign w:val="center"/>
          </w:tcPr>
          <w:p w14:paraId="1EF03527">
            <w:pPr>
              <w:tabs>
                <w:tab w:val="left" w:pos="360"/>
                <w:tab w:val="left" w:pos="900"/>
                <w:tab w:val="left" w:pos="1080"/>
                <w:tab w:val="left" w:pos="2014"/>
              </w:tabs>
              <w:wordWrap w:val="0"/>
              <w:snapToGrid w:val="0"/>
              <w:spacing w:line="360" w:lineRule="exact"/>
              <w:rPr>
                <w:rFonts w:hint="eastAsia" w:ascii="宋体" w:hAnsi="宋体" w:cs="宋体"/>
                <w:bCs/>
                <w:sz w:val="24"/>
              </w:rPr>
            </w:pPr>
            <w:r>
              <w:rPr>
                <w:rFonts w:hint="eastAsia" w:ascii="宋体" w:hAnsi="宋体" w:cs="宋体"/>
                <w:bCs/>
                <w:sz w:val="24"/>
              </w:rPr>
              <w:t>安全和文明施工保障措施内容不全、方案针对性不强，欠合理</w:t>
            </w:r>
          </w:p>
        </w:tc>
      </w:tr>
      <w:tr w14:paraId="7D262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0" w:type="dxa"/>
            <w:vMerge w:val="continue"/>
            <w:vAlign w:val="center"/>
          </w:tcPr>
          <w:p w14:paraId="405457D8">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1225" w:type="dxa"/>
            <w:vMerge w:val="continue"/>
            <w:vAlign w:val="center"/>
          </w:tcPr>
          <w:p w14:paraId="461E2AA0">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900" w:type="dxa"/>
            <w:vMerge w:val="continue"/>
            <w:vAlign w:val="center"/>
          </w:tcPr>
          <w:p w14:paraId="71FF8C01">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765" w:type="dxa"/>
            <w:vAlign w:val="center"/>
          </w:tcPr>
          <w:p w14:paraId="497E29E9">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0分</w:t>
            </w:r>
          </w:p>
        </w:tc>
        <w:tc>
          <w:tcPr>
            <w:tcW w:w="5361" w:type="dxa"/>
            <w:vAlign w:val="center"/>
          </w:tcPr>
          <w:p w14:paraId="68031367">
            <w:pPr>
              <w:tabs>
                <w:tab w:val="left" w:pos="360"/>
                <w:tab w:val="left" w:pos="900"/>
                <w:tab w:val="left" w:pos="1080"/>
                <w:tab w:val="left" w:pos="2014"/>
              </w:tabs>
              <w:wordWrap w:val="0"/>
              <w:snapToGrid w:val="0"/>
              <w:spacing w:line="360" w:lineRule="exact"/>
              <w:rPr>
                <w:rFonts w:hint="eastAsia" w:ascii="宋体" w:hAnsi="宋体" w:cs="宋体"/>
                <w:bCs/>
                <w:sz w:val="24"/>
              </w:rPr>
            </w:pPr>
            <w:r>
              <w:rPr>
                <w:rFonts w:hint="eastAsia" w:ascii="宋体" w:hAnsi="宋体" w:cs="宋体"/>
                <w:bCs/>
                <w:sz w:val="24"/>
              </w:rPr>
              <w:t>未提供或不满足工程需要</w:t>
            </w:r>
          </w:p>
        </w:tc>
      </w:tr>
      <w:tr w14:paraId="609C8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restart"/>
            <w:vAlign w:val="center"/>
          </w:tcPr>
          <w:p w14:paraId="436C12A9">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4</w:t>
            </w:r>
          </w:p>
        </w:tc>
        <w:tc>
          <w:tcPr>
            <w:tcW w:w="1225" w:type="dxa"/>
            <w:vMerge w:val="restart"/>
            <w:vAlign w:val="center"/>
          </w:tcPr>
          <w:p w14:paraId="68728995">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工程进度计划与保证措施</w:t>
            </w:r>
          </w:p>
        </w:tc>
        <w:tc>
          <w:tcPr>
            <w:tcW w:w="900" w:type="dxa"/>
            <w:vMerge w:val="restart"/>
            <w:vAlign w:val="center"/>
          </w:tcPr>
          <w:p w14:paraId="49614ABC">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0-5分</w:t>
            </w:r>
          </w:p>
        </w:tc>
        <w:tc>
          <w:tcPr>
            <w:tcW w:w="765" w:type="dxa"/>
            <w:vAlign w:val="center"/>
          </w:tcPr>
          <w:p w14:paraId="02E3AD2A">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5分</w:t>
            </w:r>
          </w:p>
        </w:tc>
        <w:tc>
          <w:tcPr>
            <w:tcW w:w="5361" w:type="dxa"/>
            <w:vAlign w:val="center"/>
          </w:tcPr>
          <w:p w14:paraId="3642A9A0">
            <w:pPr>
              <w:tabs>
                <w:tab w:val="left" w:pos="360"/>
                <w:tab w:val="left" w:pos="900"/>
                <w:tab w:val="left" w:pos="1080"/>
                <w:tab w:val="left" w:pos="2014"/>
              </w:tabs>
              <w:wordWrap w:val="0"/>
              <w:snapToGrid w:val="0"/>
              <w:spacing w:line="360" w:lineRule="exact"/>
              <w:rPr>
                <w:rFonts w:hint="eastAsia" w:ascii="宋体" w:hAnsi="宋体" w:cs="宋体"/>
                <w:bCs/>
                <w:sz w:val="24"/>
              </w:rPr>
            </w:pPr>
            <w:r>
              <w:rPr>
                <w:rFonts w:hint="eastAsia" w:ascii="宋体" w:hAnsi="宋体" w:cs="宋体"/>
                <w:bCs/>
                <w:sz w:val="24"/>
              </w:rPr>
              <w:t>供应商应结合本项目特点提供进度计划与保证措施，包含但不限于过程划分、材料机械准备、进度计划等，符合项目实际需求，细节考虑完善且切实可行</w:t>
            </w:r>
          </w:p>
        </w:tc>
      </w:tr>
      <w:tr w14:paraId="02DA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20" w:type="dxa"/>
            <w:vMerge w:val="continue"/>
            <w:vAlign w:val="center"/>
          </w:tcPr>
          <w:p w14:paraId="42F0C0EC">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1225" w:type="dxa"/>
            <w:vMerge w:val="continue"/>
            <w:vAlign w:val="center"/>
          </w:tcPr>
          <w:p w14:paraId="43C8774E">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900" w:type="dxa"/>
            <w:vMerge w:val="continue"/>
            <w:vAlign w:val="center"/>
          </w:tcPr>
          <w:p w14:paraId="5D1F31DE">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765" w:type="dxa"/>
            <w:vAlign w:val="center"/>
          </w:tcPr>
          <w:p w14:paraId="211A97AB">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3分</w:t>
            </w:r>
          </w:p>
        </w:tc>
        <w:tc>
          <w:tcPr>
            <w:tcW w:w="5361" w:type="dxa"/>
            <w:vAlign w:val="center"/>
          </w:tcPr>
          <w:p w14:paraId="1BA39C48">
            <w:pPr>
              <w:tabs>
                <w:tab w:val="left" w:pos="360"/>
                <w:tab w:val="left" w:pos="900"/>
                <w:tab w:val="left" w:pos="1080"/>
                <w:tab w:val="left" w:pos="2014"/>
              </w:tabs>
              <w:wordWrap w:val="0"/>
              <w:snapToGrid w:val="0"/>
              <w:spacing w:line="360" w:lineRule="exact"/>
              <w:rPr>
                <w:rFonts w:hint="eastAsia" w:ascii="宋体" w:hAnsi="宋体" w:cs="宋体"/>
                <w:bCs/>
                <w:sz w:val="24"/>
              </w:rPr>
            </w:pPr>
            <w:r>
              <w:rPr>
                <w:rFonts w:hint="eastAsia" w:ascii="宋体" w:hAnsi="宋体" w:cs="宋体"/>
                <w:bCs/>
                <w:sz w:val="24"/>
              </w:rPr>
              <w:t>工程进度计划与保证措施内容不全、方案针对性不强，欠合理</w:t>
            </w:r>
          </w:p>
        </w:tc>
      </w:tr>
      <w:tr w14:paraId="2D983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20" w:type="dxa"/>
            <w:vMerge w:val="continue"/>
            <w:vAlign w:val="center"/>
          </w:tcPr>
          <w:p w14:paraId="44A92A21">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1225" w:type="dxa"/>
            <w:vMerge w:val="continue"/>
            <w:vAlign w:val="center"/>
          </w:tcPr>
          <w:p w14:paraId="604888D6">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900" w:type="dxa"/>
            <w:vMerge w:val="continue"/>
            <w:vAlign w:val="center"/>
          </w:tcPr>
          <w:p w14:paraId="6C82F710">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765" w:type="dxa"/>
            <w:vAlign w:val="center"/>
          </w:tcPr>
          <w:p w14:paraId="00E212D7">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0分</w:t>
            </w:r>
          </w:p>
        </w:tc>
        <w:tc>
          <w:tcPr>
            <w:tcW w:w="5361" w:type="dxa"/>
            <w:vAlign w:val="center"/>
          </w:tcPr>
          <w:p w14:paraId="035BDFBD">
            <w:pPr>
              <w:tabs>
                <w:tab w:val="left" w:pos="360"/>
                <w:tab w:val="left" w:pos="900"/>
                <w:tab w:val="left" w:pos="1080"/>
                <w:tab w:val="left" w:pos="2014"/>
              </w:tabs>
              <w:wordWrap w:val="0"/>
              <w:snapToGrid w:val="0"/>
              <w:spacing w:line="360" w:lineRule="exact"/>
              <w:rPr>
                <w:rFonts w:hint="eastAsia" w:ascii="宋体" w:hAnsi="宋体" w:cs="宋体"/>
                <w:bCs/>
                <w:sz w:val="24"/>
              </w:rPr>
            </w:pPr>
            <w:r>
              <w:rPr>
                <w:rFonts w:hint="eastAsia" w:ascii="宋体" w:hAnsi="宋体" w:cs="宋体"/>
                <w:bCs/>
                <w:sz w:val="24"/>
              </w:rPr>
              <w:t>未提供或不满足工程需要</w:t>
            </w:r>
          </w:p>
        </w:tc>
      </w:tr>
      <w:tr w14:paraId="2BE26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jc w:val="center"/>
        </w:trPr>
        <w:tc>
          <w:tcPr>
            <w:tcW w:w="720" w:type="dxa"/>
            <w:vMerge w:val="restart"/>
            <w:vAlign w:val="center"/>
          </w:tcPr>
          <w:p w14:paraId="549FE6CB">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5</w:t>
            </w:r>
          </w:p>
        </w:tc>
        <w:tc>
          <w:tcPr>
            <w:tcW w:w="1225" w:type="dxa"/>
            <w:vMerge w:val="restart"/>
            <w:vAlign w:val="center"/>
          </w:tcPr>
          <w:p w14:paraId="79EB64C4">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劳动力计划及主要设备材料、构件的用量计划</w:t>
            </w:r>
          </w:p>
        </w:tc>
        <w:tc>
          <w:tcPr>
            <w:tcW w:w="900" w:type="dxa"/>
            <w:vMerge w:val="restart"/>
            <w:vAlign w:val="center"/>
          </w:tcPr>
          <w:p w14:paraId="67376484">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0-5分</w:t>
            </w:r>
          </w:p>
        </w:tc>
        <w:tc>
          <w:tcPr>
            <w:tcW w:w="765" w:type="dxa"/>
            <w:vAlign w:val="center"/>
          </w:tcPr>
          <w:p w14:paraId="6068C128">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5分</w:t>
            </w:r>
          </w:p>
        </w:tc>
        <w:tc>
          <w:tcPr>
            <w:tcW w:w="5361" w:type="dxa"/>
            <w:vAlign w:val="center"/>
          </w:tcPr>
          <w:p w14:paraId="64BCCE6C">
            <w:pPr>
              <w:tabs>
                <w:tab w:val="left" w:pos="360"/>
                <w:tab w:val="left" w:pos="900"/>
                <w:tab w:val="left" w:pos="1080"/>
                <w:tab w:val="left" w:pos="2014"/>
              </w:tabs>
              <w:wordWrap w:val="0"/>
              <w:snapToGrid w:val="0"/>
              <w:spacing w:line="360" w:lineRule="exact"/>
              <w:rPr>
                <w:rFonts w:hint="eastAsia" w:ascii="宋体" w:hAnsi="宋体" w:cs="宋体"/>
                <w:bCs/>
                <w:sz w:val="24"/>
              </w:rPr>
            </w:pPr>
            <w:bookmarkStart w:id="677" w:name="OLE_LINK2"/>
            <w:r>
              <w:rPr>
                <w:rFonts w:hint="eastAsia" w:ascii="宋体" w:hAnsi="宋体" w:cs="宋体"/>
                <w:bCs/>
                <w:sz w:val="24"/>
              </w:rPr>
              <w:t>供应商应结合本项目特点提供劳动力计划及主要设备材料、构件的用量计划与保证措施，包含但不限于劳动力计划及主要设备材料、构件的用量计划表、保证措施等，配置科学合理，符合项目实际需求，细节考虑完善且切实可行</w:t>
            </w:r>
            <w:bookmarkEnd w:id="677"/>
          </w:p>
        </w:tc>
      </w:tr>
      <w:tr w14:paraId="2F044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720" w:type="dxa"/>
            <w:vMerge w:val="continue"/>
            <w:vAlign w:val="center"/>
          </w:tcPr>
          <w:p w14:paraId="79B6D841">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1225" w:type="dxa"/>
            <w:vMerge w:val="continue"/>
            <w:vAlign w:val="center"/>
          </w:tcPr>
          <w:p w14:paraId="6685B15B">
            <w:pPr>
              <w:tabs>
                <w:tab w:val="left" w:pos="360"/>
                <w:tab w:val="left" w:pos="900"/>
                <w:tab w:val="left" w:pos="1080"/>
                <w:tab w:val="left" w:pos="2014"/>
              </w:tabs>
              <w:wordWrap w:val="0"/>
              <w:snapToGrid w:val="0"/>
              <w:spacing w:line="360" w:lineRule="exact"/>
              <w:rPr>
                <w:rFonts w:hint="eastAsia" w:ascii="宋体" w:hAnsi="宋体" w:cs="宋体"/>
                <w:bCs/>
                <w:sz w:val="24"/>
              </w:rPr>
            </w:pPr>
          </w:p>
        </w:tc>
        <w:tc>
          <w:tcPr>
            <w:tcW w:w="900" w:type="dxa"/>
            <w:vMerge w:val="continue"/>
            <w:vAlign w:val="center"/>
          </w:tcPr>
          <w:p w14:paraId="46C001F8">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765" w:type="dxa"/>
            <w:vAlign w:val="center"/>
          </w:tcPr>
          <w:p w14:paraId="3BBE759C">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3分</w:t>
            </w:r>
          </w:p>
        </w:tc>
        <w:tc>
          <w:tcPr>
            <w:tcW w:w="5361" w:type="dxa"/>
            <w:vAlign w:val="center"/>
          </w:tcPr>
          <w:p w14:paraId="4B4DE42D">
            <w:pPr>
              <w:tabs>
                <w:tab w:val="left" w:pos="360"/>
                <w:tab w:val="left" w:pos="900"/>
                <w:tab w:val="left" w:pos="1080"/>
                <w:tab w:val="left" w:pos="2014"/>
              </w:tabs>
              <w:wordWrap w:val="0"/>
              <w:snapToGrid w:val="0"/>
              <w:spacing w:line="360" w:lineRule="exact"/>
              <w:rPr>
                <w:rFonts w:hint="eastAsia" w:ascii="宋体" w:hAnsi="宋体" w:cs="宋体"/>
                <w:bCs/>
                <w:sz w:val="24"/>
              </w:rPr>
            </w:pPr>
            <w:r>
              <w:rPr>
                <w:rFonts w:hint="eastAsia" w:ascii="宋体" w:hAnsi="宋体" w:cs="宋体"/>
                <w:bCs/>
                <w:sz w:val="24"/>
              </w:rPr>
              <w:t>劳动力计划及主要设备材料、构件的用量计划与保证措施内容不全、方案针对性不强，欠合理</w:t>
            </w:r>
          </w:p>
        </w:tc>
      </w:tr>
      <w:tr w14:paraId="79CE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0" w:type="dxa"/>
            <w:vMerge w:val="continue"/>
            <w:vAlign w:val="center"/>
          </w:tcPr>
          <w:p w14:paraId="18D97ADC">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1225" w:type="dxa"/>
            <w:vMerge w:val="continue"/>
            <w:vAlign w:val="center"/>
          </w:tcPr>
          <w:p w14:paraId="1D8779A0">
            <w:pPr>
              <w:tabs>
                <w:tab w:val="left" w:pos="360"/>
                <w:tab w:val="left" w:pos="900"/>
                <w:tab w:val="left" w:pos="1080"/>
                <w:tab w:val="left" w:pos="2014"/>
              </w:tabs>
              <w:wordWrap w:val="0"/>
              <w:snapToGrid w:val="0"/>
              <w:spacing w:line="360" w:lineRule="exact"/>
              <w:rPr>
                <w:rFonts w:hint="eastAsia" w:ascii="宋体" w:hAnsi="宋体" w:cs="宋体"/>
                <w:bCs/>
                <w:sz w:val="24"/>
              </w:rPr>
            </w:pPr>
          </w:p>
        </w:tc>
        <w:tc>
          <w:tcPr>
            <w:tcW w:w="900" w:type="dxa"/>
            <w:vMerge w:val="continue"/>
            <w:vAlign w:val="center"/>
          </w:tcPr>
          <w:p w14:paraId="700962E1">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765" w:type="dxa"/>
            <w:vAlign w:val="center"/>
          </w:tcPr>
          <w:p w14:paraId="73B2A45E">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0分</w:t>
            </w:r>
          </w:p>
        </w:tc>
        <w:tc>
          <w:tcPr>
            <w:tcW w:w="5361" w:type="dxa"/>
            <w:vAlign w:val="center"/>
          </w:tcPr>
          <w:p w14:paraId="56F00FA2">
            <w:pPr>
              <w:tabs>
                <w:tab w:val="left" w:pos="360"/>
                <w:tab w:val="left" w:pos="900"/>
                <w:tab w:val="left" w:pos="1080"/>
                <w:tab w:val="left" w:pos="2014"/>
              </w:tabs>
              <w:wordWrap w:val="0"/>
              <w:snapToGrid w:val="0"/>
              <w:spacing w:line="360" w:lineRule="exact"/>
              <w:rPr>
                <w:rFonts w:hint="eastAsia" w:ascii="宋体" w:hAnsi="宋体" w:cs="宋体"/>
                <w:bCs/>
                <w:sz w:val="24"/>
              </w:rPr>
            </w:pPr>
            <w:r>
              <w:rPr>
                <w:rFonts w:hint="eastAsia" w:ascii="宋体" w:hAnsi="宋体" w:cs="宋体"/>
                <w:bCs/>
                <w:sz w:val="24"/>
              </w:rPr>
              <w:t>未提供或不满足工程需要</w:t>
            </w:r>
          </w:p>
        </w:tc>
      </w:tr>
      <w:tr w14:paraId="045C7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jc w:val="center"/>
        </w:trPr>
        <w:tc>
          <w:tcPr>
            <w:tcW w:w="720" w:type="dxa"/>
            <w:vMerge w:val="restart"/>
            <w:vAlign w:val="center"/>
          </w:tcPr>
          <w:p w14:paraId="1A153800">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6</w:t>
            </w:r>
          </w:p>
        </w:tc>
        <w:tc>
          <w:tcPr>
            <w:tcW w:w="1225" w:type="dxa"/>
            <w:vMerge w:val="restart"/>
            <w:vAlign w:val="center"/>
          </w:tcPr>
          <w:p w14:paraId="4A55D3C9">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紧急情况的处理措施、预案以及抵抗风险的措施</w:t>
            </w:r>
          </w:p>
        </w:tc>
        <w:tc>
          <w:tcPr>
            <w:tcW w:w="900" w:type="dxa"/>
            <w:vMerge w:val="restart"/>
            <w:vAlign w:val="center"/>
          </w:tcPr>
          <w:p w14:paraId="74B9209D">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0-5分</w:t>
            </w:r>
          </w:p>
        </w:tc>
        <w:tc>
          <w:tcPr>
            <w:tcW w:w="765" w:type="dxa"/>
            <w:vAlign w:val="center"/>
          </w:tcPr>
          <w:p w14:paraId="7D95B133">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5分</w:t>
            </w:r>
          </w:p>
        </w:tc>
        <w:tc>
          <w:tcPr>
            <w:tcW w:w="5361" w:type="dxa"/>
            <w:vAlign w:val="center"/>
          </w:tcPr>
          <w:p w14:paraId="4886581B">
            <w:pPr>
              <w:tabs>
                <w:tab w:val="left" w:pos="360"/>
                <w:tab w:val="left" w:pos="900"/>
                <w:tab w:val="left" w:pos="1080"/>
                <w:tab w:val="left" w:pos="2014"/>
              </w:tabs>
              <w:wordWrap w:val="0"/>
              <w:snapToGrid w:val="0"/>
              <w:spacing w:line="360" w:lineRule="exact"/>
              <w:rPr>
                <w:rFonts w:hint="eastAsia" w:ascii="宋体" w:hAnsi="宋体" w:cs="宋体"/>
                <w:bCs/>
                <w:sz w:val="24"/>
              </w:rPr>
            </w:pPr>
            <w:r>
              <w:rPr>
                <w:rFonts w:hint="eastAsia" w:ascii="宋体" w:hAnsi="宋体" w:cs="宋体"/>
                <w:bCs/>
                <w:sz w:val="24"/>
              </w:rPr>
              <w:t>供应商应针对本项目特点制定安全应急预案，包括但不限于火灾应急预案、雨雪等恶劣天气应急预案、应急指挥部人员岗位及职责方案等，方案内容完全满足以上要求并且详细、切实可行</w:t>
            </w:r>
          </w:p>
        </w:tc>
      </w:tr>
      <w:tr w14:paraId="54B34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20" w:type="dxa"/>
            <w:vMerge w:val="continue"/>
            <w:vAlign w:val="center"/>
          </w:tcPr>
          <w:p w14:paraId="20AB6A0F">
            <w:pPr>
              <w:tabs>
                <w:tab w:val="left" w:pos="360"/>
                <w:tab w:val="left" w:pos="900"/>
                <w:tab w:val="left" w:pos="1080"/>
                <w:tab w:val="left" w:pos="2014"/>
              </w:tabs>
              <w:wordWrap w:val="0"/>
              <w:snapToGrid w:val="0"/>
              <w:spacing w:line="360" w:lineRule="exact"/>
              <w:rPr>
                <w:rFonts w:hint="eastAsia" w:ascii="宋体" w:hAnsi="宋体" w:cs="宋体"/>
                <w:bCs/>
                <w:sz w:val="24"/>
              </w:rPr>
            </w:pPr>
          </w:p>
        </w:tc>
        <w:tc>
          <w:tcPr>
            <w:tcW w:w="1225" w:type="dxa"/>
            <w:vMerge w:val="continue"/>
            <w:vAlign w:val="center"/>
          </w:tcPr>
          <w:p w14:paraId="2F33B461">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900" w:type="dxa"/>
            <w:vMerge w:val="continue"/>
            <w:vAlign w:val="center"/>
          </w:tcPr>
          <w:p w14:paraId="5A635D86">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765" w:type="dxa"/>
            <w:vAlign w:val="center"/>
          </w:tcPr>
          <w:p w14:paraId="149E8D57">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3分</w:t>
            </w:r>
          </w:p>
        </w:tc>
        <w:tc>
          <w:tcPr>
            <w:tcW w:w="5361" w:type="dxa"/>
            <w:vAlign w:val="center"/>
          </w:tcPr>
          <w:p w14:paraId="260B5C10">
            <w:pPr>
              <w:tabs>
                <w:tab w:val="left" w:pos="360"/>
                <w:tab w:val="left" w:pos="900"/>
                <w:tab w:val="left" w:pos="1080"/>
                <w:tab w:val="left" w:pos="2014"/>
              </w:tabs>
              <w:wordWrap w:val="0"/>
              <w:snapToGrid w:val="0"/>
              <w:spacing w:line="360" w:lineRule="exact"/>
              <w:rPr>
                <w:rFonts w:hint="eastAsia" w:ascii="宋体" w:hAnsi="宋体" w:cs="宋体"/>
                <w:bCs/>
                <w:sz w:val="24"/>
              </w:rPr>
            </w:pPr>
            <w:r>
              <w:rPr>
                <w:rFonts w:hint="eastAsia" w:ascii="宋体" w:hAnsi="宋体" w:cs="宋体"/>
                <w:bCs/>
                <w:sz w:val="24"/>
              </w:rPr>
              <w:t>紧急情况的处理措施、预案以及抵抗风险的措施内容不全、细节待完善</w:t>
            </w:r>
          </w:p>
        </w:tc>
      </w:tr>
      <w:tr w14:paraId="70824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0" w:type="dxa"/>
            <w:vMerge w:val="continue"/>
            <w:vAlign w:val="center"/>
          </w:tcPr>
          <w:p w14:paraId="3CFFCBF7">
            <w:pPr>
              <w:tabs>
                <w:tab w:val="left" w:pos="360"/>
                <w:tab w:val="left" w:pos="900"/>
                <w:tab w:val="left" w:pos="1080"/>
                <w:tab w:val="left" w:pos="2014"/>
              </w:tabs>
              <w:wordWrap w:val="0"/>
              <w:snapToGrid w:val="0"/>
              <w:spacing w:line="360" w:lineRule="exact"/>
              <w:rPr>
                <w:rFonts w:hint="eastAsia" w:ascii="宋体" w:hAnsi="宋体" w:cs="宋体"/>
                <w:bCs/>
                <w:sz w:val="24"/>
              </w:rPr>
            </w:pPr>
          </w:p>
        </w:tc>
        <w:tc>
          <w:tcPr>
            <w:tcW w:w="1225" w:type="dxa"/>
            <w:vMerge w:val="continue"/>
            <w:vAlign w:val="center"/>
          </w:tcPr>
          <w:p w14:paraId="6B01C05B">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900" w:type="dxa"/>
            <w:vMerge w:val="continue"/>
            <w:vAlign w:val="center"/>
          </w:tcPr>
          <w:p w14:paraId="38519C9F">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765" w:type="dxa"/>
            <w:vAlign w:val="center"/>
          </w:tcPr>
          <w:p w14:paraId="188CDF5D">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0分</w:t>
            </w:r>
          </w:p>
        </w:tc>
        <w:tc>
          <w:tcPr>
            <w:tcW w:w="5361" w:type="dxa"/>
            <w:vAlign w:val="center"/>
          </w:tcPr>
          <w:p w14:paraId="3F1AD3C8">
            <w:pPr>
              <w:tabs>
                <w:tab w:val="left" w:pos="360"/>
                <w:tab w:val="left" w:pos="900"/>
                <w:tab w:val="left" w:pos="1080"/>
                <w:tab w:val="left" w:pos="2014"/>
              </w:tabs>
              <w:wordWrap w:val="0"/>
              <w:snapToGrid w:val="0"/>
              <w:spacing w:line="360" w:lineRule="exact"/>
              <w:rPr>
                <w:rFonts w:hint="eastAsia" w:ascii="宋体" w:hAnsi="宋体" w:cs="宋体"/>
                <w:bCs/>
                <w:sz w:val="24"/>
              </w:rPr>
            </w:pPr>
            <w:r>
              <w:rPr>
                <w:rFonts w:hint="eastAsia" w:ascii="宋体" w:hAnsi="宋体" w:cs="宋体"/>
                <w:bCs/>
                <w:sz w:val="24"/>
              </w:rPr>
              <w:t>未提供或不满足工程需要</w:t>
            </w:r>
          </w:p>
        </w:tc>
      </w:tr>
      <w:tr w14:paraId="6564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0" w:type="dxa"/>
            <w:vMerge w:val="restart"/>
            <w:vAlign w:val="center"/>
          </w:tcPr>
          <w:p w14:paraId="55B6C7E2">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7</w:t>
            </w:r>
          </w:p>
        </w:tc>
        <w:tc>
          <w:tcPr>
            <w:tcW w:w="1225" w:type="dxa"/>
            <w:vMerge w:val="restart"/>
            <w:vAlign w:val="center"/>
          </w:tcPr>
          <w:p w14:paraId="4D63DE37">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完工后的维护和维修等措施及相关承诺</w:t>
            </w:r>
          </w:p>
        </w:tc>
        <w:tc>
          <w:tcPr>
            <w:tcW w:w="900" w:type="dxa"/>
            <w:vMerge w:val="restart"/>
            <w:vAlign w:val="center"/>
          </w:tcPr>
          <w:p w14:paraId="2A0AE1C0">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0-7分</w:t>
            </w:r>
          </w:p>
        </w:tc>
        <w:tc>
          <w:tcPr>
            <w:tcW w:w="765" w:type="dxa"/>
            <w:vAlign w:val="center"/>
          </w:tcPr>
          <w:p w14:paraId="6761D470">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7分</w:t>
            </w:r>
          </w:p>
        </w:tc>
        <w:tc>
          <w:tcPr>
            <w:tcW w:w="5361" w:type="dxa"/>
            <w:vAlign w:val="center"/>
          </w:tcPr>
          <w:p w14:paraId="579856F6">
            <w:pPr>
              <w:tabs>
                <w:tab w:val="left" w:pos="360"/>
                <w:tab w:val="left" w:pos="900"/>
                <w:tab w:val="left" w:pos="1080"/>
                <w:tab w:val="left" w:pos="2014"/>
              </w:tabs>
              <w:wordWrap w:val="0"/>
              <w:snapToGrid w:val="0"/>
              <w:spacing w:line="360" w:lineRule="exact"/>
              <w:rPr>
                <w:rFonts w:hint="eastAsia" w:ascii="宋体" w:hAnsi="宋体" w:cs="宋体"/>
                <w:bCs/>
                <w:sz w:val="24"/>
              </w:rPr>
            </w:pPr>
            <w:r>
              <w:rPr>
                <w:rFonts w:hint="eastAsia" w:ascii="宋体" w:hAnsi="宋体" w:cs="宋体"/>
                <w:bCs/>
                <w:sz w:val="24"/>
              </w:rPr>
              <w:t>科学、合理、针对性强</w:t>
            </w:r>
          </w:p>
        </w:tc>
      </w:tr>
      <w:tr w14:paraId="6A37E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0" w:type="dxa"/>
            <w:vMerge w:val="continue"/>
            <w:vAlign w:val="center"/>
          </w:tcPr>
          <w:p w14:paraId="036718B9">
            <w:pPr>
              <w:tabs>
                <w:tab w:val="left" w:pos="360"/>
                <w:tab w:val="left" w:pos="900"/>
                <w:tab w:val="left" w:pos="1080"/>
                <w:tab w:val="left" w:pos="2014"/>
              </w:tabs>
              <w:wordWrap w:val="0"/>
              <w:snapToGrid w:val="0"/>
              <w:spacing w:line="360" w:lineRule="exact"/>
              <w:jc w:val="center"/>
              <w:rPr>
                <w:rFonts w:hint="eastAsia" w:ascii="宋体" w:hAnsi="宋体" w:cs="宋体"/>
                <w:sz w:val="24"/>
              </w:rPr>
            </w:pPr>
          </w:p>
        </w:tc>
        <w:tc>
          <w:tcPr>
            <w:tcW w:w="1225" w:type="dxa"/>
            <w:vMerge w:val="continue"/>
            <w:vAlign w:val="center"/>
          </w:tcPr>
          <w:p w14:paraId="5BE3B40A">
            <w:pPr>
              <w:tabs>
                <w:tab w:val="left" w:pos="360"/>
                <w:tab w:val="left" w:pos="900"/>
                <w:tab w:val="left" w:pos="1080"/>
                <w:tab w:val="left" w:pos="2014"/>
              </w:tabs>
              <w:wordWrap w:val="0"/>
              <w:snapToGrid w:val="0"/>
              <w:spacing w:line="360" w:lineRule="exact"/>
              <w:jc w:val="center"/>
              <w:rPr>
                <w:rFonts w:hint="eastAsia" w:ascii="宋体" w:hAnsi="宋体" w:cs="宋体"/>
                <w:sz w:val="24"/>
              </w:rPr>
            </w:pPr>
          </w:p>
        </w:tc>
        <w:tc>
          <w:tcPr>
            <w:tcW w:w="900" w:type="dxa"/>
            <w:vMerge w:val="continue"/>
            <w:vAlign w:val="center"/>
          </w:tcPr>
          <w:p w14:paraId="6EEDAA6C">
            <w:pPr>
              <w:tabs>
                <w:tab w:val="left" w:pos="360"/>
                <w:tab w:val="left" w:pos="900"/>
                <w:tab w:val="left" w:pos="1080"/>
                <w:tab w:val="left" w:pos="2014"/>
              </w:tabs>
              <w:wordWrap w:val="0"/>
              <w:snapToGrid w:val="0"/>
              <w:spacing w:line="360" w:lineRule="exact"/>
              <w:jc w:val="center"/>
              <w:rPr>
                <w:rFonts w:hint="eastAsia" w:ascii="宋体" w:hAnsi="宋体" w:cs="宋体"/>
                <w:sz w:val="24"/>
              </w:rPr>
            </w:pPr>
          </w:p>
        </w:tc>
        <w:tc>
          <w:tcPr>
            <w:tcW w:w="765" w:type="dxa"/>
            <w:vAlign w:val="center"/>
          </w:tcPr>
          <w:p w14:paraId="04D4975D">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5分</w:t>
            </w:r>
          </w:p>
        </w:tc>
        <w:tc>
          <w:tcPr>
            <w:tcW w:w="5361" w:type="dxa"/>
            <w:vAlign w:val="center"/>
          </w:tcPr>
          <w:p w14:paraId="1CBC94CB">
            <w:pPr>
              <w:tabs>
                <w:tab w:val="left" w:pos="360"/>
                <w:tab w:val="left" w:pos="900"/>
                <w:tab w:val="left" w:pos="1080"/>
                <w:tab w:val="left" w:pos="2014"/>
              </w:tabs>
              <w:wordWrap w:val="0"/>
              <w:snapToGrid w:val="0"/>
              <w:spacing w:line="360" w:lineRule="exact"/>
              <w:rPr>
                <w:rFonts w:hint="eastAsia" w:ascii="宋体" w:hAnsi="宋体" w:cs="宋体"/>
                <w:bCs/>
                <w:sz w:val="24"/>
              </w:rPr>
            </w:pPr>
            <w:r>
              <w:rPr>
                <w:rFonts w:hint="eastAsia" w:ascii="宋体" w:hAnsi="宋体" w:cs="宋体"/>
                <w:bCs/>
                <w:sz w:val="24"/>
              </w:rPr>
              <w:t>合理、可行、细节待完善</w:t>
            </w:r>
          </w:p>
        </w:tc>
      </w:tr>
      <w:tr w14:paraId="31324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0" w:type="dxa"/>
            <w:vMerge w:val="continue"/>
            <w:vAlign w:val="center"/>
          </w:tcPr>
          <w:p w14:paraId="08D2B1D0">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1225" w:type="dxa"/>
            <w:vMerge w:val="continue"/>
            <w:vAlign w:val="center"/>
          </w:tcPr>
          <w:p w14:paraId="6045CC0A">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900" w:type="dxa"/>
            <w:vMerge w:val="continue"/>
            <w:vAlign w:val="center"/>
          </w:tcPr>
          <w:p w14:paraId="436EFED4">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765" w:type="dxa"/>
            <w:vAlign w:val="center"/>
          </w:tcPr>
          <w:p w14:paraId="555219B6">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3分</w:t>
            </w:r>
          </w:p>
        </w:tc>
        <w:tc>
          <w:tcPr>
            <w:tcW w:w="5361" w:type="dxa"/>
            <w:vAlign w:val="center"/>
          </w:tcPr>
          <w:p w14:paraId="6ACE94BE">
            <w:pPr>
              <w:tabs>
                <w:tab w:val="left" w:pos="360"/>
                <w:tab w:val="left" w:pos="900"/>
                <w:tab w:val="left" w:pos="1080"/>
                <w:tab w:val="left" w:pos="2014"/>
              </w:tabs>
              <w:wordWrap w:val="0"/>
              <w:snapToGrid w:val="0"/>
              <w:spacing w:line="360" w:lineRule="exact"/>
              <w:rPr>
                <w:rFonts w:hint="eastAsia" w:ascii="宋体" w:hAnsi="宋体" w:cs="宋体"/>
                <w:bCs/>
                <w:sz w:val="24"/>
              </w:rPr>
            </w:pPr>
            <w:r>
              <w:rPr>
                <w:rFonts w:hint="eastAsia" w:ascii="宋体" w:hAnsi="宋体" w:cs="宋体"/>
                <w:bCs/>
                <w:sz w:val="24"/>
              </w:rPr>
              <w:t>欠合理，可行性较差，基本满足工程需要</w:t>
            </w:r>
          </w:p>
        </w:tc>
      </w:tr>
      <w:tr w14:paraId="1DB0C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0" w:type="dxa"/>
            <w:vMerge w:val="continue"/>
            <w:vAlign w:val="center"/>
          </w:tcPr>
          <w:p w14:paraId="19E46ED1">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1225" w:type="dxa"/>
            <w:vMerge w:val="continue"/>
            <w:vAlign w:val="center"/>
          </w:tcPr>
          <w:p w14:paraId="132A65B2">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900" w:type="dxa"/>
            <w:vMerge w:val="continue"/>
            <w:vAlign w:val="center"/>
          </w:tcPr>
          <w:p w14:paraId="0EE02E5F">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p>
        </w:tc>
        <w:tc>
          <w:tcPr>
            <w:tcW w:w="765" w:type="dxa"/>
            <w:vAlign w:val="center"/>
          </w:tcPr>
          <w:p w14:paraId="40CB353D">
            <w:pPr>
              <w:tabs>
                <w:tab w:val="left" w:pos="360"/>
                <w:tab w:val="left" w:pos="900"/>
                <w:tab w:val="left" w:pos="1080"/>
                <w:tab w:val="left" w:pos="2014"/>
              </w:tabs>
              <w:wordWrap w:val="0"/>
              <w:snapToGrid w:val="0"/>
              <w:spacing w:line="360" w:lineRule="exact"/>
              <w:jc w:val="center"/>
              <w:rPr>
                <w:rFonts w:hint="eastAsia" w:ascii="宋体" w:hAnsi="宋体" w:cs="宋体"/>
                <w:bCs/>
                <w:sz w:val="24"/>
              </w:rPr>
            </w:pPr>
            <w:r>
              <w:rPr>
                <w:rFonts w:hint="eastAsia" w:ascii="宋体" w:hAnsi="宋体" w:cs="宋体"/>
                <w:bCs/>
                <w:sz w:val="24"/>
              </w:rPr>
              <w:t>0分</w:t>
            </w:r>
          </w:p>
        </w:tc>
        <w:tc>
          <w:tcPr>
            <w:tcW w:w="5361" w:type="dxa"/>
            <w:vAlign w:val="center"/>
          </w:tcPr>
          <w:p w14:paraId="01667A82">
            <w:pPr>
              <w:tabs>
                <w:tab w:val="left" w:pos="360"/>
                <w:tab w:val="left" w:pos="900"/>
                <w:tab w:val="left" w:pos="1080"/>
                <w:tab w:val="left" w:pos="2014"/>
              </w:tabs>
              <w:wordWrap w:val="0"/>
              <w:snapToGrid w:val="0"/>
              <w:spacing w:line="360" w:lineRule="exact"/>
              <w:rPr>
                <w:rFonts w:hint="eastAsia" w:ascii="宋体" w:hAnsi="宋体" w:cs="宋体"/>
                <w:bCs/>
                <w:sz w:val="24"/>
              </w:rPr>
            </w:pPr>
            <w:r>
              <w:rPr>
                <w:rFonts w:hint="eastAsia" w:ascii="宋体" w:hAnsi="宋体" w:cs="宋体"/>
                <w:bCs/>
                <w:sz w:val="24"/>
              </w:rPr>
              <w:t>未提供或不满足工程需要</w:t>
            </w:r>
          </w:p>
        </w:tc>
      </w:tr>
      <w:tr w14:paraId="61217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45" w:type="dxa"/>
            <w:gridSpan w:val="2"/>
            <w:vAlign w:val="center"/>
          </w:tcPr>
          <w:p w14:paraId="7722225F">
            <w:pPr>
              <w:tabs>
                <w:tab w:val="left" w:pos="360"/>
                <w:tab w:val="left" w:pos="900"/>
                <w:tab w:val="left" w:pos="1080"/>
                <w:tab w:val="left" w:pos="2014"/>
              </w:tabs>
              <w:snapToGrid w:val="0"/>
              <w:spacing w:line="360" w:lineRule="exact"/>
              <w:jc w:val="center"/>
              <w:rPr>
                <w:rFonts w:hint="eastAsia" w:ascii="宋体" w:hAnsi="宋体" w:cs="宋体"/>
                <w:b/>
                <w:sz w:val="24"/>
              </w:rPr>
            </w:pPr>
            <w:r>
              <w:rPr>
                <w:rFonts w:hint="eastAsia" w:ascii="宋体" w:hAnsi="宋体" w:cs="宋体"/>
                <w:b/>
                <w:sz w:val="24"/>
              </w:rPr>
              <w:t>合计</w:t>
            </w:r>
          </w:p>
        </w:tc>
        <w:tc>
          <w:tcPr>
            <w:tcW w:w="7026" w:type="dxa"/>
            <w:gridSpan w:val="3"/>
            <w:vAlign w:val="center"/>
          </w:tcPr>
          <w:p w14:paraId="053EF7C1">
            <w:pPr>
              <w:tabs>
                <w:tab w:val="left" w:pos="360"/>
                <w:tab w:val="left" w:pos="900"/>
                <w:tab w:val="left" w:pos="1080"/>
                <w:tab w:val="left" w:pos="2014"/>
              </w:tabs>
              <w:snapToGrid w:val="0"/>
              <w:spacing w:line="360" w:lineRule="exact"/>
              <w:jc w:val="center"/>
              <w:rPr>
                <w:rFonts w:hint="eastAsia" w:ascii="宋体" w:hAnsi="宋体" w:cs="宋体"/>
                <w:b/>
                <w:sz w:val="24"/>
              </w:rPr>
            </w:pPr>
            <w:r>
              <w:rPr>
                <w:rFonts w:hint="eastAsia" w:ascii="宋体" w:hAnsi="宋体" w:cs="宋体"/>
                <w:b/>
                <w:sz w:val="24"/>
              </w:rPr>
              <w:t>满分44分</w:t>
            </w:r>
          </w:p>
        </w:tc>
      </w:tr>
    </w:tbl>
    <w:p w14:paraId="7F4EEB37">
      <w:pPr>
        <w:spacing w:line="360" w:lineRule="auto"/>
        <w:jc w:val="center"/>
        <w:outlineLvl w:val="0"/>
        <w:rPr>
          <w:b/>
          <w:sz w:val="36"/>
          <w:szCs w:val="36"/>
        </w:rPr>
      </w:pPr>
      <w:r>
        <w:rPr>
          <w:b/>
          <w:sz w:val="36"/>
          <w:szCs w:val="36"/>
        </w:rPr>
        <w:br w:type="page"/>
      </w:r>
      <w:bookmarkStart w:id="678" w:name="_Toc97371945"/>
      <w:bookmarkStart w:id="679" w:name="_Toc9942"/>
      <w:bookmarkStart w:id="680" w:name="_Toc8660"/>
      <w:r>
        <w:rPr>
          <w:b/>
          <w:sz w:val="36"/>
          <w:szCs w:val="36"/>
        </w:rPr>
        <w:t>第四章   采购需求</w:t>
      </w:r>
      <w:bookmarkEnd w:id="678"/>
      <w:bookmarkEnd w:id="679"/>
      <w:bookmarkEnd w:id="680"/>
    </w:p>
    <w:p w14:paraId="4DB9752D">
      <w:pPr>
        <w:wordWrap w:val="0"/>
        <w:spacing w:line="360" w:lineRule="auto"/>
        <w:ind w:firstLine="640"/>
        <w:rPr>
          <w:b/>
          <w:bCs/>
          <w:color w:val="000000"/>
          <w:kern w:val="0"/>
          <w:sz w:val="24"/>
          <w:szCs w:val="28"/>
        </w:rPr>
      </w:pPr>
      <w:bookmarkStart w:id="681" w:name="_Toc97371946"/>
      <w:r>
        <w:rPr>
          <w:b/>
          <w:bCs/>
          <w:color w:val="000000"/>
          <w:kern w:val="0"/>
          <w:sz w:val="24"/>
          <w:szCs w:val="28"/>
        </w:rPr>
        <w:t>一、</w:t>
      </w:r>
      <w:r>
        <w:rPr>
          <w:b/>
          <w:bCs/>
          <w:color w:val="000000"/>
          <w:kern w:val="0"/>
          <w:sz w:val="24"/>
          <w:szCs w:val="28"/>
          <w:lang w:bidi="ar"/>
        </w:rPr>
        <w:t>项目基本情况</w:t>
      </w:r>
    </w:p>
    <w:p w14:paraId="5ED113A4">
      <w:pPr>
        <w:pStyle w:val="38"/>
        <w:widowControl w:val="0"/>
        <w:wordWrap w:val="0"/>
        <w:spacing w:before="0" w:beforeAutospacing="0" w:after="0" w:afterAutospacing="0" w:line="360" w:lineRule="auto"/>
        <w:ind w:firstLine="480" w:firstLineChars="200"/>
        <w:jc w:val="both"/>
        <w:rPr>
          <w:rFonts w:ascii="Times New Roman" w:hAnsi="Times New Roman"/>
          <w:color w:val="000000"/>
          <w:szCs w:val="28"/>
          <w:lang w:bidi="ar"/>
        </w:rPr>
      </w:pPr>
      <w:r>
        <w:rPr>
          <w:rFonts w:hint="eastAsia" w:ascii="Times New Roman" w:hAnsi="Times New Roman" w:cs="Times New Roman"/>
          <w:color w:val="000000"/>
          <w:szCs w:val="28"/>
          <w:lang w:bidi="ar"/>
        </w:rPr>
        <w:t>（一）</w:t>
      </w:r>
      <w:r>
        <w:rPr>
          <w:rFonts w:ascii="Times New Roman" w:hAnsi="Times New Roman"/>
          <w:color w:val="000000"/>
          <w:szCs w:val="28"/>
          <w:lang w:bidi="ar"/>
        </w:rPr>
        <w:t>项目概况（背景）：</w:t>
      </w:r>
    </w:p>
    <w:p w14:paraId="5B81382D">
      <w:pPr>
        <w:pStyle w:val="38"/>
        <w:widowControl w:val="0"/>
        <w:wordWrap w:val="0"/>
        <w:spacing w:before="0" w:beforeAutospacing="0" w:after="0" w:afterAutospacing="0" w:line="360" w:lineRule="auto"/>
        <w:ind w:firstLine="480" w:firstLineChars="200"/>
        <w:jc w:val="both"/>
        <w:rPr>
          <w:rFonts w:ascii="Times New Roman" w:hAnsi="Times New Roman"/>
          <w:color w:val="000000"/>
          <w:szCs w:val="28"/>
          <w:lang w:bidi="ar"/>
        </w:rPr>
      </w:pPr>
      <w:r>
        <w:rPr>
          <w:rFonts w:hint="eastAsia" w:ascii="Times New Roman" w:hAnsi="Times New Roman"/>
          <w:color w:val="000000"/>
          <w:szCs w:val="28"/>
          <w:lang w:bidi="ar"/>
        </w:rPr>
        <w:t>中国音乐学院接收北京信息科技大学健翔桥校区以来，陆续开展对校区的改造工作，根据学校新校区规划建设工作计划，开展新校区二期建设工作，按照健翔桥新校区规划建设总体原则和部署，内容主要包括校园地下勘探维修、道路修缮、校园景观改造、校园交通设置、各楼宇内部装修、楼宇外立面改造、新校门建设、信息及安防二期建设等内容，计划在两年内完成建设任务。根据新校区现状及规划目标，二期规划建设总体坚持“统筹兼顾、系统推进、各负其责”原则。</w:t>
      </w:r>
    </w:p>
    <w:p w14:paraId="7D5E7341">
      <w:pPr>
        <w:pStyle w:val="38"/>
        <w:widowControl w:val="0"/>
        <w:wordWrap w:val="0"/>
        <w:spacing w:before="0" w:beforeAutospacing="0" w:after="0" w:afterAutospacing="0" w:line="360" w:lineRule="auto"/>
        <w:ind w:firstLine="480" w:firstLineChars="200"/>
        <w:jc w:val="both"/>
        <w:rPr>
          <w:rFonts w:ascii="Times New Roman" w:hAnsi="Times New Roman"/>
          <w:color w:val="000000"/>
          <w:szCs w:val="28"/>
          <w:lang w:bidi="ar"/>
        </w:rPr>
      </w:pPr>
      <w:r>
        <w:rPr>
          <w:rFonts w:hint="eastAsia" w:ascii="Times New Roman" w:hAnsi="Times New Roman"/>
          <w:color w:val="000000"/>
          <w:szCs w:val="28"/>
          <w:lang w:bidi="ar"/>
        </w:rPr>
        <w:t>新校区是原北京信息科技大学健翔桥校区，该校区于1980后陆续开始进行楼宇改造，整体校区建造时间年代久远，我校接收该校区后，并无任何资质产权资料，无法显示地下管网整体情况。经过初步排查，原有地下管网管径较小，雨污水未分流，管线路由情况不清晰，布局不合理；管道多年未进行修缮加固，跑冒滴漏和管道锈蚀现象严重。</w:t>
      </w:r>
    </w:p>
    <w:p w14:paraId="15EB61AF">
      <w:pPr>
        <w:pStyle w:val="38"/>
        <w:widowControl w:val="0"/>
        <w:wordWrap w:val="0"/>
        <w:spacing w:before="0" w:beforeAutospacing="0" w:after="0" w:afterAutospacing="0" w:line="360" w:lineRule="auto"/>
        <w:ind w:firstLine="480" w:firstLineChars="200"/>
        <w:jc w:val="both"/>
        <w:rPr>
          <w:rFonts w:ascii="Times New Roman" w:hAnsi="Times New Roman"/>
          <w:color w:val="000000"/>
          <w:szCs w:val="28"/>
          <w:lang w:bidi="ar"/>
        </w:rPr>
      </w:pPr>
      <w:r>
        <w:rPr>
          <w:rFonts w:hint="eastAsia" w:ascii="Times New Roman" w:hAnsi="Times New Roman"/>
          <w:color w:val="000000"/>
          <w:szCs w:val="28"/>
          <w:lang w:bidi="ar"/>
        </w:rPr>
        <w:t>（二）</w:t>
      </w:r>
      <w:r>
        <w:rPr>
          <w:rFonts w:ascii="Times New Roman" w:hAnsi="Times New Roman"/>
          <w:color w:val="000000"/>
          <w:szCs w:val="28"/>
          <w:lang w:bidi="ar"/>
        </w:rPr>
        <w:t>预算金额：</w:t>
      </w:r>
      <w:r>
        <w:rPr>
          <w:rFonts w:hint="eastAsia" w:ascii="Times New Roman" w:hAnsi="Times New Roman"/>
          <w:color w:val="000000"/>
          <w:szCs w:val="28"/>
          <w:lang w:bidi="ar"/>
        </w:rPr>
        <w:t>526.84501</w:t>
      </w:r>
      <w:r>
        <w:rPr>
          <w:rFonts w:ascii="Times New Roman" w:hAnsi="Times New Roman"/>
          <w:color w:val="000000"/>
          <w:szCs w:val="28"/>
          <w:lang w:bidi="ar"/>
        </w:rPr>
        <w:t>万元</w:t>
      </w:r>
    </w:p>
    <w:p w14:paraId="3EDA5D00">
      <w:pPr>
        <w:pStyle w:val="38"/>
        <w:widowControl w:val="0"/>
        <w:wordWrap w:val="0"/>
        <w:spacing w:before="0" w:beforeAutospacing="0" w:after="0" w:afterAutospacing="0" w:line="360" w:lineRule="auto"/>
        <w:ind w:firstLine="480" w:firstLineChars="200"/>
        <w:jc w:val="both"/>
        <w:rPr>
          <w:rFonts w:ascii="Times New Roman" w:hAnsi="Times New Roman"/>
          <w:color w:val="000000"/>
          <w:szCs w:val="28"/>
          <w:lang w:bidi="ar"/>
        </w:rPr>
      </w:pPr>
      <w:r>
        <w:rPr>
          <w:rFonts w:hint="eastAsia" w:ascii="Times New Roman" w:hAnsi="Times New Roman"/>
          <w:color w:val="000000"/>
          <w:szCs w:val="28"/>
          <w:lang w:bidi="ar"/>
        </w:rPr>
        <w:t>（三）工期：90日历天，以甲方通知的开工时间为准</w:t>
      </w:r>
    </w:p>
    <w:p w14:paraId="371E6E7C">
      <w:pPr>
        <w:pStyle w:val="38"/>
        <w:widowControl w:val="0"/>
        <w:wordWrap w:val="0"/>
        <w:spacing w:before="0" w:beforeAutospacing="0" w:after="0" w:afterAutospacing="0" w:line="360" w:lineRule="auto"/>
        <w:ind w:firstLine="480" w:firstLineChars="200"/>
        <w:jc w:val="both"/>
        <w:rPr>
          <w:rFonts w:ascii="Times New Roman" w:hAnsi="Times New Roman"/>
          <w:color w:val="000000"/>
          <w:szCs w:val="28"/>
          <w:lang w:bidi="ar"/>
        </w:rPr>
      </w:pPr>
      <w:r>
        <w:rPr>
          <w:rFonts w:hint="eastAsia" w:ascii="Times New Roman" w:hAnsi="Times New Roman"/>
          <w:color w:val="000000"/>
          <w:szCs w:val="28"/>
          <w:lang w:bidi="ar"/>
        </w:rPr>
        <w:t>（四）工程地点：北京市朝阳区北四环中路35号院中国音乐学院健翔桥校区。雨污水相关工程改造面积约4000平米（不含操场），项目总用地面积约9714平方米。</w:t>
      </w:r>
    </w:p>
    <w:p w14:paraId="233C5519">
      <w:pPr>
        <w:pStyle w:val="38"/>
        <w:widowControl w:val="0"/>
        <w:wordWrap w:val="0"/>
        <w:spacing w:before="0" w:beforeAutospacing="0" w:after="0" w:afterAutospacing="0" w:line="360" w:lineRule="auto"/>
        <w:ind w:firstLine="480" w:firstLineChars="200"/>
        <w:jc w:val="both"/>
        <w:rPr>
          <w:rFonts w:ascii="Times New Roman" w:hAnsi="Times New Roman"/>
          <w:color w:val="000000"/>
          <w:szCs w:val="28"/>
          <w:lang w:bidi="ar"/>
        </w:rPr>
      </w:pPr>
      <w:r>
        <w:rPr>
          <w:rFonts w:hint="eastAsia" w:ascii="Times New Roman" w:hAnsi="Times New Roman"/>
          <w:color w:val="000000"/>
          <w:szCs w:val="28"/>
          <w:lang w:bidi="ar"/>
        </w:rPr>
        <w:t>（五）承包范围：包括但不限于污水工程、雨水工程、供暖工程、通信排管工程等，详见工程量清单及图纸。</w:t>
      </w:r>
    </w:p>
    <w:p w14:paraId="374EB257">
      <w:pPr>
        <w:rPr>
          <w:color w:val="000000"/>
          <w:kern w:val="0"/>
          <w:sz w:val="24"/>
          <w:szCs w:val="28"/>
        </w:rPr>
      </w:pPr>
      <w:r>
        <w:rPr>
          <w:rFonts w:hint="eastAsia"/>
          <w:color w:val="000000"/>
          <w:kern w:val="0"/>
          <w:sz w:val="24"/>
          <w:szCs w:val="28"/>
        </w:rPr>
        <w:br w:type="page"/>
      </w:r>
    </w:p>
    <w:p w14:paraId="0F0844C1">
      <w:pPr>
        <w:wordWrap w:val="0"/>
        <w:spacing w:line="360" w:lineRule="auto"/>
        <w:ind w:firstLine="640"/>
        <w:rPr>
          <w:color w:val="000000"/>
          <w:kern w:val="0"/>
          <w:sz w:val="24"/>
          <w:szCs w:val="28"/>
        </w:rPr>
      </w:pPr>
      <w:r>
        <w:rPr>
          <w:rFonts w:hint="eastAsia"/>
          <w:color w:val="000000"/>
          <w:kern w:val="0"/>
          <w:sz w:val="24"/>
          <w:szCs w:val="28"/>
        </w:rPr>
        <w:drawing>
          <wp:anchor distT="0" distB="0" distL="0" distR="0" simplePos="0" relativeHeight="251666432" behindDoc="0" locked="0" layoutInCell="1" allowOverlap="1">
            <wp:simplePos x="0" y="0"/>
            <wp:positionH relativeFrom="column">
              <wp:posOffset>-219075</wp:posOffset>
            </wp:positionH>
            <wp:positionV relativeFrom="paragraph">
              <wp:posOffset>104775</wp:posOffset>
            </wp:positionV>
            <wp:extent cx="5647055" cy="3158490"/>
            <wp:effectExtent l="0" t="0" r="10795" b="3810"/>
            <wp:wrapTopAndBottom/>
            <wp:docPr id="9459882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88279" name="图片 3"/>
                    <pic:cNvPicPr>
                      <a:picLocks noChangeAspect="1"/>
                    </pic:cNvPicPr>
                  </pic:nvPicPr>
                  <pic:blipFill>
                    <a:blip r:embed="rId26"/>
                    <a:stretch>
                      <a:fillRect/>
                    </a:stretch>
                  </pic:blipFill>
                  <pic:spPr>
                    <a:xfrm>
                      <a:off x="0" y="0"/>
                      <a:ext cx="5647055" cy="3158490"/>
                    </a:xfrm>
                    <a:prstGeom prst="rect">
                      <a:avLst/>
                    </a:prstGeom>
                    <a:noFill/>
                    <a:ln>
                      <a:noFill/>
                    </a:ln>
                  </pic:spPr>
                </pic:pic>
              </a:graphicData>
            </a:graphic>
          </wp:anchor>
        </w:drawing>
      </w:r>
      <w:r>
        <w:rPr>
          <w:rFonts w:hint="eastAsia"/>
          <w:color w:val="000000"/>
          <w:kern w:val="0"/>
          <w:sz w:val="24"/>
          <w:szCs w:val="28"/>
        </w:rPr>
        <w:t>二</w:t>
      </w:r>
      <w:r>
        <w:rPr>
          <w:color w:val="000000"/>
          <w:kern w:val="0"/>
          <w:sz w:val="24"/>
          <w:szCs w:val="28"/>
        </w:rPr>
        <w:t>、</w:t>
      </w:r>
      <w:r>
        <w:rPr>
          <w:b/>
          <w:bCs/>
          <w:color w:val="000000"/>
          <w:kern w:val="0"/>
          <w:sz w:val="24"/>
          <w:szCs w:val="28"/>
          <w:lang w:bidi="ar"/>
        </w:rPr>
        <w:t>采购需求</w:t>
      </w:r>
    </w:p>
    <w:p w14:paraId="4B42480D">
      <w:pPr>
        <w:wordWrap w:val="0"/>
        <w:spacing w:line="360" w:lineRule="auto"/>
        <w:ind w:firstLine="480" w:firstLineChars="200"/>
        <w:rPr>
          <w:iCs/>
          <w:color w:val="000000"/>
          <w:kern w:val="0"/>
          <w:sz w:val="24"/>
          <w:szCs w:val="28"/>
          <w:lang w:bidi="ar"/>
        </w:rPr>
      </w:pPr>
      <w:r>
        <w:rPr>
          <w:rFonts w:hint="eastAsia"/>
          <w:iCs/>
          <w:color w:val="000000"/>
          <w:kern w:val="0"/>
          <w:sz w:val="24"/>
          <w:szCs w:val="28"/>
          <w:lang w:bidi="ar"/>
        </w:rPr>
        <w:t>（一）</w:t>
      </w:r>
      <w:r>
        <w:rPr>
          <w:iCs/>
          <w:color w:val="000000"/>
          <w:kern w:val="0"/>
          <w:sz w:val="24"/>
          <w:szCs w:val="28"/>
          <w:lang w:bidi="ar"/>
        </w:rPr>
        <w:t>采购标的需实现的功能目标</w:t>
      </w:r>
      <w:r>
        <w:rPr>
          <w:rFonts w:hint="eastAsia"/>
          <w:iCs/>
          <w:color w:val="000000"/>
          <w:kern w:val="0"/>
          <w:sz w:val="24"/>
          <w:szCs w:val="28"/>
          <w:lang w:bidi="ar"/>
        </w:rPr>
        <w:t>：</w:t>
      </w:r>
    </w:p>
    <w:p w14:paraId="0826146C">
      <w:pPr>
        <w:wordWrap w:val="0"/>
        <w:spacing w:line="360" w:lineRule="auto"/>
        <w:ind w:firstLine="480" w:firstLineChars="200"/>
        <w:rPr>
          <w:iCs/>
          <w:color w:val="000000"/>
          <w:kern w:val="0"/>
          <w:sz w:val="24"/>
          <w:szCs w:val="28"/>
          <w:lang w:bidi="ar"/>
        </w:rPr>
      </w:pPr>
      <w:r>
        <w:rPr>
          <w:rFonts w:hint="eastAsia"/>
          <w:iCs/>
          <w:color w:val="000000"/>
          <w:kern w:val="0"/>
          <w:sz w:val="24"/>
          <w:szCs w:val="28"/>
          <w:lang w:bidi="ar"/>
        </w:rPr>
        <w:t>对新校区地下管网按照图纸进行铺设施工，对中国音乐学院新校区室外雨污水、暖气管线及通信管线改造，确保按图施工，改造后的管线符合国家标准及学校使用需求。减少后期维护养护成本，消除可能产生的跑冒滴漏安全隐患，降低学校能源消耗等。</w:t>
      </w:r>
    </w:p>
    <w:p w14:paraId="48D2ED71">
      <w:pPr>
        <w:spacing w:line="560" w:lineRule="exact"/>
        <w:ind w:firstLine="480" w:firstLineChars="200"/>
        <w:rPr>
          <w:iCs/>
          <w:color w:val="000000"/>
          <w:kern w:val="0"/>
          <w:sz w:val="24"/>
          <w:szCs w:val="28"/>
        </w:rPr>
      </w:pPr>
      <w:r>
        <w:rPr>
          <w:iCs/>
          <w:color w:val="000000"/>
          <w:kern w:val="0"/>
          <w:sz w:val="24"/>
          <w:szCs w:val="28"/>
          <w:lang w:bidi="ar"/>
        </w:rPr>
        <w:t>（二）采购清单</w:t>
      </w:r>
    </w:p>
    <w:tbl>
      <w:tblPr>
        <w:tblStyle w:val="43"/>
        <w:tblW w:w="49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36"/>
        <w:gridCol w:w="1540"/>
        <w:gridCol w:w="2553"/>
        <w:gridCol w:w="772"/>
        <w:gridCol w:w="1528"/>
        <w:gridCol w:w="1492"/>
      </w:tblGrid>
      <w:tr w14:paraId="2DF45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5" w:hRule="atLeast"/>
          <w:jc w:val="center"/>
        </w:trPr>
        <w:tc>
          <w:tcPr>
            <w:tcW w:w="318" w:type="pct"/>
            <w:tcMar>
              <w:left w:w="108" w:type="dxa"/>
              <w:right w:w="108" w:type="dxa"/>
            </w:tcMar>
            <w:vAlign w:val="center"/>
          </w:tcPr>
          <w:p w14:paraId="5EEBF645">
            <w:pPr>
              <w:widowControl/>
              <w:wordWrap w:val="0"/>
              <w:autoSpaceDE w:val="0"/>
              <w:spacing w:line="360" w:lineRule="exact"/>
              <w:jc w:val="center"/>
              <w:rPr>
                <w:kern w:val="0"/>
                <w:sz w:val="24"/>
                <w:szCs w:val="28"/>
              </w:rPr>
            </w:pPr>
            <w:r>
              <w:rPr>
                <w:kern w:val="0"/>
                <w:sz w:val="24"/>
                <w:szCs w:val="28"/>
                <w:lang w:bidi="ar"/>
              </w:rPr>
              <w:t>包号</w:t>
            </w:r>
          </w:p>
        </w:tc>
        <w:tc>
          <w:tcPr>
            <w:tcW w:w="914" w:type="pct"/>
            <w:tcMar>
              <w:left w:w="108" w:type="dxa"/>
              <w:right w:w="108" w:type="dxa"/>
            </w:tcMar>
            <w:vAlign w:val="center"/>
          </w:tcPr>
          <w:p w14:paraId="1D539653">
            <w:pPr>
              <w:widowControl/>
              <w:wordWrap w:val="0"/>
              <w:autoSpaceDE w:val="0"/>
              <w:spacing w:line="360" w:lineRule="exact"/>
              <w:jc w:val="center"/>
              <w:rPr>
                <w:kern w:val="0"/>
                <w:sz w:val="24"/>
                <w:szCs w:val="28"/>
              </w:rPr>
            </w:pPr>
            <w:r>
              <w:rPr>
                <w:kern w:val="0"/>
                <w:sz w:val="24"/>
                <w:szCs w:val="28"/>
                <w:lang w:bidi="ar"/>
              </w:rPr>
              <w:t>分包预算</w:t>
            </w:r>
          </w:p>
          <w:p w14:paraId="2ABABF27">
            <w:pPr>
              <w:widowControl/>
              <w:wordWrap w:val="0"/>
              <w:autoSpaceDE w:val="0"/>
              <w:spacing w:line="360" w:lineRule="exact"/>
              <w:jc w:val="center"/>
              <w:rPr>
                <w:kern w:val="0"/>
                <w:sz w:val="24"/>
                <w:szCs w:val="28"/>
              </w:rPr>
            </w:pPr>
            <w:r>
              <w:rPr>
                <w:kern w:val="0"/>
                <w:sz w:val="24"/>
                <w:szCs w:val="28"/>
                <w:lang w:bidi="ar"/>
              </w:rPr>
              <w:t>（万元）</w:t>
            </w:r>
          </w:p>
        </w:tc>
        <w:tc>
          <w:tcPr>
            <w:tcW w:w="1515" w:type="pct"/>
            <w:tcMar>
              <w:left w:w="108" w:type="dxa"/>
              <w:right w:w="108" w:type="dxa"/>
            </w:tcMar>
            <w:vAlign w:val="center"/>
          </w:tcPr>
          <w:p w14:paraId="202F4A35">
            <w:pPr>
              <w:widowControl/>
              <w:wordWrap w:val="0"/>
              <w:autoSpaceDE w:val="0"/>
              <w:spacing w:line="360" w:lineRule="exact"/>
              <w:jc w:val="center"/>
              <w:rPr>
                <w:kern w:val="0"/>
                <w:sz w:val="24"/>
                <w:szCs w:val="28"/>
              </w:rPr>
            </w:pPr>
            <w:r>
              <w:rPr>
                <w:kern w:val="0"/>
                <w:sz w:val="24"/>
                <w:szCs w:val="28"/>
                <w:lang w:bidi="ar"/>
              </w:rPr>
              <w:t>采购</w:t>
            </w:r>
            <w:r>
              <w:rPr>
                <w:rFonts w:hint="eastAsia"/>
                <w:kern w:val="0"/>
                <w:sz w:val="24"/>
                <w:szCs w:val="28"/>
                <w:lang w:bidi="ar"/>
              </w:rPr>
              <w:t>内容</w:t>
            </w:r>
          </w:p>
        </w:tc>
        <w:tc>
          <w:tcPr>
            <w:tcW w:w="458" w:type="pct"/>
            <w:tcMar>
              <w:left w:w="108" w:type="dxa"/>
              <w:right w:w="108" w:type="dxa"/>
            </w:tcMar>
            <w:vAlign w:val="center"/>
          </w:tcPr>
          <w:p w14:paraId="513E9BA2">
            <w:pPr>
              <w:widowControl/>
              <w:wordWrap w:val="0"/>
              <w:autoSpaceDE w:val="0"/>
              <w:spacing w:line="360" w:lineRule="exact"/>
              <w:jc w:val="center"/>
              <w:rPr>
                <w:kern w:val="0"/>
                <w:sz w:val="24"/>
                <w:szCs w:val="28"/>
              </w:rPr>
            </w:pPr>
            <w:r>
              <w:rPr>
                <w:kern w:val="0"/>
                <w:sz w:val="24"/>
                <w:szCs w:val="28"/>
                <w:lang w:bidi="ar"/>
              </w:rPr>
              <w:t>数量</w:t>
            </w:r>
          </w:p>
        </w:tc>
        <w:tc>
          <w:tcPr>
            <w:tcW w:w="907" w:type="pct"/>
            <w:tcMar>
              <w:left w:w="108" w:type="dxa"/>
              <w:right w:w="108" w:type="dxa"/>
            </w:tcMar>
            <w:vAlign w:val="center"/>
          </w:tcPr>
          <w:p w14:paraId="69E58185">
            <w:pPr>
              <w:widowControl/>
              <w:wordWrap w:val="0"/>
              <w:autoSpaceDE w:val="0"/>
              <w:spacing w:line="360" w:lineRule="exact"/>
              <w:jc w:val="center"/>
              <w:rPr>
                <w:kern w:val="0"/>
                <w:sz w:val="24"/>
                <w:szCs w:val="28"/>
              </w:rPr>
            </w:pPr>
            <w:r>
              <w:rPr>
                <w:rFonts w:hint="eastAsia"/>
                <w:kern w:val="0"/>
                <w:sz w:val="24"/>
                <w:szCs w:val="28"/>
                <w:lang w:bidi="ar"/>
              </w:rPr>
              <w:t>单价</w:t>
            </w:r>
          </w:p>
        </w:tc>
        <w:tc>
          <w:tcPr>
            <w:tcW w:w="885" w:type="pct"/>
            <w:tcMar>
              <w:left w:w="108" w:type="dxa"/>
              <w:right w:w="108" w:type="dxa"/>
            </w:tcMar>
            <w:vAlign w:val="center"/>
          </w:tcPr>
          <w:p w14:paraId="24A6CC32">
            <w:pPr>
              <w:widowControl/>
              <w:wordWrap w:val="0"/>
              <w:autoSpaceDE w:val="0"/>
              <w:spacing w:line="360" w:lineRule="exact"/>
              <w:jc w:val="center"/>
              <w:rPr>
                <w:kern w:val="0"/>
                <w:sz w:val="24"/>
                <w:szCs w:val="28"/>
              </w:rPr>
            </w:pPr>
            <w:r>
              <w:rPr>
                <w:rFonts w:hint="eastAsia"/>
                <w:kern w:val="0"/>
                <w:sz w:val="24"/>
                <w:szCs w:val="28"/>
                <w:lang w:bidi="ar"/>
              </w:rPr>
              <w:t>金额</w:t>
            </w:r>
          </w:p>
        </w:tc>
      </w:tr>
      <w:tr w14:paraId="3B24B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5" w:hRule="atLeast"/>
          <w:jc w:val="center"/>
        </w:trPr>
        <w:tc>
          <w:tcPr>
            <w:tcW w:w="318" w:type="pct"/>
            <w:tcMar>
              <w:left w:w="108" w:type="dxa"/>
              <w:right w:w="108" w:type="dxa"/>
            </w:tcMar>
            <w:vAlign w:val="center"/>
          </w:tcPr>
          <w:p w14:paraId="12C04252">
            <w:pPr>
              <w:widowControl/>
              <w:wordWrap w:val="0"/>
              <w:autoSpaceDE w:val="0"/>
              <w:spacing w:line="360" w:lineRule="exact"/>
              <w:jc w:val="center"/>
              <w:rPr>
                <w:kern w:val="0"/>
                <w:sz w:val="24"/>
                <w:szCs w:val="28"/>
              </w:rPr>
            </w:pPr>
            <w:r>
              <w:rPr>
                <w:rFonts w:hint="eastAsia"/>
                <w:kern w:val="0"/>
                <w:sz w:val="24"/>
                <w:szCs w:val="28"/>
                <w:lang w:bidi="ar"/>
              </w:rPr>
              <w:t>0</w:t>
            </w:r>
            <w:r>
              <w:rPr>
                <w:kern w:val="0"/>
                <w:sz w:val="24"/>
                <w:szCs w:val="28"/>
                <w:lang w:bidi="ar"/>
              </w:rPr>
              <w:t>1</w:t>
            </w:r>
          </w:p>
        </w:tc>
        <w:tc>
          <w:tcPr>
            <w:tcW w:w="914" w:type="pct"/>
            <w:tcMar>
              <w:left w:w="108" w:type="dxa"/>
              <w:right w:w="108" w:type="dxa"/>
            </w:tcMar>
            <w:vAlign w:val="center"/>
          </w:tcPr>
          <w:p w14:paraId="74BCEF05">
            <w:pPr>
              <w:widowControl/>
              <w:wordWrap w:val="0"/>
              <w:autoSpaceDE w:val="0"/>
              <w:spacing w:line="360" w:lineRule="exact"/>
              <w:jc w:val="center"/>
              <w:rPr>
                <w:kern w:val="0"/>
                <w:sz w:val="24"/>
                <w:szCs w:val="28"/>
              </w:rPr>
            </w:pPr>
            <w:r>
              <w:rPr>
                <w:rFonts w:hint="eastAsia"/>
                <w:kern w:val="0"/>
                <w:sz w:val="24"/>
                <w:szCs w:val="28"/>
              </w:rPr>
              <w:t>526.84501</w:t>
            </w:r>
          </w:p>
        </w:tc>
        <w:tc>
          <w:tcPr>
            <w:tcW w:w="1515" w:type="pct"/>
            <w:tcMar>
              <w:left w:w="108" w:type="dxa"/>
              <w:right w:w="108" w:type="dxa"/>
            </w:tcMar>
            <w:vAlign w:val="center"/>
          </w:tcPr>
          <w:p w14:paraId="6E3A654A">
            <w:pPr>
              <w:widowControl/>
              <w:wordWrap w:val="0"/>
              <w:autoSpaceDE w:val="0"/>
              <w:spacing w:line="360" w:lineRule="exact"/>
              <w:rPr>
                <w:kern w:val="0"/>
                <w:sz w:val="24"/>
                <w:szCs w:val="28"/>
              </w:rPr>
            </w:pPr>
            <w:r>
              <w:rPr>
                <w:rFonts w:hint="eastAsia" w:cs="宋体"/>
                <w:color w:val="000000"/>
                <w:kern w:val="0"/>
                <w:sz w:val="24"/>
              </w:rPr>
              <w:t>完成项目图纸及清单所示全部内容，完成项目工程施工内容。</w:t>
            </w:r>
            <w:r>
              <w:rPr>
                <w:rFonts w:hint="eastAsia"/>
                <w:kern w:val="0"/>
                <w:sz w:val="24"/>
                <w:szCs w:val="28"/>
              </w:rPr>
              <w:t>具体详见工程量清单。</w:t>
            </w:r>
          </w:p>
        </w:tc>
        <w:tc>
          <w:tcPr>
            <w:tcW w:w="458" w:type="pct"/>
            <w:tcMar>
              <w:left w:w="108" w:type="dxa"/>
              <w:right w:w="108" w:type="dxa"/>
            </w:tcMar>
            <w:vAlign w:val="center"/>
          </w:tcPr>
          <w:p w14:paraId="514CB9A0">
            <w:pPr>
              <w:widowControl/>
              <w:wordWrap w:val="0"/>
              <w:autoSpaceDE w:val="0"/>
              <w:spacing w:line="360" w:lineRule="exact"/>
              <w:jc w:val="center"/>
              <w:rPr>
                <w:kern w:val="0"/>
                <w:sz w:val="24"/>
                <w:szCs w:val="28"/>
              </w:rPr>
            </w:pPr>
            <w:r>
              <w:rPr>
                <w:rFonts w:hint="eastAsia"/>
                <w:kern w:val="0"/>
                <w:sz w:val="24"/>
                <w:szCs w:val="28"/>
              </w:rPr>
              <w:t>1</w:t>
            </w:r>
          </w:p>
        </w:tc>
        <w:tc>
          <w:tcPr>
            <w:tcW w:w="907" w:type="pct"/>
            <w:tcMar>
              <w:left w:w="108" w:type="dxa"/>
              <w:right w:w="108" w:type="dxa"/>
            </w:tcMar>
            <w:vAlign w:val="center"/>
          </w:tcPr>
          <w:p w14:paraId="0779FEC7">
            <w:pPr>
              <w:widowControl/>
              <w:wordWrap w:val="0"/>
              <w:autoSpaceDE w:val="0"/>
              <w:spacing w:line="360" w:lineRule="exact"/>
              <w:jc w:val="center"/>
              <w:rPr>
                <w:kern w:val="0"/>
                <w:sz w:val="24"/>
                <w:szCs w:val="28"/>
              </w:rPr>
            </w:pPr>
            <w:r>
              <w:rPr>
                <w:rFonts w:hint="eastAsia"/>
                <w:kern w:val="0"/>
                <w:sz w:val="24"/>
                <w:szCs w:val="28"/>
              </w:rPr>
              <w:t>526.84501</w:t>
            </w:r>
          </w:p>
        </w:tc>
        <w:tc>
          <w:tcPr>
            <w:tcW w:w="885" w:type="pct"/>
            <w:tcMar>
              <w:left w:w="108" w:type="dxa"/>
              <w:right w:w="108" w:type="dxa"/>
            </w:tcMar>
            <w:vAlign w:val="center"/>
          </w:tcPr>
          <w:p w14:paraId="6E2FCEFD">
            <w:pPr>
              <w:widowControl/>
              <w:wordWrap w:val="0"/>
              <w:autoSpaceDE w:val="0"/>
              <w:spacing w:line="360" w:lineRule="exact"/>
              <w:jc w:val="center"/>
              <w:rPr>
                <w:kern w:val="0"/>
                <w:sz w:val="24"/>
                <w:szCs w:val="28"/>
              </w:rPr>
            </w:pPr>
            <w:r>
              <w:rPr>
                <w:rFonts w:hint="eastAsia"/>
                <w:kern w:val="0"/>
                <w:sz w:val="24"/>
                <w:szCs w:val="28"/>
              </w:rPr>
              <w:t>526.84501</w:t>
            </w:r>
          </w:p>
        </w:tc>
      </w:tr>
    </w:tbl>
    <w:p w14:paraId="6AA19691">
      <w:pPr>
        <w:spacing w:line="560" w:lineRule="exact"/>
        <w:ind w:firstLine="480" w:firstLineChars="200"/>
        <w:rPr>
          <w:iCs/>
          <w:color w:val="000000"/>
          <w:kern w:val="0"/>
          <w:sz w:val="24"/>
          <w:szCs w:val="28"/>
          <w:lang w:bidi="ar"/>
        </w:rPr>
      </w:pPr>
      <w:r>
        <w:rPr>
          <w:iCs/>
          <w:color w:val="000000"/>
          <w:kern w:val="0"/>
          <w:sz w:val="24"/>
          <w:szCs w:val="28"/>
          <w:lang w:bidi="ar"/>
        </w:rPr>
        <w:t>（三）技术要求</w:t>
      </w:r>
    </w:p>
    <w:tbl>
      <w:tblPr>
        <w:tblStyle w:val="44"/>
        <w:tblW w:w="49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2098"/>
        <w:gridCol w:w="5684"/>
      </w:tblGrid>
      <w:tr w14:paraId="7FC3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366" w:type="pct"/>
            <w:vAlign w:val="center"/>
          </w:tcPr>
          <w:p w14:paraId="0C69A866">
            <w:pPr>
              <w:widowControl/>
              <w:wordWrap w:val="0"/>
              <w:autoSpaceDE w:val="0"/>
              <w:spacing w:line="360" w:lineRule="exact"/>
              <w:jc w:val="center"/>
              <w:rPr>
                <w:kern w:val="0"/>
                <w:sz w:val="24"/>
                <w:szCs w:val="28"/>
                <w:lang w:bidi="ar"/>
              </w:rPr>
            </w:pPr>
            <w:r>
              <w:rPr>
                <w:kern w:val="0"/>
                <w:sz w:val="24"/>
                <w:szCs w:val="28"/>
                <w:lang w:bidi="ar"/>
              </w:rPr>
              <w:t>包号</w:t>
            </w:r>
          </w:p>
        </w:tc>
        <w:tc>
          <w:tcPr>
            <w:tcW w:w="1249" w:type="pct"/>
            <w:vAlign w:val="center"/>
          </w:tcPr>
          <w:p w14:paraId="327A350C">
            <w:pPr>
              <w:widowControl/>
              <w:wordWrap w:val="0"/>
              <w:autoSpaceDE w:val="0"/>
              <w:spacing w:line="360" w:lineRule="exact"/>
              <w:jc w:val="center"/>
              <w:rPr>
                <w:kern w:val="0"/>
                <w:sz w:val="24"/>
                <w:szCs w:val="28"/>
                <w:lang w:bidi="ar"/>
              </w:rPr>
            </w:pPr>
            <w:r>
              <w:rPr>
                <w:kern w:val="0"/>
                <w:sz w:val="24"/>
                <w:szCs w:val="28"/>
                <w:lang w:bidi="ar"/>
              </w:rPr>
              <w:t>采购标的</w:t>
            </w:r>
          </w:p>
        </w:tc>
        <w:tc>
          <w:tcPr>
            <w:tcW w:w="3383" w:type="pct"/>
            <w:vAlign w:val="center"/>
          </w:tcPr>
          <w:p w14:paraId="1551D777">
            <w:pPr>
              <w:widowControl/>
              <w:wordWrap w:val="0"/>
              <w:autoSpaceDE w:val="0"/>
              <w:spacing w:line="360" w:lineRule="exact"/>
              <w:jc w:val="center"/>
              <w:rPr>
                <w:kern w:val="0"/>
                <w:sz w:val="24"/>
                <w:szCs w:val="28"/>
                <w:lang w:bidi="ar"/>
              </w:rPr>
            </w:pPr>
            <w:r>
              <w:rPr>
                <w:kern w:val="0"/>
                <w:sz w:val="24"/>
                <w:szCs w:val="28"/>
                <w:lang w:bidi="ar"/>
              </w:rPr>
              <w:t>服务要求或采购标的的质量要求（性能、材料、结构、标准等）</w:t>
            </w:r>
          </w:p>
        </w:tc>
      </w:tr>
      <w:tr w14:paraId="52259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0" w:hRule="atLeast"/>
          <w:jc w:val="center"/>
        </w:trPr>
        <w:tc>
          <w:tcPr>
            <w:tcW w:w="366" w:type="pct"/>
            <w:vAlign w:val="center"/>
          </w:tcPr>
          <w:p w14:paraId="131DDDE1">
            <w:pPr>
              <w:widowControl/>
              <w:wordWrap w:val="0"/>
              <w:autoSpaceDE w:val="0"/>
              <w:spacing w:line="360" w:lineRule="exact"/>
              <w:jc w:val="center"/>
              <w:rPr>
                <w:kern w:val="0"/>
                <w:sz w:val="24"/>
                <w:szCs w:val="28"/>
                <w:lang w:bidi="ar"/>
              </w:rPr>
            </w:pPr>
            <w:r>
              <w:rPr>
                <w:rFonts w:hint="eastAsia"/>
                <w:kern w:val="0"/>
                <w:sz w:val="24"/>
                <w:szCs w:val="28"/>
                <w:lang w:bidi="ar"/>
              </w:rPr>
              <w:t>0</w:t>
            </w:r>
            <w:r>
              <w:rPr>
                <w:kern w:val="0"/>
                <w:sz w:val="24"/>
                <w:szCs w:val="28"/>
                <w:lang w:bidi="ar"/>
              </w:rPr>
              <w:t>1</w:t>
            </w:r>
          </w:p>
        </w:tc>
        <w:tc>
          <w:tcPr>
            <w:tcW w:w="1249" w:type="pct"/>
            <w:vAlign w:val="center"/>
          </w:tcPr>
          <w:p w14:paraId="5429C8B7">
            <w:pPr>
              <w:widowControl/>
              <w:wordWrap w:val="0"/>
              <w:autoSpaceDE w:val="0"/>
              <w:spacing w:line="360" w:lineRule="exact"/>
              <w:jc w:val="center"/>
              <w:rPr>
                <w:kern w:val="0"/>
                <w:sz w:val="24"/>
                <w:szCs w:val="28"/>
                <w:lang w:bidi="ar"/>
              </w:rPr>
            </w:pPr>
            <w:r>
              <w:rPr>
                <w:rFonts w:hint="eastAsia"/>
                <w:kern w:val="0"/>
                <w:sz w:val="24"/>
                <w:szCs w:val="28"/>
                <w:lang w:bidi="ar"/>
              </w:rPr>
              <w:t>改善办学保障条件-基础设施改造-新校区雨污水、暖气管线及相关工程改造项目</w:t>
            </w:r>
          </w:p>
        </w:tc>
        <w:tc>
          <w:tcPr>
            <w:tcW w:w="3383" w:type="pct"/>
            <w:vAlign w:val="center"/>
          </w:tcPr>
          <w:p w14:paraId="0F97B542">
            <w:pPr>
              <w:widowControl/>
              <w:wordWrap w:val="0"/>
              <w:autoSpaceDE w:val="0"/>
              <w:spacing w:line="360" w:lineRule="exact"/>
              <w:ind w:firstLine="480" w:firstLineChars="200"/>
              <w:rPr>
                <w:kern w:val="0"/>
                <w:sz w:val="24"/>
                <w:szCs w:val="28"/>
                <w:lang w:bidi="ar"/>
              </w:rPr>
            </w:pPr>
            <w:r>
              <w:rPr>
                <w:kern w:val="0"/>
                <w:sz w:val="24"/>
                <w:szCs w:val="28"/>
                <w:lang w:bidi="ar"/>
              </w:rPr>
              <w:t>国家及各相关部门颁布的现行各种规范、规程和有关法律、法规等</w:t>
            </w:r>
            <w:r>
              <w:rPr>
                <w:rFonts w:hint="eastAsia"/>
                <w:kern w:val="0"/>
                <w:sz w:val="24"/>
                <w:szCs w:val="28"/>
                <w:lang w:bidi="ar"/>
              </w:rPr>
              <w:t>。</w:t>
            </w:r>
          </w:p>
          <w:p w14:paraId="45CD8FB6">
            <w:pPr>
              <w:widowControl/>
              <w:wordWrap w:val="0"/>
              <w:autoSpaceDE w:val="0"/>
              <w:spacing w:line="360" w:lineRule="exact"/>
              <w:ind w:firstLine="480" w:firstLineChars="200"/>
              <w:rPr>
                <w:kern w:val="0"/>
                <w:sz w:val="24"/>
                <w:szCs w:val="28"/>
                <w:lang w:bidi="ar"/>
              </w:rPr>
            </w:pPr>
            <w:r>
              <w:rPr>
                <w:rFonts w:hint="eastAsia"/>
                <w:kern w:val="0"/>
                <w:sz w:val="24"/>
                <w:szCs w:val="28"/>
                <w:lang w:bidi="ar"/>
              </w:rPr>
              <w:t>本工程雨污水管道敷设完毕且检验合格后，污水管道应采用“闭水试验法”进行管道密闭性试验。</w:t>
            </w:r>
          </w:p>
          <w:p w14:paraId="74D2B2E3">
            <w:pPr>
              <w:widowControl/>
              <w:wordWrap w:val="0"/>
              <w:autoSpaceDE w:val="0"/>
              <w:spacing w:line="360" w:lineRule="exact"/>
              <w:ind w:firstLine="480" w:firstLineChars="200"/>
              <w:rPr>
                <w:kern w:val="0"/>
                <w:sz w:val="24"/>
                <w:szCs w:val="28"/>
                <w:lang w:bidi="ar"/>
              </w:rPr>
            </w:pPr>
            <w:r>
              <w:rPr>
                <w:rFonts w:hint="eastAsia"/>
                <w:kern w:val="0"/>
                <w:sz w:val="24"/>
                <w:szCs w:val="28"/>
                <w:lang w:bidi="ar"/>
              </w:rPr>
              <w:t>管材防腐必须是内衬水泥砂浆防腐层，管道外壁按常规防腐。</w:t>
            </w:r>
          </w:p>
        </w:tc>
      </w:tr>
    </w:tbl>
    <w:p w14:paraId="6DA76F99">
      <w:pPr>
        <w:wordWrap w:val="0"/>
        <w:spacing w:line="360" w:lineRule="auto"/>
        <w:ind w:firstLine="482" w:firstLineChars="200"/>
        <w:rPr>
          <w:b/>
          <w:bCs/>
          <w:color w:val="000000"/>
          <w:kern w:val="0"/>
          <w:sz w:val="24"/>
          <w:szCs w:val="28"/>
        </w:rPr>
      </w:pPr>
      <w:r>
        <w:rPr>
          <w:rFonts w:hint="eastAsia"/>
          <w:b/>
          <w:bCs/>
          <w:color w:val="000000"/>
          <w:kern w:val="0"/>
          <w:sz w:val="24"/>
          <w:szCs w:val="28"/>
        </w:rPr>
        <w:t>三、质保期及服务要求</w:t>
      </w:r>
    </w:p>
    <w:p w14:paraId="02E58D07">
      <w:pPr>
        <w:wordWrap w:val="0"/>
        <w:spacing w:line="360" w:lineRule="auto"/>
        <w:ind w:firstLine="480" w:firstLineChars="200"/>
        <w:rPr>
          <w:iCs/>
          <w:color w:val="000000"/>
          <w:kern w:val="0"/>
          <w:sz w:val="24"/>
          <w:szCs w:val="28"/>
          <w:lang w:bidi="ar"/>
        </w:rPr>
      </w:pPr>
      <w:r>
        <w:rPr>
          <w:rFonts w:hint="eastAsia"/>
          <w:iCs/>
          <w:color w:val="000000"/>
          <w:kern w:val="0"/>
          <w:sz w:val="24"/>
          <w:szCs w:val="28"/>
          <w:lang w:bidi="ar"/>
        </w:rPr>
        <w:t>24个月，服务要求：1.需符合国家及行业部门现行的各法律法规及规范规程；2.对于管线综合设计平面图中，根据专业管线技术要求采取相应的措施，保证管线的安全。</w:t>
      </w:r>
    </w:p>
    <w:p w14:paraId="61EA77F6">
      <w:pPr>
        <w:wordWrap w:val="0"/>
        <w:spacing w:line="360" w:lineRule="auto"/>
        <w:ind w:firstLine="482" w:firstLineChars="200"/>
        <w:rPr>
          <w:b/>
          <w:bCs/>
          <w:color w:val="000000"/>
          <w:kern w:val="0"/>
          <w:sz w:val="24"/>
          <w:szCs w:val="28"/>
        </w:rPr>
      </w:pPr>
      <w:r>
        <w:rPr>
          <w:rFonts w:hint="eastAsia"/>
          <w:b/>
          <w:bCs/>
          <w:color w:val="000000"/>
          <w:kern w:val="0"/>
          <w:sz w:val="24"/>
          <w:szCs w:val="28"/>
        </w:rPr>
        <w:t>四、履约验收</w:t>
      </w:r>
    </w:p>
    <w:p w14:paraId="411E53BE">
      <w:pPr>
        <w:wordWrap w:val="0"/>
        <w:spacing w:line="360" w:lineRule="auto"/>
        <w:ind w:firstLine="480" w:firstLineChars="200"/>
        <w:rPr>
          <w:iCs/>
          <w:color w:val="000000"/>
          <w:kern w:val="0"/>
          <w:sz w:val="24"/>
          <w:szCs w:val="28"/>
          <w:lang w:bidi="ar"/>
        </w:rPr>
      </w:pPr>
      <w:r>
        <w:rPr>
          <w:rFonts w:hint="eastAsia"/>
          <w:iCs/>
          <w:color w:val="000000"/>
          <w:kern w:val="0"/>
          <w:sz w:val="24"/>
          <w:szCs w:val="28"/>
          <w:lang w:bidi="ar"/>
        </w:rPr>
        <w:t>验收时间：项目工程完工后</w:t>
      </w:r>
    </w:p>
    <w:p w14:paraId="390D4CA7">
      <w:pPr>
        <w:wordWrap w:val="0"/>
        <w:spacing w:line="360" w:lineRule="auto"/>
        <w:ind w:firstLine="480" w:firstLineChars="200"/>
        <w:rPr>
          <w:iCs/>
          <w:color w:val="000000"/>
          <w:kern w:val="0"/>
          <w:sz w:val="24"/>
          <w:szCs w:val="28"/>
          <w:lang w:bidi="ar"/>
        </w:rPr>
      </w:pPr>
      <w:r>
        <w:rPr>
          <w:rFonts w:hint="eastAsia"/>
          <w:iCs/>
          <w:color w:val="000000"/>
          <w:kern w:val="0"/>
          <w:sz w:val="24"/>
          <w:szCs w:val="28"/>
          <w:lang w:bidi="ar"/>
        </w:rPr>
        <w:t>验收方式：竣工联合验收</w:t>
      </w:r>
    </w:p>
    <w:p w14:paraId="0E300130">
      <w:pPr>
        <w:wordWrap w:val="0"/>
        <w:spacing w:line="360" w:lineRule="auto"/>
        <w:ind w:firstLine="480" w:firstLineChars="200"/>
        <w:rPr>
          <w:iCs/>
          <w:color w:val="000000"/>
          <w:kern w:val="0"/>
          <w:sz w:val="24"/>
          <w:szCs w:val="28"/>
          <w:lang w:bidi="ar"/>
        </w:rPr>
      </w:pPr>
      <w:r>
        <w:rPr>
          <w:rFonts w:hint="eastAsia"/>
          <w:iCs/>
          <w:color w:val="000000"/>
          <w:kern w:val="0"/>
          <w:sz w:val="24"/>
          <w:szCs w:val="28"/>
          <w:lang w:bidi="ar"/>
        </w:rPr>
        <w:t>验收程序：由项目监理单位、建设单位、设计单位及施工单位共同对项目进行验收</w:t>
      </w:r>
    </w:p>
    <w:p w14:paraId="617D40AE">
      <w:pPr>
        <w:wordWrap w:val="0"/>
        <w:spacing w:line="360" w:lineRule="auto"/>
        <w:ind w:firstLine="480" w:firstLineChars="200"/>
        <w:rPr>
          <w:iCs/>
          <w:color w:val="000000"/>
          <w:kern w:val="0"/>
          <w:sz w:val="24"/>
          <w:szCs w:val="28"/>
          <w:lang w:bidi="ar"/>
        </w:rPr>
      </w:pPr>
      <w:r>
        <w:rPr>
          <w:rFonts w:hint="eastAsia"/>
          <w:iCs/>
          <w:color w:val="000000"/>
          <w:kern w:val="0"/>
          <w:sz w:val="24"/>
          <w:szCs w:val="28"/>
          <w:lang w:bidi="ar"/>
        </w:rPr>
        <w:t>验收内容：图纸、清单所示内容全部完成</w:t>
      </w:r>
    </w:p>
    <w:p w14:paraId="0A033CCF">
      <w:pPr>
        <w:wordWrap w:val="0"/>
        <w:spacing w:line="360" w:lineRule="auto"/>
        <w:ind w:firstLine="480" w:firstLineChars="200"/>
        <w:rPr>
          <w:iCs/>
          <w:color w:val="000000"/>
          <w:kern w:val="0"/>
          <w:sz w:val="24"/>
          <w:szCs w:val="28"/>
          <w:lang w:bidi="ar"/>
        </w:rPr>
      </w:pPr>
      <w:r>
        <w:rPr>
          <w:rFonts w:hint="eastAsia"/>
          <w:iCs/>
          <w:color w:val="000000"/>
          <w:kern w:val="0"/>
          <w:sz w:val="24"/>
          <w:szCs w:val="28"/>
          <w:lang w:bidi="ar"/>
        </w:rPr>
        <w:t>验收标准：符合国家规范要求和质量标准</w:t>
      </w:r>
    </w:p>
    <w:p w14:paraId="3137FEC4">
      <w:pPr>
        <w:wordWrap w:val="0"/>
        <w:spacing w:line="360" w:lineRule="auto"/>
        <w:ind w:firstLine="482" w:firstLineChars="200"/>
        <w:rPr>
          <w:b/>
          <w:bCs/>
          <w:color w:val="000000"/>
          <w:kern w:val="0"/>
          <w:sz w:val="24"/>
          <w:szCs w:val="28"/>
        </w:rPr>
      </w:pPr>
      <w:r>
        <w:rPr>
          <w:rFonts w:hint="eastAsia"/>
          <w:b/>
          <w:bCs/>
          <w:color w:val="000000"/>
          <w:kern w:val="0"/>
          <w:sz w:val="24"/>
          <w:szCs w:val="28"/>
        </w:rPr>
        <w:t>五、对供应商的要求</w:t>
      </w:r>
    </w:p>
    <w:p w14:paraId="103AED98">
      <w:pPr>
        <w:wordWrap w:val="0"/>
        <w:spacing w:line="360" w:lineRule="auto"/>
        <w:ind w:firstLine="480" w:firstLineChars="200"/>
        <w:rPr>
          <w:iCs/>
          <w:color w:val="000000"/>
          <w:kern w:val="0"/>
          <w:sz w:val="24"/>
          <w:szCs w:val="28"/>
          <w:lang w:bidi="ar"/>
        </w:rPr>
      </w:pPr>
      <w:r>
        <w:rPr>
          <w:rFonts w:hint="eastAsia"/>
          <w:iCs/>
          <w:color w:val="000000"/>
          <w:kern w:val="0"/>
          <w:sz w:val="24"/>
          <w:szCs w:val="28"/>
          <w:lang w:bidi="ar"/>
        </w:rPr>
        <w:t>1.具有专业的施工资质，详见《第一章 采购邀请》；</w:t>
      </w:r>
    </w:p>
    <w:p w14:paraId="436BAFE5">
      <w:pPr>
        <w:wordWrap w:val="0"/>
        <w:spacing w:line="360" w:lineRule="auto"/>
        <w:ind w:firstLine="480" w:firstLineChars="200"/>
        <w:rPr>
          <w:iCs/>
          <w:color w:val="000000"/>
          <w:kern w:val="0"/>
          <w:sz w:val="24"/>
          <w:szCs w:val="28"/>
          <w:lang w:bidi="ar"/>
        </w:rPr>
      </w:pPr>
      <w:r>
        <w:rPr>
          <w:rFonts w:hint="eastAsia"/>
          <w:iCs/>
          <w:color w:val="000000"/>
          <w:kern w:val="0"/>
          <w:sz w:val="24"/>
          <w:szCs w:val="28"/>
          <w:lang w:bidi="ar"/>
        </w:rPr>
        <w:t>2.在其资质等级和业务允许的范围内，按时保质保量完成所有工程项目施工内容；</w:t>
      </w:r>
    </w:p>
    <w:p w14:paraId="3B070A9F">
      <w:pPr>
        <w:wordWrap w:val="0"/>
        <w:spacing w:line="360" w:lineRule="auto"/>
        <w:ind w:firstLine="480" w:firstLineChars="200"/>
        <w:rPr>
          <w:iCs/>
          <w:color w:val="000000"/>
          <w:kern w:val="0"/>
          <w:sz w:val="24"/>
          <w:szCs w:val="28"/>
          <w:lang w:bidi="ar"/>
        </w:rPr>
      </w:pPr>
      <w:r>
        <w:rPr>
          <w:rFonts w:hint="eastAsia"/>
          <w:iCs/>
          <w:color w:val="000000"/>
          <w:kern w:val="0"/>
          <w:sz w:val="24"/>
          <w:szCs w:val="28"/>
          <w:lang w:bidi="ar"/>
        </w:rPr>
        <w:t>3.按周提供工程进度计划及相应进度统计报表；</w:t>
      </w:r>
    </w:p>
    <w:p w14:paraId="1C365728">
      <w:pPr>
        <w:wordWrap w:val="0"/>
        <w:spacing w:line="360" w:lineRule="auto"/>
        <w:ind w:firstLine="480" w:firstLineChars="200"/>
        <w:rPr>
          <w:iCs/>
          <w:color w:val="000000"/>
          <w:kern w:val="0"/>
          <w:sz w:val="24"/>
          <w:szCs w:val="28"/>
          <w:lang w:bidi="ar"/>
        </w:rPr>
      </w:pPr>
      <w:r>
        <w:rPr>
          <w:rFonts w:hint="eastAsia"/>
          <w:iCs/>
          <w:color w:val="000000"/>
          <w:kern w:val="0"/>
          <w:sz w:val="24"/>
          <w:szCs w:val="28"/>
          <w:lang w:bidi="ar"/>
        </w:rPr>
        <w:t>4.根据工程需要，提供和维修非夜间施工使用的照明、围栏设施，并负责安全保卫；</w:t>
      </w:r>
    </w:p>
    <w:p w14:paraId="0248D94B">
      <w:pPr>
        <w:wordWrap w:val="0"/>
        <w:spacing w:line="360" w:lineRule="auto"/>
        <w:ind w:firstLine="480" w:firstLineChars="200"/>
        <w:rPr>
          <w:iCs/>
          <w:color w:val="000000"/>
          <w:kern w:val="0"/>
          <w:sz w:val="24"/>
          <w:szCs w:val="28"/>
          <w:lang w:bidi="ar"/>
        </w:rPr>
      </w:pPr>
      <w:r>
        <w:rPr>
          <w:rFonts w:hint="eastAsia"/>
          <w:iCs/>
          <w:color w:val="000000"/>
          <w:kern w:val="0"/>
          <w:sz w:val="24"/>
          <w:szCs w:val="28"/>
          <w:lang w:bidi="ar"/>
        </w:rPr>
        <w:t>5.遵守学院及政府有关主管部门对施工场地交通、施工噪音以及环境保护和安全生产等的管理规定，按规定办理有关手续；</w:t>
      </w:r>
    </w:p>
    <w:p w14:paraId="0FBDB342">
      <w:pPr>
        <w:wordWrap w:val="0"/>
        <w:spacing w:line="360" w:lineRule="auto"/>
        <w:ind w:firstLine="480" w:firstLineChars="200"/>
        <w:rPr>
          <w:iCs/>
          <w:color w:val="000000"/>
          <w:kern w:val="0"/>
          <w:sz w:val="24"/>
          <w:szCs w:val="28"/>
          <w:lang w:bidi="ar"/>
        </w:rPr>
      </w:pPr>
      <w:r>
        <w:rPr>
          <w:rFonts w:hint="eastAsia"/>
          <w:iCs/>
          <w:color w:val="000000"/>
          <w:kern w:val="0"/>
          <w:sz w:val="24"/>
          <w:szCs w:val="28"/>
          <w:lang w:bidi="ar"/>
        </w:rPr>
        <w:t>6.已竣工工程未交付采购人之前，应负责已完工程的保护工作；</w:t>
      </w:r>
    </w:p>
    <w:p w14:paraId="72FE5604">
      <w:pPr>
        <w:wordWrap w:val="0"/>
        <w:spacing w:line="360" w:lineRule="auto"/>
        <w:ind w:firstLine="480" w:firstLineChars="200"/>
        <w:rPr>
          <w:iCs/>
          <w:color w:val="000000"/>
          <w:kern w:val="0"/>
          <w:sz w:val="24"/>
          <w:szCs w:val="28"/>
          <w:lang w:bidi="ar"/>
        </w:rPr>
      </w:pPr>
      <w:r>
        <w:rPr>
          <w:rFonts w:hint="eastAsia"/>
          <w:iCs/>
          <w:color w:val="000000"/>
          <w:kern w:val="0"/>
          <w:sz w:val="24"/>
          <w:szCs w:val="28"/>
          <w:lang w:bidi="ar"/>
        </w:rPr>
        <w:t>7.做好施工场地地下管线和邻近建筑物、构筑物、树木的保护工作；</w:t>
      </w:r>
    </w:p>
    <w:p w14:paraId="36844364">
      <w:pPr>
        <w:wordWrap w:val="0"/>
        <w:spacing w:line="360" w:lineRule="auto"/>
        <w:ind w:firstLine="480" w:firstLineChars="200"/>
        <w:rPr>
          <w:iCs/>
          <w:color w:val="000000"/>
          <w:kern w:val="0"/>
          <w:sz w:val="24"/>
          <w:szCs w:val="28"/>
          <w:lang w:bidi="ar"/>
        </w:rPr>
      </w:pPr>
      <w:r>
        <w:rPr>
          <w:rFonts w:hint="eastAsia"/>
          <w:iCs/>
          <w:color w:val="000000"/>
          <w:kern w:val="0"/>
          <w:sz w:val="24"/>
          <w:szCs w:val="28"/>
          <w:lang w:bidi="ar"/>
        </w:rPr>
        <w:t>8.保证施工场地清洁符合环境卫生管理的有关规定，交工前清理现场；</w:t>
      </w:r>
    </w:p>
    <w:p w14:paraId="6AE2CA22">
      <w:pPr>
        <w:wordWrap w:val="0"/>
        <w:spacing w:line="360" w:lineRule="auto"/>
        <w:ind w:firstLine="480" w:firstLineChars="200"/>
        <w:rPr>
          <w:iCs/>
          <w:color w:val="000000"/>
          <w:kern w:val="0"/>
          <w:sz w:val="24"/>
          <w:szCs w:val="28"/>
          <w:lang w:bidi="ar"/>
        </w:rPr>
      </w:pPr>
      <w:r>
        <w:rPr>
          <w:rFonts w:hint="eastAsia"/>
          <w:iCs/>
          <w:color w:val="000000"/>
          <w:kern w:val="0"/>
          <w:sz w:val="24"/>
          <w:szCs w:val="28"/>
          <w:lang w:bidi="ar"/>
        </w:rPr>
        <w:t>9.工程竣工验收时，按国家工程竣工验收有关规定，提供相关竣工资料及竣工验收报告。竣工验收合格后，提交竣工结算报告及完整的结算资料，进行工程竣工结算。</w:t>
      </w:r>
    </w:p>
    <w:p w14:paraId="6DAF35CC">
      <w:pPr>
        <w:wordWrap w:val="0"/>
        <w:spacing w:line="360" w:lineRule="auto"/>
        <w:ind w:firstLine="480" w:firstLineChars="200"/>
        <w:rPr>
          <w:iCs/>
          <w:color w:val="000000"/>
          <w:kern w:val="0"/>
          <w:sz w:val="24"/>
          <w:szCs w:val="28"/>
          <w:lang w:bidi="ar"/>
        </w:rPr>
      </w:pPr>
      <w:r>
        <w:rPr>
          <w:rFonts w:hint="eastAsia"/>
          <w:iCs/>
          <w:color w:val="000000"/>
          <w:kern w:val="0"/>
          <w:sz w:val="24"/>
          <w:szCs w:val="28"/>
          <w:lang w:bidi="ar"/>
        </w:rPr>
        <w:t>10.按法律、行政法规或国家关于工程质量保修的有关规定，对交付使用的工程在质量保修期内承担质量保修责任。竣工验收后自动转入质量保修期，保修内容为全部工程范围。</w:t>
      </w:r>
    </w:p>
    <w:p w14:paraId="4F9A435B">
      <w:pPr>
        <w:wordWrap w:val="0"/>
        <w:spacing w:line="360" w:lineRule="auto"/>
        <w:ind w:firstLine="480" w:firstLineChars="200"/>
        <w:rPr>
          <w:iCs/>
          <w:color w:val="000000"/>
          <w:kern w:val="0"/>
          <w:sz w:val="24"/>
          <w:szCs w:val="28"/>
          <w:lang w:bidi="ar"/>
        </w:rPr>
      </w:pPr>
      <w:r>
        <w:rPr>
          <w:rFonts w:hint="eastAsia"/>
          <w:iCs/>
          <w:color w:val="000000"/>
          <w:kern w:val="0"/>
          <w:sz w:val="24"/>
          <w:szCs w:val="28"/>
          <w:lang w:bidi="ar"/>
        </w:rPr>
        <w:t>11.提供劳动力计划及主要设备材料、构件的用量计划与保证措施等，配置科学合理，符合项目实际需求，细节考虑完善且切实可行。</w:t>
      </w:r>
    </w:p>
    <w:p w14:paraId="2FEA57B6">
      <w:pPr>
        <w:wordWrap w:val="0"/>
        <w:spacing w:line="360" w:lineRule="auto"/>
        <w:ind w:firstLine="480" w:firstLineChars="200"/>
        <w:rPr>
          <w:iCs/>
          <w:color w:val="000000"/>
          <w:kern w:val="0"/>
          <w:sz w:val="24"/>
          <w:szCs w:val="28"/>
          <w:lang w:bidi="ar"/>
        </w:rPr>
      </w:pPr>
      <w:r>
        <w:rPr>
          <w:rFonts w:hint="eastAsia"/>
          <w:iCs/>
          <w:color w:val="000000"/>
          <w:kern w:val="0"/>
          <w:sz w:val="24"/>
          <w:szCs w:val="28"/>
          <w:lang w:bidi="ar"/>
        </w:rPr>
        <w:t>12.本项目施工期可能产生噪声、振动等干扰，施工方需采取有效降噪措施并按规定时间施工，投标报价时应综合考虑扰民费等风险因素进行综合报价。</w:t>
      </w:r>
    </w:p>
    <w:p w14:paraId="6DDAAFCC">
      <w:pPr>
        <w:wordWrap w:val="0"/>
        <w:spacing w:line="360" w:lineRule="auto"/>
        <w:ind w:firstLine="482" w:firstLineChars="200"/>
        <w:rPr>
          <w:b/>
          <w:bCs/>
          <w:color w:val="000000"/>
          <w:kern w:val="0"/>
          <w:sz w:val="24"/>
          <w:szCs w:val="28"/>
        </w:rPr>
      </w:pPr>
      <w:r>
        <w:rPr>
          <w:rFonts w:hint="eastAsia"/>
          <w:b/>
          <w:bCs/>
          <w:color w:val="000000"/>
          <w:kern w:val="0"/>
          <w:sz w:val="24"/>
          <w:szCs w:val="28"/>
        </w:rPr>
        <w:t>六、工程质量和施工安全要求</w:t>
      </w:r>
    </w:p>
    <w:p w14:paraId="6E14DCC8">
      <w:pPr>
        <w:wordWrap w:val="0"/>
        <w:spacing w:line="360" w:lineRule="auto"/>
        <w:ind w:firstLine="480" w:firstLineChars="200"/>
        <w:rPr>
          <w:iCs/>
          <w:color w:val="000000"/>
          <w:kern w:val="0"/>
          <w:sz w:val="24"/>
          <w:szCs w:val="28"/>
          <w:lang w:bidi="ar"/>
        </w:rPr>
      </w:pPr>
      <w:r>
        <w:rPr>
          <w:rFonts w:hint="eastAsia"/>
          <w:iCs/>
          <w:color w:val="000000"/>
          <w:kern w:val="0"/>
          <w:sz w:val="24"/>
          <w:szCs w:val="28"/>
          <w:lang w:bidi="ar"/>
        </w:rPr>
        <w:t>1.工程质量标准：合格</w:t>
      </w:r>
    </w:p>
    <w:p w14:paraId="0AD2F67A">
      <w:pPr>
        <w:wordWrap w:val="0"/>
        <w:spacing w:line="360" w:lineRule="auto"/>
        <w:ind w:firstLine="480" w:firstLineChars="200"/>
        <w:rPr>
          <w:iCs/>
          <w:color w:val="000000"/>
          <w:kern w:val="0"/>
          <w:sz w:val="24"/>
          <w:szCs w:val="28"/>
          <w:lang w:bidi="ar"/>
        </w:rPr>
      </w:pPr>
      <w:r>
        <w:rPr>
          <w:rFonts w:hint="eastAsia"/>
          <w:iCs/>
          <w:color w:val="000000"/>
          <w:kern w:val="0"/>
          <w:sz w:val="24"/>
          <w:szCs w:val="28"/>
          <w:lang w:bidi="ar"/>
        </w:rPr>
        <w:t>2.施工现场安全生产标准化管理目标等级：达标</w:t>
      </w:r>
    </w:p>
    <w:p w14:paraId="5B777445">
      <w:pPr>
        <w:wordWrap w:val="0"/>
        <w:spacing w:line="360" w:lineRule="auto"/>
        <w:ind w:firstLine="480" w:firstLineChars="200"/>
        <w:rPr>
          <w:iCs/>
          <w:color w:val="000000"/>
          <w:kern w:val="0"/>
          <w:sz w:val="24"/>
          <w:szCs w:val="28"/>
          <w:lang w:bidi="ar"/>
        </w:rPr>
      </w:pPr>
      <w:r>
        <w:rPr>
          <w:rFonts w:hint="eastAsia"/>
          <w:iCs/>
          <w:color w:val="000000"/>
          <w:kern w:val="0"/>
          <w:sz w:val="24"/>
          <w:szCs w:val="28"/>
          <w:lang w:bidi="ar"/>
        </w:rPr>
        <w:t>3.严格按照施工规范操作。</w:t>
      </w:r>
    </w:p>
    <w:p w14:paraId="0AD5A4E7">
      <w:pPr>
        <w:wordWrap w:val="0"/>
        <w:spacing w:line="360" w:lineRule="auto"/>
        <w:ind w:firstLine="482" w:firstLineChars="200"/>
      </w:pPr>
      <w:r>
        <w:rPr>
          <w:rFonts w:hint="eastAsia"/>
          <w:b/>
          <w:bCs/>
          <w:color w:val="000000"/>
          <w:kern w:val="0"/>
          <w:sz w:val="24"/>
          <w:szCs w:val="28"/>
        </w:rPr>
        <w:t>七、付款方式</w:t>
      </w:r>
    </w:p>
    <w:p w14:paraId="3CED989C">
      <w:pPr>
        <w:wordWrap w:val="0"/>
        <w:spacing w:line="360" w:lineRule="auto"/>
        <w:ind w:firstLine="480" w:firstLineChars="200"/>
        <w:rPr>
          <w:iCs/>
          <w:color w:val="000000"/>
          <w:kern w:val="0"/>
          <w:sz w:val="24"/>
          <w:szCs w:val="28"/>
          <w:lang w:bidi="ar"/>
        </w:rPr>
      </w:pPr>
      <w:r>
        <w:rPr>
          <w:rFonts w:hint="eastAsia"/>
          <w:iCs/>
          <w:color w:val="000000"/>
          <w:kern w:val="0"/>
          <w:sz w:val="24"/>
          <w:szCs w:val="28"/>
          <w:lang w:bidi="ar"/>
        </w:rPr>
        <w:t>成交人向采购人递交有效发票后，采购人向成交人付总工程款的30%，工程进度和工程量完成至70%时，累计支付至合同价款的70%。进度款支付不作为结算依据。工程竣工验收合格并提交完整的结算资料后，待工程竣工结算审计并经发承包双方确认后90日历天内支付至结算价款的100%，成交人向采购人交纳审定金额的3%作为质保金，无质量问题24个月后无息返还。</w:t>
      </w:r>
    </w:p>
    <w:p w14:paraId="22DDBF34">
      <w:pPr>
        <w:rPr>
          <w:bCs/>
          <w:sz w:val="24"/>
        </w:rPr>
      </w:pPr>
      <w:r>
        <w:rPr>
          <w:rFonts w:hint="eastAsia" w:ascii="仿宋" w:hAnsi="仿宋" w:eastAsia="仿宋"/>
          <w:bCs/>
          <w:sz w:val="24"/>
        </w:rPr>
        <w:br w:type="page"/>
      </w:r>
    </w:p>
    <w:p w14:paraId="0AC93B89">
      <w:pPr>
        <w:spacing w:line="360" w:lineRule="auto"/>
        <w:jc w:val="center"/>
        <w:outlineLvl w:val="0"/>
        <w:rPr>
          <w:b/>
          <w:sz w:val="36"/>
          <w:szCs w:val="36"/>
        </w:rPr>
      </w:pPr>
      <w:bookmarkStart w:id="682" w:name="_Toc30815"/>
      <w:bookmarkStart w:id="683" w:name="_Toc3864"/>
      <w:r>
        <w:rPr>
          <w:b/>
          <w:sz w:val="36"/>
          <w:szCs w:val="36"/>
        </w:rPr>
        <w:t>第五章   合同草案条款</w:t>
      </w:r>
      <w:bookmarkEnd w:id="681"/>
      <w:bookmarkEnd w:id="682"/>
      <w:bookmarkEnd w:id="683"/>
    </w:p>
    <w:p w14:paraId="071830AD">
      <w:pPr>
        <w:spacing w:before="120"/>
        <w:jc w:val="center"/>
        <w:rPr>
          <w:rFonts w:hint="eastAsia" w:ascii="宋体" w:hAnsi="宋体" w:cs="宋体"/>
          <w:bCs/>
          <w:sz w:val="24"/>
        </w:rPr>
      </w:pPr>
      <w:bookmarkStart w:id="684" w:name="_Toc97371947"/>
      <w:r>
        <w:rPr>
          <w:rFonts w:hint="eastAsia" w:ascii="宋体" w:hAnsi="宋体" w:cs="宋体"/>
          <w:bCs/>
          <w:sz w:val="24"/>
        </w:rPr>
        <w:t>（以实际签订为准）</w:t>
      </w:r>
    </w:p>
    <w:p w14:paraId="10EE6FD6">
      <w:pPr>
        <w:spacing w:before="120"/>
        <w:jc w:val="center"/>
        <w:rPr>
          <w:rFonts w:hint="eastAsia" w:ascii="宋体" w:hAnsi="宋体" w:cs="宋体"/>
          <w:b/>
          <w:sz w:val="24"/>
        </w:rPr>
      </w:pPr>
      <w:r>
        <w:rPr>
          <w:rFonts w:ascii="宋体" w:hAnsi="宋体" w:cs="宋体"/>
          <w:b/>
          <w:sz w:val="24"/>
        </w:rPr>
        <w:br w:type="page"/>
      </w:r>
    </w:p>
    <w:p w14:paraId="09677889">
      <w:pPr>
        <w:spacing w:before="120" w:line="22" w:lineRule="atLeast"/>
        <w:ind w:left="960" w:leftChars="457" w:firstLine="1446" w:firstLineChars="600"/>
        <w:rPr>
          <w:rFonts w:hint="eastAsia" w:ascii="宋体" w:hAnsi="宋体"/>
          <w:b/>
          <w:sz w:val="24"/>
        </w:rPr>
      </w:pPr>
    </w:p>
    <w:p w14:paraId="52CC6FEB">
      <w:pPr>
        <w:pStyle w:val="5"/>
        <w:ind w:firstLine="480"/>
        <w:rPr>
          <w:rFonts w:hint="eastAsia" w:hAnsi="宋体"/>
        </w:rPr>
      </w:pPr>
    </w:p>
    <w:p w14:paraId="6FC995BD">
      <w:pPr>
        <w:pStyle w:val="5"/>
        <w:ind w:firstLine="480"/>
        <w:rPr>
          <w:rFonts w:hint="eastAsia" w:hAnsi="宋体"/>
        </w:rPr>
      </w:pPr>
    </w:p>
    <w:p w14:paraId="09F1B2ED">
      <w:pPr>
        <w:pStyle w:val="5"/>
        <w:ind w:firstLine="480"/>
        <w:rPr>
          <w:rFonts w:hint="eastAsia" w:hAnsi="宋体"/>
        </w:rPr>
      </w:pPr>
    </w:p>
    <w:p w14:paraId="7E500DDD">
      <w:pPr>
        <w:pStyle w:val="5"/>
        <w:ind w:firstLine="480"/>
        <w:rPr>
          <w:rFonts w:hint="eastAsia" w:hAnsi="宋体"/>
        </w:rPr>
      </w:pPr>
    </w:p>
    <w:p w14:paraId="2C886874">
      <w:pPr>
        <w:ind w:left="2884"/>
        <w:rPr>
          <w:rFonts w:hint="eastAsia" w:ascii="宋体" w:hAnsi="宋体"/>
          <w:sz w:val="24"/>
        </w:rPr>
      </w:pPr>
    </w:p>
    <w:p w14:paraId="7954953B">
      <w:pPr>
        <w:pStyle w:val="5"/>
        <w:ind w:firstLine="480"/>
        <w:rPr>
          <w:rFonts w:hint="eastAsia" w:hAnsi="宋体"/>
        </w:rPr>
      </w:pPr>
    </w:p>
    <w:p w14:paraId="58A42B88">
      <w:pPr>
        <w:spacing w:before="120" w:line="22" w:lineRule="atLeast"/>
        <w:ind w:left="2618" w:leftChars="195" w:hanging="2209" w:hangingChars="500"/>
        <w:jc w:val="left"/>
        <w:rPr>
          <w:rFonts w:hint="eastAsia" w:ascii="宋体" w:hAnsi="宋体"/>
          <w:b/>
          <w:sz w:val="44"/>
          <w:szCs w:val="36"/>
        </w:rPr>
      </w:pPr>
      <w:r>
        <w:rPr>
          <w:rFonts w:hint="eastAsia" w:ascii="宋体" w:hAnsi="宋体"/>
          <w:b/>
          <w:sz w:val="44"/>
          <w:szCs w:val="36"/>
        </w:rPr>
        <w:t>项目名称：</w:t>
      </w:r>
    </w:p>
    <w:p w14:paraId="30A869CF">
      <w:pPr>
        <w:spacing w:before="120" w:line="22" w:lineRule="atLeast"/>
        <w:ind w:left="960" w:leftChars="457" w:firstLine="723" w:firstLineChars="200"/>
        <w:rPr>
          <w:rFonts w:hint="eastAsia" w:ascii="宋体" w:hAnsi="宋体"/>
          <w:b/>
          <w:sz w:val="36"/>
          <w:szCs w:val="36"/>
          <w:u w:val="single"/>
        </w:rPr>
      </w:pPr>
    </w:p>
    <w:p w14:paraId="7F50657C">
      <w:pPr>
        <w:spacing w:before="120" w:line="22" w:lineRule="atLeast"/>
        <w:rPr>
          <w:rFonts w:hint="eastAsia" w:ascii="宋体" w:hAnsi="宋体"/>
          <w:b/>
          <w:sz w:val="24"/>
        </w:rPr>
      </w:pPr>
    </w:p>
    <w:p w14:paraId="50346897">
      <w:pPr>
        <w:pStyle w:val="39"/>
        <w:spacing w:before="120" w:line="22" w:lineRule="atLeast"/>
        <w:rPr>
          <w:rFonts w:hint="eastAsia" w:ascii="宋体" w:hAnsi="宋体"/>
          <w:sz w:val="24"/>
          <w:szCs w:val="24"/>
        </w:rPr>
      </w:pPr>
    </w:p>
    <w:p w14:paraId="0BEE161B"/>
    <w:p w14:paraId="2B402FD1"/>
    <w:p w14:paraId="6F186921"/>
    <w:p w14:paraId="086679B0"/>
    <w:p w14:paraId="29283F66"/>
    <w:p w14:paraId="02E33DF1"/>
    <w:p w14:paraId="7D9C07BD"/>
    <w:p w14:paraId="24F6D496"/>
    <w:p w14:paraId="185965EC"/>
    <w:p w14:paraId="4ADA8391"/>
    <w:p w14:paraId="31AA604C"/>
    <w:p w14:paraId="66BD3B7D"/>
    <w:p w14:paraId="351689BB"/>
    <w:p w14:paraId="04D9CC00">
      <w:pPr>
        <w:spacing w:before="120" w:line="22" w:lineRule="atLeast"/>
        <w:ind w:firstLine="361" w:firstLineChars="100"/>
        <w:rPr>
          <w:rFonts w:hint="eastAsia" w:ascii="宋体" w:hAnsi="宋体"/>
          <w:sz w:val="36"/>
          <w:szCs w:val="36"/>
          <w:u w:val="single"/>
        </w:rPr>
      </w:pPr>
      <w:r>
        <w:rPr>
          <w:rFonts w:hint="eastAsia" w:ascii="宋体" w:hAnsi="宋体"/>
          <w:b/>
          <w:sz w:val="36"/>
          <w:szCs w:val="36"/>
        </w:rPr>
        <w:t xml:space="preserve">甲方（全称）： </w:t>
      </w:r>
      <w:r>
        <w:rPr>
          <w:rFonts w:hint="eastAsia" w:ascii="宋体" w:hAnsi="宋体"/>
          <w:b/>
          <w:sz w:val="36"/>
          <w:szCs w:val="36"/>
          <w:u w:val="single"/>
        </w:rPr>
        <w:t xml:space="preserve">中国音乐学院 </w:t>
      </w:r>
      <w:r>
        <w:rPr>
          <w:rFonts w:ascii="宋体" w:hAnsi="宋体"/>
          <w:b/>
          <w:sz w:val="36"/>
          <w:szCs w:val="36"/>
          <w:u w:val="single"/>
        </w:rPr>
        <w:t xml:space="preserve">              </w:t>
      </w:r>
    </w:p>
    <w:p w14:paraId="7A65F51C">
      <w:pPr>
        <w:spacing w:before="120" w:line="22" w:lineRule="atLeast"/>
        <w:ind w:firstLine="361" w:firstLineChars="100"/>
        <w:rPr>
          <w:rFonts w:hint="eastAsia" w:ascii="宋体" w:hAnsi="宋体"/>
          <w:sz w:val="36"/>
          <w:szCs w:val="36"/>
        </w:rPr>
      </w:pPr>
      <w:r>
        <w:rPr>
          <w:rFonts w:hint="eastAsia" w:ascii="宋体" w:hAnsi="宋体"/>
          <w:b/>
          <w:sz w:val="36"/>
          <w:szCs w:val="36"/>
        </w:rPr>
        <w:t xml:space="preserve">乙方（全称）： </w:t>
      </w:r>
      <w:r>
        <w:rPr>
          <w:rFonts w:hint="eastAsia" w:ascii="宋体" w:hAnsi="宋体"/>
          <w:b/>
          <w:sz w:val="36"/>
          <w:szCs w:val="36"/>
          <w:u w:val="single"/>
        </w:rPr>
        <w:t xml:space="preserve">                           </w:t>
      </w:r>
    </w:p>
    <w:p w14:paraId="12190969">
      <w:pPr>
        <w:spacing w:before="120" w:line="22" w:lineRule="atLeast"/>
        <w:ind w:left="960"/>
        <w:jc w:val="center"/>
        <w:rPr>
          <w:rFonts w:hint="eastAsia" w:ascii="宋体" w:hAnsi="宋体"/>
          <w:sz w:val="36"/>
          <w:szCs w:val="36"/>
        </w:rPr>
      </w:pPr>
    </w:p>
    <w:p w14:paraId="123D730B">
      <w:pPr>
        <w:spacing w:before="120" w:line="22" w:lineRule="atLeast"/>
        <w:ind w:firstLine="361" w:firstLineChars="100"/>
        <w:rPr>
          <w:rFonts w:hint="eastAsia" w:ascii="宋体" w:hAnsi="宋体"/>
          <w:b/>
          <w:sz w:val="36"/>
          <w:szCs w:val="36"/>
          <w:u w:val="single"/>
        </w:rPr>
      </w:pPr>
      <w:r>
        <w:rPr>
          <w:rFonts w:hint="eastAsia" w:ascii="宋体" w:hAnsi="宋体"/>
          <w:b/>
          <w:sz w:val="36"/>
          <w:szCs w:val="36"/>
        </w:rPr>
        <w:t>签署日期：</w:t>
      </w:r>
    </w:p>
    <w:p w14:paraId="419E2A67">
      <w:pPr>
        <w:spacing w:before="120" w:line="22" w:lineRule="atLeast"/>
        <w:rPr>
          <w:rFonts w:hint="eastAsia" w:ascii="宋体" w:hAnsi="宋体"/>
          <w:b/>
          <w:sz w:val="24"/>
          <w:u w:val="single"/>
        </w:rPr>
      </w:pPr>
    </w:p>
    <w:p w14:paraId="4FD64024">
      <w:pPr>
        <w:spacing w:line="440" w:lineRule="exact"/>
        <w:jc w:val="center"/>
        <w:outlineLvl w:val="1"/>
        <w:rPr>
          <w:rFonts w:ascii="黑体" w:eastAsia="黑体"/>
          <w:sz w:val="28"/>
          <w:szCs w:val="28"/>
        </w:rPr>
      </w:pPr>
      <w:r>
        <w:rPr>
          <w:rFonts w:ascii="宋体" w:hAnsi="宋体"/>
          <w:b/>
          <w:sz w:val="24"/>
        </w:rPr>
        <w:br w:type="page"/>
      </w:r>
      <w:r>
        <w:rPr>
          <w:rFonts w:hint="eastAsia" w:ascii="黑体" w:eastAsia="黑体"/>
          <w:sz w:val="28"/>
          <w:szCs w:val="28"/>
        </w:rPr>
        <w:t>合同协议书</w:t>
      </w:r>
    </w:p>
    <w:p w14:paraId="36779EB1">
      <w:pPr>
        <w:pStyle w:val="114"/>
        <w:spacing w:line="440" w:lineRule="exact"/>
        <w:rPr>
          <w:szCs w:val="21"/>
        </w:rPr>
      </w:pPr>
    </w:p>
    <w:p w14:paraId="495F3D27">
      <w:pPr>
        <w:wordWrap w:val="0"/>
        <w:topLinePunct/>
        <w:spacing w:line="360" w:lineRule="auto"/>
        <w:rPr>
          <w:rFonts w:hint="eastAsia" w:ascii="宋体" w:hAnsi="宋体" w:cs="Arial"/>
          <w:b/>
          <w:sz w:val="24"/>
        </w:rPr>
      </w:pPr>
      <w:r>
        <w:rPr>
          <w:rFonts w:ascii="宋体" w:hAnsi="宋体" w:cs="Arial"/>
          <w:b/>
          <w:sz w:val="24"/>
        </w:rPr>
        <w:t>甲方</w:t>
      </w:r>
      <w:r>
        <w:rPr>
          <w:rFonts w:hint="eastAsia" w:ascii="宋体" w:hAnsi="宋体" w:cs="Arial"/>
          <w:b/>
          <w:sz w:val="24"/>
        </w:rPr>
        <w:t>（全称）</w:t>
      </w:r>
      <w:r>
        <w:rPr>
          <w:rFonts w:ascii="宋体" w:hAnsi="宋体" w:cs="Arial"/>
          <w:b/>
          <w:sz w:val="24"/>
        </w:rPr>
        <w:t>：</w:t>
      </w:r>
      <w:r>
        <w:rPr>
          <w:rFonts w:hint="eastAsia" w:ascii="宋体" w:hAnsi="宋体" w:cs="Arial"/>
          <w:sz w:val="24"/>
          <w:u w:val="single"/>
        </w:rPr>
        <w:t>中国音乐学院</w:t>
      </w:r>
    </w:p>
    <w:p w14:paraId="4FDBB519">
      <w:pPr>
        <w:wordWrap w:val="0"/>
        <w:topLinePunct/>
        <w:spacing w:line="360" w:lineRule="auto"/>
        <w:rPr>
          <w:rFonts w:hint="eastAsia" w:ascii="宋体" w:hAnsi="宋体"/>
          <w:b/>
          <w:sz w:val="24"/>
        </w:rPr>
      </w:pPr>
      <w:r>
        <w:rPr>
          <w:rFonts w:hint="eastAsia" w:ascii="宋体" w:hAnsi="宋体"/>
          <w:b/>
          <w:sz w:val="24"/>
        </w:rPr>
        <w:t>法 定 代 表 人：</w:t>
      </w:r>
      <w:r>
        <w:rPr>
          <w:rFonts w:hint="eastAsia" w:ascii="宋体" w:hAnsi="宋体" w:cs="Arial"/>
          <w:sz w:val="24"/>
          <w:u w:val="single"/>
        </w:rPr>
        <w:t>李心草</w:t>
      </w:r>
    </w:p>
    <w:p w14:paraId="2F104188">
      <w:pPr>
        <w:wordWrap w:val="0"/>
        <w:topLinePunct/>
        <w:spacing w:line="360" w:lineRule="auto"/>
        <w:rPr>
          <w:rFonts w:hint="eastAsia" w:ascii="宋体" w:hAnsi="宋体"/>
          <w:b/>
          <w:sz w:val="24"/>
          <w:u w:val="single"/>
        </w:rPr>
      </w:pPr>
      <w:r>
        <w:rPr>
          <w:rFonts w:hint="eastAsia" w:ascii="宋体" w:hAnsi="宋体"/>
          <w:b/>
          <w:sz w:val="24"/>
        </w:rPr>
        <w:t>法定注册地址：</w:t>
      </w:r>
      <w:r>
        <w:rPr>
          <w:rFonts w:hint="eastAsia" w:ascii="宋体" w:hAnsi="宋体" w:cs="宋体"/>
          <w:kern w:val="0"/>
          <w:sz w:val="24"/>
          <w:u w:val="single"/>
        </w:rPr>
        <w:t>北京市朝阳区安翔路1号</w:t>
      </w:r>
    </w:p>
    <w:p w14:paraId="7619A5AC">
      <w:pPr>
        <w:wordWrap w:val="0"/>
        <w:topLinePunct/>
        <w:spacing w:line="360" w:lineRule="auto"/>
        <w:rPr>
          <w:rFonts w:hint="eastAsia" w:ascii="宋体" w:hAnsi="宋体"/>
          <w:b/>
          <w:sz w:val="24"/>
        </w:rPr>
      </w:pPr>
    </w:p>
    <w:p w14:paraId="5B6E3A5F">
      <w:pPr>
        <w:wordWrap w:val="0"/>
        <w:topLinePunct/>
        <w:spacing w:line="360" w:lineRule="auto"/>
        <w:rPr>
          <w:rFonts w:hint="eastAsia" w:ascii="宋体" w:hAnsi="宋体"/>
          <w:b/>
          <w:sz w:val="24"/>
        </w:rPr>
      </w:pPr>
      <w:r>
        <w:rPr>
          <w:rFonts w:hint="eastAsia" w:ascii="宋体" w:hAnsi="宋体"/>
          <w:b/>
          <w:sz w:val="24"/>
        </w:rPr>
        <w:t>乙方（全称）：</w:t>
      </w:r>
      <w:r>
        <w:rPr>
          <w:rFonts w:hint="eastAsia" w:ascii="宋体" w:hAnsi="宋体"/>
          <w:bCs/>
          <w:sz w:val="36"/>
          <w:szCs w:val="36"/>
          <w:u w:val="single"/>
        </w:rPr>
        <w:t xml:space="preserve">            </w:t>
      </w:r>
      <w:r>
        <w:rPr>
          <w:rFonts w:hint="eastAsia" w:ascii="宋体" w:hAnsi="宋体" w:cs="宋体"/>
          <w:bCs/>
          <w:sz w:val="24"/>
          <w:u w:val="single"/>
          <w:shd w:val="clear" w:color="auto" w:fill="FFFFFF"/>
        </w:rPr>
        <w:t xml:space="preserve"> </w:t>
      </w:r>
    </w:p>
    <w:p w14:paraId="4A550AD2">
      <w:pPr>
        <w:wordWrap w:val="0"/>
        <w:topLinePunct/>
        <w:spacing w:line="360" w:lineRule="auto"/>
        <w:rPr>
          <w:rFonts w:hint="eastAsia" w:ascii="宋体" w:hAnsi="宋体" w:cs="宋体"/>
          <w:sz w:val="24"/>
          <w:u w:val="single"/>
        </w:rPr>
      </w:pPr>
      <w:r>
        <w:rPr>
          <w:rFonts w:hint="eastAsia" w:ascii="宋体" w:hAnsi="宋体"/>
          <w:b/>
          <w:sz w:val="24"/>
        </w:rPr>
        <w:t>法 定 代 表 人：</w:t>
      </w:r>
      <w:r>
        <w:rPr>
          <w:rFonts w:hint="eastAsia" w:ascii="宋体" w:hAnsi="宋体"/>
          <w:bCs/>
          <w:sz w:val="36"/>
          <w:szCs w:val="36"/>
          <w:u w:val="single"/>
        </w:rPr>
        <w:t xml:space="preserve">            </w:t>
      </w:r>
      <w:r>
        <w:rPr>
          <w:rFonts w:hint="eastAsia" w:ascii="宋体" w:hAnsi="宋体" w:cs="宋体"/>
          <w:bCs/>
          <w:sz w:val="24"/>
          <w:u w:val="single"/>
          <w:shd w:val="clear" w:color="auto" w:fill="FFFFFF"/>
        </w:rPr>
        <w:t xml:space="preserve"> </w:t>
      </w:r>
    </w:p>
    <w:p w14:paraId="38FC8980">
      <w:pPr>
        <w:wordWrap w:val="0"/>
        <w:topLinePunct/>
        <w:spacing w:line="360" w:lineRule="auto"/>
        <w:ind w:left="1687" w:hanging="1687" w:hangingChars="700"/>
        <w:rPr>
          <w:rFonts w:hint="eastAsia" w:ascii="宋体" w:hAnsi="宋体"/>
          <w:b/>
          <w:sz w:val="24"/>
        </w:rPr>
      </w:pPr>
      <w:r>
        <w:rPr>
          <w:rFonts w:hint="eastAsia" w:ascii="宋体" w:hAnsi="宋体"/>
          <w:b/>
          <w:sz w:val="24"/>
        </w:rPr>
        <w:t>法定注册地址：</w:t>
      </w:r>
      <w:r>
        <w:rPr>
          <w:rFonts w:hint="eastAsia" w:ascii="宋体" w:hAnsi="宋体"/>
          <w:bCs/>
          <w:sz w:val="36"/>
          <w:szCs w:val="36"/>
          <w:u w:val="single"/>
        </w:rPr>
        <w:t xml:space="preserve">            </w:t>
      </w:r>
      <w:r>
        <w:rPr>
          <w:rFonts w:hint="eastAsia" w:ascii="宋体" w:hAnsi="宋体" w:cs="宋体"/>
          <w:bCs/>
          <w:sz w:val="24"/>
          <w:u w:val="single"/>
          <w:shd w:val="clear" w:color="auto" w:fill="FFFFFF"/>
        </w:rPr>
        <w:t xml:space="preserve"> </w:t>
      </w:r>
    </w:p>
    <w:p w14:paraId="419A8045">
      <w:pPr>
        <w:wordWrap w:val="0"/>
        <w:topLinePunct/>
        <w:spacing w:line="360" w:lineRule="auto"/>
        <w:ind w:firstLine="490"/>
        <w:rPr>
          <w:rFonts w:hint="eastAsia" w:ascii="宋体" w:hAnsi="宋体"/>
          <w:sz w:val="24"/>
        </w:rPr>
      </w:pPr>
    </w:p>
    <w:p w14:paraId="2D714027">
      <w:pPr>
        <w:wordWrap w:val="0"/>
        <w:topLinePunct/>
        <w:spacing w:line="360" w:lineRule="auto"/>
        <w:ind w:firstLine="490"/>
        <w:rPr>
          <w:rFonts w:hint="eastAsia" w:ascii="宋体" w:hAnsi="宋体"/>
          <w:sz w:val="24"/>
        </w:rPr>
      </w:pPr>
      <w:r>
        <w:rPr>
          <w:rFonts w:hint="eastAsia" w:ascii="宋体" w:hAnsi="宋体"/>
          <w:sz w:val="24"/>
        </w:rPr>
        <w:t>甲方为建设</w:t>
      </w:r>
      <w:r>
        <w:rPr>
          <w:rFonts w:hint="eastAsia" w:ascii="宋体" w:hAnsi="宋体"/>
          <w:bCs/>
          <w:sz w:val="36"/>
          <w:szCs w:val="36"/>
          <w:u w:val="single"/>
        </w:rPr>
        <w:t xml:space="preserve">                  </w:t>
      </w:r>
      <w:r>
        <w:rPr>
          <w:rFonts w:hint="eastAsia" w:ascii="宋体" w:hAnsi="宋体"/>
          <w:sz w:val="24"/>
        </w:rPr>
        <w:t>（以下简称“本工程”），已接受乙方提出的承担本工程的施工、竣工、交付并维修其任何缺陷的投标。依照《中华人民共和国招标投标法》、《中华人民共和国民法典》、《中华人民共和国建筑法》、及其他有关法律、行政法规，遵循平等、自愿、公平和诚实信用的原则，双方共同达成并订立如下协议。</w:t>
      </w:r>
    </w:p>
    <w:p w14:paraId="4993BFC8">
      <w:pPr>
        <w:wordWrap w:val="0"/>
        <w:topLinePunct/>
        <w:spacing w:line="360" w:lineRule="auto"/>
        <w:rPr>
          <w:rFonts w:hint="eastAsia" w:ascii="宋体" w:hAnsi="宋体"/>
          <w:sz w:val="24"/>
        </w:rPr>
      </w:pPr>
      <w:r>
        <w:rPr>
          <w:rFonts w:hint="eastAsia" w:ascii="宋体" w:hAnsi="宋体"/>
          <w:sz w:val="24"/>
        </w:rPr>
        <w:t>一、工程概况</w:t>
      </w:r>
    </w:p>
    <w:p w14:paraId="184E8E33">
      <w:pPr>
        <w:wordWrap w:val="0"/>
        <w:topLinePunct/>
        <w:spacing w:line="360" w:lineRule="auto"/>
        <w:ind w:firstLine="490"/>
        <w:rPr>
          <w:rFonts w:hint="eastAsia" w:ascii="宋体" w:hAnsi="宋体"/>
          <w:sz w:val="24"/>
          <w:u w:val="single"/>
        </w:rPr>
      </w:pPr>
      <w:r>
        <w:rPr>
          <w:rFonts w:hint="eastAsia" w:ascii="宋体" w:hAnsi="宋体"/>
          <w:sz w:val="24"/>
        </w:rPr>
        <w:t>工程名称：</w:t>
      </w:r>
      <w:r>
        <w:rPr>
          <w:rFonts w:hint="eastAsia" w:ascii="宋体" w:hAnsi="宋体"/>
          <w:bCs/>
          <w:sz w:val="36"/>
          <w:szCs w:val="36"/>
          <w:u w:val="single"/>
        </w:rPr>
        <w:t xml:space="preserve">            </w:t>
      </w:r>
      <w:r>
        <w:rPr>
          <w:rFonts w:hint="eastAsia" w:ascii="宋体" w:hAnsi="宋体" w:cs="宋体"/>
          <w:bCs/>
          <w:sz w:val="24"/>
          <w:u w:val="single"/>
          <w:shd w:val="clear" w:color="auto" w:fill="FFFFFF"/>
        </w:rPr>
        <w:t xml:space="preserve"> </w:t>
      </w:r>
    </w:p>
    <w:p w14:paraId="66BBB220">
      <w:pPr>
        <w:wordWrap w:val="0"/>
        <w:topLinePunct/>
        <w:spacing w:line="360" w:lineRule="auto"/>
        <w:ind w:firstLine="490"/>
        <w:rPr>
          <w:rFonts w:hint="eastAsia" w:ascii="宋体" w:hAnsi="宋体"/>
          <w:sz w:val="24"/>
          <w:u w:val="single"/>
        </w:rPr>
      </w:pPr>
      <w:r>
        <w:rPr>
          <w:rFonts w:hint="eastAsia" w:ascii="宋体" w:hAnsi="宋体"/>
          <w:sz w:val="24"/>
        </w:rPr>
        <w:t>工程地点：</w:t>
      </w:r>
      <w:r>
        <w:rPr>
          <w:rFonts w:hint="eastAsia" w:ascii="宋体" w:hAnsi="宋体"/>
          <w:bCs/>
          <w:sz w:val="36"/>
          <w:szCs w:val="36"/>
          <w:u w:val="single"/>
        </w:rPr>
        <w:t xml:space="preserve">            </w:t>
      </w:r>
      <w:r>
        <w:rPr>
          <w:rFonts w:hint="eastAsia" w:ascii="宋体" w:hAnsi="宋体" w:cs="宋体"/>
          <w:bCs/>
          <w:sz w:val="24"/>
          <w:u w:val="single"/>
          <w:shd w:val="clear" w:color="auto" w:fill="FFFFFF"/>
        </w:rPr>
        <w:t xml:space="preserve"> </w:t>
      </w:r>
    </w:p>
    <w:p w14:paraId="3AD7847B">
      <w:pPr>
        <w:wordWrap w:val="0"/>
        <w:topLinePunct/>
        <w:spacing w:line="360" w:lineRule="auto"/>
        <w:ind w:firstLine="480" w:firstLineChars="200"/>
        <w:rPr>
          <w:rFonts w:hint="eastAsia" w:ascii="宋体" w:hAnsi="宋体"/>
          <w:sz w:val="24"/>
          <w:u w:val="single"/>
        </w:rPr>
      </w:pPr>
      <w:r>
        <w:rPr>
          <w:rFonts w:hint="eastAsia" w:ascii="宋体" w:hAnsi="宋体"/>
          <w:sz w:val="24"/>
        </w:rPr>
        <w:t>工程内容：</w:t>
      </w:r>
      <w:r>
        <w:rPr>
          <w:rFonts w:hint="eastAsia" w:ascii="宋体" w:hAnsi="宋体"/>
          <w:bCs/>
          <w:sz w:val="36"/>
          <w:szCs w:val="36"/>
          <w:u w:val="single"/>
        </w:rPr>
        <w:t xml:space="preserve">            </w:t>
      </w:r>
      <w:r>
        <w:rPr>
          <w:rFonts w:hint="eastAsia" w:ascii="宋体" w:hAnsi="宋体" w:cs="宋体"/>
          <w:bCs/>
          <w:sz w:val="24"/>
          <w:u w:val="single"/>
          <w:shd w:val="clear" w:color="auto" w:fill="FFFFFF"/>
        </w:rPr>
        <w:t xml:space="preserve"> </w:t>
      </w:r>
      <w:r>
        <w:rPr>
          <w:rFonts w:hint="eastAsia" w:ascii="宋体" w:hAnsi="宋体"/>
          <w:sz w:val="24"/>
          <w:u w:val="single"/>
        </w:rPr>
        <w:t xml:space="preserve"> </w:t>
      </w:r>
    </w:p>
    <w:p w14:paraId="262DA1D6">
      <w:pPr>
        <w:wordWrap w:val="0"/>
        <w:topLinePunct/>
        <w:spacing w:line="360" w:lineRule="auto"/>
        <w:ind w:firstLine="490"/>
        <w:rPr>
          <w:rFonts w:hint="eastAsia" w:ascii="宋体" w:hAnsi="宋体"/>
          <w:sz w:val="24"/>
        </w:rPr>
      </w:pPr>
      <w:r>
        <w:rPr>
          <w:rFonts w:hint="eastAsia" w:ascii="宋体" w:hAnsi="宋体"/>
          <w:sz w:val="24"/>
        </w:rPr>
        <w:t>群体工程应附“乙方承揽工程项目一览表”（附件1）</w:t>
      </w:r>
    </w:p>
    <w:p w14:paraId="0039C257">
      <w:pPr>
        <w:wordWrap w:val="0"/>
        <w:topLinePunct/>
        <w:spacing w:line="360" w:lineRule="auto"/>
        <w:ind w:left="483" w:leftChars="230"/>
        <w:rPr>
          <w:rFonts w:hint="eastAsia" w:ascii="宋体" w:hAnsi="宋体"/>
          <w:sz w:val="24"/>
        </w:rPr>
      </w:pPr>
      <w:r>
        <w:rPr>
          <w:rFonts w:hint="eastAsia" w:ascii="宋体" w:hAnsi="宋体"/>
          <w:sz w:val="24"/>
        </w:rPr>
        <w:t>工程立项批准文号：</w:t>
      </w:r>
    </w:p>
    <w:p w14:paraId="094D5C93">
      <w:pPr>
        <w:wordWrap w:val="0"/>
        <w:topLinePunct/>
        <w:spacing w:line="360" w:lineRule="auto"/>
        <w:ind w:left="483" w:leftChars="230"/>
        <w:rPr>
          <w:rFonts w:hint="eastAsia" w:ascii="宋体" w:hAnsi="宋体"/>
          <w:sz w:val="24"/>
          <w:u w:val="single"/>
        </w:rPr>
      </w:pPr>
      <w:r>
        <w:rPr>
          <w:rFonts w:hint="eastAsia" w:ascii="宋体" w:hAnsi="宋体"/>
          <w:sz w:val="24"/>
        </w:rPr>
        <w:t>资金来源：</w:t>
      </w:r>
      <w:r>
        <w:rPr>
          <w:rFonts w:hint="eastAsia" w:ascii="宋体" w:hAnsi="宋体"/>
          <w:sz w:val="24"/>
          <w:u w:val="single"/>
        </w:rPr>
        <w:t xml:space="preserve"> 校内自筹经费 </w:t>
      </w:r>
    </w:p>
    <w:p w14:paraId="2D029BD7">
      <w:pPr>
        <w:wordWrap w:val="0"/>
        <w:topLinePunct/>
        <w:spacing w:line="360" w:lineRule="auto"/>
        <w:rPr>
          <w:rFonts w:hint="eastAsia" w:ascii="宋体" w:hAnsi="宋体"/>
          <w:sz w:val="24"/>
        </w:rPr>
      </w:pPr>
      <w:r>
        <w:rPr>
          <w:rFonts w:hint="eastAsia" w:ascii="宋体" w:hAnsi="宋体"/>
          <w:sz w:val="24"/>
        </w:rPr>
        <w:t>二、工程承包范围</w:t>
      </w:r>
    </w:p>
    <w:p w14:paraId="6E96CF16">
      <w:pPr>
        <w:wordWrap w:val="0"/>
        <w:topLinePunct/>
        <w:spacing w:line="360" w:lineRule="auto"/>
        <w:ind w:left="483" w:leftChars="230"/>
        <w:rPr>
          <w:rFonts w:hint="eastAsia" w:ascii="宋体" w:hAnsi="宋体"/>
          <w:sz w:val="24"/>
        </w:rPr>
      </w:pPr>
      <w:r>
        <w:rPr>
          <w:rFonts w:hint="eastAsia" w:ascii="宋体" w:hAnsi="宋体"/>
          <w:sz w:val="24"/>
        </w:rPr>
        <w:t>承包范围：</w:t>
      </w:r>
      <w:r>
        <w:rPr>
          <w:rFonts w:hint="eastAsia" w:ascii="宋体" w:hAnsi="宋体"/>
          <w:bCs/>
          <w:sz w:val="36"/>
          <w:szCs w:val="36"/>
          <w:u w:val="single"/>
        </w:rPr>
        <w:t xml:space="preserve">            </w:t>
      </w:r>
      <w:r>
        <w:rPr>
          <w:rFonts w:hint="eastAsia" w:ascii="宋体" w:hAnsi="宋体" w:cs="宋体"/>
          <w:bCs/>
          <w:sz w:val="24"/>
          <w:u w:val="single"/>
          <w:shd w:val="clear" w:color="auto" w:fill="FFFFFF"/>
        </w:rPr>
        <w:t xml:space="preserve"> </w:t>
      </w:r>
      <w:r>
        <w:rPr>
          <w:rFonts w:hint="eastAsia" w:ascii="宋体" w:hAnsi="宋体"/>
          <w:bCs/>
          <w:sz w:val="36"/>
          <w:szCs w:val="36"/>
          <w:u w:val="single"/>
        </w:rPr>
        <w:t xml:space="preserve">            </w:t>
      </w:r>
    </w:p>
    <w:p w14:paraId="33E1A69E">
      <w:pPr>
        <w:wordWrap w:val="0"/>
        <w:topLinePunct/>
        <w:spacing w:line="360" w:lineRule="auto"/>
        <w:ind w:firstLine="490"/>
        <w:rPr>
          <w:rFonts w:hint="eastAsia" w:ascii="宋体" w:hAnsi="宋体"/>
          <w:b/>
          <w:sz w:val="24"/>
          <w:u w:val="single"/>
        </w:rPr>
      </w:pPr>
      <w:r>
        <w:rPr>
          <w:rFonts w:hint="eastAsia" w:ascii="宋体" w:hAnsi="宋体"/>
          <w:sz w:val="24"/>
        </w:rPr>
        <w:t>详细承包范围见第七章“技术标准和要求”。</w:t>
      </w:r>
    </w:p>
    <w:p w14:paraId="5864F776">
      <w:pPr>
        <w:wordWrap w:val="0"/>
        <w:topLinePunct/>
        <w:spacing w:line="360" w:lineRule="auto"/>
        <w:rPr>
          <w:rFonts w:hint="eastAsia" w:ascii="宋体" w:hAnsi="宋体"/>
          <w:sz w:val="24"/>
        </w:rPr>
      </w:pPr>
      <w:r>
        <w:rPr>
          <w:rFonts w:hint="eastAsia" w:ascii="宋体" w:hAnsi="宋体"/>
          <w:sz w:val="24"/>
        </w:rPr>
        <w:t>三、合同工期</w:t>
      </w:r>
    </w:p>
    <w:p w14:paraId="7F260088">
      <w:pPr>
        <w:wordWrap w:val="0"/>
        <w:topLinePunct/>
        <w:spacing w:line="360" w:lineRule="auto"/>
        <w:ind w:firstLine="490"/>
        <w:rPr>
          <w:rFonts w:hint="eastAsia" w:ascii="宋体" w:hAnsi="宋体"/>
          <w:sz w:val="24"/>
          <w:u w:val="single"/>
        </w:rPr>
      </w:pPr>
      <w:r>
        <w:rPr>
          <w:rFonts w:hint="eastAsia" w:ascii="宋体" w:hAnsi="宋体"/>
          <w:sz w:val="24"/>
        </w:rPr>
        <w:t>计划开工日期：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0AEDF345">
      <w:pPr>
        <w:wordWrap w:val="0"/>
        <w:topLinePunct/>
        <w:spacing w:line="360" w:lineRule="auto"/>
        <w:ind w:firstLine="490"/>
        <w:rPr>
          <w:rFonts w:hint="eastAsia" w:ascii="宋体" w:hAnsi="宋体"/>
          <w:sz w:val="24"/>
          <w:u w:val="single"/>
        </w:rPr>
      </w:pPr>
      <w:r>
        <w:rPr>
          <w:rFonts w:hint="eastAsia" w:ascii="宋体" w:hAnsi="宋体"/>
          <w:sz w:val="24"/>
        </w:rPr>
        <w:t>计划竣工日期：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3026EE35">
      <w:pPr>
        <w:wordWrap w:val="0"/>
        <w:topLinePunct/>
        <w:spacing w:line="360" w:lineRule="auto"/>
        <w:ind w:firstLine="490"/>
        <w:rPr>
          <w:rFonts w:hint="eastAsia" w:ascii="宋体" w:hAnsi="宋体"/>
          <w:sz w:val="24"/>
        </w:rPr>
      </w:pPr>
      <w:r>
        <w:rPr>
          <w:rFonts w:hint="eastAsia" w:ascii="宋体" w:hAnsi="宋体"/>
          <w:sz w:val="24"/>
        </w:rPr>
        <w:t>工期总日历天数</w:t>
      </w:r>
      <w:r>
        <w:rPr>
          <w:rFonts w:hint="eastAsia" w:ascii="宋体" w:hAnsi="宋体"/>
          <w:sz w:val="24"/>
          <w:u w:val="single"/>
        </w:rPr>
        <w:t xml:space="preserve">     </w:t>
      </w:r>
      <w:r>
        <w:rPr>
          <w:rFonts w:hint="eastAsia" w:ascii="宋体" w:hAnsi="宋体"/>
          <w:sz w:val="24"/>
        </w:rPr>
        <w:t>天，自监理人发出的开工通知中载明的开工日期起算。</w:t>
      </w:r>
    </w:p>
    <w:p w14:paraId="36F7C8D7">
      <w:pPr>
        <w:wordWrap w:val="0"/>
        <w:topLinePunct/>
        <w:spacing w:line="360" w:lineRule="auto"/>
        <w:rPr>
          <w:rFonts w:hint="eastAsia" w:ascii="宋体" w:hAnsi="宋体"/>
          <w:sz w:val="24"/>
        </w:rPr>
      </w:pPr>
      <w:r>
        <w:rPr>
          <w:rFonts w:hint="eastAsia" w:ascii="宋体" w:hAnsi="宋体"/>
          <w:sz w:val="24"/>
        </w:rPr>
        <w:t>四、质量标准</w:t>
      </w:r>
    </w:p>
    <w:p w14:paraId="4EB612F2">
      <w:pPr>
        <w:wordWrap w:val="0"/>
        <w:topLinePunct/>
        <w:spacing w:line="360" w:lineRule="auto"/>
        <w:ind w:firstLine="490"/>
        <w:rPr>
          <w:rFonts w:hint="eastAsia" w:ascii="宋体" w:hAnsi="宋体"/>
          <w:sz w:val="24"/>
          <w:u w:val="single"/>
        </w:rPr>
      </w:pPr>
      <w:r>
        <w:rPr>
          <w:rFonts w:hint="eastAsia" w:ascii="宋体" w:hAnsi="宋体"/>
          <w:sz w:val="24"/>
        </w:rPr>
        <w:t>工程质量标准：</w:t>
      </w:r>
      <w:r>
        <w:rPr>
          <w:rFonts w:hint="eastAsia" w:ascii="宋体" w:hAnsi="宋体"/>
          <w:sz w:val="24"/>
          <w:u w:val="single"/>
        </w:rPr>
        <w:t xml:space="preserve">   合格   </w:t>
      </w:r>
    </w:p>
    <w:p w14:paraId="7C274276">
      <w:pPr>
        <w:wordWrap w:val="0"/>
        <w:topLinePunct/>
        <w:spacing w:line="360" w:lineRule="auto"/>
        <w:rPr>
          <w:rFonts w:hint="eastAsia" w:ascii="宋体" w:hAnsi="宋体"/>
          <w:sz w:val="24"/>
        </w:rPr>
      </w:pPr>
      <w:r>
        <w:rPr>
          <w:rFonts w:hint="eastAsia" w:ascii="宋体" w:hAnsi="宋体"/>
          <w:sz w:val="24"/>
        </w:rPr>
        <w:t>五、合同形式</w:t>
      </w:r>
    </w:p>
    <w:p w14:paraId="61A1481A">
      <w:pPr>
        <w:wordWrap w:val="0"/>
        <w:topLinePunct/>
        <w:spacing w:line="360" w:lineRule="auto"/>
        <w:ind w:firstLine="490"/>
        <w:rPr>
          <w:rFonts w:hint="eastAsia" w:ascii="宋体" w:hAnsi="宋体"/>
          <w:b/>
          <w:sz w:val="24"/>
          <w:u w:val="single"/>
        </w:rPr>
      </w:pPr>
      <w:r>
        <w:rPr>
          <w:rFonts w:hint="eastAsia" w:ascii="宋体" w:hAnsi="宋体"/>
          <w:sz w:val="24"/>
        </w:rPr>
        <w:t xml:space="preserve">本合同采用 </w:t>
      </w:r>
      <w:r>
        <w:rPr>
          <w:rFonts w:hint="eastAsia" w:ascii="宋体" w:hAnsi="宋体"/>
          <w:sz w:val="24"/>
          <w:u w:val="single"/>
        </w:rPr>
        <w:t>固定总价</w:t>
      </w:r>
      <w:r>
        <w:rPr>
          <w:rFonts w:hint="eastAsia" w:ascii="宋体" w:hAnsi="宋体"/>
          <w:sz w:val="24"/>
        </w:rPr>
        <w:t xml:space="preserve"> 合同形式</w:t>
      </w:r>
      <w:r>
        <w:rPr>
          <w:rFonts w:ascii="宋体" w:hAnsi="宋体"/>
          <w:sz w:val="24"/>
        </w:rPr>
        <w:t>。</w:t>
      </w:r>
    </w:p>
    <w:p w14:paraId="48977EC4">
      <w:pPr>
        <w:wordWrap w:val="0"/>
        <w:topLinePunct/>
        <w:spacing w:line="360" w:lineRule="auto"/>
        <w:rPr>
          <w:rFonts w:hint="eastAsia" w:ascii="宋体" w:hAnsi="宋体"/>
          <w:bCs/>
          <w:sz w:val="24"/>
        </w:rPr>
      </w:pPr>
      <w:bookmarkStart w:id="685" w:name="_Hlk169014466"/>
      <w:r>
        <w:rPr>
          <w:rFonts w:hint="eastAsia" w:ascii="宋体" w:hAnsi="宋体"/>
          <w:bCs/>
          <w:sz w:val="24"/>
        </w:rPr>
        <w:t>六、签约合同价</w:t>
      </w:r>
    </w:p>
    <w:p w14:paraId="65723D07">
      <w:pPr>
        <w:wordWrap w:val="0"/>
        <w:topLinePunct/>
        <w:spacing w:line="360" w:lineRule="auto"/>
        <w:ind w:firstLine="490"/>
        <w:rPr>
          <w:rFonts w:hint="eastAsia" w:ascii="宋体" w:hAnsi="宋体"/>
          <w:sz w:val="24"/>
        </w:rPr>
      </w:pPr>
      <w:r>
        <w:rPr>
          <w:rFonts w:hint="eastAsia" w:ascii="宋体" w:hAnsi="宋体"/>
          <w:sz w:val="24"/>
        </w:rPr>
        <w:t>金额（大写）：</w:t>
      </w:r>
      <w:r>
        <w:rPr>
          <w:rFonts w:hint="eastAsia" w:ascii="宋体" w:hAnsi="宋体"/>
          <w:bCs/>
          <w:sz w:val="36"/>
          <w:szCs w:val="36"/>
          <w:u w:val="single"/>
        </w:rPr>
        <w:t xml:space="preserve">                        </w:t>
      </w:r>
      <w:r>
        <w:rPr>
          <w:rFonts w:hint="eastAsia" w:ascii="宋体" w:hAnsi="宋体"/>
          <w:sz w:val="24"/>
        </w:rPr>
        <w:t>（人民币）</w:t>
      </w:r>
    </w:p>
    <w:p w14:paraId="59FEF6FD">
      <w:pPr>
        <w:wordWrap w:val="0"/>
        <w:topLinePunct/>
        <w:spacing w:line="360" w:lineRule="auto"/>
        <w:ind w:firstLine="490"/>
        <w:rPr>
          <w:rFonts w:hint="eastAsia" w:ascii="仿宋" w:hAnsi="仿宋" w:eastAsia="仿宋"/>
          <w:b/>
          <w:bCs/>
          <w:sz w:val="28"/>
          <w:szCs w:val="28"/>
        </w:rPr>
      </w:pPr>
      <w:r>
        <w:rPr>
          <w:rFonts w:hint="eastAsia" w:ascii="宋体" w:hAnsi="宋体"/>
          <w:sz w:val="24"/>
        </w:rPr>
        <w:t>（小写）￥：</w:t>
      </w:r>
      <w:r>
        <w:rPr>
          <w:rFonts w:hint="eastAsia" w:ascii="宋体" w:hAnsi="宋体"/>
          <w:bCs/>
          <w:sz w:val="36"/>
          <w:szCs w:val="36"/>
          <w:u w:val="single"/>
        </w:rPr>
        <w:t xml:space="preserve">            </w:t>
      </w:r>
      <w:r>
        <w:rPr>
          <w:rFonts w:hint="eastAsia" w:ascii="宋体" w:hAnsi="宋体"/>
          <w:sz w:val="24"/>
        </w:rPr>
        <w:t>元，</w:t>
      </w:r>
      <w:r>
        <w:rPr>
          <w:rFonts w:hint="eastAsia" w:ascii="仿宋" w:hAnsi="仿宋" w:eastAsia="仿宋"/>
          <w:b/>
          <w:bCs/>
          <w:sz w:val="28"/>
          <w:szCs w:val="28"/>
        </w:rPr>
        <w:t>该合同固定总价包括但不限于人工费、机械费、材料采购运输及保管费、安全生产标准化措施费、施工现场管理费、其他项目所需施工措施费（如脚手架费、垂直运输费、工程水电费、大型机械进出场费、冬雨季施工增加费、成品保护费、原有建筑物保护费、安装各专业各系统调试费、扰民费、施工垃圾场外运输和消纳费）、质量保修费、利润、税金等完成项目施工所需的各项全部费用。上述价格是乙方完成投标施工项目所需的全部费用，除上述费用外，在未发生施工范围变更时乙方不得要求甲方支付包括“洽商/ 增项”等在内的任何其他费用。</w:t>
      </w:r>
    </w:p>
    <w:p w14:paraId="255637A1">
      <w:pPr>
        <w:wordWrap w:val="0"/>
        <w:topLinePunct/>
        <w:spacing w:line="360" w:lineRule="auto"/>
        <w:ind w:firstLine="490"/>
        <w:rPr>
          <w:rFonts w:hint="eastAsia" w:ascii="仿宋" w:hAnsi="仿宋" w:eastAsia="仿宋"/>
          <w:b/>
          <w:bCs/>
          <w:sz w:val="28"/>
          <w:szCs w:val="28"/>
        </w:rPr>
      </w:pPr>
      <w:r>
        <w:rPr>
          <w:rFonts w:hint="eastAsia" w:ascii="仿宋" w:hAnsi="仿宋" w:eastAsia="仿宋"/>
          <w:b/>
          <w:bCs/>
          <w:sz w:val="28"/>
          <w:szCs w:val="28"/>
        </w:rPr>
        <w:t>其中：安全生产标准化措施费：</w:t>
      </w:r>
      <w:r>
        <w:rPr>
          <w:rFonts w:hint="eastAsia" w:ascii="仿宋" w:hAnsi="仿宋" w:eastAsia="仿宋"/>
          <w:b/>
          <w:bCs/>
          <w:sz w:val="28"/>
          <w:szCs w:val="28"/>
          <w:u w:val="single"/>
        </w:rPr>
        <w:t xml:space="preserve">               </w:t>
      </w:r>
      <w:r>
        <w:rPr>
          <w:rFonts w:hint="eastAsia" w:ascii="仿宋" w:hAnsi="仿宋" w:eastAsia="仿宋"/>
          <w:b/>
          <w:bCs/>
          <w:sz w:val="28"/>
          <w:szCs w:val="28"/>
        </w:rPr>
        <w:t>元</w:t>
      </w:r>
    </w:p>
    <w:p w14:paraId="77A0EEA8">
      <w:pPr>
        <w:wordWrap w:val="0"/>
        <w:topLinePunct/>
        <w:spacing w:line="360" w:lineRule="auto"/>
        <w:ind w:firstLine="490"/>
        <w:rPr>
          <w:rFonts w:hint="eastAsia" w:ascii="仿宋" w:hAnsi="仿宋" w:eastAsia="仿宋"/>
          <w:b/>
          <w:bCs/>
          <w:sz w:val="28"/>
          <w:szCs w:val="28"/>
        </w:rPr>
      </w:pPr>
      <w:r>
        <w:rPr>
          <w:rFonts w:hint="eastAsia" w:ascii="仿宋" w:hAnsi="仿宋" w:eastAsia="仿宋"/>
          <w:b/>
          <w:bCs/>
          <w:sz w:val="28"/>
          <w:szCs w:val="28"/>
        </w:rPr>
        <w:t xml:space="preserve">      暂列金额（含税）：</w:t>
      </w:r>
      <w:r>
        <w:rPr>
          <w:rFonts w:hint="eastAsia" w:ascii="仿宋" w:hAnsi="仿宋" w:eastAsia="仿宋"/>
          <w:b/>
          <w:bCs/>
          <w:sz w:val="28"/>
          <w:szCs w:val="28"/>
          <w:u w:val="single"/>
        </w:rPr>
        <w:t xml:space="preserve"> 0.00 </w:t>
      </w:r>
      <w:r>
        <w:rPr>
          <w:rFonts w:hint="eastAsia" w:ascii="仿宋" w:hAnsi="仿宋" w:eastAsia="仿宋"/>
          <w:b/>
          <w:bCs/>
          <w:sz w:val="28"/>
          <w:szCs w:val="28"/>
        </w:rPr>
        <w:t>元</w:t>
      </w:r>
    </w:p>
    <w:p w14:paraId="73F094B2">
      <w:pPr>
        <w:wordWrap w:val="0"/>
        <w:topLinePunct/>
        <w:spacing w:line="360" w:lineRule="auto"/>
        <w:ind w:firstLine="490"/>
        <w:rPr>
          <w:rFonts w:hint="eastAsia" w:ascii="仿宋" w:hAnsi="仿宋" w:eastAsia="仿宋"/>
          <w:b/>
          <w:bCs/>
          <w:sz w:val="28"/>
          <w:szCs w:val="28"/>
        </w:rPr>
      </w:pPr>
      <w:r>
        <w:rPr>
          <w:rFonts w:hint="eastAsia" w:ascii="仿宋" w:hAnsi="仿宋" w:eastAsia="仿宋"/>
          <w:b/>
          <w:bCs/>
          <w:sz w:val="28"/>
          <w:szCs w:val="28"/>
        </w:rPr>
        <w:t>专业工程暂估价（含税）：</w:t>
      </w:r>
      <w:r>
        <w:rPr>
          <w:rFonts w:hint="eastAsia" w:ascii="仿宋" w:hAnsi="仿宋" w:eastAsia="仿宋"/>
          <w:b/>
          <w:bCs/>
          <w:sz w:val="28"/>
          <w:szCs w:val="28"/>
          <w:u w:val="single"/>
        </w:rPr>
        <w:t xml:space="preserve"> 0.00 </w:t>
      </w:r>
      <w:r>
        <w:rPr>
          <w:rFonts w:hint="eastAsia" w:ascii="仿宋" w:hAnsi="仿宋" w:eastAsia="仿宋"/>
          <w:b/>
          <w:bCs/>
          <w:sz w:val="28"/>
          <w:szCs w:val="28"/>
        </w:rPr>
        <w:t>元</w:t>
      </w:r>
    </w:p>
    <w:p w14:paraId="4F458CE8">
      <w:pPr>
        <w:wordWrap w:val="0"/>
        <w:topLinePunct/>
        <w:spacing w:line="360" w:lineRule="auto"/>
        <w:ind w:firstLine="2249" w:firstLineChars="800"/>
        <w:rPr>
          <w:rFonts w:hint="eastAsia" w:ascii="仿宋" w:hAnsi="仿宋" w:eastAsia="仿宋"/>
          <w:b/>
          <w:bCs/>
          <w:sz w:val="28"/>
          <w:szCs w:val="28"/>
        </w:rPr>
      </w:pPr>
      <w:r>
        <w:rPr>
          <w:rFonts w:hint="eastAsia" w:ascii="仿宋" w:hAnsi="仿宋" w:eastAsia="仿宋"/>
          <w:b/>
          <w:bCs/>
          <w:sz w:val="28"/>
          <w:szCs w:val="28"/>
        </w:rPr>
        <w:t>……</w:t>
      </w:r>
    </w:p>
    <w:p w14:paraId="23FC457B">
      <w:pPr>
        <w:wordWrap w:val="0"/>
        <w:topLinePunct/>
        <w:spacing w:line="360" w:lineRule="auto"/>
        <w:ind w:firstLine="490"/>
        <w:rPr>
          <w:rFonts w:hint="eastAsia" w:ascii="宋体" w:hAnsi="宋体"/>
          <w:bCs/>
          <w:sz w:val="24"/>
        </w:rPr>
      </w:pPr>
      <w:r>
        <w:rPr>
          <w:rFonts w:hint="eastAsia" w:ascii="宋体" w:hAnsi="宋体"/>
          <w:bCs/>
          <w:sz w:val="24"/>
        </w:rPr>
        <w:t>七、乙方项目经理：</w:t>
      </w:r>
    </w:p>
    <w:p w14:paraId="7B58B872">
      <w:pPr>
        <w:wordWrap w:val="0"/>
        <w:topLinePunct/>
        <w:spacing w:line="360" w:lineRule="auto"/>
        <w:ind w:firstLine="480" w:firstLineChars="200"/>
        <w:jc w:val="left"/>
        <w:rPr>
          <w:rFonts w:hint="eastAsia" w:ascii="宋体" w:hAnsi="宋体"/>
          <w:sz w:val="24"/>
        </w:rPr>
      </w:pPr>
      <w:r>
        <w:rPr>
          <w:rFonts w:hint="eastAsia" w:ascii="宋体" w:hAnsi="宋体"/>
          <w:sz w:val="24"/>
        </w:rPr>
        <w:t>姓名：</w:t>
      </w:r>
      <w:r>
        <w:rPr>
          <w:rFonts w:hint="eastAsia" w:ascii="宋体" w:hAnsi="宋体"/>
          <w:bCs/>
          <w:sz w:val="36"/>
          <w:szCs w:val="36"/>
          <w:u w:val="single"/>
        </w:rPr>
        <w:t xml:space="preserve">            </w:t>
      </w:r>
      <w:r>
        <w:rPr>
          <w:rFonts w:hint="eastAsia" w:ascii="宋体" w:hAnsi="宋体" w:cs="宋体"/>
          <w:bCs/>
          <w:sz w:val="24"/>
          <w:u w:val="single"/>
          <w:shd w:val="clear" w:color="auto" w:fill="FFFFFF"/>
        </w:rPr>
        <w:t xml:space="preserve"> </w:t>
      </w:r>
      <w:r>
        <w:rPr>
          <w:rFonts w:hint="eastAsia" w:ascii="宋体" w:hAnsi="宋体"/>
          <w:sz w:val="24"/>
        </w:rPr>
        <w:t>；</w:t>
      </w:r>
    </w:p>
    <w:p w14:paraId="22B5DB51">
      <w:pPr>
        <w:wordWrap w:val="0"/>
        <w:topLinePunct/>
        <w:spacing w:line="360" w:lineRule="auto"/>
        <w:ind w:firstLine="480" w:firstLineChars="200"/>
        <w:jc w:val="left"/>
        <w:rPr>
          <w:rFonts w:hint="eastAsia" w:ascii="宋体" w:hAnsi="宋体"/>
          <w:sz w:val="24"/>
        </w:rPr>
      </w:pPr>
      <w:r>
        <w:rPr>
          <w:rFonts w:hint="eastAsia" w:ascii="宋体" w:hAnsi="宋体"/>
          <w:sz w:val="24"/>
        </w:rPr>
        <w:t>职称：</w:t>
      </w:r>
      <w:r>
        <w:rPr>
          <w:rFonts w:hint="eastAsia" w:ascii="宋体" w:hAnsi="宋体"/>
          <w:bCs/>
          <w:sz w:val="36"/>
          <w:szCs w:val="36"/>
          <w:u w:val="single"/>
        </w:rPr>
        <w:t xml:space="preserve">            </w:t>
      </w:r>
      <w:r>
        <w:rPr>
          <w:rFonts w:hint="eastAsia" w:ascii="宋体" w:hAnsi="宋体" w:cs="宋体"/>
          <w:bCs/>
          <w:sz w:val="24"/>
          <w:u w:val="single"/>
          <w:shd w:val="clear" w:color="auto" w:fill="FFFFFF"/>
        </w:rPr>
        <w:t xml:space="preserve"> </w:t>
      </w:r>
      <w:r>
        <w:rPr>
          <w:rFonts w:hint="eastAsia" w:ascii="宋体" w:hAnsi="宋体"/>
          <w:sz w:val="24"/>
        </w:rPr>
        <w:t>；</w:t>
      </w:r>
    </w:p>
    <w:p w14:paraId="37CD3EFB">
      <w:pPr>
        <w:wordWrap w:val="0"/>
        <w:topLinePunct/>
        <w:spacing w:line="360" w:lineRule="auto"/>
        <w:ind w:firstLine="480" w:firstLineChars="200"/>
        <w:jc w:val="left"/>
        <w:rPr>
          <w:rFonts w:hint="eastAsia" w:ascii="宋体" w:hAnsi="宋体"/>
          <w:sz w:val="24"/>
        </w:rPr>
      </w:pPr>
      <w:r>
        <w:rPr>
          <w:rFonts w:hint="eastAsia" w:ascii="宋体" w:hAnsi="宋体"/>
          <w:sz w:val="24"/>
        </w:rPr>
        <w:t>身份证号：</w:t>
      </w:r>
      <w:r>
        <w:rPr>
          <w:rFonts w:hint="eastAsia" w:ascii="宋体" w:hAnsi="宋体"/>
          <w:bCs/>
          <w:sz w:val="36"/>
          <w:szCs w:val="36"/>
          <w:u w:val="single"/>
        </w:rPr>
        <w:t xml:space="preserve">            </w:t>
      </w:r>
      <w:r>
        <w:rPr>
          <w:rFonts w:hint="eastAsia" w:ascii="宋体" w:hAnsi="宋体" w:cs="宋体"/>
          <w:bCs/>
          <w:sz w:val="24"/>
          <w:u w:val="single"/>
          <w:shd w:val="clear" w:color="auto" w:fill="FFFFFF"/>
        </w:rPr>
        <w:t xml:space="preserve"> </w:t>
      </w:r>
      <w:r>
        <w:rPr>
          <w:rFonts w:hint="eastAsia" w:ascii="宋体" w:hAnsi="宋体"/>
          <w:sz w:val="24"/>
          <w:u w:val="single"/>
        </w:rPr>
        <w:t xml:space="preserve"> </w:t>
      </w:r>
      <w:r>
        <w:rPr>
          <w:rFonts w:hint="eastAsia" w:ascii="宋体" w:hAnsi="宋体"/>
          <w:sz w:val="24"/>
        </w:rPr>
        <w:t>；</w:t>
      </w:r>
    </w:p>
    <w:p w14:paraId="70DDD9D7">
      <w:pPr>
        <w:wordWrap w:val="0"/>
        <w:topLinePunct/>
        <w:spacing w:line="360" w:lineRule="auto"/>
        <w:ind w:firstLine="480" w:firstLineChars="200"/>
        <w:jc w:val="left"/>
        <w:rPr>
          <w:rFonts w:hint="eastAsia" w:ascii="宋体" w:hAnsi="宋体"/>
          <w:sz w:val="24"/>
        </w:rPr>
      </w:pPr>
      <w:r>
        <w:rPr>
          <w:rFonts w:hint="eastAsia" w:ascii="宋体" w:hAnsi="宋体"/>
          <w:sz w:val="24"/>
        </w:rPr>
        <w:t>建造师执业资格证书号：</w:t>
      </w:r>
      <w:r>
        <w:rPr>
          <w:rFonts w:hint="eastAsia" w:ascii="宋体" w:hAnsi="宋体"/>
          <w:sz w:val="24"/>
          <w:u w:val="single"/>
        </w:rPr>
        <w:t xml:space="preserve"> </w:t>
      </w:r>
      <w:r>
        <w:rPr>
          <w:rFonts w:hint="eastAsia" w:ascii="宋体" w:hAnsi="宋体"/>
          <w:bCs/>
          <w:sz w:val="36"/>
          <w:szCs w:val="36"/>
          <w:u w:val="single"/>
        </w:rPr>
        <w:t xml:space="preserve">            </w:t>
      </w:r>
      <w:r>
        <w:rPr>
          <w:rFonts w:hint="eastAsia" w:ascii="宋体" w:hAnsi="宋体" w:cs="宋体"/>
          <w:bCs/>
          <w:sz w:val="24"/>
          <w:u w:val="single"/>
          <w:shd w:val="clear" w:color="auto" w:fill="FFFFFF"/>
        </w:rPr>
        <w:t xml:space="preserve"> </w:t>
      </w:r>
      <w:r>
        <w:rPr>
          <w:rFonts w:hint="eastAsia" w:ascii="宋体" w:hAnsi="宋体"/>
          <w:sz w:val="24"/>
          <w:u w:val="single"/>
        </w:rPr>
        <w:t xml:space="preserve"> </w:t>
      </w:r>
      <w:r>
        <w:rPr>
          <w:rFonts w:hint="eastAsia" w:ascii="宋体" w:hAnsi="宋体"/>
          <w:sz w:val="24"/>
        </w:rPr>
        <w:t>；</w:t>
      </w:r>
    </w:p>
    <w:p w14:paraId="0B75DD08">
      <w:pPr>
        <w:wordWrap w:val="0"/>
        <w:topLinePunct/>
        <w:spacing w:line="360" w:lineRule="auto"/>
        <w:ind w:firstLine="480" w:firstLineChars="200"/>
        <w:jc w:val="left"/>
        <w:rPr>
          <w:rFonts w:hint="eastAsia" w:ascii="宋体" w:hAnsi="宋体"/>
          <w:sz w:val="24"/>
        </w:rPr>
      </w:pPr>
      <w:r>
        <w:rPr>
          <w:rFonts w:hint="eastAsia" w:ascii="宋体" w:hAnsi="宋体"/>
          <w:sz w:val="24"/>
        </w:rPr>
        <w:t>建造师注册证书号:</w:t>
      </w:r>
      <w:r>
        <w:rPr>
          <w:rFonts w:hint="eastAsia" w:ascii="宋体" w:hAnsi="宋体"/>
          <w:bCs/>
          <w:sz w:val="36"/>
          <w:szCs w:val="36"/>
          <w:u w:val="single"/>
        </w:rPr>
        <w:t xml:space="preserve">            </w:t>
      </w:r>
      <w:r>
        <w:rPr>
          <w:rFonts w:hint="eastAsia" w:ascii="宋体" w:hAnsi="宋体" w:cs="宋体"/>
          <w:bCs/>
          <w:sz w:val="24"/>
          <w:u w:val="single"/>
          <w:shd w:val="clear" w:color="auto" w:fill="FFFFFF"/>
        </w:rPr>
        <w:t xml:space="preserve"> </w:t>
      </w:r>
    </w:p>
    <w:p w14:paraId="24490B8E">
      <w:pPr>
        <w:wordWrap w:val="0"/>
        <w:topLinePunct/>
        <w:spacing w:line="360" w:lineRule="auto"/>
        <w:ind w:firstLine="480" w:firstLineChars="200"/>
        <w:jc w:val="left"/>
        <w:rPr>
          <w:rFonts w:hint="eastAsia" w:ascii="宋体" w:hAnsi="宋体" w:cs="宋体"/>
          <w:bCs/>
          <w:sz w:val="24"/>
          <w:u w:val="single"/>
          <w:shd w:val="clear" w:color="auto" w:fill="FFFFFF"/>
        </w:rPr>
      </w:pPr>
      <w:r>
        <w:rPr>
          <w:rFonts w:hint="eastAsia" w:ascii="宋体" w:hAnsi="宋体"/>
          <w:sz w:val="24"/>
        </w:rPr>
        <w:t>建造师执业印章号:</w:t>
      </w:r>
      <w:r>
        <w:rPr>
          <w:rFonts w:hint="eastAsia" w:ascii="宋体" w:hAnsi="宋体"/>
          <w:bCs/>
          <w:sz w:val="36"/>
          <w:szCs w:val="36"/>
          <w:u w:val="single"/>
        </w:rPr>
        <w:t xml:space="preserve">            </w:t>
      </w:r>
      <w:r>
        <w:rPr>
          <w:rFonts w:hint="eastAsia" w:ascii="宋体" w:hAnsi="宋体" w:cs="宋体"/>
          <w:bCs/>
          <w:sz w:val="24"/>
          <w:u w:val="single"/>
          <w:shd w:val="clear" w:color="auto" w:fill="FFFFFF"/>
        </w:rPr>
        <w:t xml:space="preserve"> </w:t>
      </w:r>
    </w:p>
    <w:p w14:paraId="1F1AD309">
      <w:pPr>
        <w:wordWrap w:val="0"/>
        <w:topLinePunct/>
        <w:spacing w:line="360" w:lineRule="auto"/>
        <w:ind w:firstLine="480" w:firstLineChars="200"/>
        <w:jc w:val="left"/>
        <w:rPr>
          <w:rFonts w:hint="eastAsia" w:ascii="宋体" w:hAnsi="宋体"/>
          <w:sz w:val="24"/>
        </w:rPr>
      </w:pPr>
      <w:r>
        <w:rPr>
          <w:rFonts w:hint="eastAsia" w:ascii="宋体" w:hAnsi="宋体"/>
          <w:sz w:val="24"/>
        </w:rPr>
        <w:t>安全生产考核合格证书号：</w:t>
      </w:r>
      <w:r>
        <w:rPr>
          <w:rFonts w:hint="eastAsia" w:ascii="宋体" w:hAnsi="宋体"/>
          <w:sz w:val="24"/>
          <w:u w:val="single"/>
        </w:rPr>
        <w:t xml:space="preserve"> </w:t>
      </w:r>
      <w:r>
        <w:rPr>
          <w:rFonts w:hint="eastAsia" w:ascii="宋体" w:hAnsi="宋体"/>
          <w:bCs/>
          <w:sz w:val="36"/>
          <w:szCs w:val="36"/>
          <w:u w:val="single"/>
        </w:rPr>
        <w:t xml:space="preserve">            </w:t>
      </w:r>
      <w:r>
        <w:rPr>
          <w:rFonts w:hint="eastAsia" w:ascii="宋体" w:hAnsi="宋体" w:cs="宋体"/>
          <w:bCs/>
          <w:sz w:val="24"/>
          <w:u w:val="single"/>
          <w:shd w:val="clear" w:color="auto" w:fill="FFFFFF"/>
        </w:rPr>
        <w:t xml:space="preserve"> </w:t>
      </w:r>
    </w:p>
    <w:p w14:paraId="140FF955">
      <w:pPr>
        <w:wordWrap w:val="0"/>
        <w:topLinePunct/>
        <w:spacing w:line="360" w:lineRule="auto"/>
        <w:ind w:firstLine="588" w:firstLineChars="245"/>
        <w:rPr>
          <w:rFonts w:hint="eastAsia" w:ascii="宋体" w:hAnsi="宋体"/>
          <w:sz w:val="24"/>
        </w:rPr>
      </w:pPr>
      <w:r>
        <w:rPr>
          <w:rFonts w:hint="eastAsia" w:ascii="宋体" w:hAnsi="宋体"/>
          <w:sz w:val="24"/>
        </w:rPr>
        <w:t>八、合同文件的组成</w:t>
      </w:r>
    </w:p>
    <w:p w14:paraId="6D3021C8">
      <w:pPr>
        <w:wordWrap w:val="0"/>
        <w:topLinePunct/>
        <w:spacing w:line="360" w:lineRule="auto"/>
        <w:ind w:firstLine="480" w:firstLineChars="200"/>
        <w:jc w:val="left"/>
        <w:rPr>
          <w:rFonts w:hint="eastAsia" w:ascii="宋体" w:hAnsi="宋体"/>
          <w:sz w:val="24"/>
        </w:rPr>
      </w:pPr>
      <w:r>
        <w:rPr>
          <w:rFonts w:hint="eastAsia" w:ascii="宋体" w:hAnsi="宋体"/>
          <w:sz w:val="24"/>
        </w:rPr>
        <w:t>下列文件共同构成合同文件：</w:t>
      </w:r>
    </w:p>
    <w:p w14:paraId="05CF006D">
      <w:pPr>
        <w:pStyle w:val="19"/>
        <w:wordWrap w:val="0"/>
        <w:topLinePunct/>
        <w:ind w:firstLine="136" w:firstLineChars="57"/>
        <w:rPr>
          <w:rFonts w:hint="eastAsia" w:ascii="宋体" w:hAnsi="宋体"/>
        </w:rPr>
      </w:pPr>
      <w:r>
        <w:rPr>
          <w:rFonts w:hint="eastAsia" w:ascii="宋体" w:hAnsi="宋体"/>
        </w:rPr>
        <w:t>1、本协议书；</w:t>
      </w:r>
    </w:p>
    <w:p w14:paraId="4E835F44">
      <w:pPr>
        <w:pStyle w:val="19"/>
        <w:wordWrap w:val="0"/>
        <w:topLinePunct/>
        <w:ind w:firstLine="136" w:firstLineChars="57"/>
        <w:rPr>
          <w:rFonts w:hint="eastAsia" w:ascii="宋体" w:hAnsi="宋体"/>
        </w:rPr>
      </w:pPr>
      <w:r>
        <w:rPr>
          <w:rFonts w:hint="eastAsia" w:ascii="宋体" w:hAnsi="宋体"/>
        </w:rPr>
        <w:t>2、成交通知书；</w:t>
      </w:r>
    </w:p>
    <w:p w14:paraId="6A4FFC20">
      <w:pPr>
        <w:pStyle w:val="19"/>
        <w:wordWrap w:val="0"/>
        <w:topLinePunct/>
        <w:ind w:firstLine="136" w:firstLineChars="57"/>
        <w:rPr>
          <w:rFonts w:hint="eastAsia" w:ascii="宋体" w:hAnsi="宋体"/>
        </w:rPr>
      </w:pPr>
      <w:r>
        <w:rPr>
          <w:rFonts w:hint="eastAsia" w:ascii="宋体" w:hAnsi="宋体"/>
        </w:rPr>
        <w:t>3、投标函及投标函附录；</w:t>
      </w:r>
    </w:p>
    <w:p w14:paraId="2498F90F">
      <w:pPr>
        <w:pStyle w:val="19"/>
        <w:wordWrap w:val="0"/>
        <w:topLinePunct/>
        <w:ind w:firstLine="136" w:firstLineChars="57"/>
        <w:rPr>
          <w:rFonts w:hint="eastAsia" w:ascii="宋体" w:hAnsi="宋体"/>
        </w:rPr>
      </w:pPr>
      <w:r>
        <w:rPr>
          <w:rFonts w:hint="eastAsia" w:ascii="宋体" w:hAnsi="宋体"/>
        </w:rPr>
        <w:t>4、专用合同条款；</w:t>
      </w:r>
    </w:p>
    <w:p w14:paraId="00FFC4D5">
      <w:pPr>
        <w:pStyle w:val="19"/>
        <w:wordWrap w:val="0"/>
        <w:topLinePunct/>
        <w:ind w:firstLine="136" w:firstLineChars="57"/>
        <w:rPr>
          <w:rFonts w:hint="eastAsia" w:ascii="宋体" w:hAnsi="宋体"/>
        </w:rPr>
      </w:pPr>
      <w:r>
        <w:rPr>
          <w:rFonts w:hint="eastAsia" w:ascii="宋体" w:hAnsi="宋体"/>
        </w:rPr>
        <w:t>5、通用合同条款；</w:t>
      </w:r>
    </w:p>
    <w:p w14:paraId="22BC9803">
      <w:pPr>
        <w:pStyle w:val="19"/>
        <w:wordWrap w:val="0"/>
        <w:topLinePunct/>
        <w:ind w:firstLine="136" w:firstLineChars="57"/>
        <w:rPr>
          <w:rFonts w:hint="eastAsia" w:ascii="宋体" w:hAnsi="宋体"/>
        </w:rPr>
      </w:pPr>
      <w:r>
        <w:rPr>
          <w:rFonts w:hint="eastAsia" w:ascii="宋体" w:hAnsi="宋体"/>
        </w:rPr>
        <w:t>6、技术标准和要求；</w:t>
      </w:r>
    </w:p>
    <w:p w14:paraId="3BD78476">
      <w:pPr>
        <w:pStyle w:val="19"/>
        <w:wordWrap w:val="0"/>
        <w:topLinePunct/>
        <w:ind w:firstLine="136" w:firstLineChars="57"/>
        <w:rPr>
          <w:rFonts w:hint="eastAsia" w:ascii="宋体" w:hAnsi="宋体"/>
        </w:rPr>
      </w:pPr>
      <w:r>
        <w:rPr>
          <w:rFonts w:hint="eastAsia" w:ascii="宋体" w:hAnsi="宋体"/>
        </w:rPr>
        <w:t>7、图纸；</w:t>
      </w:r>
    </w:p>
    <w:p w14:paraId="07B0A055">
      <w:pPr>
        <w:pStyle w:val="19"/>
        <w:wordWrap w:val="0"/>
        <w:topLinePunct/>
        <w:ind w:firstLine="136" w:firstLineChars="57"/>
        <w:rPr>
          <w:rFonts w:hint="eastAsia" w:ascii="宋体" w:hAnsi="宋体"/>
        </w:rPr>
      </w:pPr>
      <w:r>
        <w:rPr>
          <w:rFonts w:hint="eastAsia" w:ascii="宋体" w:hAnsi="宋体"/>
        </w:rPr>
        <w:t>8、已标价工程量清单；</w:t>
      </w:r>
    </w:p>
    <w:p w14:paraId="0F746E5A">
      <w:pPr>
        <w:pStyle w:val="19"/>
        <w:wordWrap w:val="0"/>
        <w:topLinePunct/>
        <w:ind w:firstLine="136" w:firstLineChars="57"/>
        <w:rPr>
          <w:rFonts w:hint="eastAsia" w:ascii="宋体" w:hAnsi="宋体"/>
        </w:rPr>
      </w:pPr>
      <w:r>
        <w:rPr>
          <w:rFonts w:hint="eastAsia" w:ascii="宋体" w:hAnsi="宋体"/>
        </w:rPr>
        <w:t>9、其他合同文件。</w:t>
      </w:r>
    </w:p>
    <w:p w14:paraId="43CF6EA3">
      <w:pPr>
        <w:pStyle w:val="19"/>
        <w:wordWrap w:val="0"/>
        <w:topLinePunct/>
        <w:ind w:firstLine="136" w:firstLineChars="57"/>
        <w:rPr>
          <w:rFonts w:hint="eastAsia" w:ascii="宋体" w:hAnsi="宋体"/>
        </w:rPr>
      </w:pPr>
      <w:r>
        <w:rPr>
          <w:rFonts w:hint="eastAsia" w:ascii="宋体" w:hAnsi="宋体"/>
        </w:rPr>
        <w:t>10、招标文件、投标文件。</w:t>
      </w:r>
    </w:p>
    <w:p w14:paraId="01E3D328">
      <w:pPr>
        <w:pStyle w:val="19"/>
        <w:wordWrap w:val="0"/>
        <w:topLinePunct/>
        <w:ind w:firstLine="136" w:firstLineChars="57"/>
        <w:rPr>
          <w:rFonts w:hint="eastAsia" w:ascii="宋体" w:hAnsi="宋体"/>
        </w:rPr>
      </w:pPr>
    </w:p>
    <w:p w14:paraId="16940BAB">
      <w:pPr>
        <w:wordWrap w:val="0"/>
        <w:topLinePunct/>
        <w:spacing w:line="360" w:lineRule="auto"/>
        <w:ind w:firstLine="600" w:firstLineChars="250"/>
        <w:rPr>
          <w:rFonts w:hint="eastAsia" w:ascii="宋体" w:hAnsi="宋体"/>
          <w:sz w:val="24"/>
        </w:rPr>
      </w:pPr>
      <w:r>
        <w:rPr>
          <w:rFonts w:ascii="宋体" w:hAnsi="宋体"/>
          <w:sz w:val="24"/>
        </w:rPr>
        <w:t>上述文件互相补充和解释，如有不明确或不一致之处，以合同约定次序在先者为准。</w:t>
      </w:r>
    </w:p>
    <w:p w14:paraId="31609BA6">
      <w:pPr>
        <w:wordWrap w:val="0"/>
        <w:topLinePunct/>
        <w:spacing w:line="360" w:lineRule="auto"/>
        <w:ind w:firstLine="600" w:firstLineChars="250"/>
        <w:rPr>
          <w:rFonts w:hint="eastAsia" w:ascii="宋体" w:hAnsi="宋体"/>
          <w:sz w:val="24"/>
        </w:rPr>
      </w:pPr>
      <w:r>
        <w:rPr>
          <w:rFonts w:hint="eastAsia" w:ascii="宋体" w:hAnsi="宋体"/>
          <w:sz w:val="24"/>
        </w:rPr>
        <w:t>九、本协议书中有关词语定义与合同条款中的定义相同。</w:t>
      </w:r>
    </w:p>
    <w:p w14:paraId="33F625E4">
      <w:pPr>
        <w:wordWrap w:val="0"/>
        <w:topLinePunct/>
        <w:spacing w:line="360" w:lineRule="auto"/>
        <w:ind w:firstLine="600" w:firstLineChars="250"/>
        <w:rPr>
          <w:rFonts w:hint="eastAsia" w:ascii="宋体" w:hAnsi="宋体"/>
          <w:sz w:val="24"/>
        </w:rPr>
      </w:pPr>
      <w:r>
        <w:rPr>
          <w:rFonts w:hint="eastAsia" w:ascii="宋体" w:hAnsi="宋体"/>
          <w:sz w:val="24"/>
        </w:rPr>
        <w:t>十、乙方承诺按照合同约定进行施工、竣工、交付并承担质量缺陷保修责任。</w:t>
      </w:r>
    </w:p>
    <w:p w14:paraId="48AFCB65">
      <w:pPr>
        <w:wordWrap w:val="0"/>
        <w:topLinePunct/>
        <w:spacing w:line="360" w:lineRule="auto"/>
        <w:ind w:firstLine="600" w:firstLineChars="250"/>
        <w:rPr>
          <w:rFonts w:hint="eastAsia" w:ascii="宋体" w:hAnsi="宋体"/>
          <w:sz w:val="24"/>
        </w:rPr>
      </w:pPr>
      <w:r>
        <w:rPr>
          <w:rFonts w:hint="eastAsia" w:ascii="宋体" w:hAnsi="宋体"/>
          <w:sz w:val="24"/>
        </w:rPr>
        <w:t>十一、甲方承诺按照合同约定的条件、期限和方式向乙方支付合同价款。</w:t>
      </w:r>
    </w:p>
    <w:p w14:paraId="1D150573">
      <w:pPr>
        <w:wordWrap w:val="0"/>
        <w:topLinePunct/>
        <w:spacing w:line="360" w:lineRule="auto"/>
        <w:ind w:firstLine="600" w:firstLineChars="250"/>
        <w:rPr>
          <w:rFonts w:hint="eastAsia" w:ascii="宋体" w:hAnsi="宋体"/>
          <w:sz w:val="24"/>
        </w:rPr>
      </w:pPr>
      <w:r>
        <w:rPr>
          <w:rFonts w:hint="eastAsia" w:ascii="宋体" w:hAnsi="宋体"/>
          <w:sz w:val="24"/>
        </w:rPr>
        <w:t>十二、本协议书连同其他合同文件正本一式两份，合同双方各执一份；副本一式</w:t>
      </w:r>
      <w:r>
        <w:rPr>
          <w:rFonts w:hint="eastAsia" w:ascii="宋体" w:hAnsi="宋体"/>
          <w:sz w:val="24"/>
          <w:u w:val="single"/>
        </w:rPr>
        <w:t>六份</w:t>
      </w:r>
      <w:r>
        <w:rPr>
          <w:rFonts w:ascii="宋体" w:hAnsi="宋体"/>
          <w:sz w:val="24"/>
        </w:rPr>
        <w:t>。</w:t>
      </w:r>
    </w:p>
    <w:p w14:paraId="0B1CEF27">
      <w:pPr>
        <w:wordWrap w:val="0"/>
        <w:topLinePunct/>
        <w:spacing w:line="360" w:lineRule="auto"/>
        <w:ind w:firstLine="600" w:firstLineChars="250"/>
        <w:rPr>
          <w:rFonts w:hint="eastAsia" w:ascii="宋体" w:hAnsi="宋体"/>
          <w:sz w:val="24"/>
        </w:rPr>
      </w:pPr>
      <w:r>
        <w:rPr>
          <w:rFonts w:hint="eastAsia" w:ascii="宋体" w:hAnsi="宋体"/>
          <w:sz w:val="24"/>
        </w:rPr>
        <w:t>十三、如因履行本合同发生争议，双方应友好协商解决，协商不成的，由甲方所在地有管辖权的人民法院管辖。</w:t>
      </w:r>
    </w:p>
    <w:p w14:paraId="2B548D55">
      <w:pPr>
        <w:wordWrap w:val="0"/>
        <w:topLinePunct/>
        <w:spacing w:line="360" w:lineRule="auto"/>
        <w:ind w:firstLine="600" w:firstLineChars="250"/>
        <w:rPr>
          <w:rFonts w:hint="eastAsia" w:ascii="宋体" w:hAnsi="宋体"/>
          <w:sz w:val="24"/>
        </w:rPr>
      </w:pPr>
      <w:r>
        <w:rPr>
          <w:rFonts w:hint="eastAsia" w:ascii="宋体" w:hAnsi="宋体"/>
          <w:sz w:val="24"/>
        </w:rPr>
        <w:t>十四、送达</w:t>
      </w:r>
    </w:p>
    <w:p w14:paraId="0D28C052">
      <w:pPr>
        <w:wordWrap w:val="0"/>
        <w:topLinePunct/>
        <w:spacing w:line="360" w:lineRule="auto"/>
        <w:ind w:left="360" w:hanging="360"/>
        <w:rPr>
          <w:rFonts w:ascii="Arial" w:hAnsi="Arial" w:cs="Arial"/>
          <w:sz w:val="24"/>
        </w:rPr>
      </w:pPr>
      <w:r>
        <w:rPr>
          <w:rFonts w:ascii="宋体" w:hAnsi="宋体"/>
          <w:sz w:val="24"/>
        </w:rPr>
        <w:t>1</w:t>
      </w:r>
      <w:r>
        <w:rPr>
          <w:rFonts w:hint="eastAsia" w:ascii="宋体" w:hAnsi="宋体"/>
          <w:sz w:val="24"/>
        </w:rPr>
        <w:t>、</w:t>
      </w:r>
      <w:r>
        <w:rPr>
          <w:rFonts w:hint="eastAsia" w:ascii="Arial" w:hAnsi="Arial" w:cs="Arial"/>
          <w:sz w:val="24"/>
        </w:rPr>
        <w:t>双方确定的通讯地址为：</w:t>
      </w:r>
    </w:p>
    <w:p w14:paraId="5D4F9010">
      <w:pPr>
        <w:wordWrap w:val="0"/>
        <w:topLinePunct/>
        <w:spacing w:line="360" w:lineRule="auto"/>
        <w:rPr>
          <w:rFonts w:ascii="Arial" w:hAnsi="Arial" w:cs="Arial"/>
          <w:sz w:val="24"/>
          <w:u w:val="single"/>
        </w:rPr>
      </w:pPr>
      <w:r>
        <w:rPr>
          <w:rFonts w:hint="eastAsia" w:ascii="Arial" w:hAnsi="Arial" w:cs="Arial"/>
          <w:sz w:val="24"/>
        </w:rPr>
        <w:t>甲方通讯地址：</w:t>
      </w:r>
      <w:r>
        <w:rPr>
          <w:rFonts w:hint="eastAsia" w:ascii="宋体" w:hAnsi="宋体" w:cs="宋体"/>
          <w:kern w:val="0"/>
          <w:sz w:val="24"/>
          <w:u w:val="single"/>
        </w:rPr>
        <w:t>北京市朝阳区安翔路1号</w:t>
      </w:r>
      <w:r>
        <w:rPr>
          <w:rFonts w:hint="eastAsia" w:ascii="宋体" w:hAnsi="宋体" w:cs="宋体"/>
          <w:kern w:val="0"/>
          <w:sz w:val="24"/>
        </w:rPr>
        <w:t>，</w:t>
      </w:r>
      <w:r>
        <w:rPr>
          <w:rFonts w:hint="eastAsia" w:ascii="Arial" w:hAnsi="Arial" w:cs="Arial"/>
          <w:sz w:val="24"/>
        </w:rPr>
        <w:t>收件人：院办，电话：</w:t>
      </w:r>
      <w:r>
        <w:rPr>
          <w:rFonts w:hint="eastAsia" w:ascii="Arial" w:hAnsi="Arial" w:cs="Arial"/>
          <w:sz w:val="24"/>
          <w:u w:val="single"/>
        </w:rPr>
        <w:t xml:space="preserve">       </w:t>
      </w:r>
    </w:p>
    <w:p w14:paraId="6B17860F">
      <w:pPr>
        <w:wordWrap w:val="0"/>
        <w:topLinePunct/>
        <w:spacing w:line="360" w:lineRule="auto"/>
        <w:rPr>
          <w:rFonts w:ascii="Arial" w:hAnsi="Arial" w:cs="Arial"/>
          <w:sz w:val="24"/>
        </w:rPr>
      </w:pPr>
      <w:r>
        <w:rPr>
          <w:rFonts w:hint="eastAsia" w:ascii="Arial" w:hAnsi="Arial" w:cs="Arial"/>
          <w:sz w:val="24"/>
        </w:rPr>
        <w:t>乙方通讯地址：</w:t>
      </w:r>
      <w:r>
        <w:rPr>
          <w:rFonts w:hint="eastAsia" w:ascii="宋体" w:hAnsi="宋体"/>
          <w:bCs/>
          <w:sz w:val="24"/>
          <w:u w:val="single"/>
        </w:rPr>
        <w:t xml:space="preserve">            </w:t>
      </w:r>
      <w:r>
        <w:rPr>
          <w:rFonts w:hint="eastAsia" w:ascii="宋体" w:hAnsi="宋体" w:cs="宋体"/>
          <w:bCs/>
          <w:sz w:val="24"/>
          <w:u w:val="single"/>
          <w:shd w:val="clear" w:color="auto" w:fill="FFFFFF"/>
        </w:rPr>
        <w:t xml:space="preserve"> </w:t>
      </w:r>
      <w:r>
        <w:rPr>
          <w:rFonts w:hint="eastAsia" w:ascii="宋体" w:hAnsi="宋体" w:cs="宋体"/>
          <w:sz w:val="24"/>
          <w:u w:val="single"/>
          <w:shd w:val="clear" w:color="auto" w:fill="FFFFFF"/>
        </w:rPr>
        <w:t xml:space="preserve"> </w:t>
      </w:r>
      <w:r>
        <w:rPr>
          <w:rFonts w:hint="eastAsia" w:ascii="Arial" w:hAnsi="Arial" w:cs="Arial"/>
          <w:sz w:val="24"/>
        </w:rPr>
        <w:t>收件人：</w:t>
      </w:r>
      <w:r>
        <w:rPr>
          <w:rFonts w:hint="eastAsia" w:ascii="宋体" w:hAnsi="宋体" w:cs="宋体"/>
          <w:sz w:val="24"/>
          <w:u w:val="single"/>
        </w:rPr>
        <w:t xml:space="preserve"> </w:t>
      </w:r>
      <w:r>
        <w:rPr>
          <w:rFonts w:hint="eastAsia" w:ascii="宋体" w:hAnsi="宋体"/>
          <w:sz w:val="24"/>
          <w:u w:val="single"/>
        </w:rPr>
        <w:t xml:space="preserve">    </w:t>
      </w:r>
      <w:r>
        <w:rPr>
          <w:rFonts w:hint="eastAsia" w:ascii="宋体" w:hAnsi="宋体" w:cs="宋体"/>
          <w:sz w:val="24"/>
          <w:u w:val="single"/>
        </w:rPr>
        <w:t xml:space="preserve"> </w:t>
      </w:r>
      <w:r>
        <w:rPr>
          <w:rFonts w:hint="eastAsia" w:ascii="Arial" w:hAnsi="Arial" w:cs="Arial"/>
          <w:sz w:val="24"/>
        </w:rPr>
        <w:t>，电话：</w:t>
      </w:r>
      <w:r>
        <w:rPr>
          <w:rFonts w:hint="eastAsia" w:ascii="Arial" w:hAnsi="Arial" w:cs="Arial"/>
          <w:sz w:val="24"/>
          <w:u w:val="single"/>
        </w:rPr>
        <w:t xml:space="preserve"> </w:t>
      </w:r>
      <w:r>
        <w:rPr>
          <w:rFonts w:hint="eastAsia" w:ascii="宋体" w:hAnsi="宋体"/>
          <w:bCs/>
          <w:sz w:val="24"/>
          <w:u w:val="single"/>
        </w:rPr>
        <w:t xml:space="preserve">       </w:t>
      </w:r>
      <w:r>
        <w:rPr>
          <w:rFonts w:hint="eastAsia" w:ascii="Arial" w:hAnsi="Arial" w:cs="Arial"/>
          <w:sz w:val="24"/>
          <w:u w:val="single"/>
        </w:rPr>
        <w:t xml:space="preserve">  </w:t>
      </w:r>
    </w:p>
    <w:p w14:paraId="7E9E3441">
      <w:pPr>
        <w:wordWrap w:val="0"/>
        <w:topLinePunct/>
        <w:spacing w:line="440" w:lineRule="exact"/>
        <w:rPr>
          <w:rFonts w:hint="eastAsia" w:ascii="宋体" w:hAnsi="宋体"/>
          <w:sz w:val="24"/>
        </w:rPr>
      </w:pPr>
      <w:r>
        <w:rPr>
          <w:rFonts w:hint="eastAsia" w:ascii="宋体" w:hAnsi="宋体"/>
          <w:sz w:val="24"/>
        </w:rPr>
        <w:t>2、如果发生诉讼/仲裁，各方当事人均以前述确定的通讯地址（含联系电话）作其送达地址，依照该地址进行邮寄送达时，自乙方送交快递或者邮局之日起三日内视为送达对方。如果他人代为签收则直接算作已送达，如果出现电话不通/无人接听/无法联系接收人/无人接收 / 拒收，或者因地址不详 / 地址错误 /变更地址等各种原因而造成无法送达的情况时，则自该快递被退回之日即视为已送达该方当事人。</w:t>
      </w:r>
    </w:p>
    <w:p w14:paraId="26AEED78">
      <w:pPr>
        <w:wordWrap w:val="0"/>
        <w:topLinePunct/>
        <w:spacing w:line="360" w:lineRule="auto"/>
        <w:ind w:firstLine="600" w:firstLineChars="250"/>
        <w:rPr>
          <w:rFonts w:hint="eastAsia" w:ascii="宋体" w:hAnsi="宋体"/>
          <w:sz w:val="24"/>
        </w:rPr>
      </w:pPr>
      <w:r>
        <w:rPr>
          <w:rFonts w:hint="eastAsia" w:ascii="宋体" w:hAnsi="宋体"/>
          <w:sz w:val="24"/>
        </w:rPr>
        <w:t>十五、</w:t>
      </w:r>
      <w:r>
        <w:rPr>
          <w:rFonts w:ascii="宋体" w:hAnsi="宋体"/>
          <w:sz w:val="24"/>
        </w:rPr>
        <w:t>合同未尽事宜，双方另行签订补充协议</w:t>
      </w:r>
      <w:r>
        <w:rPr>
          <w:rFonts w:hint="eastAsia" w:ascii="宋体" w:hAnsi="宋体"/>
          <w:sz w:val="24"/>
        </w:rPr>
        <w:t>，但不得背离本协议第八条所约定的合同文件的实质性内容</w:t>
      </w:r>
      <w:r>
        <w:rPr>
          <w:rFonts w:ascii="宋体" w:hAnsi="宋体"/>
          <w:sz w:val="24"/>
        </w:rPr>
        <w:t>。补充协议是合同</w:t>
      </w:r>
      <w:r>
        <w:rPr>
          <w:rFonts w:hint="eastAsia" w:ascii="宋体" w:hAnsi="宋体"/>
          <w:sz w:val="24"/>
        </w:rPr>
        <w:t>文件</w:t>
      </w:r>
      <w:r>
        <w:rPr>
          <w:rFonts w:ascii="宋体" w:hAnsi="宋体"/>
          <w:sz w:val="24"/>
        </w:rPr>
        <w:t>的组成部分。</w:t>
      </w:r>
    </w:p>
    <w:p w14:paraId="1E9D6D68">
      <w:pPr>
        <w:spacing w:before="240" w:beforeLines="100" w:after="240" w:afterLines="100" w:line="400" w:lineRule="exact"/>
        <w:rPr>
          <w:b/>
          <w:bCs/>
          <w:szCs w:val="21"/>
        </w:rPr>
      </w:pPr>
    </w:p>
    <w:p w14:paraId="1663E5CA">
      <w:pPr>
        <w:spacing w:before="240" w:beforeLines="100" w:after="240" w:afterLines="100" w:line="360" w:lineRule="auto"/>
        <w:ind w:left="5553" w:leftChars="-224" w:hanging="6023" w:hangingChars="2500"/>
        <w:rPr>
          <w:sz w:val="24"/>
        </w:rPr>
      </w:pPr>
      <w:r>
        <w:rPr>
          <w:b/>
          <w:bCs/>
          <w:sz w:val="24"/>
        </w:rPr>
        <w:t>甲方：</w:t>
      </w:r>
      <w:r>
        <w:rPr>
          <w:rFonts w:hint="eastAsia"/>
          <w:b/>
          <w:bCs/>
          <w:sz w:val="24"/>
          <w:u w:val="single"/>
        </w:rPr>
        <w:t>中国音乐学院</w:t>
      </w:r>
      <w:r>
        <w:rPr>
          <w:sz w:val="24"/>
        </w:rPr>
        <w:t>（盖单位章）</w:t>
      </w:r>
      <w:r>
        <w:rPr>
          <w:b/>
          <w:bCs/>
          <w:sz w:val="24"/>
        </w:rPr>
        <w:t>乙方：</w:t>
      </w:r>
      <w:r>
        <w:rPr>
          <w:rFonts w:hint="eastAsia" w:ascii="宋体" w:hAnsi="宋体"/>
          <w:b/>
          <w:sz w:val="24"/>
          <w:u w:val="single"/>
        </w:rPr>
        <w:t xml:space="preserve"> </w:t>
      </w:r>
      <w:r>
        <w:rPr>
          <w:rFonts w:hint="eastAsia" w:ascii="宋体" w:hAnsi="宋体"/>
          <w:bCs/>
          <w:sz w:val="36"/>
          <w:szCs w:val="36"/>
          <w:u w:val="single"/>
        </w:rPr>
        <w:t xml:space="preserve">            </w:t>
      </w:r>
      <w:r>
        <w:rPr>
          <w:rFonts w:hint="eastAsia" w:ascii="宋体" w:hAnsi="宋体" w:cs="宋体"/>
          <w:bCs/>
          <w:sz w:val="24"/>
          <w:u w:val="single"/>
          <w:shd w:val="clear" w:color="auto" w:fill="FFFFFF"/>
        </w:rPr>
        <w:t xml:space="preserve"> </w:t>
      </w:r>
      <w:r>
        <w:rPr>
          <w:rFonts w:hint="eastAsia" w:ascii="宋体" w:hAnsi="宋体"/>
          <w:b/>
          <w:sz w:val="24"/>
          <w:u w:val="single"/>
        </w:rPr>
        <w:t xml:space="preserve"> </w:t>
      </w:r>
      <w:r>
        <w:rPr>
          <w:sz w:val="24"/>
        </w:rPr>
        <w:t>（盖单位章）</w:t>
      </w:r>
    </w:p>
    <w:p w14:paraId="791CF572">
      <w:pPr>
        <w:spacing w:line="360" w:lineRule="auto"/>
        <w:rPr>
          <w:sz w:val="24"/>
        </w:rPr>
      </w:pPr>
      <w:r>
        <w:rPr>
          <w:b/>
          <w:bCs/>
          <w:sz w:val="24"/>
        </w:rPr>
        <w:t>法定代表人或其</w:t>
      </w:r>
      <w:r>
        <w:rPr>
          <w:rFonts w:hint="eastAsia"/>
          <w:b/>
          <w:bCs/>
          <w:sz w:val="24"/>
        </w:rPr>
        <w:t xml:space="preserve"> </w:t>
      </w:r>
      <w:r>
        <w:rPr>
          <w:b/>
          <w:bCs/>
          <w:sz w:val="24"/>
        </w:rPr>
        <w:t xml:space="preserve">                   </w:t>
      </w:r>
      <w:r>
        <w:rPr>
          <w:rFonts w:hint="eastAsia"/>
          <w:b/>
          <w:bCs/>
          <w:sz w:val="24"/>
        </w:rPr>
        <w:t xml:space="preserve">  </w:t>
      </w:r>
      <w:r>
        <w:rPr>
          <w:b/>
          <w:bCs/>
          <w:sz w:val="24"/>
        </w:rPr>
        <w:t>法定代表人或其</w:t>
      </w:r>
    </w:p>
    <w:p w14:paraId="286E3687">
      <w:pPr>
        <w:spacing w:line="360" w:lineRule="auto"/>
        <w:rPr>
          <w:sz w:val="24"/>
          <w:u w:val="single"/>
        </w:rPr>
      </w:pPr>
      <w:r>
        <w:rPr>
          <w:b/>
          <w:bCs/>
          <w:sz w:val="24"/>
        </w:rPr>
        <w:t>委托代理人：</w:t>
      </w:r>
      <w:r>
        <w:rPr>
          <w:sz w:val="24"/>
        </w:rPr>
        <w:t>（签字）</w:t>
      </w:r>
      <w:r>
        <w:rPr>
          <w:rFonts w:hint="eastAsia"/>
          <w:sz w:val="24"/>
          <w:u w:val="single"/>
        </w:rPr>
        <w:t xml:space="preserve"> </w:t>
      </w:r>
      <w:r>
        <w:rPr>
          <w:sz w:val="24"/>
          <w:u w:val="single"/>
        </w:rPr>
        <w:t xml:space="preserve">             </w:t>
      </w:r>
      <w:r>
        <w:rPr>
          <w:sz w:val="24"/>
        </w:rPr>
        <w:t xml:space="preserve">  </w:t>
      </w:r>
      <w:r>
        <w:rPr>
          <w:b/>
          <w:bCs/>
          <w:sz w:val="24"/>
        </w:rPr>
        <w:t>委托代理人：</w:t>
      </w:r>
      <w:r>
        <w:rPr>
          <w:sz w:val="24"/>
        </w:rPr>
        <w:t>（签字）</w:t>
      </w:r>
      <w:r>
        <w:rPr>
          <w:rFonts w:hint="eastAsia"/>
          <w:sz w:val="24"/>
          <w:u w:val="single"/>
        </w:rPr>
        <w:t xml:space="preserve"> </w:t>
      </w:r>
      <w:r>
        <w:rPr>
          <w:sz w:val="24"/>
          <w:u w:val="single"/>
        </w:rPr>
        <w:t xml:space="preserve">           </w:t>
      </w:r>
    </w:p>
    <w:p w14:paraId="2FFDB4C6">
      <w:pPr>
        <w:spacing w:before="240" w:beforeLines="100" w:after="240" w:afterLines="100" w:line="360" w:lineRule="auto"/>
        <w:rPr>
          <w:sz w:val="24"/>
        </w:rPr>
      </w:pPr>
      <w:r>
        <w:rPr>
          <w:sz w:val="24"/>
        </w:rPr>
        <w:t>年</w:t>
      </w:r>
      <w:r>
        <w:rPr>
          <w:rFonts w:hint="eastAsia"/>
          <w:sz w:val="24"/>
        </w:rPr>
        <w:t xml:space="preserve"> </w:t>
      </w:r>
      <w:r>
        <w:rPr>
          <w:sz w:val="24"/>
        </w:rPr>
        <w:t xml:space="preserve">   月</w:t>
      </w:r>
      <w:r>
        <w:rPr>
          <w:rFonts w:hint="eastAsia"/>
          <w:sz w:val="24"/>
        </w:rPr>
        <w:t xml:space="preserve"> </w:t>
      </w:r>
      <w:r>
        <w:rPr>
          <w:sz w:val="24"/>
        </w:rPr>
        <w:t xml:space="preserve">   日</w:t>
      </w:r>
      <w:r>
        <w:rPr>
          <w:rFonts w:hint="eastAsia"/>
          <w:sz w:val="24"/>
        </w:rPr>
        <w:t xml:space="preserve"> </w:t>
      </w:r>
      <w:r>
        <w:rPr>
          <w:sz w:val="24"/>
        </w:rPr>
        <w:t xml:space="preserve">                        年</w:t>
      </w:r>
      <w:r>
        <w:rPr>
          <w:rFonts w:hint="eastAsia"/>
          <w:sz w:val="24"/>
        </w:rPr>
        <w:t xml:space="preserve"> </w:t>
      </w:r>
      <w:r>
        <w:rPr>
          <w:sz w:val="24"/>
        </w:rPr>
        <w:t xml:space="preserve">   月</w:t>
      </w:r>
      <w:r>
        <w:rPr>
          <w:rFonts w:hint="eastAsia"/>
          <w:sz w:val="24"/>
        </w:rPr>
        <w:t xml:space="preserve"> </w:t>
      </w:r>
      <w:r>
        <w:rPr>
          <w:sz w:val="24"/>
        </w:rPr>
        <w:t xml:space="preserve">  日</w:t>
      </w:r>
    </w:p>
    <w:p w14:paraId="10FD761B">
      <w:pPr>
        <w:spacing w:before="240" w:beforeLines="100" w:after="240" w:afterLines="100" w:line="360" w:lineRule="auto"/>
        <w:rPr>
          <w:sz w:val="24"/>
        </w:rPr>
      </w:pPr>
    </w:p>
    <w:p w14:paraId="43057EA6">
      <w:pPr>
        <w:spacing w:before="240" w:beforeLines="100" w:after="240" w:afterLines="100" w:line="360" w:lineRule="auto"/>
        <w:rPr>
          <w:b/>
          <w:sz w:val="24"/>
        </w:rPr>
      </w:pPr>
      <w:r>
        <w:rPr>
          <w:rFonts w:hint="eastAsia"/>
          <w:b/>
          <w:sz w:val="24"/>
        </w:rPr>
        <w:t>签约地点：</w:t>
      </w:r>
      <w:r>
        <w:rPr>
          <w:rFonts w:hint="eastAsia"/>
          <w:b/>
          <w:sz w:val="24"/>
          <w:u w:val="single"/>
        </w:rPr>
        <w:t>中国音乐学院</w:t>
      </w:r>
    </w:p>
    <w:p w14:paraId="7E61C6BD">
      <w:pPr>
        <w:pStyle w:val="260"/>
        <w:spacing w:before="0" w:after="120" w:afterLines="50" w:line="300" w:lineRule="auto"/>
        <w:jc w:val="center"/>
        <w:outlineLvl w:val="9"/>
        <w:rPr>
          <w:rFonts w:hint="eastAsia" w:ascii="宋体" w:hAnsi="宋体" w:cs="Arial"/>
          <w:b/>
          <w:sz w:val="24"/>
        </w:rPr>
      </w:pPr>
      <w:r>
        <w:rPr>
          <w:rFonts w:ascii="宋体" w:hAnsi="宋体" w:cs="Arial"/>
          <w:b/>
          <w:sz w:val="24"/>
        </w:rPr>
        <w:br w:type="page"/>
      </w:r>
      <w:bookmarkEnd w:id="685"/>
      <w:r>
        <w:rPr>
          <w:rFonts w:hint="eastAsia" w:ascii="宋体" w:hAnsi="宋体" w:cs="Arial"/>
          <w:b/>
          <w:sz w:val="24"/>
        </w:rPr>
        <w:t>中标通知书</w:t>
      </w:r>
    </w:p>
    <w:p w14:paraId="069DB102">
      <w:pPr>
        <w:tabs>
          <w:tab w:val="left" w:pos="1800"/>
          <w:tab w:val="left" w:pos="5580"/>
        </w:tabs>
        <w:jc w:val="center"/>
        <w:rPr>
          <w:rFonts w:hint="eastAsia" w:ascii="宋体" w:hAnsi="宋体"/>
          <w:sz w:val="24"/>
        </w:rPr>
      </w:pPr>
      <w:r>
        <w:rPr>
          <w:rFonts w:ascii="宋体" w:hAnsi="宋体" w:cs="宋体"/>
          <w:sz w:val="24"/>
          <w:shd w:val="clear" w:color="auto" w:fill="FFFFFF"/>
        </w:rPr>
        <w:br w:type="page"/>
      </w:r>
      <w:r>
        <w:rPr>
          <w:rFonts w:hint="eastAsia" w:ascii="宋体" w:hAnsi="宋体"/>
          <w:b/>
          <w:sz w:val="36"/>
          <w:szCs w:val="36"/>
        </w:rPr>
        <w:t>分项报价表</w:t>
      </w:r>
    </w:p>
    <w:p w14:paraId="42BC5A68">
      <w:pPr>
        <w:tabs>
          <w:tab w:val="left" w:pos="1800"/>
          <w:tab w:val="left" w:pos="5580"/>
        </w:tabs>
        <w:rPr>
          <w:rFonts w:hint="eastAsia" w:ascii="宋体" w:hAnsi="宋体"/>
          <w:sz w:val="24"/>
        </w:rPr>
      </w:pPr>
      <w:r>
        <w:rPr>
          <w:rFonts w:ascii="宋体" w:hAnsi="宋体"/>
          <w:sz w:val="24"/>
        </w:rPr>
        <w:t>磋商文件编号：</w:t>
      </w:r>
      <w:r>
        <w:rPr>
          <w:rFonts w:hint="eastAsia" w:ascii="宋体" w:hAnsi="宋体"/>
          <w:sz w:val="24"/>
          <w:u w:val="single"/>
        </w:rPr>
        <w:t xml:space="preserve">  </w:t>
      </w:r>
      <w:r>
        <w:rPr>
          <w:rFonts w:hint="eastAsia" w:ascii="宋体" w:hAnsi="宋体"/>
          <w:bCs/>
          <w:sz w:val="36"/>
          <w:szCs w:val="36"/>
          <w:u w:val="single"/>
        </w:rPr>
        <w:t xml:space="preserve">            </w:t>
      </w:r>
      <w:r>
        <w:rPr>
          <w:rFonts w:hint="eastAsia" w:ascii="宋体" w:hAnsi="宋体" w:cs="宋体"/>
          <w:bCs/>
          <w:sz w:val="24"/>
          <w:u w:val="single"/>
          <w:shd w:val="clear" w:color="auto" w:fill="FFFFFF"/>
        </w:rPr>
        <w:t xml:space="preserve"> </w:t>
      </w:r>
      <w:r>
        <w:rPr>
          <w:rFonts w:hint="eastAsia" w:ascii="宋体" w:hAnsi="宋体"/>
          <w:sz w:val="24"/>
          <w:u w:val="single"/>
        </w:rPr>
        <w:t xml:space="preserve"> </w:t>
      </w:r>
      <w:r>
        <w:rPr>
          <w:rFonts w:hint="eastAsia" w:ascii="宋体" w:hAnsi="宋体"/>
          <w:sz w:val="24"/>
        </w:rPr>
        <w:t xml:space="preserve"> </w:t>
      </w:r>
      <w:r>
        <w:rPr>
          <w:rFonts w:ascii="宋体" w:hAnsi="宋体"/>
          <w:sz w:val="24"/>
        </w:rPr>
        <w:t xml:space="preserve"> </w:t>
      </w:r>
    </w:p>
    <w:p w14:paraId="01D61AD1">
      <w:pPr>
        <w:tabs>
          <w:tab w:val="left" w:pos="1800"/>
          <w:tab w:val="left" w:pos="5580"/>
        </w:tabs>
        <w:rPr>
          <w:rFonts w:hint="eastAsia" w:ascii="宋体" w:hAnsi="宋体"/>
          <w:sz w:val="24"/>
        </w:rPr>
      </w:pPr>
      <w:r>
        <w:rPr>
          <w:rFonts w:ascii="宋体" w:hAnsi="宋体"/>
          <w:sz w:val="24"/>
        </w:rPr>
        <w:t>项目名称：</w:t>
      </w:r>
      <w:r>
        <w:rPr>
          <w:rFonts w:hint="eastAsia" w:ascii="宋体" w:hAnsi="宋体"/>
          <w:sz w:val="24"/>
          <w:u w:val="single"/>
        </w:rPr>
        <w:t xml:space="preserve"> </w:t>
      </w:r>
      <w:r>
        <w:rPr>
          <w:rFonts w:hint="eastAsia" w:ascii="宋体" w:hAnsi="宋体"/>
          <w:bCs/>
          <w:sz w:val="36"/>
          <w:szCs w:val="36"/>
          <w:u w:val="single"/>
        </w:rPr>
        <w:t xml:space="preserve">            </w:t>
      </w:r>
      <w:r>
        <w:rPr>
          <w:rFonts w:hint="eastAsia" w:ascii="宋体" w:hAnsi="宋体" w:cs="宋体"/>
          <w:bCs/>
          <w:sz w:val="24"/>
          <w:u w:val="single"/>
          <w:shd w:val="clear" w:color="auto" w:fill="FFFFFF"/>
        </w:rPr>
        <w:t xml:space="preserve"> </w:t>
      </w:r>
      <w:r>
        <w:rPr>
          <w:rFonts w:hint="eastAsia" w:ascii="宋体" w:hAnsi="宋体"/>
          <w:bCs/>
          <w:sz w:val="36"/>
          <w:szCs w:val="36"/>
          <w:u w:val="single"/>
        </w:rPr>
        <w:t xml:space="preserve">            </w:t>
      </w:r>
      <w:r>
        <w:rPr>
          <w:rFonts w:hint="eastAsia" w:ascii="宋体" w:hAnsi="宋体" w:cs="宋体"/>
          <w:bCs/>
          <w:sz w:val="24"/>
          <w:u w:val="single"/>
          <w:shd w:val="clear" w:color="auto" w:fill="FFFFFF"/>
        </w:rPr>
        <w:t xml:space="preserve"> </w:t>
      </w:r>
      <w:r>
        <w:rPr>
          <w:rFonts w:hint="eastAsia" w:ascii="宋体" w:hAnsi="宋体"/>
          <w:sz w:val="24"/>
          <w:u w:val="single"/>
        </w:rPr>
        <w:t xml:space="preserve"> </w:t>
      </w:r>
      <w:r>
        <w:rPr>
          <w:rFonts w:hint="eastAsia" w:ascii="宋体" w:hAnsi="宋体"/>
          <w:sz w:val="24"/>
        </w:rPr>
        <w:t xml:space="preserve">    </w:t>
      </w:r>
    </w:p>
    <w:p w14:paraId="5A85A6FF">
      <w:pPr>
        <w:tabs>
          <w:tab w:val="left" w:pos="1800"/>
          <w:tab w:val="left" w:pos="5580"/>
        </w:tabs>
        <w:ind w:firstLine="6240" w:firstLineChars="2600"/>
        <w:rPr>
          <w:rFonts w:hint="eastAsia" w:ascii="宋体" w:hAnsi="宋体"/>
          <w:sz w:val="24"/>
        </w:rPr>
      </w:pPr>
      <w:r>
        <w:rPr>
          <w:rFonts w:ascii="宋体" w:hAnsi="宋体"/>
          <w:sz w:val="24"/>
        </w:rPr>
        <w:t>报价单位：人民币元</w:t>
      </w:r>
    </w:p>
    <w:tbl>
      <w:tblPr>
        <w:tblStyle w:val="43"/>
        <w:tblW w:w="95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1"/>
        <w:gridCol w:w="6662"/>
      </w:tblGrid>
      <w:tr w14:paraId="4F21E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71" w:type="dxa"/>
            <w:vAlign w:val="center"/>
          </w:tcPr>
          <w:p w14:paraId="53A37555">
            <w:pPr>
              <w:wordWrap w:val="0"/>
              <w:topLinePunct/>
              <w:rPr>
                <w:rFonts w:hint="eastAsia" w:ascii="宋体" w:hAnsi="宋体"/>
                <w:sz w:val="24"/>
              </w:rPr>
            </w:pPr>
            <w:r>
              <w:rPr>
                <w:rFonts w:hint="eastAsia" w:ascii="宋体" w:hAnsi="宋体"/>
                <w:sz w:val="24"/>
              </w:rPr>
              <w:t>工程名称</w:t>
            </w:r>
          </w:p>
        </w:tc>
        <w:tc>
          <w:tcPr>
            <w:tcW w:w="6662" w:type="dxa"/>
            <w:vAlign w:val="center"/>
          </w:tcPr>
          <w:p w14:paraId="05783EEE">
            <w:pPr>
              <w:wordWrap w:val="0"/>
              <w:topLinePunct/>
              <w:rPr>
                <w:rFonts w:hint="eastAsia" w:ascii="宋体" w:hAnsi="宋体"/>
                <w:sz w:val="24"/>
              </w:rPr>
            </w:pPr>
          </w:p>
        </w:tc>
      </w:tr>
      <w:tr w14:paraId="0155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71" w:type="dxa"/>
            <w:vAlign w:val="center"/>
          </w:tcPr>
          <w:p w14:paraId="30B9B338">
            <w:pPr>
              <w:wordWrap w:val="0"/>
              <w:topLinePunct/>
              <w:rPr>
                <w:rFonts w:hint="eastAsia" w:ascii="宋体" w:hAnsi="宋体"/>
                <w:sz w:val="24"/>
              </w:rPr>
            </w:pPr>
            <w:r>
              <w:rPr>
                <w:rFonts w:hint="eastAsia" w:ascii="宋体" w:hAnsi="宋体"/>
                <w:sz w:val="24"/>
              </w:rPr>
              <w:t>合同履行期限</w:t>
            </w:r>
          </w:p>
        </w:tc>
        <w:tc>
          <w:tcPr>
            <w:tcW w:w="6662" w:type="dxa"/>
            <w:vAlign w:val="center"/>
          </w:tcPr>
          <w:p w14:paraId="6CB1F4EF">
            <w:pPr>
              <w:wordWrap w:val="0"/>
              <w:topLinePunct/>
              <w:rPr>
                <w:rFonts w:hint="eastAsia" w:ascii="宋体" w:hAnsi="宋体"/>
                <w:sz w:val="24"/>
              </w:rPr>
            </w:pPr>
          </w:p>
        </w:tc>
      </w:tr>
      <w:tr w14:paraId="2215C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71" w:type="dxa"/>
            <w:vAlign w:val="center"/>
          </w:tcPr>
          <w:p w14:paraId="04ED735A">
            <w:pPr>
              <w:wordWrap w:val="0"/>
              <w:topLinePunct/>
              <w:rPr>
                <w:rFonts w:hint="eastAsia" w:ascii="宋体" w:hAnsi="宋体"/>
                <w:sz w:val="24"/>
              </w:rPr>
            </w:pPr>
            <w:r>
              <w:rPr>
                <w:rFonts w:hint="eastAsia" w:ascii="宋体" w:hAnsi="宋体"/>
                <w:sz w:val="24"/>
              </w:rPr>
              <w:t>计划开工日期</w:t>
            </w:r>
          </w:p>
        </w:tc>
        <w:tc>
          <w:tcPr>
            <w:tcW w:w="6662" w:type="dxa"/>
            <w:vAlign w:val="center"/>
          </w:tcPr>
          <w:p w14:paraId="5D8FCEF8">
            <w:pPr>
              <w:wordWrap w:val="0"/>
              <w:topLinePunct/>
              <w:ind w:firstLine="840" w:firstLineChars="350"/>
              <w:rPr>
                <w:rFonts w:hint="eastAsia" w:ascii="宋体" w:hAnsi="宋体"/>
                <w:sz w:val="24"/>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tc>
      </w:tr>
      <w:tr w14:paraId="403E6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71" w:type="dxa"/>
            <w:vAlign w:val="center"/>
          </w:tcPr>
          <w:p w14:paraId="5029D1FD">
            <w:pPr>
              <w:wordWrap w:val="0"/>
              <w:topLinePunct/>
              <w:rPr>
                <w:rFonts w:hint="eastAsia" w:ascii="宋体" w:hAnsi="宋体"/>
                <w:sz w:val="24"/>
              </w:rPr>
            </w:pPr>
            <w:r>
              <w:rPr>
                <w:rFonts w:hint="eastAsia" w:ascii="宋体" w:hAnsi="宋体"/>
                <w:sz w:val="24"/>
              </w:rPr>
              <w:t>计划竣工日期</w:t>
            </w:r>
          </w:p>
        </w:tc>
        <w:tc>
          <w:tcPr>
            <w:tcW w:w="6662" w:type="dxa"/>
            <w:vAlign w:val="center"/>
          </w:tcPr>
          <w:p w14:paraId="25C597D0">
            <w:pPr>
              <w:wordWrap w:val="0"/>
              <w:topLinePunct/>
              <w:ind w:firstLine="840" w:firstLineChars="350"/>
              <w:rPr>
                <w:rFonts w:hint="eastAsia" w:ascii="宋体" w:hAnsi="宋体"/>
                <w:sz w:val="24"/>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tc>
      </w:tr>
      <w:tr w14:paraId="63605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71" w:type="dxa"/>
            <w:vAlign w:val="center"/>
          </w:tcPr>
          <w:p w14:paraId="68522873">
            <w:pPr>
              <w:wordWrap w:val="0"/>
              <w:topLinePunct/>
              <w:rPr>
                <w:rFonts w:hint="eastAsia" w:ascii="宋体" w:hAnsi="宋体"/>
                <w:sz w:val="24"/>
              </w:rPr>
            </w:pPr>
            <w:r>
              <w:rPr>
                <w:rFonts w:hint="eastAsia" w:ascii="宋体" w:hAnsi="宋体"/>
                <w:sz w:val="24"/>
              </w:rPr>
              <w:t>质量标准</w:t>
            </w:r>
          </w:p>
        </w:tc>
        <w:tc>
          <w:tcPr>
            <w:tcW w:w="6662" w:type="dxa"/>
            <w:vAlign w:val="center"/>
          </w:tcPr>
          <w:p w14:paraId="236DE08A">
            <w:pPr>
              <w:wordWrap w:val="0"/>
              <w:topLinePunct/>
              <w:rPr>
                <w:rFonts w:hint="eastAsia" w:ascii="宋体" w:hAnsi="宋体"/>
                <w:sz w:val="24"/>
              </w:rPr>
            </w:pPr>
            <w:r>
              <w:rPr>
                <w:rFonts w:hint="eastAsia" w:ascii="宋体" w:hAnsi="宋体"/>
                <w:sz w:val="24"/>
              </w:rPr>
              <w:t>合格</w:t>
            </w:r>
          </w:p>
        </w:tc>
      </w:tr>
      <w:tr w14:paraId="62F9D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71" w:type="dxa"/>
            <w:vAlign w:val="center"/>
          </w:tcPr>
          <w:p w14:paraId="68A4C9E2">
            <w:pPr>
              <w:wordWrap w:val="0"/>
              <w:topLinePunct/>
              <w:adjustRightInd w:val="0"/>
              <w:snapToGrid w:val="0"/>
              <w:jc w:val="left"/>
              <w:rPr>
                <w:rFonts w:hint="eastAsia" w:ascii="宋体" w:hAnsi="宋体"/>
                <w:sz w:val="24"/>
              </w:rPr>
            </w:pPr>
            <w:r>
              <w:rPr>
                <w:rFonts w:hint="eastAsia" w:ascii="宋体" w:hAnsi="宋体"/>
                <w:sz w:val="24"/>
              </w:rPr>
              <w:t>施工现场安全生产标准化管理目标等级</w:t>
            </w:r>
          </w:p>
        </w:tc>
        <w:tc>
          <w:tcPr>
            <w:tcW w:w="6662" w:type="dxa"/>
            <w:vAlign w:val="center"/>
          </w:tcPr>
          <w:p w14:paraId="7B365D9E">
            <w:pPr>
              <w:wordWrap w:val="0"/>
              <w:topLinePunct/>
              <w:rPr>
                <w:rFonts w:hint="eastAsia" w:ascii="宋体" w:hAnsi="宋体"/>
                <w:sz w:val="24"/>
              </w:rPr>
            </w:pPr>
            <w:r>
              <w:rPr>
                <w:rFonts w:hint="eastAsia" w:ascii="宋体" w:hAnsi="宋体"/>
                <w:sz w:val="24"/>
              </w:rPr>
              <w:t>达标</w:t>
            </w:r>
          </w:p>
        </w:tc>
      </w:tr>
      <w:tr w14:paraId="14A29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871" w:type="dxa"/>
            <w:vAlign w:val="center"/>
          </w:tcPr>
          <w:p w14:paraId="31EBBAB5">
            <w:pPr>
              <w:wordWrap w:val="0"/>
              <w:topLinePunct/>
              <w:rPr>
                <w:rFonts w:hint="eastAsia" w:ascii="宋体" w:hAnsi="宋体"/>
                <w:sz w:val="24"/>
              </w:rPr>
            </w:pPr>
            <w:r>
              <w:rPr>
                <w:rFonts w:hint="eastAsia" w:ascii="宋体" w:hAnsi="宋体"/>
                <w:sz w:val="24"/>
              </w:rPr>
              <w:t>响应报价</w:t>
            </w:r>
          </w:p>
        </w:tc>
        <w:tc>
          <w:tcPr>
            <w:tcW w:w="6662" w:type="dxa"/>
            <w:vAlign w:val="center"/>
          </w:tcPr>
          <w:p w14:paraId="070552A2">
            <w:pPr>
              <w:wordWrap w:val="0"/>
              <w:topLinePunct/>
              <w:rPr>
                <w:rFonts w:hint="eastAsia" w:ascii="宋体" w:hAnsi="宋体"/>
                <w:sz w:val="24"/>
              </w:rPr>
            </w:pPr>
            <w:r>
              <w:rPr>
                <w:rFonts w:hint="eastAsia" w:ascii="宋体" w:hAnsi="宋体"/>
                <w:sz w:val="24"/>
              </w:rPr>
              <w:t>人民币大写：</w:t>
            </w:r>
            <w:r>
              <w:rPr>
                <w:rFonts w:hint="eastAsia" w:ascii="宋体" w:hAnsi="宋体"/>
                <w:sz w:val="24"/>
                <w:u w:val="single"/>
              </w:rPr>
              <w:t xml:space="preserve"> </w:t>
            </w:r>
            <w:r>
              <w:rPr>
                <w:rFonts w:hint="eastAsia" w:ascii="宋体" w:hAnsi="宋体"/>
                <w:bCs/>
                <w:sz w:val="36"/>
                <w:szCs w:val="36"/>
                <w:u w:val="single"/>
              </w:rPr>
              <w:t xml:space="preserve">            </w:t>
            </w:r>
            <w:r>
              <w:rPr>
                <w:rFonts w:hint="eastAsia" w:ascii="宋体" w:hAnsi="宋体" w:cs="宋体"/>
                <w:bCs/>
                <w:sz w:val="24"/>
                <w:u w:val="single"/>
                <w:shd w:val="clear" w:color="auto" w:fill="FFFFFF"/>
              </w:rPr>
              <w:t xml:space="preserve"> </w:t>
            </w:r>
            <w:r>
              <w:rPr>
                <w:rFonts w:hint="eastAsia" w:ascii="宋体" w:hAnsi="宋体"/>
                <w:sz w:val="24"/>
                <w:u w:val="single"/>
              </w:rPr>
              <w:t xml:space="preserve"> </w:t>
            </w:r>
            <w:r>
              <w:rPr>
                <w:rFonts w:hint="eastAsia" w:ascii="宋体" w:hAnsi="宋体"/>
                <w:sz w:val="24"/>
              </w:rPr>
              <w:t>，</w:t>
            </w:r>
          </w:p>
          <w:p w14:paraId="15495D31">
            <w:pPr>
              <w:wordWrap w:val="0"/>
              <w:topLinePunct/>
              <w:rPr>
                <w:rFonts w:hint="eastAsia" w:ascii="宋体" w:hAnsi="宋体"/>
                <w:sz w:val="24"/>
              </w:rPr>
            </w:pPr>
            <w:r>
              <w:rPr>
                <w:rFonts w:hint="eastAsia" w:ascii="宋体" w:hAnsi="宋体"/>
                <w:sz w:val="24"/>
              </w:rPr>
              <w:t>人民币小写：</w:t>
            </w:r>
            <w:r>
              <w:rPr>
                <w:rFonts w:hint="eastAsia" w:ascii="宋体" w:hAnsi="宋体"/>
                <w:sz w:val="24"/>
                <w:u w:val="single"/>
              </w:rPr>
              <w:t xml:space="preserve"> </w:t>
            </w:r>
            <w:r>
              <w:rPr>
                <w:rFonts w:hint="eastAsia" w:ascii="宋体" w:hAnsi="宋体"/>
                <w:bCs/>
                <w:sz w:val="36"/>
                <w:szCs w:val="36"/>
                <w:u w:val="single"/>
              </w:rPr>
              <w:t xml:space="preserve">            </w:t>
            </w:r>
            <w:r>
              <w:rPr>
                <w:rFonts w:hint="eastAsia" w:ascii="宋体" w:hAnsi="宋体" w:cs="宋体"/>
                <w:bCs/>
                <w:sz w:val="24"/>
                <w:u w:val="single"/>
                <w:shd w:val="clear" w:color="auto" w:fill="FFFFFF"/>
              </w:rPr>
              <w:t xml:space="preserve"> </w:t>
            </w:r>
            <w:r>
              <w:rPr>
                <w:rFonts w:hint="eastAsia" w:ascii="宋体" w:hAnsi="宋体"/>
                <w:sz w:val="24"/>
              </w:rPr>
              <w:t>元</w:t>
            </w:r>
          </w:p>
        </w:tc>
      </w:tr>
      <w:tr w14:paraId="20F17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7" w:hRule="atLeast"/>
          <w:jc w:val="center"/>
        </w:trPr>
        <w:tc>
          <w:tcPr>
            <w:tcW w:w="2871" w:type="dxa"/>
            <w:vAlign w:val="center"/>
          </w:tcPr>
          <w:p w14:paraId="2403D707">
            <w:pPr>
              <w:wordWrap w:val="0"/>
              <w:topLinePunct/>
              <w:rPr>
                <w:rFonts w:hint="eastAsia" w:ascii="宋体" w:hAnsi="宋体"/>
                <w:sz w:val="24"/>
              </w:rPr>
            </w:pPr>
            <w:r>
              <w:rPr>
                <w:rFonts w:hint="eastAsia" w:ascii="宋体" w:hAnsi="宋体"/>
                <w:sz w:val="24"/>
              </w:rPr>
              <w:t>其中：</w:t>
            </w:r>
          </w:p>
        </w:tc>
        <w:tc>
          <w:tcPr>
            <w:tcW w:w="6662" w:type="dxa"/>
            <w:vAlign w:val="center"/>
          </w:tcPr>
          <w:p w14:paraId="76C44C74">
            <w:pPr>
              <w:wordWrap w:val="0"/>
              <w:topLinePunct/>
              <w:jc w:val="left"/>
              <w:rPr>
                <w:rFonts w:hint="eastAsia" w:ascii="宋体" w:hAnsi="宋体"/>
                <w:bCs/>
                <w:sz w:val="24"/>
              </w:rPr>
            </w:pPr>
            <w:r>
              <w:rPr>
                <w:rFonts w:hint="eastAsia" w:ascii="宋体" w:hAnsi="宋体"/>
                <w:bCs/>
                <w:sz w:val="24"/>
              </w:rPr>
              <w:t>分部分项工程合价为：</w:t>
            </w:r>
            <w:r>
              <w:rPr>
                <w:rFonts w:hint="eastAsia" w:ascii="宋体" w:hAnsi="宋体"/>
                <w:bCs/>
                <w:sz w:val="24"/>
                <w:u w:val="single"/>
              </w:rPr>
              <w:t xml:space="preserve"> </w:t>
            </w:r>
            <w:r>
              <w:rPr>
                <w:rFonts w:hint="eastAsia" w:ascii="宋体" w:hAnsi="宋体"/>
                <w:bCs/>
                <w:sz w:val="36"/>
                <w:szCs w:val="36"/>
                <w:u w:val="single"/>
              </w:rPr>
              <w:t xml:space="preserve">    </w:t>
            </w:r>
            <w:r>
              <w:rPr>
                <w:rFonts w:hint="eastAsia" w:ascii="宋体" w:hAnsi="宋体" w:cs="宋体"/>
                <w:bCs/>
                <w:sz w:val="24"/>
                <w:u w:val="single"/>
                <w:shd w:val="clear" w:color="auto" w:fill="FFFFFF"/>
              </w:rPr>
              <w:t xml:space="preserve"> </w:t>
            </w:r>
            <w:r>
              <w:rPr>
                <w:rFonts w:hint="eastAsia" w:ascii="宋体" w:hAnsi="宋体"/>
                <w:bCs/>
                <w:sz w:val="24"/>
                <w:u w:val="single"/>
              </w:rPr>
              <w:t xml:space="preserve"> </w:t>
            </w:r>
            <w:r>
              <w:rPr>
                <w:rFonts w:hint="eastAsia" w:ascii="宋体" w:hAnsi="宋体"/>
                <w:bCs/>
                <w:sz w:val="24"/>
              </w:rPr>
              <w:t>元；</w:t>
            </w:r>
          </w:p>
          <w:p w14:paraId="0DA36061">
            <w:pPr>
              <w:wordWrap w:val="0"/>
              <w:topLinePunct/>
              <w:jc w:val="left"/>
              <w:rPr>
                <w:rFonts w:hint="eastAsia" w:ascii="宋体" w:hAnsi="宋体"/>
                <w:bCs/>
                <w:sz w:val="24"/>
              </w:rPr>
            </w:pPr>
            <w:r>
              <w:rPr>
                <w:rFonts w:hint="eastAsia" w:ascii="宋体" w:hAnsi="宋体"/>
                <w:bCs/>
                <w:sz w:val="24"/>
              </w:rPr>
              <w:t>措施项目合价为：</w:t>
            </w:r>
            <w:r>
              <w:rPr>
                <w:rFonts w:hint="eastAsia" w:ascii="宋体" w:hAnsi="宋体"/>
                <w:bCs/>
                <w:sz w:val="24"/>
                <w:u w:val="single"/>
              </w:rPr>
              <w:t xml:space="preserve"> </w:t>
            </w:r>
            <w:r>
              <w:rPr>
                <w:rFonts w:hint="eastAsia" w:ascii="宋体" w:hAnsi="宋体"/>
                <w:bCs/>
                <w:sz w:val="36"/>
                <w:szCs w:val="36"/>
                <w:u w:val="single"/>
              </w:rPr>
              <w:t xml:space="preserve">       </w:t>
            </w:r>
            <w:r>
              <w:rPr>
                <w:rFonts w:hint="eastAsia" w:ascii="宋体" w:hAnsi="宋体" w:cs="宋体"/>
                <w:bCs/>
                <w:sz w:val="24"/>
                <w:u w:val="single"/>
                <w:shd w:val="clear" w:color="auto" w:fill="FFFFFF"/>
              </w:rPr>
              <w:t xml:space="preserve"> </w:t>
            </w:r>
            <w:r>
              <w:rPr>
                <w:rFonts w:hint="eastAsia" w:ascii="宋体" w:hAnsi="宋体"/>
                <w:bCs/>
                <w:sz w:val="24"/>
                <w:u w:val="single"/>
              </w:rPr>
              <w:t xml:space="preserve"> </w:t>
            </w:r>
            <w:r>
              <w:rPr>
                <w:rFonts w:hint="eastAsia" w:ascii="宋体" w:hAnsi="宋体"/>
                <w:bCs/>
                <w:sz w:val="24"/>
              </w:rPr>
              <w:t>元；</w:t>
            </w:r>
          </w:p>
          <w:p w14:paraId="0ECBB23E">
            <w:pPr>
              <w:wordWrap w:val="0"/>
              <w:topLinePunct/>
              <w:jc w:val="left"/>
              <w:rPr>
                <w:rFonts w:hint="eastAsia" w:ascii="宋体" w:hAnsi="宋体"/>
                <w:bCs/>
                <w:sz w:val="24"/>
              </w:rPr>
            </w:pPr>
            <w:r>
              <w:rPr>
                <w:rFonts w:hint="eastAsia" w:ascii="宋体" w:hAnsi="宋体"/>
                <w:bCs/>
                <w:sz w:val="24"/>
              </w:rPr>
              <w:t>其他项目合价为：</w:t>
            </w:r>
            <w:r>
              <w:rPr>
                <w:rFonts w:hint="eastAsia" w:ascii="宋体" w:hAnsi="宋体"/>
                <w:bCs/>
                <w:sz w:val="24"/>
                <w:u w:val="single"/>
              </w:rPr>
              <w:t xml:space="preserve">  </w:t>
            </w:r>
            <w:r>
              <w:rPr>
                <w:rFonts w:hint="eastAsia" w:ascii="宋体" w:hAnsi="宋体"/>
                <w:bCs/>
                <w:sz w:val="36"/>
                <w:szCs w:val="36"/>
                <w:u w:val="single"/>
              </w:rPr>
              <w:t xml:space="preserve">    </w:t>
            </w:r>
            <w:r>
              <w:rPr>
                <w:rFonts w:hint="eastAsia" w:ascii="宋体" w:hAnsi="宋体" w:cs="宋体"/>
                <w:bCs/>
                <w:sz w:val="24"/>
                <w:u w:val="single"/>
                <w:shd w:val="clear" w:color="auto" w:fill="FFFFFF"/>
              </w:rPr>
              <w:t xml:space="preserve"> </w:t>
            </w:r>
            <w:r>
              <w:rPr>
                <w:rFonts w:hint="eastAsia" w:ascii="宋体" w:hAnsi="宋体"/>
                <w:bCs/>
                <w:sz w:val="24"/>
                <w:u w:val="single"/>
              </w:rPr>
              <w:t xml:space="preserve">    </w:t>
            </w:r>
            <w:r>
              <w:rPr>
                <w:rFonts w:hint="eastAsia" w:ascii="宋体" w:hAnsi="宋体"/>
                <w:bCs/>
                <w:sz w:val="24"/>
              </w:rPr>
              <w:t>元；</w:t>
            </w:r>
          </w:p>
          <w:p w14:paraId="105135E8">
            <w:pPr>
              <w:wordWrap w:val="0"/>
              <w:topLinePunct/>
              <w:jc w:val="left"/>
              <w:rPr>
                <w:rFonts w:hint="eastAsia" w:ascii="宋体" w:hAnsi="宋体"/>
                <w:bCs/>
                <w:sz w:val="24"/>
              </w:rPr>
            </w:pPr>
            <w:r>
              <w:rPr>
                <w:rFonts w:hint="eastAsia" w:ascii="宋体" w:hAnsi="宋体"/>
                <w:bCs/>
                <w:sz w:val="24"/>
              </w:rPr>
              <w:t>税金的合价为：</w:t>
            </w:r>
            <w:r>
              <w:rPr>
                <w:rFonts w:hint="eastAsia" w:ascii="宋体" w:hAnsi="宋体"/>
                <w:bCs/>
                <w:sz w:val="24"/>
                <w:u w:val="single"/>
              </w:rPr>
              <w:t xml:space="preserve">  </w:t>
            </w:r>
            <w:r>
              <w:rPr>
                <w:rFonts w:hint="eastAsia" w:ascii="宋体" w:hAnsi="宋体"/>
                <w:bCs/>
                <w:sz w:val="36"/>
                <w:szCs w:val="36"/>
                <w:u w:val="single"/>
              </w:rPr>
              <w:t xml:space="preserve">      </w:t>
            </w:r>
            <w:r>
              <w:rPr>
                <w:rFonts w:hint="eastAsia" w:ascii="宋体" w:hAnsi="宋体"/>
                <w:bCs/>
                <w:sz w:val="24"/>
                <w:u w:val="single"/>
              </w:rPr>
              <w:t xml:space="preserve">  </w:t>
            </w:r>
            <w:r>
              <w:rPr>
                <w:rFonts w:hint="eastAsia" w:ascii="宋体" w:hAnsi="宋体"/>
                <w:bCs/>
                <w:sz w:val="24"/>
              </w:rPr>
              <w:t>元；</w:t>
            </w:r>
          </w:p>
          <w:p w14:paraId="31B9DDE8">
            <w:pPr>
              <w:wordWrap w:val="0"/>
              <w:topLinePunct/>
              <w:jc w:val="left"/>
              <w:rPr>
                <w:rFonts w:hint="eastAsia" w:ascii="宋体" w:hAnsi="宋体"/>
                <w:bCs/>
                <w:sz w:val="24"/>
              </w:rPr>
            </w:pPr>
            <w:r>
              <w:rPr>
                <w:rFonts w:hint="eastAsia" w:ascii="宋体" w:hAnsi="宋体"/>
                <w:bCs/>
                <w:sz w:val="24"/>
              </w:rPr>
              <w:t>其他说明：</w:t>
            </w:r>
          </w:p>
          <w:p w14:paraId="2B310A67">
            <w:pPr>
              <w:wordWrap w:val="0"/>
              <w:topLinePunct/>
              <w:ind w:firstLine="480" w:firstLineChars="200"/>
              <w:jc w:val="left"/>
              <w:rPr>
                <w:rFonts w:hint="eastAsia" w:ascii="宋体" w:hAnsi="宋体"/>
                <w:bCs/>
                <w:sz w:val="24"/>
              </w:rPr>
            </w:pPr>
            <w:r>
              <w:rPr>
                <w:rFonts w:hint="eastAsia" w:ascii="宋体" w:hAnsi="宋体"/>
                <w:bCs/>
                <w:sz w:val="24"/>
              </w:rPr>
              <w:t>材料和工程设备暂估价（含税）合计金额：</w:t>
            </w:r>
            <w:r>
              <w:rPr>
                <w:rFonts w:hint="eastAsia" w:ascii="宋体" w:hAnsi="宋体"/>
                <w:bCs/>
                <w:sz w:val="36"/>
                <w:szCs w:val="36"/>
                <w:u w:val="single"/>
              </w:rPr>
              <w:t xml:space="preserve"> </w:t>
            </w:r>
            <w:r>
              <w:rPr>
                <w:rFonts w:hint="eastAsia" w:ascii="宋体" w:hAnsi="宋体"/>
                <w:bCs/>
                <w:sz w:val="24"/>
                <w:u w:val="single"/>
              </w:rPr>
              <w:t xml:space="preserve">  </w:t>
            </w:r>
            <w:r>
              <w:rPr>
                <w:rFonts w:hint="eastAsia" w:ascii="宋体" w:hAnsi="宋体"/>
                <w:bCs/>
                <w:sz w:val="24"/>
              </w:rPr>
              <w:t>元；</w:t>
            </w:r>
          </w:p>
          <w:p w14:paraId="1E79054D">
            <w:pPr>
              <w:wordWrap w:val="0"/>
              <w:topLinePunct/>
              <w:ind w:firstLine="480" w:firstLineChars="200"/>
              <w:jc w:val="left"/>
              <w:rPr>
                <w:rFonts w:hint="eastAsia" w:ascii="宋体" w:hAnsi="宋体"/>
                <w:bCs/>
                <w:sz w:val="24"/>
              </w:rPr>
            </w:pPr>
            <w:r>
              <w:rPr>
                <w:rFonts w:hint="eastAsia" w:ascii="宋体" w:hAnsi="宋体"/>
                <w:bCs/>
                <w:sz w:val="24"/>
              </w:rPr>
              <w:t>专业工程暂估价（含税）合计金额：</w:t>
            </w:r>
            <w:r>
              <w:rPr>
                <w:rFonts w:hint="eastAsia" w:ascii="宋体" w:hAnsi="宋体"/>
                <w:bCs/>
                <w:sz w:val="24"/>
                <w:u w:val="single"/>
              </w:rPr>
              <w:t xml:space="preserve">      </w:t>
            </w:r>
            <w:r>
              <w:rPr>
                <w:rFonts w:hint="eastAsia" w:ascii="宋体" w:hAnsi="宋体"/>
                <w:bCs/>
                <w:sz w:val="24"/>
              </w:rPr>
              <w:t>元；</w:t>
            </w:r>
          </w:p>
          <w:p w14:paraId="1DAD8CA1">
            <w:pPr>
              <w:wordWrap w:val="0"/>
              <w:topLinePunct/>
              <w:ind w:firstLine="480" w:firstLineChars="200"/>
              <w:jc w:val="left"/>
              <w:rPr>
                <w:rFonts w:hint="eastAsia" w:ascii="宋体" w:hAnsi="宋体"/>
                <w:bCs/>
                <w:sz w:val="24"/>
              </w:rPr>
            </w:pPr>
            <w:r>
              <w:rPr>
                <w:rFonts w:hint="eastAsia" w:ascii="宋体" w:hAnsi="宋体"/>
                <w:bCs/>
                <w:sz w:val="24"/>
              </w:rPr>
              <w:t>暂列金额（不含计日工）（含税）合计金额：</w:t>
            </w:r>
            <w:r>
              <w:rPr>
                <w:rFonts w:hint="eastAsia" w:ascii="宋体" w:hAnsi="宋体"/>
                <w:bCs/>
                <w:sz w:val="24"/>
                <w:u w:val="single"/>
              </w:rPr>
              <w:t xml:space="preserve">     </w:t>
            </w:r>
            <w:r>
              <w:rPr>
                <w:rFonts w:hint="eastAsia" w:ascii="宋体" w:hAnsi="宋体"/>
                <w:bCs/>
                <w:sz w:val="24"/>
              </w:rPr>
              <w:t>元；</w:t>
            </w:r>
          </w:p>
          <w:p w14:paraId="096F4D3D">
            <w:pPr>
              <w:wordWrap w:val="0"/>
              <w:topLinePunct/>
              <w:ind w:firstLine="480" w:firstLineChars="200"/>
              <w:jc w:val="left"/>
              <w:rPr>
                <w:rFonts w:hint="eastAsia" w:ascii="宋体" w:hAnsi="宋体"/>
                <w:bCs/>
                <w:sz w:val="24"/>
              </w:rPr>
            </w:pPr>
            <w:r>
              <w:rPr>
                <w:rFonts w:hint="eastAsia" w:ascii="宋体" w:hAnsi="宋体"/>
                <w:bCs/>
                <w:sz w:val="24"/>
              </w:rPr>
              <w:t>安全生产标准化措施费（含税）合计金额：</w:t>
            </w:r>
            <w:r>
              <w:rPr>
                <w:rFonts w:hint="eastAsia" w:ascii="宋体" w:hAnsi="宋体"/>
                <w:bCs/>
                <w:sz w:val="24"/>
                <w:u w:val="single"/>
              </w:rPr>
              <w:t xml:space="preserve">        </w:t>
            </w:r>
            <w:r>
              <w:rPr>
                <w:rFonts w:hint="eastAsia" w:ascii="宋体" w:hAnsi="宋体"/>
                <w:bCs/>
                <w:sz w:val="24"/>
              </w:rPr>
              <w:t>元</w:t>
            </w:r>
          </w:p>
          <w:p w14:paraId="644DB620">
            <w:pPr>
              <w:wordWrap w:val="0"/>
              <w:topLinePunct/>
              <w:ind w:firstLine="480" w:firstLineChars="200"/>
              <w:jc w:val="left"/>
              <w:rPr>
                <w:rFonts w:hint="eastAsia" w:ascii="宋体" w:hAnsi="宋体"/>
                <w:bCs/>
                <w:sz w:val="24"/>
              </w:rPr>
            </w:pPr>
            <w:r>
              <w:rPr>
                <w:rFonts w:hint="eastAsia" w:ascii="宋体" w:hAnsi="宋体"/>
                <w:bCs/>
                <w:sz w:val="24"/>
              </w:rPr>
              <w:t>赶工增加费（含税）合计金额（如有）：</w:t>
            </w:r>
            <w:r>
              <w:rPr>
                <w:rFonts w:hint="eastAsia" w:ascii="宋体" w:hAnsi="宋体"/>
                <w:bCs/>
                <w:sz w:val="24"/>
                <w:u w:val="single"/>
              </w:rPr>
              <w:t xml:space="preserve">      </w:t>
            </w:r>
            <w:r>
              <w:rPr>
                <w:rFonts w:hint="eastAsia" w:ascii="宋体" w:hAnsi="宋体"/>
                <w:bCs/>
                <w:sz w:val="24"/>
              </w:rPr>
              <w:t>元。</w:t>
            </w:r>
          </w:p>
        </w:tc>
      </w:tr>
      <w:tr w14:paraId="4AE2A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71" w:type="dxa"/>
            <w:vAlign w:val="center"/>
          </w:tcPr>
          <w:p w14:paraId="3B006B62">
            <w:pPr>
              <w:wordWrap w:val="0"/>
              <w:topLinePunct/>
              <w:rPr>
                <w:rFonts w:hint="eastAsia" w:ascii="宋体" w:hAnsi="宋体"/>
                <w:sz w:val="24"/>
              </w:rPr>
            </w:pPr>
            <w:r>
              <w:rPr>
                <w:rFonts w:hint="eastAsia" w:ascii="宋体" w:hAnsi="宋体"/>
                <w:sz w:val="24"/>
              </w:rPr>
              <w:t>对磋商文件的确认意见</w:t>
            </w:r>
          </w:p>
        </w:tc>
        <w:tc>
          <w:tcPr>
            <w:tcW w:w="6662" w:type="dxa"/>
            <w:vAlign w:val="center"/>
          </w:tcPr>
          <w:p w14:paraId="65D4C20D">
            <w:pPr>
              <w:wordWrap w:val="0"/>
              <w:topLinePunct/>
              <w:rPr>
                <w:rFonts w:hint="eastAsia" w:ascii="宋体" w:hAnsi="宋体"/>
                <w:sz w:val="24"/>
              </w:rPr>
            </w:pPr>
            <w:r>
              <w:rPr>
                <w:rFonts w:hint="eastAsia" w:ascii="宋体" w:hAnsi="宋体"/>
                <w:sz w:val="24"/>
              </w:rPr>
              <w:t>全部确认、无意见</w:t>
            </w:r>
          </w:p>
        </w:tc>
      </w:tr>
      <w:tr w14:paraId="3C694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871" w:type="dxa"/>
            <w:vAlign w:val="center"/>
          </w:tcPr>
          <w:p w14:paraId="4509F8EC">
            <w:pPr>
              <w:wordWrap w:val="0"/>
              <w:topLinePunct/>
              <w:rPr>
                <w:rFonts w:hint="eastAsia" w:ascii="宋体" w:hAnsi="宋体"/>
                <w:sz w:val="24"/>
              </w:rPr>
            </w:pPr>
            <w:r>
              <w:rPr>
                <w:rFonts w:hint="eastAsia" w:ascii="宋体" w:hAnsi="宋体"/>
                <w:sz w:val="24"/>
              </w:rPr>
              <w:t>报价中未包含内容及要求采购单位的配合条件</w:t>
            </w:r>
          </w:p>
        </w:tc>
        <w:tc>
          <w:tcPr>
            <w:tcW w:w="6662" w:type="dxa"/>
            <w:vAlign w:val="center"/>
          </w:tcPr>
          <w:p w14:paraId="0867515E">
            <w:pPr>
              <w:wordWrap w:val="0"/>
              <w:topLinePunct/>
              <w:rPr>
                <w:rFonts w:hint="eastAsia" w:ascii="宋体" w:hAnsi="宋体"/>
                <w:sz w:val="24"/>
              </w:rPr>
            </w:pPr>
            <w:r>
              <w:rPr>
                <w:rFonts w:hint="eastAsia" w:ascii="宋体" w:hAnsi="宋体"/>
                <w:sz w:val="24"/>
              </w:rPr>
              <w:t>无</w:t>
            </w:r>
          </w:p>
        </w:tc>
      </w:tr>
      <w:tr w14:paraId="14EE2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2871" w:type="dxa"/>
            <w:vAlign w:val="center"/>
          </w:tcPr>
          <w:p w14:paraId="2DFBB753">
            <w:pPr>
              <w:wordWrap w:val="0"/>
              <w:topLinePunct/>
              <w:rPr>
                <w:rFonts w:hint="eastAsia" w:ascii="宋体" w:hAnsi="宋体"/>
                <w:sz w:val="24"/>
              </w:rPr>
            </w:pPr>
            <w:r>
              <w:rPr>
                <w:rFonts w:hint="eastAsia" w:ascii="宋体" w:hAnsi="宋体"/>
                <w:sz w:val="24"/>
              </w:rPr>
              <w:t>响应报价需要说明的问题</w:t>
            </w:r>
          </w:p>
        </w:tc>
        <w:tc>
          <w:tcPr>
            <w:tcW w:w="6662" w:type="dxa"/>
            <w:vAlign w:val="center"/>
          </w:tcPr>
          <w:p w14:paraId="62499201">
            <w:pPr>
              <w:wordWrap w:val="0"/>
              <w:topLinePunct/>
              <w:rPr>
                <w:rFonts w:hint="eastAsia" w:ascii="宋体" w:hAnsi="宋体"/>
                <w:sz w:val="24"/>
              </w:rPr>
            </w:pPr>
            <w:r>
              <w:rPr>
                <w:rFonts w:hint="eastAsia" w:ascii="宋体" w:hAnsi="宋体"/>
                <w:sz w:val="24"/>
              </w:rPr>
              <w:t>安全生产标准化措施费的报价及费率，以及税率、规费费率等执行现行最新标准。</w:t>
            </w:r>
          </w:p>
        </w:tc>
      </w:tr>
      <w:tr w14:paraId="294DE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71" w:type="dxa"/>
            <w:vAlign w:val="center"/>
          </w:tcPr>
          <w:p w14:paraId="3CBE061C">
            <w:pPr>
              <w:wordWrap w:val="0"/>
              <w:topLinePunct/>
              <w:rPr>
                <w:rFonts w:hint="eastAsia" w:ascii="宋体" w:hAnsi="宋体"/>
                <w:sz w:val="24"/>
              </w:rPr>
            </w:pPr>
            <w:r>
              <w:rPr>
                <w:rFonts w:hint="eastAsia" w:ascii="宋体" w:hAnsi="宋体"/>
                <w:sz w:val="24"/>
              </w:rPr>
              <w:t>备注</w:t>
            </w:r>
          </w:p>
        </w:tc>
        <w:tc>
          <w:tcPr>
            <w:tcW w:w="6662" w:type="dxa"/>
            <w:vAlign w:val="center"/>
          </w:tcPr>
          <w:p w14:paraId="397B438E">
            <w:pPr>
              <w:wordWrap w:val="0"/>
              <w:topLinePunct/>
              <w:rPr>
                <w:rFonts w:hint="eastAsia" w:ascii="宋体" w:hAnsi="宋体"/>
                <w:sz w:val="24"/>
              </w:rPr>
            </w:pPr>
            <w:r>
              <w:rPr>
                <w:rFonts w:hint="eastAsia" w:ascii="宋体" w:hAnsi="宋体"/>
                <w:sz w:val="24"/>
              </w:rPr>
              <w:t>无</w:t>
            </w:r>
          </w:p>
        </w:tc>
      </w:tr>
    </w:tbl>
    <w:p w14:paraId="66E81E39">
      <w:pPr>
        <w:rPr>
          <w:rFonts w:cs="宋体"/>
          <w:shd w:val="clear" w:color="auto" w:fill="FFFFFF"/>
        </w:rPr>
      </w:pPr>
    </w:p>
    <w:p w14:paraId="0EE508A9">
      <w:pPr>
        <w:rPr>
          <w:rFonts w:cs="宋体"/>
          <w:u w:val="single"/>
        </w:rPr>
      </w:pPr>
      <w:r>
        <w:rPr>
          <w:rFonts w:hint="eastAsia" w:cs="宋体"/>
          <w:shd w:val="clear" w:color="auto" w:fill="FFFFFF"/>
        </w:rPr>
        <w:t>供应商开户银行（全称）：</w:t>
      </w:r>
      <w:r>
        <w:rPr>
          <w:rFonts w:hint="eastAsia" w:cs="宋体"/>
          <w:u w:val="single"/>
        </w:rPr>
        <w:t xml:space="preserve"> </w:t>
      </w:r>
      <w:r>
        <w:rPr>
          <w:rFonts w:hint="eastAsia" w:ascii="宋体" w:hAnsi="宋体"/>
          <w:bCs/>
          <w:sz w:val="24"/>
          <w:u w:val="single"/>
        </w:rPr>
        <w:t xml:space="preserve"> </w:t>
      </w:r>
      <w:r>
        <w:rPr>
          <w:rFonts w:hint="eastAsia" w:ascii="宋体" w:hAnsi="宋体"/>
          <w:bCs/>
          <w:sz w:val="36"/>
          <w:szCs w:val="36"/>
          <w:u w:val="single"/>
        </w:rPr>
        <w:t xml:space="preserve">      </w:t>
      </w:r>
      <w:r>
        <w:rPr>
          <w:rFonts w:hint="eastAsia" w:ascii="宋体" w:hAnsi="宋体"/>
          <w:bCs/>
          <w:sz w:val="24"/>
          <w:u w:val="single"/>
        </w:rPr>
        <w:t xml:space="preserve"> </w:t>
      </w:r>
      <w:r>
        <w:rPr>
          <w:rFonts w:hint="eastAsia" w:ascii="宋体" w:hAnsi="宋体"/>
          <w:bCs/>
          <w:sz w:val="36"/>
          <w:szCs w:val="36"/>
          <w:u w:val="single"/>
        </w:rPr>
        <w:t xml:space="preserve">      </w:t>
      </w:r>
      <w:r>
        <w:rPr>
          <w:rFonts w:hint="eastAsia" w:cs="宋体"/>
          <w:u w:val="single"/>
        </w:rPr>
        <w:t xml:space="preserve"> </w:t>
      </w:r>
    </w:p>
    <w:p w14:paraId="14C51155">
      <w:pPr>
        <w:rPr>
          <w:rFonts w:cs="宋体"/>
          <w:u w:val="single"/>
        </w:rPr>
      </w:pPr>
    </w:p>
    <w:p w14:paraId="38566731">
      <w:pPr>
        <w:rPr>
          <w:rFonts w:cs="宋体"/>
          <w:kern w:val="0"/>
          <w:u w:val="single"/>
          <w:lang w:bidi="ar"/>
        </w:rPr>
      </w:pPr>
      <w:r>
        <w:rPr>
          <w:rFonts w:hint="eastAsia" w:cs="宋体"/>
          <w:shd w:val="clear" w:color="auto" w:fill="FFFFFF"/>
        </w:rPr>
        <w:t>供应商银行账号：</w:t>
      </w:r>
      <w:r>
        <w:rPr>
          <w:rFonts w:hint="eastAsia" w:cs="宋体"/>
          <w:kern w:val="0"/>
          <w:u w:val="single"/>
          <w:lang w:bidi="ar"/>
        </w:rPr>
        <w:t xml:space="preserve"> </w:t>
      </w:r>
      <w:r>
        <w:rPr>
          <w:rFonts w:hint="eastAsia" w:ascii="宋体" w:hAnsi="宋体"/>
          <w:bCs/>
          <w:sz w:val="24"/>
          <w:u w:val="single"/>
        </w:rPr>
        <w:t xml:space="preserve"> </w:t>
      </w:r>
      <w:r>
        <w:rPr>
          <w:rFonts w:hint="eastAsia" w:ascii="宋体" w:hAnsi="宋体"/>
          <w:bCs/>
          <w:sz w:val="36"/>
          <w:szCs w:val="36"/>
          <w:u w:val="single"/>
        </w:rPr>
        <w:t xml:space="preserve">     </w:t>
      </w:r>
      <w:r>
        <w:rPr>
          <w:rFonts w:hint="eastAsia" w:ascii="宋体" w:hAnsi="宋体"/>
          <w:bCs/>
          <w:sz w:val="24"/>
          <w:u w:val="single"/>
        </w:rPr>
        <w:t xml:space="preserve"> </w:t>
      </w:r>
      <w:r>
        <w:rPr>
          <w:rFonts w:hint="eastAsia" w:ascii="宋体" w:hAnsi="宋体"/>
          <w:bCs/>
          <w:sz w:val="36"/>
          <w:szCs w:val="36"/>
          <w:u w:val="single"/>
        </w:rPr>
        <w:t xml:space="preserve">       </w:t>
      </w:r>
      <w:r>
        <w:rPr>
          <w:rFonts w:hint="eastAsia" w:cs="宋体"/>
          <w:kern w:val="0"/>
          <w:u w:val="single"/>
          <w:lang w:bidi="ar"/>
        </w:rPr>
        <w:t xml:space="preserve"> </w:t>
      </w:r>
    </w:p>
    <w:p w14:paraId="47E9D49F">
      <w:pPr>
        <w:rPr>
          <w:rFonts w:cs="宋体"/>
          <w:kern w:val="0"/>
          <w:u w:val="single"/>
          <w:lang w:bidi="ar"/>
        </w:rPr>
      </w:pPr>
    </w:p>
    <w:p w14:paraId="110D1264">
      <w:pPr>
        <w:rPr>
          <w:rFonts w:cs="宋体"/>
          <w:u w:val="single"/>
          <w:shd w:val="clear" w:color="auto" w:fill="FFFFFF"/>
        </w:rPr>
      </w:pPr>
      <w:r>
        <w:rPr>
          <w:rFonts w:hint="eastAsia" w:cs="宋体"/>
          <w:shd w:val="clear" w:color="auto" w:fill="FFFFFF"/>
        </w:rPr>
        <w:t>供应商名称（盖章）：</w:t>
      </w:r>
      <w:r>
        <w:rPr>
          <w:rFonts w:hint="eastAsia" w:cs="宋体"/>
          <w:u w:val="single"/>
          <w:shd w:val="clear" w:color="auto" w:fill="FFFFFF"/>
        </w:rPr>
        <w:t xml:space="preserve"> </w:t>
      </w:r>
      <w:r>
        <w:rPr>
          <w:rFonts w:hint="eastAsia" w:ascii="宋体" w:hAnsi="宋体"/>
          <w:bCs/>
          <w:sz w:val="24"/>
          <w:u w:val="single"/>
        </w:rPr>
        <w:t xml:space="preserve"> </w:t>
      </w:r>
      <w:r>
        <w:rPr>
          <w:rFonts w:hint="eastAsia" w:ascii="宋体" w:hAnsi="宋体"/>
          <w:bCs/>
          <w:sz w:val="36"/>
          <w:szCs w:val="36"/>
          <w:u w:val="single"/>
        </w:rPr>
        <w:t xml:space="preserve">      </w:t>
      </w:r>
      <w:r>
        <w:rPr>
          <w:rFonts w:hint="eastAsia" w:ascii="宋体" w:hAnsi="宋体"/>
          <w:bCs/>
          <w:sz w:val="24"/>
          <w:u w:val="single"/>
        </w:rPr>
        <w:t xml:space="preserve"> </w:t>
      </w:r>
      <w:r>
        <w:rPr>
          <w:rFonts w:hint="eastAsia" w:ascii="宋体" w:hAnsi="宋体"/>
          <w:bCs/>
          <w:sz w:val="36"/>
          <w:szCs w:val="36"/>
          <w:u w:val="single"/>
        </w:rPr>
        <w:t xml:space="preserve">      </w:t>
      </w:r>
      <w:r>
        <w:rPr>
          <w:rFonts w:hint="eastAsia" w:cs="宋体"/>
          <w:u w:val="single"/>
          <w:shd w:val="clear" w:color="auto" w:fill="FFFFFF"/>
        </w:rPr>
        <w:t xml:space="preserve"> </w:t>
      </w:r>
    </w:p>
    <w:p w14:paraId="202D63C1">
      <w:pPr>
        <w:rPr>
          <w:rFonts w:cs="宋体"/>
          <w:shd w:val="clear" w:color="auto" w:fill="FFFFFF"/>
        </w:rPr>
      </w:pPr>
    </w:p>
    <w:p w14:paraId="145728F6">
      <w:pPr>
        <w:rPr>
          <w:rFonts w:cs="宋体"/>
          <w:u w:val="single"/>
        </w:rPr>
      </w:pPr>
      <w:r>
        <w:rPr>
          <w:rFonts w:hint="eastAsia" w:cs="宋体"/>
          <w:shd w:val="clear" w:color="auto" w:fill="FFFFFF"/>
        </w:rPr>
        <w:t>供应商地址：</w:t>
      </w:r>
      <w:r>
        <w:rPr>
          <w:rFonts w:hint="eastAsia" w:cs="宋体"/>
          <w:u w:val="single"/>
          <w:shd w:val="clear" w:color="auto" w:fill="FFFFFF"/>
        </w:rPr>
        <w:t xml:space="preserve"> </w:t>
      </w:r>
      <w:r>
        <w:rPr>
          <w:rFonts w:hint="eastAsia" w:ascii="宋体" w:hAnsi="宋体"/>
          <w:bCs/>
          <w:sz w:val="24"/>
          <w:u w:val="single"/>
        </w:rPr>
        <w:t xml:space="preserve"> </w:t>
      </w:r>
      <w:r>
        <w:rPr>
          <w:rFonts w:hint="eastAsia" w:ascii="宋体" w:hAnsi="宋体"/>
          <w:bCs/>
          <w:sz w:val="36"/>
          <w:szCs w:val="36"/>
          <w:u w:val="single"/>
        </w:rPr>
        <w:t xml:space="preserve">      </w:t>
      </w:r>
      <w:r>
        <w:rPr>
          <w:rFonts w:hint="eastAsia" w:ascii="宋体" w:hAnsi="宋体"/>
          <w:bCs/>
          <w:sz w:val="24"/>
          <w:u w:val="single"/>
        </w:rPr>
        <w:t xml:space="preserve"> </w:t>
      </w:r>
      <w:r>
        <w:rPr>
          <w:rFonts w:hint="eastAsia" w:ascii="宋体" w:hAnsi="宋体"/>
          <w:bCs/>
          <w:sz w:val="36"/>
          <w:szCs w:val="36"/>
          <w:u w:val="single"/>
        </w:rPr>
        <w:t xml:space="preserve">      </w:t>
      </w:r>
      <w:r>
        <w:rPr>
          <w:rFonts w:hint="eastAsia" w:cs="宋体"/>
          <w:u w:val="single"/>
          <w:shd w:val="clear" w:color="auto" w:fill="FFFFFF"/>
        </w:rPr>
        <w:t xml:space="preserve"> </w:t>
      </w:r>
    </w:p>
    <w:p w14:paraId="34791306">
      <w:pPr>
        <w:rPr>
          <w:rFonts w:cs="宋体"/>
          <w:u w:val="single"/>
        </w:rPr>
      </w:pPr>
    </w:p>
    <w:p w14:paraId="56A31648">
      <w:pPr>
        <w:pStyle w:val="24"/>
        <w:tabs>
          <w:tab w:val="left" w:pos="5580"/>
        </w:tabs>
        <w:snapToGrid w:val="0"/>
        <w:spacing w:before="120"/>
        <w:contextualSpacing/>
        <w:rPr>
          <w:rFonts w:hint="default" w:ascii="Times New Roman" w:hAnsi="Times New Roman" w:cs="宋体"/>
          <w:szCs w:val="24"/>
          <w:shd w:val="clear" w:color="auto" w:fill="FFFFFF"/>
        </w:rPr>
      </w:pPr>
      <w:r>
        <w:rPr>
          <w:rFonts w:ascii="Times New Roman" w:hAnsi="Times New Roman" w:cs="宋体"/>
          <w:szCs w:val="24"/>
          <w:shd w:val="clear" w:color="auto" w:fill="FFFFFF"/>
        </w:rPr>
        <w:t>供应商授权代表（签字）：</w:t>
      </w:r>
    </w:p>
    <w:p w14:paraId="236ECCF5">
      <w:pPr>
        <w:jc w:val="center"/>
        <w:outlineLvl w:val="1"/>
        <w:rPr>
          <w:rFonts w:ascii="黑体" w:hAnsi="Arial" w:eastAsia="黑体" w:cs="Arial"/>
          <w:b/>
          <w:sz w:val="28"/>
          <w:szCs w:val="28"/>
        </w:rPr>
      </w:pPr>
      <w:r>
        <w:rPr>
          <w:rFonts w:ascii="黑体" w:hAnsi="Arial" w:eastAsia="黑体" w:cs="Arial"/>
          <w:b/>
          <w:sz w:val="28"/>
          <w:szCs w:val="28"/>
        </w:rPr>
        <w:br w:type="page"/>
      </w:r>
      <w:r>
        <w:rPr>
          <w:rFonts w:hint="eastAsia" w:ascii="黑体" w:hAnsi="Arial" w:eastAsia="黑体" w:cs="Arial"/>
          <w:b/>
          <w:sz w:val="28"/>
          <w:szCs w:val="28"/>
        </w:rPr>
        <w:t>专用合同条款</w:t>
      </w:r>
    </w:p>
    <w:p w14:paraId="4828F5DD">
      <w:pPr>
        <w:pStyle w:val="260"/>
        <w:spacing w:before="0"/>
        <w:outlineLvl w:val="9"/>
        <w:rPr>
          <w:rFonts w:hint="eastAsia" w:ascii="宋体" w:hAnsi="宋体"/>
          <w:sz w:val="21"/>
          <w:szCs w:val="21"/>
        </w:rPr>
      </w:pPr>
      <w:r>
        <w:rPr>
          <w:rFonts w:ascii="宋体" w:hAnsi="宋体"/>
          <w:sz w:val="21"/>
          <w:szCs w:val="21"/>
        </w:rPr>
        <w:t>1. 一般约定</w:t>
      </w:r>
    </w:p>
    <w:p w14:paraId="74CE2089">
      <w:pPr>
        <w:pStyle w:val="261"/>
        <w:tabs>
          <w:tab w:val="left" w:pos="720"/>
        </w:tabs>
        <w:outlineLvl w:val="9"/>
        <w:rPr>
          <w:rFonts w:hint="eastAsia" w:ascii="宋体" w:hAnsi="宋体" w:eastAsia="宋体"/>
          <w:sz w:val="21"/>
          <w:szCs w:val="21"/>
        </w:rPr>
      </w:pPr>
      <w:r>
        <w:rPr>
          <w:rFonts w:ascii="宋体" w:hAnsi="宋体" w:eastAsia="宋体"/>
          <w:sz w:val="21"/>
          <w:szCs w:val="21"/>
        </w:rPr>
        <w:t>1.1 词语定义</w:t>
      </w:r>
    </w:p>
    <w:p w14:paraId="12271398">
      <w:pPr>
        <w:spacing w:line="400" w:lineRule="exact"/>
        <w:ind w:firstLine="420" w:firstLineChars="200"/>
        <w:rPr>
          <w:rFonts w:hint="eastAsia" w:ascii="宋体" w:hAnsi="宋体"/>
          <w:szCs w:val="21"/>
        </w:rPr>
      </w:pPr>
      <w:r>
        <w:rPr>
          <w:rFonts w:hint="eastAsia" w:ascii="宋体" w:hAnsi="宋体"/>
          <w:szCs w:val="21"/>
        </w:rPr>
        <w:t>1.1.2合同当事人和人员</w:t>
      </w:r>
    </w:p>
    <w:p w14:paraId="0B6F0562">
      <w:pPr>
        <w:spacing w:line="400" w:lineRule="exact"/>
        <w:ind w:firstLine="420" w:firstLineChars="200"/>
        <w:jc w:val="left"/>
        <w:rPr>
          <w:rFonts w:hint="eastAsia" w:ascii="宋体" w:hAnsi="宋体"/>
          <w:szCs w:val="21"/>
        </w:rPr>
      </w:pPr>
      <w:r>
        <w:rPr>
          <w:rFonts w:hint="eastAsia" w:ascii="宋体" w:hAnsi="宋体"/>
          <w:szCs w:val="21"/>
        </w:rPr>
        <w:t>1.1.2.2甲方：</w:t>
      </w:r>
      <w:r>
        <w:rPr>
          <w:rFonts w:hint="eastAsia" w:ascii="宋体" w:hAnsi="宋体"/>
          <w:szCs w:val="21"/>
          <w:u w:val="single"/>
        </w:rPr>
        <w:t>中国音乐学院</w:t>
      </w:r>
      <w:r>
        <w:rPr>
          <w:rFonts w:hint="eastAsia" w:ascii="宋体" w:hAnsi="宋体"/>
          <w:szCs w:val="21"/>
        </w:rPr>
        <w:t>。</w:t>
      </w:r>
    </w:p>
    <w:p w14:paraId="0C5A7168">
      <w:pPr>
        <w:spacing w:line="400" w:lineRule="exact"/>
        <w:ind w:firstLine="420" w:firstLineChars="200"/>
        <w:jc w:val="left"/>
        <w:rPr>
          <w:rFonts w:hint="eastAsia" w:ascii="宋体" w:hAnsi="宋体"/>
          <w:szCs w:val="21"/>
        </w:rPr>
      </w:pPr>
      <w:r>
        <w:rPr>
          <w:rFonts w:hint="eastAsia" w:ascii="宋体" w:hAnsi="宋体"/>
          <w:szCs w:val="21"/>
        </w:rPr>
        <w:t>1.1.2.6监理人</w:t>
      </w:r>
      <w:r>
        <w:rPr>
          <w:rFonts w:hint="eastAsia" w:ascii="宋体" w:hAnsi="宋体"/>
          <w:szCs w:val="21"/>
          <w:u w:val="single"/>
        </w:rPr>
        <w:t xml:space="preserve">：             </w:t>
      </w:r>
      <w:r>
        <w:rPr>
          <w:rFonts w:hint="eastAsia" w:ascii="宋体" w:hAnsi="宋体"/>
          <w:szCs w:val="21"/>
        </w:rPr>
        <w:t>。</w:t>
      </w:r>
    </w:p>
    <w:p w14:paraId="160CCB4B">
      <w:pPr>
        <w:spacing w:line="400" w:lineRule="exact"/>
        <w:ind w:firstLine="420" w:firstLineChars="200"/>
        <w:jc w:val="left"/>
        <w:rPr>
          <w:rFonts w:hint="eastAsia" w:ascii="宋体" w:hAnsi="宋体"/>
          <w:szCs w:val="21"/>
        </w:rPr>
      </w:pPr>
      <w:r>
        <w:rPr>
          <w:rFonts w:hint="eastAsia" w:ascii="宋体" w:hAnsi="宋体"/>
          <w:szCs w:val="21"/>
        </w:rPr>
        <w:t>1.1.2.8甲方代表：指甲方指定的派驻施工场地（现场）的全权代表。</w:t>
      </w:r>
    </w:p>
    <w:p w14:paraId="0678B9A1">
      <w:pPr>
        <w:spacing w:line="400" w:lineRule="exact"/>
        <w:ind w:firstLine="420" w:firstLineChars="200"/>
        <w:jc w:val="left"/>
        <w:rPr>
          <w:rFonts w:hint="eastAsia" w:ascii="宋体" w:hAnsi="宋体"/>
          <w:szCs w:val="21"/>
        </w:rPr>
      </w:pPr>
      <w:r>
        <w:rPr>
          <w:rFonts w:hint="eastAsia" w:ascii="宋体" w:hAnsi="宋体"/>
          <w:szCs w:val="21"/>
        </w:rPr>
        <w:t>姓    名：</w:t>
      </w:r>
      <w:r>
        <w:rPr>
          <w:rFonts w:hint="eastAsia" w:ascii="宋体" w:hAnsi="宋体"/>
          <w:szCs w:val="21"/>
          <w:u w:val="single"/>
        </w:rPr>
        <w:t xml:space="preserve">        /           </w:t>
      </w:r>
      <w:r>
        <w:rPr>
          <w:rFonts w:hint="eastAsia" w:ascii="宋体" w:hAnsi="宋体"/>
          <w:szCs w:val="21"/>
        </w:rPr>
        <w:t>。</w:t>
      </w:r>
    </w:p>
    <w:p w14:paraId="5EBFA14D">
      <w:pPr>
        <w:spacing w:line="400" w:lineRule="exact"/>
        <w:ind w:firstLine="420" w:firstLineChars="200"/>
        <w:jc w:val="left"/>
        <w:rPr>
          <w:rFonts w:hint="eastAsia" w:ascii="宋体" w:hAnsi="宋体"/>
          <w:szCs w:val="21"/>
        </w:rPr>
      </w:pPr>
      <w:r>
        <w:rPr>
          <w:rFonts w:hint="eastAsia" w:ascii="宋体" w:hAnsi="宋体"/>
          <w:szCs w:val="21"/>
        </w:rPr>
        <w:t>职    称：</w:t>
      </w:r>
      <w:r>
        <w:rPr>
          <w:rFonts w:hint="eastAsia" w:ascii="宋体" w:hAnsi="宋体"/>
          <w:szCs w:val="21"/>
          <w:u w:val="single"/>
        </w:rPr>
        <w:t xml:space="preserve">        /           </w:t>
      </w:r>
      <w:r>
        <w:rPr>
          <w:rFonts w:hint="eastAsia" w:ascii="宋体" w:hAnsi="宋体"/>
          <w:szCs w:val="21"/>
        </w:rPr>
        <w:t>。</w:t>
      </w:r>
    </w:p>
    <w:p w14:paraId="0EB68454">
      <w:pPr>
        <w:spacing w:line="400" w:lineRule="exact"/>
        <w:ind w:firstLine="420" w:firstLineChars="200"/>
        <w:jc w:val="left"/>
        <w:rPr>
          <w:rFonts w:hint="eastAsia" w:ascii="宋体" w:hAnsi="宋体"/>
          <w:szCs w:val="21"/>
        </w:rPr>
      </w:pPr>
      <w:r>
        <w:rPr>
          <w:rFonts w:hint="eastAsia" w:ascii="宋体" w:hAnsi="宋体"/>
          <w:szCs w:val="21"/>
        </w:rPr>
        <w:t>联系电话：</w:t>
      </w:r>
      <w:r>
        <w:rPr>
          <w:rFonts w:hint="eastAsia" w:ascii="宋体" w:hAnsi="宋体"/>
          <w:szCs w:val="21"/>
          <w:u w:val="single"/>
        </w:rPr>
        <w:t xml:space="preserve">         /          </w:t>
      </w:r>
      <w:r>
        <w:rPr>
          <w:rFonts w:hint="eastAsia" w:ascii="宋体" w:hAnsi="宋体"/>
          <w:szCs w:val="21"/>
        </w:rPr>
        <w:t>。</w:t>
      </w:r>
    </w:p>
    <w:p w14:paraId="077FEBD1">
      <w:pPr>
        <w:spacing w:line="400" w:lineRule="exact"/>
        <w:ind w:firstLine="420" w:firstLineChars="200"/>
        <w:jc w:val="left"/>
        <w:rPr>
          <w:rFonts w:hint="eastAsia" w:ascii="宋体" w:hAnsi="宋体"/>
          <w:szCs w:val="21"/>
        </w:rPr>
      </w:pPr>
      <w:r>
        <w:rPr>
          <w:rFonts w:hint="eastAsia" w:ascii="宋体" w:hAnsi="宋体"/>
          <w:szCs w:val="21"/>
        </w:rPr>
        <w:t>电子信箱：</w:t>
      </w:r>
      <w:r>
        <w:rPr>
          <w:rFonts w:hint="eastAsia" w:ascii="宋体" w:hAnsi="宋体"/>
          <w:szCs w:val="21"/>
          <w:u w:val="single"/>
        </w:rPr>
        <w:t xml:space="preserve">         /          </w:t>
      </w:r>
      <w:r>
        <w:rPr>
          <w:rFonts w:hint="eastAsia" w:ascii="宋体" w:hAnsi="宋体"/>
          <w:szCs w:val="21"/>
        </w:rPr>
        <w:t>。</w:t>
      </w:r>
    </w:p>
    <w:p w14:paraId="6E6D074A">
      <w:pPr>
        <w:spacing w:line="400" w:lineRule="exact"/>
        <w:ind w:firstLine="420" w:firstLineChars="200"/>
        <w:jc w:val="left"/>
        <w:rPr>
          <w:rFonts w:hint="eastAsia" w:ascii="宋体" w:hAnsi="宋体"/>
          <w:szCs w:val="21"/>
        </w:rPr>
      </w:pPr>
      <w:r>
        <w:rPr>
          <w:rFonts w:hint="eastAsia" w:ascii="宋体" w:hAnsi="宋体"/>
          <w:szCs w:val="21"/>
        </w:rPr>
        <w:t>通信地址：</w:t>
      </w:r>
      <w:r>
        <w:rPr>
          <w:rFonts w:hint="eastAsia" w:ascii="宋体" w:hAnsi="宋体"/>
          <w:szCs w:val="21"/>
          <w:u w:val="single"/>
        </w:rPr>
        <w:t xml:space="preserve">       /            </w:t>
      </w:r>
      <w:r>
        <w:rPr>
          <w:rFonts w:hint="eastAsia" w:ascii="宋体" w:hAnsi="宋体"/>
          <w:szCs w:val="21"/>
        </w:rPr>
        <w:t>。</w:t>
      </w:r>
    </w:p>
    <w:p w14:paraId="316CD8B2">
      <w:pPr>
        <w:spacing w:line="400" w:lineRule="exact"/>
        <w:ind w:firstLine="420" w:firstLineChars="200"/>
        <w:jc w:val="left"/>
        <w:rPr>
          <w:rFonts w:hint="eastAsia" w:ascii="宋体" w:hAnsi="宋体"/>
          <w:szCs w:val="21"/>
        </w:rPr>
      </w:pPr>
      <w:r>
        <w:rPr>
          <w:rFonts w:hint="eastAsia" w:ascii="宋体" w:hAnsi="宋体"/>
          <w:szCs w:val="21"/>
        </w:rPr>
        <w:t>1.1.2.9专业分包人：指根据合同条款第15.8.1项的约定，由甲方和乙方以招标方式选择的分包人。</w:t>
      </w:r>
    </w:p>
    <w:p w14:paraId="4A8FDBB8">
      <w:pPr>
        <w:spacing w:line="400" w:lineRule="exact"/>
        <w:ind w:firstLine="420" w:firstLineChars="200"/>
        <w:jc w:val="left"/>
        <w:rPr>
          <w:rFonts w:hint="eastAsia" w:ascii="宋体" w:hAnsi="宋体"/>
          <w:szCs w:val="21"/>
        </w:rPr>
      </w:pPr>
      <w:r>
        <w:rPr>
          <w:rFonts w:hint="eastAsia" w:ascii="宋体" w:hAnsi="宋体"/>
          <w:szCs w:val="21"/>
        </w:rPr>
        <w:t>1.1.2.10专项供应商：指根据合同条款第15.8.1项的约定，由甲方和乙方以招标方式选择的供应商。</w:t>
      </w:r>
    </w:p>
    <w:p w14:paraId="2EDDE6D8">
      <w:pPr>
        <w:spacing w:line="400" w:lineRule="exact"/>
        <w:ind w:firstLine="420" w:firstLineChars="200"/>
        <w:jc w:val="left"/>
        <w:rPr>
          <w:rFonts w:hint="eastAsia" w:ascii="宋体" w:hAnsi="宋体"/>
          <w:szCs w:val="21"/>
          <w:u w:val="single"/>
        </w:rPr>
      </w:pPr>
      <w:r>
        <w:rPr>
          <w:rFonts w:hint="eastAsia" w:ascii="宋体" w:hAnsi="宋体"/>
          <w:szCs w:val="21"/>
        </w:rPr>
        <w:t>1.1.2.11独立乙方：指与甲方直接订立工程承包合同，负责实施与工程有关的其他工作的当事人。</w:t>
      </w:r>
    </w:p>
    <w:p w14:paraId="3D96E123">
      <w:pPr>
        <w:spacing w:line="400" w:lineRule="exact"/>
        <w:ind w:firstLine="420" w:firstLineChars="200"/>
        <w:jc w:val="left"/>
        <w:rPr>
          <w:rFonts w:hint="eastAsia" w:ascii="宋体" w:hAnsi="宋体"/>
          <w:szCs w:val="21"/>
        </w:rPr>
      </w:pPr>
      <w:r>
        <w:rPr>
          <w:rFonts w:hint="eastAsia" w:ascii="宋体" w:hAnsi="宋体"/>
          <w:szCs w:val="21"/>
        </w:rPr>
        <w:t>1.1.3工程和设备</w:t>
      </w:r>
    </w:p>
    <w:p w14:paraId="671B7F90">
      <w:pPr>
        <w:spacing w:line="400" w:lineRule="exact"/>
        <w:ind w:firstLine="420" w:firstLineChars="200"/>
        <w:jc w:val="left"/>
        <w:rPr>
          <w:rFonts w:hint="eastAsia" w:ascii="宋体" w:hAnsi="宋体"/>
          <w:szCs w:val="21"/>
          <w:u w:val="single"/>
        </w:rPr>
      </w:pPr>
      <w:r>
        <w:rPr>
          <w:rFonts w:hint="eastAsia" w:ascii="宋体" w:hAnsi="宋体"/>
          <w:szCs w:val="21"/>
        </w:rPr>
        <w:t>1.1.3.2永久工程：</w:t>
      </w:r>
      <w:r>
        <w:rPr>
          <w:rFonts w:hint="eastAsia" w:ascii="宋体" w:hAnsi="宋体"/>
          <w:szCs w:val="21"/>
          <w:u w:val="single"/>
        </w:rPr>
        <w:t xml:space="preserve">         合同约定建造并移交给甲方的工程                </w:t>
      </w:r>
      <w:r>
        <w:rPr>
          <w:rFonts w:hint="eastAsia" w:ascii="宋体" w:hAnsi="宋体"/>
          <w:szCs w:val="21"/>
        </w:rPr>
        <w:t>。</w:t>
      </w:r>
    </w:p>
    <w:p w14:paraId="0E87E535">
      <w:pPr>
        <w:spacing w:line="400" w:lineRule="exact"/>
        <w:ind w:firstLine="420" w:firstLineChars="200"/>
        <w:jc w:val="left"/>
        <w:rPr>
          <w:rFonts w:hint="eastAsia" w:ascii="宋体" w:hAnsi="宋体"/>
          <w:szCs w:val="21"/>
        </w:rPr>
      </w:pPr>
      <w:r>
        <w:rPr>
          <w:rFonts w:hint="eastAsia" w:ascii="宋体" w:hAnsi="宋体"/>
          <w:szCs w:val="21"/>
        </w:rPr>
        <w:t>1.1.3.3临时工程：</w:t>
      </w:r>
      <w:r>
        <w:rPr>
          <w:rFonts w:hint="eastAsia" w:ascii="宋体" w:hAnsi="宋体"/>
          <w:szCs w:val="21"/>
          <w:u w:val="single"/>
        </w:rPr>
        <w:t xml:space="preserve">                    </w:t>
      </w:r>
      <w:bookmarkStart w:id="686" w:name="_Hlk69993223"/>
      <w:r>
        <w:rPr>
          <w:rFonts w:hint="eastAsia" w:ascii="宋体" w:hAnsi="宋体"/>
          <w:szCs w:val="21"/>
          <w:u w:val="single"/>
        </w:rPr>
        <w:t>/</w:t>
      </w:r>
      <w:bookmarkEnd w:id="686"/>
      <w:r>
        <w:rPr>
          <w:rFonts w:hint="eastAsia" w:ascii="宋体" w:hAnsi="宋体"/>
          <w:szCs w:val="21"/>
          <w:u w:val="single"/>
        </w:rPr>
        <w:t xml:space="preserve">                                    </w:t>
      </w:r>
      <w:r>
        <w:rPr>
          <w:rFonts w:hint="eastAsia" w:ascii="宋体" w:hAnsi="宋体"/>
          <w:szCs w:val="21"/>
        </w:rPr>
        <w:t>。</w:t>
      </w:r>
    </w:p>
    <w:p w14:paraId="09EC7512">
      <w:pPr>
        <w:spacing w:line="400" w:lineRule="exact"/>
        <w:ind w:firstLine="420" w:firstLineChars="200"/>
        <w:jc w:val="left"/>
        <w:rPr>
          <w:rFonts w:hint="eastAsia" w:ascii="宋体" w:hAnsi="宋体"/>
          <w:szCs w:val="21"/>
        </w:rPr>
      </w:pPr>
      <w:r>
        <w:rPr>
          <w:rFonts w:hint="eastAsia" w:ascii="宋体" w:hAnsi="宋体"/>
          <w:szCs w:val="21"/>
        </w:rPr>
        <w:t>1.1.3.4</w:t>
      </w:r>
      <w:r>
        <w:rPr>
          <w:rFonts w:ascii="宋体" w:hAnsi="宋体"/>
          <w:szCs w:val="21"/>
        </w:rPr>
        <w:t>单位工程</w:t>
      </w:r>
      <w:r>
        <w:rPr>
          <w:rFonts w:hint="eastAsia" w:ascii="宋体" w:hAnsi="宋体"/>
          <w:szCs w:val="21"/>
        </w:rPr>
        <w:t>：指具有相对独立的设计文件，能够独立组织施工并能形成独立使用功能的永久工程的组成部分。</w:t>
      </w:r>
    </w:p>
    <w:p w14:paraId="6BE8C27B">
      <w:pPr>
        <w:spacing w:line="400" w:lineRule="exact"/>
        <w:ind w:firstLine="420" w:firstLineChars="200"/>
        <w:jc w:val="left"/>
        <w:rPr>
          <w:rFonts w:hint="eastAsia" w:ascii="宋体" w:hAnsi="宋体"/>
          <w:szCs w:val="21"/>
          <w:u w:val="single"/>
        </w:rPr>
      </w:pPr>
      <w:r>
        <w:rPr>
          <w:rFonts w:hint="eastAsia" w:ascii="宋体" w:hAnsi="宋体"/>
          <w:szCs w:val="21"/>
        </w:rPr>
        <w:t>1.1.3.10永久占地：</w:t>
      </w:r>
      <w:r>
        <w:rPr>
          <w:rFonts w:hint="eastAsia" w:ascii="宋体" w:hAnsi="宋体"/>
          <w:szCs w:val="21"/>
          <w:u w:val="single"/>
        </w:rPr>
        <w:t xml:space="preserve">                     /                                  </w:t>
      </w:r>
      <w:r>
        <w:rPr>
          <w:rFonts w:hint="eastAsia" w:ascii="宋体" w:hAnsi="宋体"/>
          <w:szCs w:val="21"/>
        </w:rPr>
        <w:t>。</w:t>
      </w:r>
    </w:p>
    <w:p w14:paraId="49B1891D">
      <w:pPr>
        <w:spacing w:line="400" w:lineRule="exact"/>
        <w:ind w:firstLine="420" w:firstLineChars="200"/>
        <w:jc w:val="left"/>
        <w:rPr>
          <w:rFonts w:hint="eastAsia" w:ascii="宋体" w:hAnsi="宋体"/>
          <w:szCs w:val="21"/>
        </w:rPr>
      </w:pPr>
      <w:r>
        <w:rPr>
          <w:rFonts w:hint="eastAsia" w:ascii="宋体" w:hAnsi="宋体"/>
          <w:szCs w:val="21"/>
        </w:rPr>
        <w:t>1.1.3.11临时占地：</w:t>
      </w:r>
      <w:r>
        <w:rPr>
          <w:rFonts w:hint="eastAsia" w:ascii="宋体" w:hAnsi="宋体"/>
          <w:szCs w:val="21"/>
          <w:u w:val="single"/>
        </w:rPr>
        <w:t xml:space="preserve">                     /                                  </w:t>
      </w:r>
      <w:r>
        <w:rPr>
          <w:rFonts w:hint="eastAsia" w:ascii="宋体" w:hAnsi="宋体"/>
          <w:szCs w:val="21"/>
        </w:rPr>
        <w:t>。</w:t>
      </w:r>
    </w:p>
    <w:p w14:paraId="516C871D">
      <w:pPr>
        <w:spacing w:line="400" w:lineRule="exact"/>
        <w:ind w:firstLine="420" w:firstLineChars="200"/>
        <w:jc w:val="left"/>
        <w:rPr>
          <w:rFonts w:hint="eastAsia" w:ascii="宋体" w:hAnsi="宋体"/>
          <w:szCs w:val="21"/>
        </w:rPr>
      </w:pPr>
      <w:r>
        <w:rPr>
          <w:rFonts w:hint="eastAsia" w:ascii="宋体" w:hAnsi="宋体"/>
          <w:szCs w:val="21"/>
        </w:rPr>
        <w:t>1.1.4日期</w:t>
      </w:r>
    </w:p>
    <w:p w14:paraId="77711420">
      <w:pPr>
        <w:spacing w:line="400" w:lineRule="exact"/>
        <w:ind w:firstLine="420" w:firstLineChars="200"/>
        <w:jc w:val="left"/>
        <w:rPr>
          <w:rFonts w:hint="eastAsia" w:ascii="宋体" w:hAnsi="宋体"/>
          <w:szCs w:val="21"/>
          <w:u w:val="single"/>
        </w:rPr>
      </w:pPr>
      <w:r>
        <w:rPr>
          <w:rFonts w:hint="eastAsia" w:ascii="宋体" w:hAnsi="宋体"/>
          <w:szCs w:val="21"/>
        </w:rPr>
        <w:t>1.1.4.5缺陷责任期期限：</w:t>
      </w:r>
      <w:r>
        <w:rPr>
          <w:rFonts w:hint="eastAsia" w:ascii="宋体" w:hAnsi="宋体"/>
          <w:szCs w:val="21"/>
          <w:u w:val="single"/>
        </w:rPr>
        <w:t>24个月</w:t>
      </w:r>
      <w:r>
        <w:rPr>
          <w:rFonts w:hint="eastAsia" w:ascii="宋体" w:hAnsi="宋体"/>
          <w:szCs w:val="21"/>
        </w:rPr>
        <w:t>。</w:t>
      </w:r>
    </w:p>
    <w:p w14:paraId="1CD5E6F8">
      <w:pPr>
        <w:spacing w:line="400" w:lineRule="exact"/>
        <w:ind w:firstLine="420" w:firstLineChars="200"/>
        <w:jc w:val="left"/>
        <w:rPr>
          <w:rFonts w:hint="eastAsia" w:ascii="宋体" w:hAnsi="宋体"/>
          <w:szCs w:val="21"/>
        </w:rPr>
      </w:pPr>
      <w:r>
        <w:rPr>
          <w:rFonts w:hint="eastAsia" w:ascii="宋体" w:hAnsi="宋体"/>
          <w:szCs w:val="21"/>
        </w:rPr>
        <w:t>1.1.4.8保修期：是根据现行有关法律规定，在合同条款第19.7款中约定的由乙方负责对合同约定的保修范围内发生的质量问题履行保修义务并对造成的损失承担赔偿责任的期限。</w:t>
      </w:r>
    </w:p>
    <w:p w14:paraId="5270BD6F">
      <w:pPr>
        <w:spacing w:line="400" w:lineRule="exact"/>
        <w:ind w:firstLine="420" w:firstLineChars="200"/>
        <w:jc w:val="left"/>
        <w:rPr>
          <w:rFonts w:hint="eastAsia" w:ascii="宋体" w:hAnsi="宋体"/>
          <w:szCs w:val="21"/>
        </w:rPr>
      </w:pPr>
      <w:r>
        <w:rPr>
          <w:rFonts w:hint="eastAsia" w:ascii="宋体" w:hAnsi="宋体"/>
          <w:szCs w:val="21"/>
        </w:rPr>
        <w:t>1.1.6其他</w:t>
      </w:r>
    </w:p>
    <w:p w14:paraId="3FB9175F">
      <w:pPr>
        <w:spacing w:line="400" w:lineRule="exact"/>
        <w:ind w:firstLine="420" w:firstLineChars="200"/>
        <w:rPr>
          <w:rFonts w:hint="eastAsia" w:ascii="宋体" w:hAnsi="宋体"/>
          <w:szCs w:val="21"/>
        </w:rPr>
      </w:pPr>
      <w:r>
        <w:rPr>
          <w:rFonts w:hint="eastAsia" w:ascii="宋体" w:hAnsi="宋体"/>
          <w:szCs w:val="21"/>
        </w:rPr>
        <w:t>1.1.6.2材料：指构成或将构成永久工程组成部分的各类物品(工程设备除外)，包括合同中可能约定的乙方仅负责供应的材料。</w:t>
      </w:r>
    </w:p>
    <w:p w14:paraId="1AA66905">
      <w:pPr>
        <w:spacing w:line="400" w:lineRule="exact"/>
        <w:ind w:firstLine="420" w:firstLineChars="200"/>
        <w:jc w:val="left"/>
        <w:rPr>
          <w:rFonts w:hint="eastAsia" w:ascii="宋体" w:hAnsi="宋体"/>
          <w:szCs w:val="21"/>
        </w:rPr>
      </w:pPr>
      <w:r>
        <w:rPr>
          <w:rFonts w:hint="eastAsia" w:ascii="宋体" w:hAnsi="宋体"/>
          <w:szCs w:val="21"/>
        </w:rPr>
        <w:t>1.1.6.3争议评审组：是由甲方和乙方共同聘请的人员组成的独立、公正的第三方临时性组织，一般由一名或者三名合同管理和（或）工程管理专家组成。争议评审组负责对甲方和（或）乙方提请进行评审的本合同项下的争议进行评审并在规定的期限内给出评审意见，合同双方在规定的期限内均未对评审意见提出异议时，评审意见对合同双方有最终约束力。甲方和乙方应当分别与接受聘请的争议评审专家签订聘用协议，就评审的争议范围、评审意见效力等必要事项做出约定。</w:t>
      </w:r>
    </w:p>
    <w:p w14:paraId="3EAA802D">
      <w:pPr>
        <w:pStyle w:val="5"/>
        <w:spacing w:line="400" w:lineRule="exact"/>
        <w:rPr>
          <w:rFonts w:hint="eastAsia" w:hAnsi="宋体"/>
          <w:sz w:val="21"/>
          <w:szCs w:val="21"/>
        </w:rPr>
      </w:pPr>
      <w:r>
        <w:rPr>
          <w:rFonts w:hint="eastAsia" w:hAnsi="宋体"/>
          <w:sz w:val="21"/>
          <w:szCs w:val="21"/>
        </w:rPr>
        <w:t>1.1.6.4 除另有特别指明外，专用合同条款中使用的措辞“合同条款”指通用合同条款和（或）专用合同条款。</w:t>
      </w:r>
    </w:p>
    <w:p w14:paraId="32B1B781">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1.4 合同文件的优先顺序</w:t>
      </w:r>
    </w:p>
    <w:p w14:paraId="0F7E08FB">
      <w:pPr>
        <w:spacing w:line="400" w:lineRule="exact"/>
        <w:ind w:firstLine="482"/>
        <w:rPr>
          <w:rFonts w:hint="eastAsia" w:ascii="宋体" w:hAnsi="宋体" w:cs="Arial"/>
          <w:szCs w:val="21"/>
        </w:rPr>
      </w:pPr>
      <w:r>
        <w:rPr>
          <w:rFonts w:hint="eastAsia" w:ascii="宋体" w:hAnsi="宋体" w:cs="Arial"/>
          <w:szCs w:val="21"/>
        </w:rPr>
        <w:t>合同文件的优先解释顺序如下：</w:t>
      </w:r>
    </w:p>
    <w:p w14:paraId="6FE4E49E">
      <w:pPr>
        <w:spacing w:line="400" w:lineRule="exact"/>
        <w:ind w:firstLine="482"/>
        <w:rPr>
          <w:rFonts w:hint="eastAsia" w:ascii="宋体" w:hAnsi="宋体" w:cs="Arial"/>
          <w:szCs w:val="21"/>
        </w:rPr>
      </w:pPr>
      <w:r>
        <w:rPr>
          <w:rFonts w:hint="eastAsia" w:ascii="宋体" w:hAnsi="宋体" w:cs="Arial"/>
          <w:szCs w:val="21"/>
        </w:rPr>
        <w:t>（1）合同协议书；</w:t>
      </w:r>
    </w:p>
    <w:p w14:paraId="1394CB3C">
      <w:pPr>
        <w:spacing w:line="400" w:lineRule="exact"/>
        <w:ind w:firstLine="482"/>
        <w:rPr>
          <w:rFonts w:hint="eastAsia" w:ascii="宋体" w:hAnsi="宋体" w:cs="Arial"/>
          <w:szCs w:val="21"/>
        </w:rPr>
      </w:pPr>
      <w:r>
        <w:rPr>
          <w:rFonts w:hint="eastAsia" w:ascii="宋体" w:hAnsi="宋体" w:cs="Arial"/>
          <w:szCs w:val="21"/>
        </w:rPr>
        <w:t>（2）中标通知书；</w:t>
      </w:r>
    </w:p>
    <w:p w14:paraId="16C0A363">
      <w:pPr>
        <w:spacing w:line="400" w:lineRule="exact"/>
        <w:ind w:firstLine="482"/>
        <w:rPr>
          <w:rFonts w:hint="eastAsia" w:ascii="宋体" w:hAnsi="宋体" w:cs="Arial"/>
          <w:szCs w:val="21"/>
        </w:rPr>
      </w:pPr>
      <w:r>
        <w:rPr>
          <w:rFonts w:hint="eastAsia" w:ascii="宋体" w:hAnsi="宋体" w:cs="Arial"/>
          <w:szCs w:val="21"/>
        </w:rPr>
        <w:t>（3）投标函及投标函附录；</w:t>
      </w:r>
    </w:p>
    <w:p w14:paraId="70DF2C95">
      <w:pPr>
        <w:spacing w:line="400" w:lineRule="exact"/>
        <w:ind w:firstLine="482"/>
        <w:rPr>
          <w:rFonts w:hint="eastAsia" w:ascii="宋体" w:hAnsi="宋体" w:cs="Arial"/>
          <w:szCs w:val="21"/>
        </w:rPr>
      </w:pPr>
      <w:r>
        <w:rPr>
          <w:rFonts w:hint="eastAsia" w:ascii="宋体" w:hAnsi="宋体" w:cs="Arial"/>
          <w:szCs w:val="21"/>
        </w:rPr>
        <w:t>（4）专用合同条款；</w:t>
      </w:r>
    </w:p>
    <w:p w14:paraId="756FEA21">
      <w:pPr>
        <w:spacing w:line="400" w:lineRule="exact"/>
        <w:ind w:firstLine="482"/>
        <w:rPr>
          <w:rFonts w:hint="eastAsia" w:ascii="宋体" w:hAnsi="宋体" w:cs="Arial"/>
          <w:szCs w:val="21"/>
        </w:rPr>
      </w:pPr>
      <w:r>
        <w:rPr>
          <w:rFonts w:hint="eastAsia" w:ascii="宋体" w:hAnsi="宋体" w:cs="Arial"/>
          <w:szCs w:val="21"/>
        </w:rPr>
        <w:t>（5）通用合同条款；</w:t>
      </w:r>
    </w:p>
    <w:p w14:paraId="345E9C25">
      <w:pPr>
        <w:spacing w:line="400" w:lineRule="exact"/>
        <w:ind w:firstLine="482"/>
        <w:rPr>
          <w:rFonts w:hint="eastAsia" w:ascii="宋体" w:hAnsi="宋体" w:cs="Arial"/>
          <w:szCs w:val="21"/>
        </w:rPr>
      </w:pPr>
      <w:r>
        <w:rPr>
          <w:rFonts w:hint="eastAsia" w:ascii="宋体" w:hAnsi="宋体" w:cs="Arial"/>
          <w:szCs w:val="21"/>
        </w:rPr>
        <w:t>（6）</w:t>
      </w:r>
      <w:r>
        <w:rPr>
          <w:rFonts w:hint="eastAsia" w:ascii="宋体" w:hAnsi="宋体" w:cs="Arial"/>
          <w:szCs w:val="21"/>
          <w:u w:val="single"/>
        </w:rPr>
        <w:t>技术标准和要求</w:t>
      </w:r>
      <w:r>
        <w:rPr>
          <w:rFonts w:hint="eastAsia" w:ascii="宋体" w:hAnsi="宋体" w:cs="Arial"/>
          <w:szCs w:val="21"/>
        </w:rPr>
        <w:t>；</w:t>
      </w:r>
    </w:p>
    <w:p w14:paraId="5F38DF0C">
      <w:pPr>
        <w:spacing w:line="400" w:lineRule="exact"/>
        <w:ind w:firstLine="482"/>
        <w:rPr>
          <w:rFonts w:hint="eastAsia" w:ascii="宋体" w:hAnsi="宋体" w:cs="Arial"/>
          <w:szCs w:val="21"/>
        </w:rPr>
      </w:pPr>
      <w:r>
        <w:rPr>
          <w:rFonts w:hint="eastAsia" w:ascii="宋体" w:hAnsi="宋体" w:cs="Arial"/>
          <w:szCs w:val="21"/>
        </w:rPr>
        <w:t>（7）</w:t>
      </w:r>
      <w:r>
        <w:rPr>
          <w:rFonts w:hint="eastAsia" w:ascii="宋体" w:hAnsi="宋体" w:cs="Arial"/>
          <w:szCs w:val="21"/>
          <w:u w:val="single"/>
        </w:rPr>
        <w:t>图纸</w:t>
      </w:r>
      <w:r>
        <w:rPr>
          <w:rFonts w:hint="eastAsia" w:ascii="宋体" w:hAnsi="宋体" w:cs="Arial"/>
          <w:szCs w:val="21"/>
        </w:rPr>
        <w:t>；</w:t>
      </w:r>
    </w:p>
    <w:p w14:paraId="272EB51F">
      <w:pPr>
        <w:spacing w:line="400" w:lineRule="exact"/>
        <w:ind w:firstLine="482"/>
        <w:rPr>
          <w:rFonts w:hint="eastAsia" w:ascii="宋体" w:hAnsi="宋体" w:cs="Arial"/>
          <w:szCs w:val="21"/>
        </w:rPr>
      </w:pPr>
      <w:r>
        <w:rPr>
          <w:rFonts w:hint="eastAsia" w:ascii="宋体" w:hAnsi="宋体" w:cs="Arial"/>
          <w:szCs w:val="21"/>
        </w:rPr>
        <w:t>（8）</w:t>
      </w:r>
      <w:r>
        <w:rPr>
          <w:rFonts w:hint="eastAsia" w:ascii="宋体" w:hAnsi="宋体" w:cs="Arial"/>
          <w:szCs w:val="21"/>
          <w:u w:val="single"/>
        </w:rPr>
        <w:t>已标价工程量清单</w:t>
      </w:r>
      <w:r>
        <w:rPr>
          <w:rFonts w:hint="eastAsia" w:ascii="宋体" w:hAnsi="宋体" w:cs="Arial"/>
          <w:szCs w:val="21"/>
        </w:rPr>
        <w:t>；</w:t>
      </w:r>
    </w:p>
    <w:p w14:paraId="0BCC6B94">
      <w:pPr>
        <w:spacing w:line="400" w:lineRule="exact"/>
        <w:ind w:firstLine="480"/>
        <w:rPr>
          <w:rFonts w:hint="eastAsia" w:ascii="宋体" w:hAnsi="宋体" w:cs="Arial"/>
          <w:szCs w:val="21"/>
        </w:rPr>
      </w:pPr>
      <w:r>
        <w:rPr>
          <w:rFonts w:hint="eastAsia" w:ascii="宋体" w:hAnsi="宋体" w:cs="Arial"/>
          <w:szCs w:val="21"/>
        </w:rPr>
        <w:t>（9）</w:t>
      </w:r>
      <w:r>
        <w:rPr>
          <w:rFonts w:hint="eastAsia" w:ascii="宋体" w:hAnsi="宋体" w:cs="Arial"/>
          <w:szCs w:val="21"/>
          <w:u w:val="single"/>
        </w:rPr>
        <w:t>其他合同文件</w:t>
      </w:r>
      <w:r>
        <w:rPr>
          <w:rFonts w:hint="eastAsia" w:ascii="宋体" w:hAnsi="宋体" w:cs="Arial"/>
          <w:szCs w:val="21"/>
        </w:rPr>
        <w:t>；</w:t>
      </w:r>
    </w:p>
    <w:p w14:paraId="06784860">
      <w:pPr>
        <w:spacing w:line="400" w:lineRule="exact"/>
        <w:ind w:firstLine="480"/>
        <w:rPr>
          <w:rFonts w:hint="eastAsia" w:ascii="宋体" w:hAnsi="宋体" w:cs="Arial"/>
          <w:szCs w:val="21"/>
        </w:rPr>
      </w:pPr>
      <w:r>
        <w:rPr>
          <w:rFonts w:hint="eastAsia" w:ascii="宋体" w:hAnsi="宋体" w:cs="Arial"/>
          <w:szCs w:val="21"/>
        </w:rPr>
        <w:t>（10）</w:t>
      </w:r>
      <w:r>
        <w:rPr>
          <w:rFonts w:hint="eastAsia" w:ascii="宋体" w:hAnsi="宋体" w:cs="Arial"/>
          <w:szCs w:val="21"/>
          <w:u w:val="single"/>
        </w:rPr>
        <w:t>招标文件、投标文件</w:t>
      </w:r>
      <w:r>
        <w:rPr>
          <w:rFonts w:hint="eastAsia" w:ascii="宋体" w:hAnsi="宋体" w:cs="Arial"/>
          <w:szCs w:val="21"/>
        </w:rPr>
        <w:t>。</w:t>
      </w:r>
    </w:p>
    <w:p w14:paraId="0C94B20A">
      <w:pPr>
        <w:spacing w:line="400" w:lineRule="exact"/>
        <w:ind w:firstLine="480"/>
        <w:rPr>
          <w:rFonts w:hint="eastAsia" w:ascii="宋体" w:hAnsi="宋体" w:cs="Arial"/>
          <w:szCs w:val="21"/>
        </w:rPr>
      </w:pPr>
      <w:r>
        <w:rPr>
          <w:rFonts w:hint="eastAsia" w:ascii="宋体" w:hAnsi="宋体" w:cs="Arial"/>
          <w:szCs w:val="21"/>
        </w:rPr>
        <w:t>（说明：（6）、（7）、（8）填空内容分别限于技术标准和要求、图纸、已标价工程量清单三者之一。）</w:t>
      </w:r>
    </w:p>
    <w:p w14:paraId="0194C8FF">
      <w:pPr>
        <w:spacing w:line="400" w:lineRule="exact"/>
        <w:ind w:firstLine="420" w:firstLineChars="200"/>
        <w:rPr>
          <w:rFonts w:hint="eastAsia" w:ascii="宋体" w:hAnsi="宋体" w:cs="Arial"/>
          <w:szCs w:val="21"/>
        </w:rPr>
      </w:pPr>
      <w:r>
        <w:rPr>
          <w:rFonts w:hint="eastAsia" w:ascii="宋体" w:hAnsi="宋体" w:cs="Arial"/>
          <w:szCs w:val="21"/>
        </w:rPr>
        <w:t>合同协议书中约定采用总价合同形式的，除非合同另有约定，已标价工程量清单中的各项工程量对合同双方不具合同约束力。</w:t>
      </w:r>
    </w:p>
    <w:p w14:paraId="4704201E">
      <w:pPr>
        <w:spacing w:line="400" w:lineRule="exact"/>
        <w:ind w:firstLine="420" w:firstLineChars="200"/>
        <w:rPr>
          <w:rFonts w:hint="eastAsia" w:ascii="宋体" w:hAnsi="宋体" w:cs="Arial"/>
          <w:szCs w:val="21"/>
        </w:rPr>
      </w:pPr>
      <w:r>
        <w:rPr>
          <w:rFonts w:hint="eastAsia" w:ascii="宋体" w:hAnsi="宋体" w:cs="Arial"/>
          <w:szCs w:val="21"/>
        </w:rPr>
        <w:t>图纸与工程量清单、技术标准和要求之间有矛盾或者不一致的，以其中要求较严格的（对甲方有利解释）为准。</w:t>
      </w:r>
    </w:p>
    <w:p w14:paraId="76A23992">
      <w:pPr>
        <w:spacing w:line="400" w:lineRule="exact"/>
        <w:ind w:firstLine="420" w:firstLineChars="200"/>
        <w:rPr>
          <w:rFonts w:hint="eastAsia" w:ascii="宋体" w:hAnsi="宋体" w:cs="Arial"/>
          <w:szCs w:val="21"/>
        </w:rPr>
      </w:pPr>
      <w:r>
        <w:rPr>
          <w:rFonts w:hint="eastAsia" w:ascii="宋体" w:hAnsi="宋体" w:cs="Arial"/>
          <w:szCs w:val="21"/>
        </w:rPr>
        <w:t>合同双方在合同履行过程中签订的补充协议亦构成合同文件的组成部分，其解释顺序视其内容与其他合同文件的相互关系而定。</w:t>
      </w:r>
    </w:p>
    <w:p w14:paraId="75205207">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1.5 合同协议书</w:t>
      </w:r>
    </w:p>
    <w:p w14:paraId="519CE5AF">
      <w:pPr>
        <w:spacing w:line="400" w:lineRule="exact"/>
        <w:ind w:firstLine="420" w:firstLineChars="200"/>
        <w:rPr>
          <w:rFonts w:hint="eastAsia" w:ascii="宋体" w:hAnsi="宋体"/>
          <w:szCs w:val="21"/>
          <w:u w:val="single"/>
        </w:rPr>
      </w:pPr>
      <w:r>
        <w:rPr>
          <w:rFonts w:hint="eastAsia" w:ascii="宋体" w:hAnsi="宋体"/>
          <w:szCs w:val="21"/>
        </w:rPr>
        <w:t>合同生效的条件：</w:t>
      </w:r>
      <w:r>
        <w:rPr>
          <w:rFonts w:hint="eastAsia" w:ascii="宋体" w:hAnsi="宋体"/>
          <w:szCs w:val="21"/>
          <w:u w:val="single"/>
        </w:rPr>
        <w:t xml:space="preserve">合同双方法定代表人或委托代理人签字并加盖单位公章后生效 </w:t>
      </w:r>
      <w:r>
        <w:rPr>
          <w:rFonts w:hint="eastAsia" w:ascii="宋体" w:hAnsi="宋体"/>
          <w:szCs w:val="21"/>
        </w:rPr>
        <w:t>。</w:t>
      </w:r>
    </w:p>
    <w:p w14:paraId="39A31127">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1.6 图纸和乙方文件</w:t>
      </w:r>
    </w:p>
    <w:p w14:paraId="6F01A58B">
      <w:pPr>
        <w:spacing w:line="400" w:lineRule="exact"/>
        <w:ind w:firstLine="420" w:firstLineChars="200"/>
        <w:jc w:val="left"/>
        <w:rPr>
          <w:rFonts w:hint="eastAsia" w:ascii="宋体" w:hAnsi="宋体"/>
          <w:szCs w:val="21"/>
        </w:rPr>
      </w:pPr>
      <w:r>
        <w:rPr>
          <w:rFonts w:hint="eastAsia" w:ascii="宋体" w:hAnsi="宋体"/>
          <w:szCs w:val="21"/>
        </w:rPr>
        <w:t>1.6.1图纸的提供</w:t>
      </w:r>
    </w:p>
    <w:p w14:paraId="5BC4C92C">
      <w:pPr>
        <w:spacing w:line="400" w:lineRule="exact"/>
        <w:ind w:firstLine="315" w:firstLineChars="150"/>
        <w:rPr>
          <w:rFonts w:hint="eastAsia" w:ascii="宋体" w:hAnsi="宋体"/>
          <w:szCs w:val="21"/>
        </w:rPr>
      </w:pPr>
      <w:r>
        <w:rPr>
          <w:rFonts w:hint="eastAsia" w:ascii="宋体" w:hAnsi="宋体"/>
          <w:szCs w:val="21"/>
        </w:rPr>
        <w:t>（1） 甲方按照合同条款本项的约定向乙方提供图纸。乙方需要增加图纸套数的，甲方应代为复制，复制费用由乙方承担。</w:t>
      </w:r>
    </w:p>
    <w:p w14:paraId="68FF6C87">
      <w:pPr>
        <w:spacing w:line="400" w:lineRule="exact"/>
        <w:ind w:firstLine="315" w:firstLineChars="150"/>
        <w:rPr>
          <w:rFonts w:hint="eastAsia" w:ascii="宋体" w:hAnsi="宋体"/>
          <w:szCs w:val="21"/>
        </w:rPr>
      </w:pPr>
      <w:r>
        <w:rPr>
          <w:rFonts w:hint="eastAsia" w:ascii="宋体" w:hAnsi="宋体"/>
          <w:szCs w:val="21"/>
        </w:rPr>
        <w:t>（2） 在监理人批准合同条款第10.1款约定的合同进度计划或者合同条款10.2款约定的合同进度计划修改后7天内,乙方应当根据合同进度计划和本项约定的图纸提供期限和数量，编制或者修改图纸供应计划并报送监理人，其中应当载明乙方对各区段最新版本图纸(包括合同条款第1.6.3项约定的图纸修改图)的最迟需求时间，监理人应当在收到图纸供应计划后7天内批复或提出修改意见，否则该图纸供应计划视为得到批准。经监理人批准的最新的图纸供应计划对合同双方有合同约束力，作为甲方或者监理人向乙方提供图纸的主要依据。甲方或者监理人不按照图纸供应计划提供图纸而导致乙方费用增加和（或）工期延误的，由甲方承担赔偿责任。乙方未按照本目约定的时间向监理人提交图纸供应计划,致使甲方或者监理人未能在合理的时间内提供相应图纸或者乙方未按照图纸供应计划组织施工所造成的费用增加和（或）工期延误由乙方承担。</w:t>
      </w:r>
    </w:p>
    <w:p w14:paraId="1D2E5073">
      <w:pPr>
        <w:spacing w:line="400" w:lineRule="exact"/>
        <w:ind w:firstLine="315" w:firstLineChars="150"/>
        <w:rPr>
          <w:rFonts w:hint="eastAsia" w:ascii="宋体" w:hAnsi="宋体"/>
          <w:szCs w:val="21"/>
        </w:rPr>
      </w:pPr>
      <w:r>
        <w:rPr>
          <w:rFonts w:hint="eastAsia" w:ascii="宋体" w:hAnsi="宋体"/>
          <w:szCs w:val="21"/>
        </w:rPr>
        <w:t>（3）甲方提供图纸的期限：</w:t>
      </w:r>
      <w:r>
        <w:rPr>
          <w:rFonts w:hint="eastAsia" w:ascii="宋体" w:hAnsi="宋体"/>
          <w:szCs w:val="21"/>
          <w:u w:val="single"/>
        </w:rPr>
        <w:t>开工前10日内。</w:t>
      </w:r>
    </w:p>
    <w:p w14:paraId="4569BD87">
      <w:pPr>
        <w:spacing w:line="400" w:lineRule="exact"/>
        <w:ind w:firstLine="315" w:firstLineChars="150"/>
        <w:rPr>
          <w:rFonts w:hint="eastAsia" w:ascii="宋体" w:hAnsi="宋体"/>
          <w:szCs w:val="21"/>
        </w:rPr>
      </w:pPr>
      <w:r>
        <w:rPr>
          <w:rFonts w:hint="eastAsia" w:ascii="宋体" w:hAnsi="宋体"/>
          <w:szCs w:val="21"/>
        </w:rPr>
        <w:t>（4）甲方提供图纸的数量：</w:t>
      </w:r>
      <w:r>
        <w:rPr>
          <w:rFonts w:hint="eastAsia" w:ascii="宋体" w:hAnsi="宋体"/>
          <w:szCs w:val="21"/>
          <w:u w:val="single"/>
        </w:rPr>
        <w:t>4套（含3套用于竣工图的施工图）。</w:t>
      </w:r>
    </w:p>
    <w:p w14:paraId="5158AD26">
      <w:pPr>
        <w:spacing w:line="400" w:lineRule="exact"/>
        <w:ind w:firstLine="420" w:firstLineChars="200"/>
        <w:jc w:val="left"/>
        <w:rPr>
          <w:rFonts w:hint="eastAsia" w:ascii="宋体" w:hAnsi="宋体"/>
          <w:szCs w:val="21"/>
        </w:rPr>
      </w:pPr>
      <w:r>
        <w:rPr>
          <w:rFonts w:hint="eastAsia" w:ascii="宋体" w:hAnsi="宋体"/>
          <w:szCs w:val="21"/>
        </w:rPr>
        <w:t>1.6.2 乙方提供的文件</w:t>
      </w:r>
    </w:p>
    <w:p w14:paraId="6302E65E">
      <w:pPr>
        <w:spacing w:line="400" w:lineRule="exact"/>
        <w:rPr>
          <w:rFonts w:hint="eastAsia" w:ascii="宋体" w:hAnsi="宋体"/>
          <w:szCs w:val="21"/>
          <w:u w:val="single"/>
        </w:rPr>
      </w:pPr>
      <w:r>
        <w:rPr>
          <w:rFonts w:hint="eastAsia" w:ascii="宋体" w:hAnsi="宋体"/>
          <w:szCs w:val="21"/>
        </w:rPr>
        <w:t>（1）除专用合同条款第4.1.10(1)目约定的由乙方提供的设计文件外，本项约定的其他应由乙方提供的文件，包括必要的加工图和大样图，均不是合同计量与支付的依据文件。由乙方提供的文件范围：</w:t>
      </w:r>
      <w:r>
        <w:rPr>
          <w:rFonts w:hint="eastAsia" w:ascii="宋体" w:hAnsi="宋体"/>
          <w:szCs w:val="21"/>
          <w:u w:val="single"/>
        </w:rPr>
        <w:t>图审交底文件资料和施工组织设计（施工方案）及进度计划的时间。</w:t>
      </w:r>
    </w:p>
    <w:p w14:paraId="313EDCFE">
      <w:pPr>
        <w:spacing w:line="400" w:lineRule="exact"/>
        <w:ind w:firstLine="315" w:firstLineChars="150"/>
        <w:rPr>
          <w:rFonts w:hint="eastAsia" w:ascii="宋体" w:hAnsi="宋体"/>
          <w:szCs w:val="21"/>
        </w:rPr>
      </w:pPr>
      <w:r>
        <w:rPr>
          <w:rFonts w:hint="eastAsia" w:ascii="宋体" w:hAnsi="宋体"/>
          <w:szCs w:val="21"/>
        </w:rPr>
        <w:t>（2）乙方提供文件的期限：</w:t>
      </w:r>
      <w:r>
        <w:rPr>
          <w:rFonts w:hint="eastAsia" w:ascii="宋体" w:hAnsi="宋体"/>
          <w:szCs w:val="21"/>
          <w:u w:val="single"/>
        </w:rPr>
        <w:t>开始施工前5日历天</w:t>
      </w:r>
      <w:r>
        <w:rPr>
          <w:rFonts w:hint="eastAsia" w:ascii="宋体" w:hAnsi="宋体"/>
          <w:szCs w:val="21"/>
        </w:rPr>
        <w:t>。</w:t>
      </w:r>
    </w:p>
    <w:p w14:paraId="6BB55833">
      <w:pPr>
        <w:spacing w:line="400" w:lineRule="exact"/>
        <w:ind w:firstLine="315" w:firstLineChars="150"/>
        <w:rPr>
          <w:rFonts w:hint="eastAsia" w:ascii="宋体" w:hAnsi="宋体"/>
          <w:szCs w:val="21"/>
        </w:rPr>
      </w:pPr>
      <w:r>
        <w:rPr>
          <w:rFonts w:hint="eastAsia" w:ascii="宋体" w:hAnsi="宋体"/>
          <w:szCs w:val="21"/>
        </w:rPr>
        <w:t>（3）乙方提供文件的数量：</w:t>
      </w:r>
      <w:r>
        <w:rPr>
          <w:rFonts w:hint="eastAsia" w:ascii="宋体" w:hAnsi="宋体"/>
          <w:szCs w:val="21"/>
          <w:u w:val="single"/>
        </w:rPr>
        <w:t>一式二份，分别提交给甲方和监理人</w:t>
      </w:r>
      <w:r>
        <w:rPr>
          <w:rFonts w:hint="eastAsia" w:ascii="宋体" w:hAnsi="宋体"/>
          <w:szCs w:val="21"/>
        </w:rPr>
        <w:t>。</w:t>
      </w:r>
    </w:p>
    <w:p w14:paraId="7E963411">
      <w:pPr>
        <w:spacing w:line="400" w:lineRule="exact"/>
        <w:ind w:firstLine="315" w:firstLineChars="150"/>
        <w:rPr>
          <w:rFonts w:hint="eastAsia" w:ascii="宋体" w:hAnsi="宋体"/>
          <w:szCs w:val="21"/>
        </w:rPr>
      </w:pPr>
      <w:r>
        <w:rPr>
          <w:rFonts w:hint="eastAsia" w:ascii="宋体" w:hAnsi="宋体"/>
          <w:szCs w:val="21"/>
        </w:rPr>
        <w:t>（4）监理人批复乙方提供文件的期限：</w:t>
      </w:r>
      <w:r>
        <w:rPr>
          <w:rFonts w:hint="eastAsia" w:ascii="宋体" w:hAnsi="宋体"/>
          <w:szCs w:val="21"/>
          <w:u w:val="single"/>
        </w:rPr>
        <w:t>收到乙方报送的上述文件之后7日内</w:t>
      </w:r>
      <w:r>
        <w:rPr>
          <w:rFonts w:hint="eastAsia" w:ascii="宋体" w:hAnsi="宋体"/>
          <w:szCs w:val="21"/>
        </w:rPr>
        <w:t>。</w:t>
      </w:r>
    </w:p>
    <w:p w14:paraId="372AA4C1">
      <w:pPr>
        <w:spacing w:line="400" w:lineRule="exact"/>
        <w:ind w:firstLine="315" w:firstLineChars="150"/>
        <w:rPr>
          <w:rFonts w:hint="eastAsia" w:ascii="宋体" w:hAnsi="宋体"/>
          <w:szCs w:val="21"/>
        </w:rPr>
      </w:pPr>
      <w:r>
        <w:rPr>
          <w:rFonts w:hint="eastAsia" w:ascii="宋体" w:hAnsi="宋体"/>
          <w:szCs w:val="21"/>
        </w:rPr>
        <w:t>（5）其他约定：</w:t>
      </w:r>
      <w:r>
        <w:rPr>
          <w:rFonts w:hint="eastAsia" w:ascii="宋体" w:hAnsi="宋体"/>
          <w:szCs w:val="21"/>
          <w:u w:val="single"/>
        </w:rPr>
        <w:t xml:space="preserve">      /     </w:t>
      </w:r>
      <w:r>
        <w:rPr>
          <w:rFonts w:hint="eastAsia" w:ascii="宋体" w:hAnsi="宋体"/>
          <w:szCs w:val="21"/>
        </w:rPr>
        <w:t>。</w:t>
      </w:r>
    </w:p>
    <w:p w14:paraId="0FCB2998">
      <w:pPr>
        <w:spacing w:line="400" w:lineRule="exact"/>
        <w:ind w:firstLine="420" w:firstLineChars="200"/>
        <w:jc w:val="left"/>
        <w:rPr>
          <w:rFonts w:hint="eastAsia" w:ascii="宋体" w:hAnsi="宋体"/>
          <w:szCs w:val="21"/>
        </w:rPr>
      </w:pPr>
      <w:r>
        <w:rPr>
          <w:rFonts w:hint="eastAsia" w:ascii="宋体" w:hAnsi="宋体"/>
          <w:szCs w:val="21"/>
        </w:rPr>
        <w:t>1.6.3 图纸的修改</w:t>
      </w:r>
    </w:p>
    <w:p w14:paraId="1F493A1A">
      <w:pPr>
        <w:spacing w:line="400" w:lineRule="exact"/>
        <w:ind w:firstLine="420" w:firstLineChars="200"/>
        <w:rPr>
          <w:rFonts w:hint="eastAsia" w:ascii="宋体" w:hAnsi="宋体"/>
          <w:szCs w:val="21"/>
        </w:rPr>
      </w:pPr>
      <w:r>
        <w:rPr>
          <w:rFonts w:hint="eastAsia" w:ascii="宋体" w:hAnsi="宋体"/>
          <w:szCs w:val="21"/>
        </w:rPr>
        <w:t>监理人应当按照合同条款第1.6.1（2）目约定的有合同约束力的图纸供应计划，签发图纸修改图给乙方。</w:t>
      </w:r>
    </w:p>
    <w:p w14:paraId="73E0B98C">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1.7 联 络</w:t>
      </w:r>
    </w:p>
    <w:p w14:paraId="2FAEF38A">
      <w:pPr>
        <w:spacing w:line="400" w:lineRule="exact"/>
        <w:ind w:firstLine="420" w:firstLineChars="200"/>
        <w:jc w:val="left"/>
        <w:rPr>
          <w:rFonts w:hint="eastAsia" w:ascii="宋体" w:hAnsi="宋体" w:cs="Arial"/>
          <w:szCs w:val="21"/>
        </w:rPr>
      </w:pPr>
      <w:r>
        <w:rPr>
          <w:rFonts w:hint="eastAsia" w:ascii="宋体" w:hAnsi="宋体"/>
          <w:szCs w:val="21"/>
        </w:rPr>
        <w:t>1.7.2联络来往函件的送达和接收</w:t>
      </w:r>
    </w:p>
    <w:p w14:paraId="363ABEAD">
      <w:pPr>
        <w:spacing w:line="400" w:lineRule="exact"/>
        <w:ind w:firstLine="315" w:firstLineChars="150"/>
        <w:rPr>
          <w:rFonts w:hint="eastAsia" w:ascii="宋体" w:hAnsi="宋体"/>
          <w:szCs w:val="21"/>
        </w:rPr>
      </w:pPr>
      <w:r>
        <w:rPr>
          <w:rFonts w:hint="eastAsia" w:ascii="宋体" w:hAnsi="宋体"/>
          <w:szCs w:val="21"/>
        </w:rPr>
        <w:t>（1）联络来往信函的送达期限：合同约定了发出期限的，送达期限为合同约定的发出期限后的24小时内；合同约定了通知、提供或者报送期限的，通知、提供或者报送期限即为送达期限。</w:t>
      </w:r>
    </w:p>
    <w:p w14:paraId="5C793833">
      <w:pPr>
        <w:spacing w:line="400" w:lineRule="exact"/>
        <w:ind w:firstLine="315" w:firstLineChars="150"/>
        <w:rPr>
          <w:rFonts w:hint="eastAsia" w:ascii="宋体" w:hAnsi="宋体"/>
          <w:szCs w:val="21"/>
        </w:rPr>
      </w:pPr>
      <w:r>
        <w:rPr>
          <w:rFonts w:hint="eastAsia" w:ascii="宋体" w:hAnsi="宋体"/>
          <w:szCs w:val="21"/>
        </w:rPr>
        <w:t>（2）甲方指定的接收地点：</w:t>
      </w:r>
      <w:r>
        <w:rPr>
          <w:rFonts w:hint="eastAsia" w:ascii="宋体" w:hAnsi="宋体"/>
          <w:szCs w:val="21"/>
          <w:u w:val="single"/>
        </w:rPr>
        <w:t>/。</w:t>
      </w:r>
    </w:p>
    <w:p w14:paraId="13351193">
      <w:pPr>
        <w:spacing w:line="400" w:lineRule="exact"/>
        <w:ind w:firstLine="315" w:firstLineChars="150"/>
        <w:rPr>
          <w:rFonts w:hint="eastAsia" w:ascii="宋体" w:hAnsi="宋体"/>
          <w:szCs w:val="21"/>
        </w:rPr>
      </w:pPr>
      <w:r>
        <w:rPr>
          <w:rFonts w:hint="eastAsia" w:ascii="宋体" w:hAnsi="宋体"/>
          <w:szCs w:val="21"/>
        </w:rPr>
        <w:t>（3）甲方指定的接收人为：</w:t>
      </w:r>
      <w:r>
        <w:rPr>
          <w:rFonts w:hint="eastAsia" w:ascii="宋体" w:hAnsi="宋体"/>
          <w:szCs w:val="21"/>
          <w:u w:val="single"/>
        </w:rPr>
        <w:t>/</w:t>
      </w:r>
      <w:r>
        <w:rPr>
          <w:rFonts w:hint="eastAsia" w:ascii="宋体" w:hAnsi="宋体"/>
          <w:szCs w:val="21"/>
        </w:rPr>
        <w:t>。</w:t>
      </w:r>
    </w:p>
    <w:p w14:paraId="56B85542">
      <w:pPr>
        <w:spacing w:line="400" w:lineRule="exact"/>
        <w:ind w:firstLine="315" w:firstLineChars="150"/>
        <w:rPr>
          <w:rFonts w:hint="eastAsia" w:ascii="宋体" w:hAnsi="宋体"/>
          <w:szCs w:val="21"/>
        </w:rPr>
      </w:pPr>
      <w:r>
        <w:rPr>
          <w:rFonts w:hint="eastAsia" w:ascii="宋体" w:hAnsi="宋体"/>
          <w:szCs w:val="21"/>
        </w:rPr>
        <w:t>（4）监理人指定的接收地点：</w:t>
      </w:r>
      <w:r>
        <w:rPr>
          <w:rFonts w:hint="eastAsia" w:ascii="宋体" w:hAnsi="宋体"/>
          <w:szCs w:val="21"/>
          <w:u w:val="single"/>
        </w:rPr>
        <w:t>/</w:t>
      </w:r>
      <w:r>
        <w:rPr>
          <w:rFonts w:hint="eastAsia" w:ascii="宋体" w:hAnsi="宋体"/>
          <w:szCs w:val="21"/>
        </w:rPr>
        <w:t>。</w:t>
      </w:r>
    </w:p>
    <w:p w14:paraId="0A422E17">
      <w:pPr>
        <w:spacing w:line="400" w:lineRule="exact"/>
        <w:ind w:firstLine="315" w:firstLineChars="150"/>
        <w:rPr>
          <w:rFonts w:hint="eastAsia" w:ascii="宋体" w:hAnsi="宋体"/>
          <w:szCs w:val="21"/>
        </w:rPr>
      </w:pPr>
      <w:r>
        <w:rPr>
          <w:rFonts w:hint="eastAsia" w:ascii="宋体" w:hAnsi="宋体"/>
          <w:szCs w:val="21"/>
        </w:rPr>
        <w:t>（5）监理人指定的接收人为：</w:t>
      </w:r>
      <w:r>
        <w:rPr>
          <w:rFonts w:hint="eastAsia" w:ascii="宋体" w:hAnsi="宋体"/>
          <w:szCs w:val="21"/>
          <w:u w:val="single"/>
        </w:rPr>
        <w:t>/</w:t>
      </w:r>
      <w:r>
        <w:rPr>
          <w:rFonts w:hint="eastAsia" w:ascii="宋体" w:hAnsi="宋体"/>
          <w:szCs w:val="21"/>
        </w:rPr>
        <w:t>。</w:t>
      </w:r>
    </w:p>
    <w:p w14:paraId="1A8EB959">
      <w:pPr>
        <w:spacing w:line="400" w:lineRule="exact"/>
        <w:ind w:firstLine="315" w:firstLineChars="150"/>
        <w:rPr>
          <w:rFonts w:hint="eastAsia" w:ascii="宋体" w:hAnsi="宋体" w:cs="Arial"/>
          <w:szCs w:val="21"/>
        </w:rPr>
      </w:pPr>
      <w:r>
        <w:rPr>
          <w:rFonts w:hint="eastAsia" w:ascii="宋体" w:hAnsi="宋体"/>
          <w:szCs w:val="21"/>
        </w:rPr>
        <w:t>（6）乙方指定的接收人为合同协议书中载明的乙方项目经理本人或者项目经理的授权代表。乙方应在收到开工通知后7天内，按照合同条款第4.5.4项的约定，将授权代表其接收来往信函的项目经理的授权代表姓名和授权范围通知监理人。除合同另有约定外，乙方施工场地管理机构的办公地点即为乙方指定的接收地点。</w:t>
      </w:r>
    </w:p>
    <w:p w14:paraId="2BDA7CDC">
      <w:pPr>
        <w:spacing w:line="400" w:lineRule="exact"/>
        <w:ind w:firstLine="315" w:firstLineChars="150"/>
        <w:rPr>
          <w:rFonts w:hint="eastAsia" w:ascii="宋体" w:hAnsi="宋体" w:cs="Arial"/>
          <w:szCs w:val="21"/>
        </w:rPr>
      </w:pPr>
      <w:r>
        <w:rPr>
          <w:rFonts w:hint="eastAsia" w:ascii="宋体" w:hAnsi="宋体"/>
          <w:szCs w:val="21"/>
        </w:rPr>
        <w:t>（7）甲方（包括监理人）和乙方中任何一方指定的接收人或者接收地点发生变动，应当在实际变动前提前至少一个工作日以书面方式通知另一方。甲方（包括监理人）和乙方应当确保其各自指定的接收人在法定的和（或）符合合同约定的工作时间内始终工作在指定的接收地点，指定接收人离开工作岗位而无法及时签收来往信函构成拒不签收。</w:t>
      </w:r>
    </w:p>
    <w:p w14:paraId="577AA732">
      <w:pPr>
        <w:spacing w:line="400" w:lineRule="exact"/>
        <w:ind w:firstLine="315" w:firstLineChars="150"/>
        <w:rPr>
          <w:rFonts w:hint="eastAsia" w:ascii="宋体" w:hAnsi="宋体"/>
          <w:szCs w:val="21"/>
        </w:rPr>
      </w:pPr>
      <w:r>
        <w:rPr>
          <w:rFonts w:hint="eastAsia" w:ascii="宋体" w:hAnsi="宋体"/>
          <w:szCs w:val="21"/>
        </w:rPr>
        <w:t>（8）甲方（包括监理人）和乙方中任何一方均应当及时签收另一方送达其指定接收地点的来往信函，拒不签收的，送达信函的一方可以采用挂号或者公证方式送达，由此所造成的直接的和间接的费用增加（包括被迫采用特殊送达方式所发生的费用）和（或）延误的工期由拒绝签收一方承担。</w:t>
      </w:r>
    </w:p>
    <w:p w14:paraId="1D149220">
      <w:pPr>
        <w:pStyle w:val="260"/>
        <w:spacing w:before="0"/>
        <w:outlineLvl w:val="9"/>
        <w:rPr>
          <w:rFonts w:hint="eastAsia" w:ascii="宋体" w:hAnsi="宋体"/>
          <w:sz w:val="21"/>
          <w:szCs w:val="21"/>
        </w:rPr>
      </w:pPr>
      <w:r>
        <w:rPr>
          <w:rFonts w:hint="eastAsia" w:ascii="宋体" w:hAnsi="宋体"/>
          <w:sz w:val="21"/>
          <w:szCs w:val="21"/>
        </w:rPr>
        <w:t>2. 甲方义务</w:t>
      </w:r>
    </w:p>
    <w:p w14:paraId="737D879C">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2.3 提供施工场地</w:t>
      </w:r>
    </w:p>
    <w:p w14:paraId="4FC3C21C">
      <w:pPr>
        <w:spacing w:line="400" w:lineRule="exact"/>
        <w:ind w:firstLine="420" w:firstLineChars="200"/>
        <w:rPr>
          <w:rFonts w:hint="eastAsia" w:ascii="宋体" w:hAnsi="宋体"/>
          <w:szCs w:val="21"/>
        </w:rPr>
      </w:pPr>
      <w:r>
        <w:rPr>
          <w:rFonts w:hint="eastAsia" w:ascii="宋体" w:hAnsi="宋体"/>
          <w:szCs w:val="21"/>
        </w:rPr>
        <w:t>施工场地应当在监理人发出的开工通知中载明的开工日期前</w:t>
      </w:r>
      <w:r>
        <w:rPr>
          <w:rFonts w:hint="eastAsia" w:ascii="宋体" w:hAnsi="宋体"/>
          <w:szCs w:val="21"/>
          <w:u w:val="single"/>
        </w:rPr>
        <w:t xml:space="preserve">  7  </w:t>
      </w:r>
      <w:r>
        <w:rPr>
          <w:rFonts w:hint="eastAsia" w:ascii="宋体" w:hAnsi="宋体"/>
          <w:szCs w:val="21"/>
        </w:rPr>
        <w:t>天具备施工条件并移交给乙方，具体施工条件在 “技术标准和要求”第一节“一般要求”中约定。甲方最迟应当在移交施工场地的同时向乙方提供施工场地内地下管线和地下设施等有关资料，并保证资料的真实、准确和完整。</w:t>
      </w:r>
    </w:p>
    <w:p w14:paraId="07C459EE">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2.5 组织设计交底</w:t>
      </w:r>
    </w:p>
    <w:p w14:paraId="5A65863D">
      <w:pPr>
        <w:spacing w:line="400" w:lineRule="exact"/>
        <w:ind w:firstLine="420" w:firstLineChars="200"/>
        <w:rPr>
          <w:rFonts w:hint="eastAsia" w:ascii="宋体" w:hAnsi="宋体"/>
          <w:szCs w:val="21"/>
        </w:rPr>
      </w:pPr>
      <w:r>
        <w:rPr>
          <w:rFonts w:hint="eastAsia" w:ascii="宋体" w:hAnsi="宋体"/>
          <w:szCs w:val="21"/>
        </w:rPr>
        <w:t>甲方应当在合同条款11.1.1项约定的开工日期前组织设计人向乙方进行合同工程总体设计交底（包括图纸会审）。甲方还应按照合同进度计划中载明的阶段性设计交底时间组织和安排阶段工程设计交底（包括图纸会审）。乙方可以书面方式通过监理人向甲方申请增加紧急的设计交底，甲方在认为确有必要且条件许可时，应当尽快组织这类设计交底。</w:t>
      </w:r>
    </w:p>
    <w:p w14:paraId="5E022CA8">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2.8 其他义务</w:t>
      </w:r>
    </w:p>
    <w:p w14:paraId="6BC6A7F2">
      <w:pPr>
        <w:spacing w:line="400" w:lineRule="exact"/>
        <w:ind w:firstLine="420" w:firstLineChars="200"/>
        <w:rPr>
          <w:rFonts w:hint="eastAsia" w:ascii="宋体" w:hAnsi="宋体"/>
          <w:szCs w:val="21"/>
        </w:rPr>
      </w:pPr>
      <w:r>
        <w:rPr>
          <w:rFonts w:hint="eastAsia" w:ascii="宋体" w:hAnsi="宋体"/>
          <w:szCs w:val="21"/>
        </w:rPr>
        <w:t>（1）</w:t>
      </w:r>
      <w:r>
        <w:rPr>
          <w:rFonts w:hint="eastAsia" w:ascii="宋体" w:hAnsi="宋体" w:cs="Arial"/>
          <w:szCs w:val="21"/>
        </w:rPr>
        <w:t>向乙方提交对等的支付担保。</w:t>
      </w:r>
      <w:r>
        <w:rPr>
          <w:rFonts w:hint="eastAsia" w:ascii="宋体" w:hAnsi="宋体"/>
          <w:szCs w:val="21"/>
        </w:rPr>
        <w:t>在乙方按合同条款第4.2条向甲方递交符合合同约定的履约担保的同时，甲方应当按照金额和条件对等的原则和招标文件中规定的格式或者其他经过乙方事先认可的格式向乙方递交一份支付担保。支付担保的有效期应当自本合同生效之日起至甲方实际支付竣工付款之日止。如果甲方无法获得一份不带具体截止日期的担保，支付担保中应当有“变更工程竣工付款支付日期的，保证期间按照变更后的竣工付款支付日期做相应调整”或类似约定的条款。支付担保应在甲方付清竣工付款之日后28天内退还给甲方。乙方不承担甲方与支付担保有关的任何利息或其它类似的费用或者收益。支付担保是本合同的附件。</w:t>
      </w:r>
    </w:p>
    <w:p w14:paraId="7E1E645C">
      <w:pPr>
        <w:spacing w:line="400" w:lineRule="exact"/>
        <w:ind w:firstLine="315" w:firstLineChars="150"/>
        <w:rPr>
          <w:rFonts w:hint="eastAsia" w:ascii="宋体" w:hAnsi="宋体"/>
          <w:szCs w:val="21"/>
        </w:rPr>
      </w:pPr>
      <w:r>
        <w:rPr>
          <w:rFonts w:hint="eastAsia" w:ascii="宋体" w:hAnsi="宋体"/>
          <w:szCs w:val="21"/>
        </w:rPr>
        <w:t>（2）按有关规定及时办理工程质量监督手续。</w:t>
      </w:r>
    </w:p>
    <w:p w14:paraId="22426A3D">
      <w:pPr>
        <w:spacing w:line="400" w:lineRule="exact"/>
        <w:ind w:firstLine="315" w:firstLineChars="150"/>
        <w:rPr>
          <w:rFonts w:hint="eastAsia" w:ascii="宋体" w:hAnsi="宋体"/>
          <w:szCs w:val="21"/>
        </w:rPr>
      </w:pPr>
      <w:r>
        <w:rPr>
          <w:rFonts w:hint="eastAsia" w:ascii="宋体" w:hAnsi="宋体"/>
          <w:szCs w:val="21"/>
        </w:rPr>
        <w:t>（3）根据建设行政主管部门和（或）城市建设档案管理机构的规定，收集、整理、立卷、归档工程资料，并按规定时间向建设行政主管部门或者城市建设档案管理机构移交规定的工程档案。</w:t>
      </w:r>
    </w:p>
    <w:p w14:paraId="347C756E">
      <w:pPr>
        <w:spacing w:line="400" w:lineRule="exact"/>
        <w:ind w:firstLine="315" w:firstLineChars="150"/>
        <w:rPr>
          <w:rFonts w:hint="eastAsia" w:ascii="宋体" w:hAnsi="宋体"/>
          <w:szCs w:val="21"/>
        </w:rPr>
      </w:pPr>
      <w:r>
        <w:rPr>
          <w:rFonts w:hint="eastAsia" w:ascii="宋体" w:hAnsi="宋体"/>
          <w:szCs w:val="21"/>
        </w:rPr>
        <w:t>（4）</w:t>
      </w:r>
      <w:r>
        <w:rPr>
          <w:rFonts w:ascii="宋体" w:hAnsi="宋体"/>
          <w:szCs w:val="21"/>
        </w:rPr>
        <w:t>批准和确认</w:t>
      </w:r>
      <w:r>
        <w:rPr>
          <w:rFonts w:hint="eastAsia" w:ascii="宋体" w:hAnsi="宋体"/>
          <w:szCs w:val="21"/>
        </w:rPr>
        <w:t>：</w:t>
      </w:r>
      <w:r>
        <w:rPr>
          <w:rFonts w:ascii="宋体" w:hAnsi="宋体"/>
          <w:szCs w:val="21"/>
        </w:rPr>
        <w:t>按合同约定</w:t>
      </w:r>
      <w:r>
        <w:rPr>
          <w:rFonts w:hint="eastAsia" w:ascii="宋体" w:hAnsi="宋体"/>
          <w:szCs w:val="21"/>
        </w:rPr>
        <w:t>应当由监理人或者甲方</w:t>
      </w:r>
      <w:r>
        <w:rPr>
          <w:rFonts w:ascii="宋体" w:hAnsi="宋体"/>
          <w:szCs w:val="21"/>
        </w:rPr>
        <w:t>回复、</w:t>
      </w:r>
      <w:r>
        <w:rPr>
          <w:rFonts w:hint="eastAsia" w:ascii="宋体" w:hAnsi="宋体"/>
          <w:szCs w:val="21"/>
        </w:rPr>
        <w:t>批复、</w:t>
      </w:r>
      <w:r>
        <w:rPr>
          <w:rFonts w:ascii="宋体" w:hAnsi="宋体"/>
          <w:szCs w:val="21"/>
        </w:rPr>
        <w:t>批</w:t>
      </w:r>
      <w:r>
        <w:rPr>
          <w:rFonts w:hint="eastAsia" w:ascii="宋体" w:hAnsi="宋体"/>
          <w:szCs w:val="21"/>
        </w:rPr>
        <w:t>准、确认或提出修改意见的</w:t>
      </w:r>
      <w:r>
        <w:rPr>
          <w:rFonts w:ascii="宋体" w:hAnsi="宋体"/>
          <w:szCs w:val="21"/>
        </w:rPr>
        <w:t>乙方的</w:t>
      </w:r>
      <w:r>
        <w:rPr>
          <w:rFonts w:hint="eastAsia" w:ascii="宋体" w:hAnsi="宋体"/>
          <w:szCs w:val="21"/>
        </w:rPr>
        <w:t>要求</w:t>
      </w:r>
      <w:r>
        <w:rPr>
          <w:rFonts w:ascii="宋体" w:hAnsi="宋体"/>
          <w:szCs w:val="21"/>
        </w:rPr>
        <w:t>、</w:t>
      </w:r>
      <w:r>
        <w:rPr>
          <w:rFonts w:hint="eastAsia" w:ascii="宋体" w:hAnsi="宋体"/>
          <w:szCs w:val="21"/>
        </w:rPr>
        <w:t>请求、</w:t>
      </w:r>
      <w:r>
        <w:rPr>
          <w:rFonts w:ascii="宋体" w:hAnsi="宋体"/>
          <w:szCs w:val="21"/>
        </w:rPr>
        <w:t>申请</w:t>
      </w:r>
      <w:r>
        <w:rPr>
          <w:rFonts w:hint="eastAsia" w:ascii="宋体" w:hAnsi="宋体"/>
          <w:szCs w:val="21"/>
        </w:rPr>
        <w:t>和报批等，自监理人或者甲方指定的接收人收到乙方发出的相应要求、请求、申请和报批之日起，如果监理人或者甲方在合同约定的期限内未予回复、批复、批准、确认或提出修改意见的，视为监理人和甲方已经同意、确认或者批准。</w:t>
      </w:r>
    </w:p>
    <w:p w14:paraId="573B0932">
      <w:pPr>
        <w:spacing w:line="400" w:lineRule="exact"/>
        <w:ind w:firstLine="315" w:firstLineChars="150"/>
        <w:rPr>
          <w:rFonts w:hint="eastAsia" w:ascii="宋体" w:hAnsi="宋体" w:cs="Arial"/>
          <w:szCs w:val="21"/>
        </w:rPr>
      </w:pPr>
      <w:r>
        <w:rPr>
          <w:rFonts w:hint="eastAsia" w:ascii="宋体" w:hAnsi="宋体" w:cs="Arial"/>
          <w:szCs w:val="21"/>
        </w:rPr>
        <w:t>（5）</w:t>
      </w:r>
      <w:r>
        <w:rPr>
          <w:rFonts w:hint="eastAsia" w:ascii="宋体" w:hAnsi="宋体"/>
          <w:szCs w:val="21"/>
        </w:rPr>
        <w:t>甲方应当履行合同约定的其他义务以及</w:t>
      </w:r>
      <w:r>
        <w:rPr>
          <w:rFonts w:hint="eastAsia" w:ascii="宋体" w:hAnsi="宋体" w:cs="Arial"/>
          <w:szCs w:val="21"/>
        </w:rPr>
        <w:t>下述义务：</w:t>
      </w:r>
      <w:r>
        <w:rPr>
          <w:rFonts w:hint="eastAsia" w:ascii="宋体" w:hAnsi="宋体" w:cs="Arial"/>
          <w:szCs w:val="21"/>
          <w:u w:val="single"/>
        </w:rPr>
        <w:t xml:space="preserve">     /    </w:t>
      </w:r>
      <w:r>
        <w:rPr>
          <w:rFonts w:hint="eastAsia" w:ascii="宋体" w:hAnsi="宋体" w:cs="Arial"/>
          <w:szCs w:val="21"/>
        </w:rPr>
        <w:t>。</w:t>
      </w:r>
    </w:p>
    <w:p w14:paraId="22C3F5CB">
      <w:pPr>
        <w:pStyle w:val="260"/>
        <w:spacing w:before="0"/>
        <w:outlineLvl w:val="9"/>
        <w:rPr>
          <w:rFonts w:hint="eastAsia" w:ascii="宋体" w:hAnsi="宋体"/>
          <w:sz w:val="21"/>
          <w:szCs w:val="21"/>
        </w:rPr>
      </w:pPr>
      <w:r>
        <w:rPr>
          <w:rFonts w:hint="eastAsia" w:ascii="宋体" w:hAnsi="宋体"/>
          <w:sz w:val="21"/>
          <w:szCs w:val="21"/>
        </w:rPr>
        <w:t>3. 监理人</w:t>
      </w:r>
    </w:p>
    <w:p w14:paraId="318E157A">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3.1 监理人的职责和权力</w:t>
      </w:r>
    </w:p>
    <w:p w14:paraId="3A929428">
      <w:pPr>
        <w:spacing w:line="400" w:lineRule="exact"/>
        <w:ind w:firstLine="420" w:firstLineChars="200"/>
        <w:rPr>
          <w:rFonts w:hint="eastAsia" w:ascii="宋体" w:hAnsi="宋体"/>
          <w:szCs w:val="21"/>
        </w:rPr>
      </w:pPr>
      <w:r>
        <w:rPr>
          <w:rFonts w:hint="eastAsia" w:ascii="宋体" w:hAnsi="宋体"/>
          <w:szCs w:val="21"/>
        </w:rPr>
        <w:t>3.1.1须经甲方批准行使的权力：</w:t>
      </w:r>
      <w:r>
        <w:rPr>
          <w:rFonts w:hint="eastAsia" w:ascii="宋体" w:hAnsi="宋体"/>
          <w:szCs w:val="21"/>
          <w:u w:val="single"/>
        </w:rPr>
        <w:t>监理人除按规定和本合同内容以及投标文件确认的材料产品项目，进行监理工程质量、施工进度和工程投资的控制管理外，还对乙方通过本施工合同及投标文件确认的技术、管理、主要人员，以及投入的主要设备情况和材料的数量与质量进行监理。乙方无论何种原因以书面形式提出调整主要工程技术人员、调换主要材料、品种、规格、质量、数量、重量或技术参数等，均须取得监理人和甲方代表的书面许可。甲方在工程开工前将监理工程师的职责和权限以书面的形式通知乙方</w:t>
      </w:r>
      <w:r>
        <w:rPr>
          <w:rFonts w:hint="eastAsia" w:ascii="宋体" w:hAnsi="宋体"/>
          <w:szCs w:val="21"/>
        </w:rPr>
        <w:t>。不管通用合同条款第3.1.1项如何约定，监理人履行须经甲方批准行使的权力时，应当向乙方出示其行使该权力已经取得甲方批准的文件或者其他合法有效的证明。</w:t>
      </w:r>
    </w:p>
    <w:p w14:paraId="5B9A5C83">
      <w:pPr>
        <w:spacing w:line="400" w:lineRule="exact"/>
        <w:ind w:firstLine="420" w:firstLineChars="200"/>
        <w:rPr>
          <w:rFonts w:hint="eastAsia" w:ascii="宋体" w:hAnsi="宋体"/>
          <w:szCs w:val="21"/>
        </w:rPr>
      </w:pPr>
      <w:r>
        <w:rPr>
          <w:rFonts w:hint="eastAsia" w:ascii="宋体" w:hAnsi="宋体"/>
          <w:szCs w:val="21"/>
        </w:rPr>
        <w:t>凡涉及工程造价的增加,工期的延长及重大技术变更,变更指令,变更工作单价,素赔,暂估价的审批等,均须报发包人批准。监理人履行须经发包人批准行使的权力时，应当向承包人出示其行使该权力已经取得发包人批准的文件或者其他合法有效的证明。</w:t>
      </w:r>
    </w:p>
    <w:p w14:paraId="2FF81142">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3.3 监理人员</w:t>
      </w:r>
    </w:p>
    <w:p w14:paraId="4147D84F">
      <w:pPr>
        <w:spacing w:line="400" w:lineRule="exact"/>
        <w:ind w:firstLine="420" w:firstLineChars="200"/>
        <w:rPr>
          <w:rFonts w:hint="eastAsia" w:ascii="宋体" w:hAnsi="宋体" w:cs="Arial"/>
          <w:szCs w:val="21"/>
        </w:rPr>
      </w:pPr>
      <w:r>
        <w:rPr>
          <w:rFonts w:hint="eastAsia" w:ascii="宋体" w:hAnsi="宋体"/>
          <w:szCs w:val="21"/>
        </w:rPr>
        <w:t>3.3.4 总监理工程师不应将第3.5款约定应由总监理工程师作出确定的权力授权或者委托给其他监理人员。</w:t>
      </w:r>
    </w:p>
    <w:p w14:paraId="48518D73">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3.4 监理人的指示</w:t>
      </w:r>
    </w:p>
    <w:p w14:paraId="4AFB3CE5">
      <w:pPr>
        <w:spacing w:line="400" w:lineRule="exact"/>
        <w:ind w:firstLine="420" w:firstLineChars="200"/>
        <w:rPr>
          <w:rFonts w:hint="eastAsia" w:ascii="宋体" w:hAnsi="宋体"/>
          <w:szCs w:val="21"/>
        </w:rPr>
      </w:pPr>
      <w:r>
        <w:rPr>
          <w:rFonts w:hint="eastAsia" w:ascii="宋体" w:hAnsi="宋体"/>
          <w:szCs w:val="21"/>
        </w:rPr>
        <w:t>3.4.4除通用合同条款已有的专门约定外，乙方只能从总监理工程师或按第3.3.1项授权的监理人员处取得指示，甲方应当通过监理人向乙方发出指示。</w:t>
      </w:r>
    </w:p>
    <w:p w14:paraId="377B3856">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3.6 监理人的宽恕</w:t>
      </w:r>
    </w:p>
    <w:p w14:paraId="35B1BE63">
      <w:pPr>
        <w:spacing w:line="400" w:lineRule="exact"/>
        <w:ind w:firstLine="420" w:firstLineChars="200"/>
        <w:rPr>
          <w:rFonts w:hint="eastAsia" w:ascii="宋体" w:hAnsi="宋体" w:cs="Arial"/>
          <w:szCs w:val="21"/>
        </w:rPr>
      </w:pPr>
      <w:r>
        <w:rPr>
          <w:rFonts w:hint="eastAsia" w:ascii="宋体" w:hAnsi="宋体"/>
          <w:szCs w:val="21"/>
        </w:rPr>
        <w:t>监理人或者甲方就乙方对合同约定的任何责任和义务的某种违约行为的宽恕，不影响监理人和甲方在此后的任何时间严格按合同约定处理乙方的其它违约行为，也不意味甲方放弃合同约定的甲方与上述违约有关的任何权利和赔偿要求。</w:t>
      </w:r>
    </w:p>
    <w:p w14:paraId="1526D408">
      <w:pPr>
        <w:pStyle w:val="260"/>
        <w:spacing w:before="0"/>
        <w:outlineLvl w:val="9"/>
        <w:rPr>
          <w:rFonts w:hint="eastAsia" w:ascii="宋体" w:hAnsi="宋体"/>
          <w:sz w:val="21"/>
          <w:szCs w:val="21"/>
        </w:rPr>
      </w:pPr>
      <w:r>
        <w:rPr>
          <w:rFonts w:hint="eastAsia" w:ascii="宋体" w:hAnsi="宋体"/>
          <w:sz w:val="21"/>
          <w:szCs w:val="21"/>
        </w:rPr>
        <w:t>4. 乙方</w:t>
      </w:r>
    </w:p>
    <w:p w14:paraId="37207DFA">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4.1 乙方的一般义务</w:t>
      </w:r>
    </w:p>
    <w:p w14:paraId="6381292F">
      <w:pPr>
        <w:spacing w:line="400" w:lineRule="exact"/>
        <w:ind w:firstLine="420" w:firstLineChars="200"/>
        <w:rPr>
          <w:rFonts w:hint="eastAsia" w:ascii="宋体" w:hAnsi="宋体"/>
          <w:szCs w:val="21"/>
        </w:rPr>
      </w:pPr>
      <w:r>
        <w:rPr>
          <w:rFonts w:hint="eastAsia" w:ascii="宋体" w:hAnsi="宋体"/>
          <w:szCs w:val="21"/>
        </w:rPr>
        <w:t>4.1.3除专用合同条款第5.2款约定由甲方提供的材料和工程设备和第6.2款约定由甲方提供的施工设备和临时设施外，乙方应负责提供为完成合同工作所需的劳务、材料、施工设备、工程设备和其他物品，并按合同约定负责临时设施的设计、建造、运行、维护、管理和拆除。</w:t>
      </w:r>
    </w:p>
    <w:p w14:paraId="3CF200EE">
      <w:pPr>
        <w:spacing w:line="400" w:lineRule="exact"/>
        <w:ind w:firstLine="420" w:firstLineChars="200"/>
        <w:rPr>
          <w:rFonts w:hint="eastAsia" w:ascii="宋体" w:hAnsi="宋体"/>
          <w:szCs w:val="21"/>
        </w:rPr>
      </w:pPr>
      <w:r>
        <w:rPr>
          <w:rFonts w:hint="eastAsia" w:ascii="宋体" w:hAnsi="宋体"/>
          <w:szCs w:val="21"/>
        </w:rPr>
        <w:t>4.1.8为他人提供方便</w:t>
      </w:r>
    </w:p>
    <w:p w14:paraId="3A9D7C71">
      <w:pPr>
        <w:spacing w:line="400" w:lineRule="exact"/>
        <w:ind w:firstLine="315" w:firstLineChars="150"/>
        <w:rPr>
          <w:rFonts w:hint="eastAsia" w:ascii="宋体" w:hAnsi="宋体"/>
          <w:szCs w:val="21"/>
        </w:rPr>
      </w:pPr>
      <w:r>
        <w:rPr>
          <w:rFonts w:hint="eastAsia" w:ascii="宋体" w:hAnsi="宋体"/>
          <w:szCs w:val="21"/>
        </w:rPr>
        <w:t>（1）乙方应当对在施工场地或者附近实施与合同工程有关的其他工作的独立乙方履行管理、协调、配合、照管和服务义务，由此发生的费用被认为已经包括在乙方的签约合同价（投标总报价）中，具体工作内容和要求包括：</w:t>
      </w:r>
    </w:p>
    <w:p w14:paraId="57BB4AC5">
      <w:pPr>
        <w:spacing w:line="400" w:lineRule="exact"/>
        <w:ind w:firstLine="525" w:firstLineChars="250"/>
        <w:rPr>
          <w:rFonts w:hint="eastAsia" w:ascii="宋体" w:hAnsi="宋体"/>
          <w:szCs w:val="21"/>
          <w:u w:val="single"/>
        </w:rPr>
      </w:pPr>
      <w:r>
        <w:rPr>
          <w:rFonts w:hint="eastAsia" w:ascii="宋体" w:hAnsi="宋体"/>
          <w:szCs w:val="21"/>
          <w:u w:val="single"/>
        </w:rPr>
        <w:t>①承包人应按照合同的各项规定，以应有的精心和努力，履行并完成在工程图纸和工程量清单中示出的和合同说明的工作内容，并使用其中已作规定的材料、质量、工艺、标准。如果材料质量、工艺标准须得到发包人、监理的审批，承包人须至少在15个工作日前向发包人提供一切必要资料和报审材料，以便能及时办理相应报批，使相关质量和标准达到验收规范及相关要求。承包人应承担报送审批材料及检测等发生的所有费用，并对由于提供审批材料的材质不符合规范要求而得不到发包人、监理人批准所可能导致的工期延误和费用支出负责。</w:t>
      </w:r>
    </w:p>
    <w:p w14:paraId="3DF5B0EC">
      <w:pPr>
        <w:spacing w:line="400" w:lineRule="exact"/>
        <w:ind w:firstLine="525" w:firstLineChars="250"/>
        <w:rPr>
          <w:rFonts w:hint="eastAsia" w:ascii="宋体" w:hAnsi="宋体"/>
          <w:szCs w:val="21"/>
          <w:u w:val="single"/>
        </w:rPr>
      </w:pPr>
      <w:r>
        <w:rPr>
          <w:rFonts w:ascii="宋体" w:hAnsi="宋体"/>
          <w:szCs w:val="21"/>
          <w:u w:val="single"/>
        </w:rPr>
        <w:fldChar w:fldCharType="begin"/>
      </w:r>
      <w:r>
        <w:rPr>
          <w:rFonts w:ascii="宋体" w:hAnsi="宋体"/>
          <w:szCs w:val="21"/>
          <w:u w:val="single"/>
        </w:rPr>
        <w:instrText xml:space="preserve"> </w:instrText>
      </w:r>
      <w:r>
        <w:rPr>
          <w:rFonts w:hint="eastAsia" w:ascii="宋体" w:hAnsi="宋体"/>
          <w:szCs w:val="21"/>
          <w:u w:val="single"/>
        </w:rPr>
        <w:instrText xml:space="preserve">= 2 \* GB3</w:instrText>
      </w:r>
      <w:r>
        <w:rPr>
          <w:rFonts w:ascii="宋体" w:hAnsi="宋体"/>
          <w:szCs w:val="21"/>
          <w:u w:val="single"/>
        </w:rPr>
        <w:instrText xml:space="preserve"> </w:instrText>
      </w:r>
      <w:r>
        <w:rPr>
          <w:rFonts w:ascii="宋体" w:hAnsi="宋体"/>
          <w:szCs w:val="21"/>
          <w:u w:val="single"/>
        </w:rPr>
        <w:fldChar w:fldCharType="separate"/>
      </w:r>
      <w:r>
        <w:rPr>
          <w:rFonts w:hint="eastAsia" w:ascii="宋体" w:hAnsi="宋体"/>
          <w:szCs w:val="21"/>
          <w:u w:val="single"/>
        </w:rPr>
        <w:t>②</w:t>
      </w:r>
      <w:r>
        <w:rPr>
          <w:rFonts w:ascii="宋体" w:hAnsi="宋体"/>
          <w:szCs w:val="21"/>
          <w:u w:val="single"/>
        </w:rPr>
        <w:fldChar w:fldCharType="end"/>
      </w:r>
      <w:r>
        <w:rPr>
          <w:rFonts w:hint="eastAsia" w:ascii="宋体" w:hAnsi="宋体"/>
          <w:szCs w:val="21"/>
          <w:u w:val="single"/>
        </w:rPr>
        <w:t>承包人派驻本工程的项目经理和主要技术负责人在工程施工过程中不得随意更换。未经过发包人、监理人批准更换承包人项目经理或主要技术负责人，承包人需承担相应的违约责任。承包人项目经理应专职于本工程，不得兼职于其他工程或其他职务。承包人指定作为本项目的项目经理，负责工地整体日常管理，并参加工地日常例会，每周在现场工作时间应不得少于6日历天，如有特殊情况需提前征得发包人、监理人同意，未获得批准不得擅自离场。现场办公实行考勤制度，发包人如发现承包人项目经理不能做到上述要求，发包人将向承包人发出书面警告，累计3次警告仍存在承包人项目经理不能到位情形的，承包人须接受10000元/天的违约金。</w:t>
      </w:r>
    </w:p>
    <w:p w14:paraId="3EDF9F4D">
      <w:pPr>
        <w:spacing w:line="400" w:lineRule="exact"/>
        <w:ind w:firstLine="525" w:firstLineChars="250"/>
        <w:rPr>
          <w:rFonts w:hint="eastAsia" w:ascii="宋体" w:hAnsi="宋体"/>
          <w:szCs w:val="21"/>
          <w:u w:val="single"/>
        </w:rPr>
      </w:pPr>
      <w:r>
        <w:rPr>
          <w:rFonts w:ascii="宋体" w:hAnsi="宋体"/>
          <w:szCs w:val="21"/>
          <w:u w:val="single"/>
        </w:rPr>
        <w:fldChar w:fldCharType="begin"/>
      </w:r>
      <w:r>
        <w:rPr>
          <w:rFonts w:ascii="宋体" w:hAnsi="宋体"/>
          <w:szCs w:val="21"/>
          <w:u w:val="single"/>
        </w:rPr>
        <w:instrText xml:space="preserve"> </w:instrText>
      </w:r>
      <w:r>
        <w:rPr>
          <w:rFonts w:hint="eastAsia" w:ascii="宋体" w:hAnsi="宋体"/>
          <w:szCs w:val="21"/>
          <w:u w:val="single"/>
        </w:rPr>
        <w:instrText xml:space="preserve">= 3 \* GB3</w:instrText>
      </w:r>
      <w:r>
        <w:rPr>
          <w:rFonts w:ascii="宋体" w:hAnsi="宋体"/>
          <w:szCs w:val="21"/>
          <w:u w:val="single"/>
        </w:rPr>
        <w:instrText xml:space="preserve"> </w:instrText>
      </w:r>
      <w:r>
        <w:rPr>
          <w:rFonts w:ascii="宋体" w:hAnsi="宋体"/>
          <w:szCs w:val="21"/>
          <w:u w:val="single"/>
        </w:rPr>
        <w:fldChar w:fldCharType="separate"/>
      </w:r>
      <w:r>
        <w:rPr>
          <w:rFonts w:hint="eastAsia" w:ascii="宋体" w:hAnsi="宋体"/>
          <w:szCs w:val="21"/>
          <w:u w:val="single"/>
        </w:rPr>
        <w:t>③</w:t>
      </w:r>
      <w:r>
        <w:rPr>
          <w:rFonts w:ascii="宋体" w:hAnsi="宋体"/>
          <w:szCs w:val="21"/>
          <w:u w:val="single"/>
        </w:rPr>
        <w:fldChar w:fldCharType="end"/>
      </w:r>
      <w:r>
        <w:rPr>
          <w:rFonts w:hint="eastAsia" w:ascii="宋体" w:hAnsi="宋体"/>
          <w:szCs w:val="21"/>
          <w:u w:val="single"/>
        </w:rPr>
        <w:t>发包人有权向承包人以书面形式提出更换不称职项目经理和主要技术负责人要求，承包人应收到该书面文件后7日内做出回复。人员的更换不能免除承包人的履约责任。</w:t>
      </w:r>
    </w:p>
    <w:p w14:paraId="3482DA4E">
      <w:pPr>
        <w:spacing w:line="400" w:lineRule="exact"/>
        <w:ind w:firstLine="525" w:firstLineChars="250"/>
        <w:rPr>
          <w:rFonts w:hint="eastAsia" w:ascii="宋体" w:hAnsi="宋体"/>
          <w:szCs w:val="21"/>
          <w:u w:val="single"/>
        </w:rPr>
      </w:pPr>
      <w:r>
        <w:rPr>
          <w:rFonts w:ascii="宋体" w:hAnsi="宋体"/>
          <w:szCs w:val="21"/>
          <w:u w:val="single"/>
        </w:rPr>
        <w:fldChar w:fldCharType="begin"/>
      </w:r>
      <w:r>
        <w:rPr>
          <w:rFonts w:ascii="宋体" w:hAnsi="宋体"/>
          <w:szCs w:val="21"/>
          <w:u w:val="single"/>
        </w:rPr>
        <w:instrText xml:space="preserve"> </w:instrText>
      </w:r>
      <w:r>
        <w:rPr>
          <w:rFonts w:hint="eastAsia" w:ascii="宋体" w:hAnsi="宋体"/>
          <w:szCs w:val="21"/>
          <w:u w:val="single"/>
        </w:rPr>
        <w:instrText xml:space="preserve">= 4 \* GB3</w:instrText>
      </w:r>
      <w:r>
        <w:rPr>
          <w:rFonts w:ascii="宋体" w:hAnsi="宋体"/>
          <w:szCs w:val="21"/>
          <w:u w:val="single"/>
        </w:rPr>
        <w:instrText xml:space="preserve"> </w:instrText>
      </w:r>
      <w:r>
        <w:rPr>
          <w:rFonts w:ascii="宋体" w:hAnsi="宋体"/>
          <w:szCs w:val="21"/>
          <w:u w:val="single"/>
        </w:rPr>
        <w:fldChar w:fldCharType="separate"/>
      </w:r>
      <w:r>
        <w:rPr>
          <w:rFonts w:hint="eastAsia" w:ascii="宋体" w:hAnsi="宋体"/>
          <w:szCs w:val="21"/>
          <w:u w:val="single"/>
        </w:rPr>
        <w:t>④</w:t>
      </w:r>
      <w:r>
        <w:rPr>
          <w:rFonts w:ascii="宋体" w:hAnsi="宋体"/>
          <w:szCs w:val="21"/>
          <w:u w:val="single"/>
        </w:rPr>
        <w:fldChar w:fldCharType="end"/>
      </w:r>
      <w:r>
        <w:rPr>
          <w:rFonts w:hint="eastAsia" w:ascii="宋体" w:hAnsi="宋体"/>
          <w:szCs w:val="21"/>
          <w:u w:val="single"/>
        </w:rPr>
        <w:t>施工队伍的管理由承包人负全责，并符合北京市公安局和建委对外来施工企业和人员的管理。若承包人所管辖的人员出现违反规定的现象，或破坏发包人其他现场财产的情况，经发包人造成损失的，发包人有权向承包人进行索赔。</w:t>
      </w:r>
    </w:p>
    <w:p w14:paraId="61C8DE46">
      <w:pPr>
        <w:spacing w:line="400" w:lineRule="exact"/>
        <w:ind w:firstLine="525" w:firstLineChars="250"/>
        <w:rPr>
          <w:rFonts w:hint="eastAsia" w:ascii="宋体" w:hAnsi="宋体"/>
          <w:szCs w:val="21"/>
          <w:u w:val="single"/>
        </w:rPr>
      </w:pPr>
      <w:r>
        <w:rPr>
          <w:rFonts w:ascii="宋体" w:hAnsi="宋体"/>
          <w:szCs w:val="21"/>
          <w:u w:val="single"/>
        </w:rPr>
        <w:fldChar w:fldCharType="begin"/>
      </w:r>
      <w:r>
        <w:rPr>
          <w:rFonts w:ascii="宋体" w:hAnsi="宋体"/>
          <w:szCs w:val="21"/>
          <w:u w:val="single"/>
        </w:rPr>
        <w:instrText xml:space="preserve"> </w:instrText>
      </w:r>
      <w:r>
        <w:rPr>
          <w:rFonts w:hint="eastAsia" w:ascii="宋体" w:hAnsi="宋体"/>
          <w:szCs w:val="21"/>
          <w:u w:val="single"/>
        </w:rPr>
        <w:instrText xml:space="preserve">= 5 \* GB3</w:instrText>
      </w:r>
      <w:r>
        <w:rPr>
          <w:rFonts w:ascii="宋体" w:hAnsi="宋体"/>
          <w:szCs w:val="21"/>
          <w:u w:val="single"/>
        </w:rPr>
        <w:instrText xml:space="preserve"> </w:instrText>
      </w:r>
      <w:r>
        <w:rPr>
          <w:rFonts w:ascii="宋体" w:hAnsi="宋体"/>
          <w:szCs w:val="21"/>
          <w:u w:val="single"/>
        </w:rPr>
        <w:fldChar w:fldCharType="separate"/>
      </w:r>
      <w:r>
        <w:rPr>
          <w:rFonts w:hint="eastAsia" w:ascii="宋体" w:hAnsi="宋体"/>
          <w:szCs w:val="21"/>
          <w:u w:val="single"/>
        </w:rPr>
        <w:t>⑤</w:t>
      </w:r>
      <w:r>
        <w:rPr>
          <w:rFonts w:ascii="宋体" w:hAnsi="宋体"/>
          <w:szCs w:val="21"/>
          <w:u w:val="single"/>
        </w:rPr>
        <w:fldChar w:fldCharType="end"/>
      </w:r>
      <w:r>
        <w:rPr>
          <w:rFonts w:hint="eastAsia" w:ascii="宋体" w:hAnsi="宋体"/>
          <w:szCs w:val="21"/>
          <w:u w:val="single"/>
        </w:rPr>
        <w:t>乙方需要为本工程的专项供应商提供相应的管理、协调、配合、服务工作。若需要，相应的管理、协调、配合、服务工作的具体要求如下：</w:t>
      </w:r>
    </w:p>
    <w:p w14:paraId="656F2569">
      <w:pPr>
        <w:spacing w:line="400" w:lineRule="exact"/>
        <w:ind w:firstLine="525" w:firstLineChars="250"/>
        <w:rPr>
          <w:rFonts w:hint="eastAsia" w:ascii="宋体" w:hAnsi="宋体"/>
          <w:szCs w:val="21"/>
          <w:u w:val="single"/>
        </w:rPr>
      </w:pPr>
      <w:r>
        <w:rPr>
          <w:rFonts w:ascii="宋体" w:hAnsi="宋体"/>
          <w:szCs w:val="21"/>
          <w:u w:val="single"/>
        </w:rPr>
        <w:t>a.</w:t>
      </w:r>
      <w:r>
        <w:rPr>
          <w:rFonts w:hint="eastAsia" w:ascii="宋体" w:hAnsi="宋体"/>
          <w:szCs w:val="21"/>
          <w:u w:val="single"/>
        </w:rPr>
        <w:t>专项供应商的任何违约行为或疏忽导致工程损害或给甲方(或者甲方人员、学生及任何在出现在校内的第三人)造成其他损失，乙方承担连带责任。</w:t>
      </w:r>
    </w:p>
    <w:p w14:paraId="079A36E6">
      <w:pPr>
        <w:spacing w:line="400" w:lineRule="exact"/>
        <w:ind w:firstLine="525" w:firstLineChars="250"/>
        <w:rPr>
          <w:rFonts w:hint="eastAsia" w:ascii="宋体" w:hAnsi="宋体"/>
          <w:szCs w:val="21"/>
          <w:u w:val="single"/>
        </w:rPr>
      </w:pPr>
      <w:r>
        <w:rPr>
          <w:rFonts w:ascii="宋体" w:hAnsi="宋体"/>
          <w:szCs w:val="21"/>
          <w:u w:val="single"/>
        </w:rPr>
        <w:t>b.</w:t>
      </w:r>
      <w:r>
        <w:rPr>
          <w:rFonts w:hint="eastAsia" w:ascii="宋体" w:hAnsi="宋体"/>
          <w:szCs w:val="21"/>
          <w:u w:val="single"/>
        </w:rPr>
        <w:t>乙方需要为本工程的独立乙方提供相应的管理、协调、配合、服务工作。相应的管理、协调、配合服务，以上费用，依照国家有关文件及规定标准，乙方向独立乙方进行计取。</w:t>
      </w:r>
    </w:p>
    <w:p w14:paraId="4BD4BBA5">
      <w:pPr>
        <w:spacing w:line="400" w:lineRule="exact"/>
        <w:ind w:firstLine="525" w:firstLineChars="250"/>
        <w:rPr>
          <w:rFonts w:hint="eastAsia" w:ascii="宋体" w:hAnsi="宋体"/>
          <w:szCs w:val="21"/>
          <w:u w:val="single"/>
        </w:rPr>
      </w:pPr>
      <w:r>
        <w:rPr>
          <w:rFonts w:ascii="宋体" w:hAnsi="宋体"/>
          <w:szCs w:val="21"/>
          <w:u w:val="single"/>
        </w:rPr>
        <w:t>c.</w:t>
      </w:r>
      <w:r>
        <w:rPr>
          <w:rFonts w:hint="eastAsia" w:ascii="宋体" w:hAnsi="宋体"/>
          <w:szCs w:val="21"/>
          <w:u w:val="single"/>
        </w:rPr>
        <w:t>乙方需要为本工程的独立供应商提供相应的管理、协调、配合、服务工作。若需要，相应的管理、协调、配合、服务工作的具体要求如下：对已提前到达施工现场的设备、材料进行妥善保管。</w:t>
      </w:r>
    </w:p>
    <w:p w14:paraId="608BD3B4">
      <w:pPr>
        <w:spacing w:line="400" w:lineRule="exact"/>
        <w:ind w:firstLine="525" w:firstLineChars="250"/>
        <w:rPr>
          <w:rFonts w:hint="eastAsia" w:ascii="宋体" w:hAnsi="宋体"/>
          <w:szCs w:val="21"/>
          <w:u w:val="single"/>
        </w:rPr>
      </w:pPr>
      <w:r>
        <w:rPr>
          <w:rFonts w:ascii="宋体" w:hAnsi="宋体"/>
          <w:szCs w:val="21"/>
          <w:u w:val="single"/>
        </w:rPr>
        <w:t>d.</w:t>
      </w:r>
      <w:r>
        <w:rPr>
          <w:rFonts w:hint="eastAsia" w:ascii="宋体" w:hAnsi="宋体"/>
          <w:szCs w:val="21"/>
          <w:u w:val="single"/>
        </w:rPr>
        <w:t>乙方与专业分包人入场前签订安全协议，以管理专业分包的安全工作。</w:t>
      </w:r>
    </w:p>
    <w:p w14:paraId="5F49F4F9">
      <w:pPr>
        <w:spacing w:line="400" w:lineRule="exact"/>
        <w:ind w:firstLine="525" w:firstLineChars="250"/>
        <w:rPr>
          <w:rFonts w:hint="eastAsia" w:ascii="宋体" w:hAnsi="宋体"/>
          <w:szCs w:val="21"/>
          <w:u w:val="single"/>
        </w:rPr>
      </w:pPr>
      <w:r>
        <w:rPr>
          <w:rFonts w:ascii="宋体" w:hAnsi="宋体"/>
          <w:szCs w:val="21"/>
          <w:u w:val="single"/>
        </w:rPr>
        <w:t>e.</w:t>
      </w:r>
      <w:r>
        <w:rPr>
          <w:rFonts w:hint="eastAsia" w:ascii="宋体" w:hAnsi="宋体"/>
          <w:szCs w:val="21"/>
          <w:u w:val="single"/>
        </w:rPr>
        <w:t>乙方负责协调专业分包人专业进度、工序的安排与配合。</w:t>
      </w:r>
    </w:p>
    <w:p w14:paraId="281204D7">
      <w:pPr>
        <w:spacing w:line="400" w:lineRule="exact"/>
        <w:ind w:firstLine="525" w:firstLineChars="250"/>
        <w:rPr>
          <w:rFonts w:hint="eastAsia" w:ascii="宋体" w:hAnsi="宋体"/>
          <w:szCs w:val="21"/>
          <w:u w:val="single"/>
        </w:rPr>
      </w:pPr>
      <w:r>
        <w:rPr>
          <w:rFonts w:hint="eastAsia" w:ascii="宋体" w:hAnsi="宋体"/>
          <w:szCs w:val="21"/>
          <w:u w:val="single"/>
        </w:rPr>
        <w:t>f</w:t>
      </w:r>
      <w:r>
        <w:rPr>
          <w:rFonts w:ascii="宋体" w:hAnsi="宋体"/>
          <w:szCs w:val="21"/>
          <w:u w:val="single"/>
        </w:rPr>
        <w:t>.</w:t>
      </w:r>
      <w:r>
        <w:rPr>
          <w:rFonts w:hint="eastAsia" w:ascii="宋体" w:hAnsi="宋体"/>
          <w:szCs w:val="21"/>
          <w:u w:val="single"/>
        </w:rPr>
        <w:t xml:space="preserve">专业分包人须接受乙方对其在质量、文明施工、进度等方面的检查与处理。 </w:t>
      </w:r>
    </w:p>
    <w:p w14:paraId="3C351575">
      <w:pPr>
        <w:spacing w:line="400" w:lineRule="exact"/>
        <w:ind w:firstLine="315" w:firstLineChars="150"/>
        <w:rPr>
          <w:rFonts w:hint="eastAsia" w:ascii="宋体" w:hAnsi="宋体"/>
          <w:szCs w:val="21"/>
          <w:u w:val="single"/>
        </w:rPr>
      </w:pPr>
      <w:r>
        <w:rPr>
          <w:rFonts w:hint="eastAsia" w:ascii="宋体" w:hAnsi="宋体"/>
          <w:szCs w:val="21"/>
          <w:u w:val="single"/>
        </w:rPr>
        <w:t>（2）为保证承包工程的顺利实施，除本合同规定的发包人提供的服务外，承包人应提供所有实施承包工程必须的所有材料、机械设备、施工工具、临时工程和设施等，且承包人采取有效措施保证所有设备及工具处于良好的状态，以利于施工。</w:t>
      </w:r>
    </w:p>
    <w:p w14:paraId="1F06172C">
      <w:pPr>
        <w:spacing w:line="400" w:lineRule="exact"/>
        <w:ind w:firstLine="315" w:firstLineChars="150"/>
        <w:rPr>
          <w:rFonts w:hint="eastAsia" w:ascii="宋体" w:hAnsi="宋体"/>
          <w:szCs w:val="21"/>
          <w:u w:val="single"/>
        </w:rPr>
      </w:pPr>
      <w:r>
        <w:rPr>
          <w:rFonts w:hint="eastAsia" w:ascii="宋体" w:hAnsi="宋体"/>
          <w:szCs w:val="21"/>
          <w:u w:val="single"/>
        </w:rPr>
        <w:t>（3）承包人应遵守规章、制度</w:t>
      </w:r>
    </w:p>
    <w:p w14:paraId="67F548FC">
      <w:pPr>
        <w:spacing w:line="400" w:lineRule="exact"/>
        <w:ind w:firstLine="420" w:firstLineChars="200"/>
        <w:rPr>
          <w:rFonts w:hint="eastAsia" w:ascii="宋体" w:hAnsi="宋体"/>
          <w:szCs w:val="21"/>
          <w:u w:val="single"/>
        </w:rPr>
      </w:pPr>
      <w:r>
        <w:rPr>
          <w:rFonts w:hint="eastAsia" w:ascii="宋体" w:hAnsi="宋体"/>
          <w:szCs w:val="21"/>
          <w:u w:val="single"/>
        </w:rPr>
        <w:t>承包人应遵守国家、北京市政府及发包人有关工程的施工、材料和设备进出场以及材料和设备的现场存放方面及其它有关现场管理的规章制度，并被认为对国家、北京市政府及发包人的各种规章、制度已经充分了解，且承包人不得以不了解国家、北京市政府及发包人的规章、制度为由而拒绝执行发包人的有关指令。若承包人违反国家、北京市政府及发包人的规章、制度（包括但不限于：《北京市建设工程施工现场管理办法》、《北京市实施建筑工程安全生产监督管理工作导则办法》、《北京市建筑施工现场安全标准化手册》等），发包人将视具体情况对承包人处以每项5-10万元的违约赔偿金，并从工程进度款中扣除。</w:t>
      </w:r>
    </w:p>
    <w:p w14:paraId="22E406A0">
      <w:pPr>
        <w:spacing w:line="400" w:lineRule="exact"/>
        <w:ind w:firstLine="315" w:firstLineChars="150"/>
        <w:rPr>
          <w:rFonts w:hint="eastAsia" w:ascii="宋体" w:hAnsi="宋体"/>
          <w:szCs w:val="21"/>
          <w:u w:val="single"/>
        </w:rPr>
      </w:pPr>
      <w:r>
        <w:rPr>
          <w:rFonts w:hint="eastAsia" w:ascii="宋体" w:hAnsi="宋体"/>
          <w:szCs w:val="21"/>
          <w:u w:val="single"/>
        </w:rPr>
        <w:t>（4）现场内、外通道及运输</w:t>
      </w:r>
    </w:p>
    <w:p w14:paraId="2E9E54C1">
      <w:pPr>
        <w:spacing w:line="400" w:lineRule="exact"/>
        <w:ind w:firstLine="420" w:firstLineChars="200"/>
        <w:rPr>
          <w:rFonts w:hint="eastAsia" w:ascii="宋体" w:hAnsi="宋体"/>
          <w:szCs w:val="21"/>
          <w:u w:val="single"/>
        </w:rPr>
      </w:pPr>
      <w:r>
        <w:rPr>
          <w:rFonts w:hint="eastAsia" w:ascii="宋体" w:hAnsi="宋体"/>
          <w:szCs w:val="21"/>
          <w:u w:val="single"/>
        </w:rPr>
        <w:t>承包人应采取一切必要的措施，选择正确合理的运输路线、运输工具，并限制和分配运载重量，避免承包和发包人的任何运输对现场周围或通往现场的道路或桥梁造成破坏。承包人须保障发包人免于承担由于运输造成任何桥梁道路损坏而引起的一切索赔，否则其相关责任及损失均由承包人承担。</w:t>
      </w:r>
    </w:p>
    <w:p w14:paraId="56C6E042">
      <w:pPr>
        <w:spacing w:line="400" w:lineRule="exact"/>
        <w:ind w:firstLine="315" w:firstLineChars="150"/>
        <w:rPr>
          <w:rFonts w:hint="eastAsia" w:ascii="宋体" w:hAnsi="宋体"/>
          <w:szCs w:val="21"/>
          <w:u w:val="single"/>
        </w:rPr>
      </w:pPr>
      <w:r>
        <w:rPr>
          <w:rFonts w:hint="eastAsia" w:ascii="宋体" w:hAnsi="宋体"/>
          <w:szCs w:val="21"/>
          <w:u w:val="single"/>
        </w:rPr>
        <w:t>（5）承包人在本工程进行期间必须保护公众免受损伤及死亡。保护所有公共财产免受损伤、死亡及损坏，并承担修复损坏或/及赔偿损伤所需的一切费用。</w:t>
      </w:r>
    </w:p>
    <w:p w14:paraId="3C00F12B">
      <w:pPr>
        <w:spacing w:line="400" w:lineRule="exact"/>
        <w:ind w:firstLine="315" w:firstLineChars="150"/>
        <w:rPr>
          <w:rFonts w:hint="eastAsia" w:ascii="宋体" w:hAnsi="宋体"/>
          <w:szCs w:val="21"/>
          <w:u w:val="single"/>
        </w:rPr>
      </w:pPr>
      <w:r>
        <w:rPr>
          <w:rFonts w:hint="eastAsia" w:ascii="宋体" w:hAnsi="宋体"/>
          <w:szCs w:val="21"/>
          <w:u w:val="single"/>
        </w:rPr>
        <w:t>（6）竣工档案的整理、移交</w:t>
      </w:r>
    </w:p>
    <w:p w14:paraId="0510679D">
      <w:pPr>
        <w:spacing w:line="400" w:lineRule="exact"/>
        <w:ind w:firstLine="315" w:firstLineChars="150"/>
        <w:rPr>
          <w:rFonts w:hint="eastAsia" w:ascii="宋体" w:hAnsi="宋体"/>
          <w:szCs w:val="21"/>
          <w:u w:val="single"/>
          <w:lang w:val="zh-CN"/>
        </w:rPr>
      </w:pPr>
      <w:r>
        <w:rPr>
          <w:rFonts w:hint="eastAsia" w:ascii="宋体" w:hAnsi="宋体"/>
          <w:szCs w:val="21"/>
          <w:u w:val="single"/>
        </w:rPr>
        <w:t xml:space="preserve"> 负责工程竣工档案的整理和移交，要求按照北京市城建档案馆及发包人档案馆的要求提供竣工档案，包括竣工图纸和资料，费用由承包人承担。</w:t>
      </w:r>
    </w:p>
    <w:p w14:paraId="5A9678A7">
      <w:pPr>
        <w:spacing w:line="400" w:lineRule="exact"/>
        <w:ind w:firstLine="420" w:firstLineChars="200"/>
        <w:rPr>
          <w:rFonts w:hint="eastAsia" w:ascii="宋体" w:hAnsi="宋体"/>
          <w:szCs w:val="21"/>
          <w:u w:val="single"/>
        </w:rPr>
      </w:pPr>
      <w:r>
        <w:rPr>
          <w:rFonts w:hint="eastAsia" w:ascii="宋体" w:hAnsi="宋体"/>
          <w:szCs w:val="21"/>
          <w:u w:val="single"/>
        </w:rPr>
        <w:t>乙方应在分包场地派驻相应管理人员，保证本合同的履行。承包单位的任何违约行为或疏忽导致工程损害或给甲方造成其他损失，乙方承担连带责任。配合工作包括设备基础、预留洞、预埋件、补洞、堵洞和招标文件中规定的其它相关配合工作、责任和义务，管理工作包括根据《建筑工程施工质量验收统一标准 》（GB50300-2013）、相关施工专业施工验收规范以及北京质量监督验收要求和档案验收要求，对所有分包项目竣工资料收集、整理和归档，直至完成最终竣工验收所有工作。乙方对分包人的服务、配合和协调工作还至少包括对分包人的总体施工进度计划的安排、日常协调和管理；负责为各分包人及时提供足够的和无障碍的工作面，乙方提供各分包单位临时水、电、道路、垂直运输设备、脚手架（除非合同另有特别约定，仅限于已搭设在现场的脚手架）和仓储用地、现有用房等其他临时设施，但水费、电费由中标人与各分包人做好现场计量及管理，中标人如实向各分包人按实收取；在分包人完成工作并将工作面移交给乙方后，乙方负责成品保护。</w:t>
      </w:r>
    </w:p>
    <w:p w14:paraId="36E48409">
      <w:pPr>
        <w:spacing w:line="400" w:lineRule="exact"/>
        <w:ind w:firstLine="315" w:firstLineChars="150"/>
        <w:rPr>
          <w:rFonts w:hint="eastAsia" w:ascii="宋体" w:hAnsi="宋体"/>
          <w:szCs w:val="21"/>
        </w:rPr>
      </w:pPr>
      <w:r>
        <w:rPr>
          <w:rFonts w:hint="eastAsia" w:ascii="宋体" w:hAnsi="宋体"/>
          <w:szCs w:val="21"/>
        </w:rPr>
        <w:t>（7）乙方还应按监理人指示为独立乙方以外的他人在施工场地或者附近实施与合同工程有关的其他工作提供可能的条件，可能发生费用由监理人按第3.5款商定或者确定。</w:t>
      </w:r>
    </w:p>
    <w:p w14:paraId="475C72E6">
      <w:pPr>
        <w:spacing w:line="400" w:lineRule="exact"/>
        <w:ind w:firstLine="420" w:firstLineChars="200"/>
        <w:rPr>
          <w:rFonts w:hint="eastAsia" w:ascii="宋体" w:hAnsi="宋体"/>
          <w:szCs w:val="21"/>
        </w:rPr>
      </w:pPr>
      <w:r>
        <w:rPr>
          <w:rFonts w:hint="eastAsia" w:ascii="宋体" w:hAnsi="宋体"/>
          <w:szCs w:val="21"/>
        </w:rPr>
        <w:t>4.1.10其他义务</w:t>
      </w:r>
    </w:p>
    <w:p w14:paraId="4C9F641A">
      <w:pPr>
        <w:spacing w:line="400" w:lineRule="exact"/>
        <w:ind w:firstLine="315" w:firstLineChars="150"/>
        <w:rPr>
          <w:rFonts w:hint="eastAsia" w:ascii="宋体" w:hAnsi="宋体"/>
          <w:szCs w:val="21"/>
          <w:u w:val="single"/>
        </w:rPr>
      </w:pPr>
      <w:r>
        <w:rPr>
          <w:rFonts w:hint="eastAsia" w:ascii="宋体" w:hAnsi="宋体"/>
          <w:szCs w:val="21"/>
        </w:rPr>
        <w:t>（1）根据甲方委托，在其设计资质等级和业务允许的范围内，完成施工图设计或与工程配套的设计，经监理人确认后使用，甲方承担由此发生的费用和合理利润。由乙方负责完成的设计文件属于合同条款第1.6.2项约定的乙方提供的文件，乙方应按照专用合同条款第1.6.2项约定的期限和数量提交，由此发生的费用被认为已经包括在乙方的签约合同价（投标总报价）中。由乙方承担的施工图设计或与工程配套的设计工作内容：</w:t>
      </w:r>
      <w:r>
        <w:rPr>
          <w:rFonts w:hint="eastAsia" w:ascii="宋体" w:hAnsi="宋体"/>
          <w:szCs w:val="21"/>
          <w:u w:val="single"/>
        </w:rPr>
        <w:t>1）由乙方设计的永久工程的图纸；</w:t>
      </w:r>
    </w:p>
    <w:p w14:paraId="01957EA6">
      <w:pPr>
        <w:spacing w:line="400" w:lineRule="exact"/>
        <w:ind w:firstLine="315" w:firstLineChars="150"/>
        <w:rPr>
          <w:rFonts w:hint="eastAsia" w:ascii="宋体" w:hAnsi="宋体"/>
          <w:szCs w:val="21"/>
          <w:u w:val="single"/>
        </w:rPr>
      </w:pPr>
      <w:r>
        <w:rPr>
          <w:rFonts w:hint="eastAsia" w:ascii="宋体" w:hAnsi="宋体"/>
          <w:szCs w:val="21"/>
          <w:u w:val="single"/>
        </w:rPr>
        <w:t>2）按照工程技术规范的相关要求需要制作加工图、大样图、安装图；</w:t>
      </w:r>
    </w:p>
    <w:p w14:paraId="67AA1B47">
      <w:pPr>
        <w:spacing w:line="400" w:lineRule="exact"/>
        <w:ind w:firstLine="315" w:firstLineChars="150"/>
        <w:rPr>
          <w:rFonts w:hint="eastAsia" w:ascii="宋体" w:hAnsi="宋体"/>
          <w:szCs w:val="21"/>
        </w:rPr>
      </w:pPr>
      <w:r>
        <w:rPr>
          <w:rFonts w:hint="eastAsia" w:ascii="宋体" w:hAnsi="宋体"/>
          <w:szCs w:val="21"/>
          <w:u w:val="single"/>
        </w:rPr>
        <w:t>3）如果甲方将部分设计工作委托乙方完成时，乙方应具有相应的设计资质</w:t>
      </w:r>
      <w:r>
        <w:rPr>
          <w:rFonts w:hint="eastAsia" w:ascii="宋体" w:hAnsi="宋体"/>
          <w:szCs w:val="21"/>
        </w:rPr>
        <w:t>。</w:t>
      </w:r>
    </w:p>
    <w:p w14:paraId="6EF75607">
      <w:pPr>
        <w:spacing w:line="400" w:lineRule="exact"/>
        <w:ind w:firstLine="315" w:firstLineChars="150"/>
        <w:rPr>
          <w:rFonts w:hint="eastAsia" w:ascii="宋体" w:hAnsi="宋体"/>
          <w:szCs w:val="21"/>
          <w:u w:val="single"/>
        </w:rPr>
      </w:pPr>
      <w:r>
        <w:rPr>
          <w:rFonts w:hint="eastAsia" w:ascii="宋体" w:hAnsi="宋体"/>
          <w:szCs w:val="21"/>
        </w:rPr>
        <w:t>（2）乙方应履行合同约定的其他义务以及</w:t>
      </w:r>
      <w:r>
        <w:rPr>
          <w:rFonts w:hint="eastAsia" w:ascii="宋体" w:hAnsi="宋体" w:cs="Arial"/>
          <w:szCs w:val="21"/>
        </w:rPr>
        <w:t>下述义务：</w:t>
      </w:r>
      <w:r>
        <w:rPr>
          <w:rFonts w:hint="eastAsia" w:ascii="宋体" w:hAnsi="宋体"/>
          <w:szCs w:val="21"/>
          <w:u w:val="single"/>
        </w:rPr>
        <w:t>1）成品保护：乙方应提供必要的人员、材料和设备用于整个工程的成品保护，包括对已完成的分包人的工程或工作的保护，防止任何已完工作遭受任何损坏或破坏。本合同认为乙方在编制投标文件时充分考虑相关费用，包含在本合同总价款中。</w:t>
      </w:r>
    </w:p>
    <w:p w14:paraId="21EBDBEA">
      <w:pPr>
        <w:spacing w:line="400" w:lineRule="exact"/>
        <w:ind w:firstLine="315" w:firstLineChars="150"/>
        <w:rPr>
          <w:rFonts w:hint="eastAsia" w:ascii="宋体" w:hAnsi="宋体"/>
          <w:szCs w:val="21"/>
          <w:u w:val="single"/>
        </w:rPr>
      </w:pPr>
      <w:r>
        <w:rPr>
          <w:rFonts w:hint="eastAsia" w:ascii="宋体" w:hAnsi="宋体"/>
          <w:szCs w:val="21"/>
          <w:u w:val="single"/>
        </w:rPr>
        <w:t>2）施工噪音超过当地主管部门的规定时，由乙方提出措施，并予以落实。</w:t>
      </w:r>
    </w:p>
    <w:p w14:paraId="18C49345">
      <w:pPr>
        <w:spacing w:line="400" w:lineRule="exact"/>
        <w:ind w:firstLine="315" w:firstLineChars="150"/>
        <w:rPr>
          <w:rFonts w:hint="eastAsia" w:ascii="宋体" w:hAnsi="宋体"/>
          <w:szCs w:val="21"/>
          <w:u w:val="single"/>
        </w:rPr>
      </w:pPr>
      <w:r>
        <w:rPr>
          <w:rFonts w:hint="eastAsia" w:ascii="宋体" w:hAnsi="宋体"/>
          <w:szCs w:val="21"/>
          <w:u w:val="single"/>
        </w:rPr>
        <w:t>3）乙方有责任按照甲方的需求制定合理的施工方案，将施工期间对甲方的正常医疗、教学和科研的影响降至最低，并且负责处理本工程施工期间扰民、民扰事件，发生的相关费用包含在合同总价款中。</w:t>
      </w:r>
    </w:p>
    <w:p w14:paraId="4E387D24">
      <w:pPr>
        <w:spacing w:line="400" w:lineRule="exact"/>
        <w:ind w:firstLine="315" w:firstLineChars="150"/>
        <w:rPr>
          <w:rFonts w:hint="eastAsia" w:ascii="宋体" w:hAnsi="宋体"/>
          <w:szCs w:val="21"/>
          <w:u w:val="single"/>
        </w:rPr>
      </w:pPr>
      <w:r>
        <w:rPr>
          <w:rFonts w:hint="eastAsia" w:ascii="宋体" w:hAnsi="宋体"/>
          <w:szCs w:val="21"/>
          <w:u w:val="single"/>
        </w:rPr>
        <w:t>4）乙方在工程施工中拖延工期，甲方或监理工程师认为工程进度过慢，无法确保工程按规定的时间完成时，乙方应立即采取必要的措施，加快工程进度，确保工程按期完成，乙方无权因采取此种措施而获得任何追加款项。</w:t>
      </w:r>
    </w:p>
    <w:p w14:paraId="5090431C">
      <w:pPr>
        <w:spacing w:line="400" w:lineRule="exact"/>
        <w:ind w:firstLine="315" w:firstLineChars="150"/>
        <w:rPr>
          <w:rFonts w:hint="eastAsia" w:ascii="宋体" w:hAnsi="宋体"/>
          <w:szCs w:val="21"/>
          <w:u w:val="single"/>
        </w:rPr>
      </w:pPr>
      <w:r>
        <w:rPr>
          <w:rFonts w:hint="eastAsia" w:ascii="宋体" w:hAnsi="宋体"/>
          <w:szCs w:val="21"/>
          <w:u w:val="single"/>
        </w:rPr>
        <w:t>5） 负责根据甲方提供的水电接驳点完成施工用水、施工用电的引入。施工用水、用电费用已包含在合同价款中，竣工结算时不做调整，本工程竣工后由乙方向甲方一次性缴纳施工过程中实际发生的施工用水、用电费用。</w:t>
      </w:r>
    </w:p>
    <w:p w14:paraId="0A8735C7">
      <w:pPr>
        <w:spacing w:line="400" w:lineRule="exact"/>
        <w:ind w:firstLine="315" w:firstLineChars="150"/>
        <w:rPr>
          <w:rFonts w:hint="eastAsia" w:ascii="宋体" w:hAnsi="宋体"/>
          <w:szCs w:val="21"/>
          <w:u w:val="single"/>
        </w:rPr>
      </w:pPr>
      <w:r>
        <w:rPr>
          <w:rFonts w:hint="eastAsia" w:ascii="宋体" w:hAnsi="宋体"/>
          <w:szCs w:val="21"/>
          <w:u w:val="single"/>
        </w:rPr>
        <w:t>6）为保证资金监管和农民工工资支付，乙方在接到中标通知后14日内，必须设立针对本工程的专项账户。乙方应当加强工程款管理，做到专款专用，不得拖欠分包人的工程款、材料、设备货款、农民工和工人工资等费用；甲方对工程款使用情况进行监督检查时，乙方应当积极配合（乙方应向甲方提供施工人员考勤汇总表及相应的发放工资记录），不得阻扰和拒绝。如果应乙方不能按时发放施工人员工资而对甲方造成损失的，乙方应双倍赔偿甲方。</w:t>
      </w:r>
    </w:p>
    <w:p w14:paraId="5688E4F2">
      <w:pPr>
        <w:spacing w:line="400" w:lineRule="exact"/>
        <w:ind w:firstLine="315" w:firstLineChars="150"/>
        <w:rPr>
          <w:rFonts w:hint="eastAsia" w:ascii="宋体" w:hAnsi="宋体"/>
          <w:szCs w:val="21"/>
          <w:u w:val="single"/>
        </w:rPr>
      </w:pPr>
      <w:r>
        <w:rPr>
          <w:rFonts w:hint="eastAsia" w:ascii="宋体" w:hAnsi="宋体"/>
          <w:szCs w:val="21"/>
          <w:u w:val="single"/>
        </w:rPr>
        <w:t>7）本工程通过竣工验收后30日内，向甲方递交完整的竣工图纸、竣工资料以及符合甲方结算审计所需的相关资料。由于乙方未完成本条款约定的相关工作，需承担相关责任和由此给甲方带来的全部损失。</w:t>
      </w:r>
    </w:p>
    <w:p w14:paraId="588C6193">
      <w:pPr>
        <w:spacing w:line="400" w:lineRule="exact"/>
        <w:ind w:firstLine="315" w:firstLineChars="150"/>
        <w:rPr>
          <w:rFonts w:hint="eastAsia" w:ascii="宋体" w:hAnsi="宋体"/>
          <w:szCs w:val="21"/>
          <w:u w:val="single"/>
        </w:rPr>
      </w:pPr>
      <w:r>
        <w:rPr>
          <w:rFonts w:hint="eastAsia" w:ascii="宋体" w:hAnsi="宋体"/>
          <w:szCs w:val="21"/>
          <w:u w:val="single"/>
        </w:rPr>
        <w:t>8）乙方应按照甲方的要求，质量保修期内对本工程进行24小时不间断的维护， 维护期为二年。</w:t>
      </w:r>
    </w:p>
    <w:p w14:paraId="3F6FF8A0">
      <w:pPr>
        <w:spacing w:line="400" w:lineRule="exact"/>
        <w:ind w:firstLine="315" w:firstLineChars="150"/>
        <w:rPr>
          <w:rFonts w:hint="eastAsia" w:ascii="宋体" w:hAnsi="宋体" w:cs="Arial"/>
          <w:szCs w:val="21"/>
        </w:rPr>
      </w:pPr>
      <w:r>
        <w:rPr>
          <w:rFonts w:hint="eastAsia" w:ascii="宋体" w:hAnsi="宋体" w:cs="Arial"/>
          <w:szCs w:val="21"/>
        </w:rPr>
        <w:t xml:space="preserve">4.2 履约担保 </w:t>
      </w:r>
    </w:p>
    <w:p w14:paraId="7408F88B">
      <w:pPr>
        <w:spacing w:line="400" w:lineRule="exact"/>
        <w:ind w:firstLine="420" w:firstLineChars="200"/>
        <w:rPr>
          <w:rFonts w:hint="eastAsia" w:ascii="宋体" w:hAnsi="宋体"/>
          <w:szCs w:val="21"/>
        </w:rPr>
      </w:pPr>
      <w:r>
        <w:rPr>
          <w:rFonts w:hint="eastAsia" w:ascii="宋体" w:hAnsi="宋体"/>
          <w:szCs w:val="21"/>
        </w:rPr>
        <w:t>4.2.1 履约担保的格式和金额</w:t>
      </w:r>
    </w:p>
    <w:p w14:paraId="426629BB">
      <w:pPr>
        <w:spacing w:line="400" w:lineRule="exact"/>
        <w:ind w:firstLine="420" w:firstLineChars="200"/>
        <w:rPr>
          <w:rFonts w:hint="eastAsia" w:ascii="宋体" w:hAnsi="宋体"/>
          <w:szCs w:val="21"/>
        </w:rPr>
      </w:pPr>
      <w:r>
        <w:rPr>
          <w:rFonts w:hint="eastAsia" w:ascii="宋体" w:hAnsi="宋体"/>
          <w:szCs w:val="21"/>
        </w:rPr>
        <w:t>乙方应在签订合同前，按照甲方在招标文件中规定的格式或者其他经过甲方认可的格式向甲方递交一份履约担保。</w:t>
      </w:r>
      <w:r>
        <w:rPr>
          <w:rFonts w:hint="eastAsia" w:ascii="宋体" w:hAnsi="宋体" w:cs="Arial"/>
          <w:szCs w:val="21"/>
        </w:rPr>
        <w:t>经过甲方事先书面认可的其他格式的履约担保，其担保条款的实质性内容应当与甲方在招标文件中规定的格式内容保持一致。</w:t>
      </w:r>
      <w:r>
        <w:rPr>
          <w:rFonts w:hint="eastAsia" w:ascii="宋体" w:hAnsi="宋体"/>
          <w:szCs w:val="21"/>
        </w:rPr>
        <w:t>履约担保的金额为</w:t>
      </w:r>
      <w:r>
        <w:rPr>
          <w:rFonts w:hint="eastAsia" w:ascii="宋体" w:hAnsi="宋体"/>
          <w:szCs w:val="21"/>
          <w:u w:val="single"/>
        </w:rPr>
        <w:t xml:space="preserve">    /      </w:t>
      </w:r>
      <w:r>
        <w:rPr>
          <w:rFonts w:hint="eastAsia" w:ascii="宋体" w:hAnsi="宋体"/>
          <w:szCs w:val="21"/>
        </w:rPr>
        <w:t>。履约担保是本合同的附件。</w:t>
      </w:r>
    </w:p>
    <w:p w14:paraId="60353CCC">
      <w:pPr>
        <w:spacing w:line="400" w:lineRule="exact"/>
        <w:ind w:firstLine="420" w:firstLineChars="200"/>
        <w:rPr>
          <w:rFonts w:hint="eastAsia" w:ascii="宋体" w:hAnsi="宋体"/>
          <w:szCs w:val="21"/>
        </w:rPr>
      </w:pPr>
      <w:r>
        <w:rPr>
          <w:rFonts w:hint="eastAsia" w:ascii="宋体" w:hAnsi="宋体"/>
          <w:szCs w:val="21"/>
        </w:rPr>
        <w:t>4.2.2 履约担保的有效期</w:t>
      </w:r>
    </w:p>
    <w:p w14:paraId="6072C793">
      <w:pPr>
        <w:spacing w:line="400" w:lineRule="exact"/>
        <w:ind w:firstLine="420" w:firstLineChars="200"/>
        <w:rPr>
          <w:rFonts w:hint="eastAsia" w:ascii="宋体" w:hAnsi="宋体"/>
          <w:szCs w:val="21"/>
        </w:rPr>
      </w:pPr>
      <w:r>
        <w:rPr>
          <w:rFonts w:hint="eastAsia" w:ascii="宋体" w:hAnsi="宋体" w:cs="Arial"/>
          <w:szCs w:val="21"/>
        </w:rPr>
        <w:t>履约担保的有效期应当自本合同生效之日起至甲方签认并由监理人向乙方出具工程接收证书之日止。</w:t>
      </w:r>
      <w:r>
        <w:rPr>
          <w:rFonts w:hint="eastAsia" w:ascii="宋体" w:hAnsi="宋体"/>
          <w:szCs w:val="21"/>
        </w:rPr>
        <w:t>如果乙方无法获得一份不带具体截止日期的担保，</w:t>
      </w:r>
      <w:r>
        <w:rPr>
          <w:rFonts w:hint="eastAsia" w:ascii="宋体" w:hAnsi="宋体" w:cs="Arial"/>
          <w:szCs w:val="21"/>
        </w:rPr>
        <w:t>履约担保中应当有</w:t>
      </w:r>
      <w:r>
        <w:rPr>
          <w:rFonts w:hint="eastAsia" w:ascii="宋体" w:hAnsi="宋体"/>
          <w:szCs w:val="21"/>
        </w:rPr>
        <w:t>“变更工程竣工日期的，保证期间按照变更后的竣工日期做相应调整”或类似约定的条款。</w:t>
      </w:r>
    </w:p>
    <w:p w14:paraId="07CC1102">
      <w:pPr>
        <w:spacing w:line="400" w:lineRule="exact"/>
        <w:ind w:firstLine="420" w:firstLineChars="200"/>
        <w:rPr>
          <w:rFonts w:hint="eastAsia" w:ascii="宋体" w:hAnsi="宋体"/>
          <w:szCs w:val="21"/>
        </w:rPr>
      </w:pPr>
      <w:r>
        <w:rPr>
          <w:rFonts w:hint="eastAsia" w:ascii="宋体" w:hAnsi="宋体"/>
          <w:szCs w:val="21"/>
        </w:rPr>
        <w:t>4.2.3 履约担保的退还</w:t>
      </w:r>
    </w:p>
    <w:p w14:paraId="7D6687A4">
      <w:pPr>
        <w:spacing w:line="400" w:lineRule="exact"/>
        <w:ind w:firstLine="420" w:firstLineChars="200"/>
        <w:rPr>
          <w:rFonts w:hint="eastAsia" w:ascii="宋体" w:hAnsi="宋体"/>
          <w:szCs w:val="21"/>
        </w:rPr>
      </w:pPr>
      <w:r>
        <w:rPr>
          <w:rFonts w:hint="eastAsia" w:ascii="宋体" w:hAnsi="宋体"/>
          <w:szCs w:val="21"/>
        </w:rPr>
        <w:t>履约担保应在监理人向乙方颁发（出具）工程接收证书之日后28天内退还给乙方。甲方不承担乙方与履约担保有关的任何利息或其它类似的费用或者收益。</w:t>
      </w:r>
    </w:p>
    <w:p w14:paraId="2D199F1E">
      <w:pPr>
        <w:spacing w:line="400" w:lineRule="exact"/>
        <w:ind w:firstLine="420" w:firstLineChars="200"/>
        <w:rPr>
          <w:rFonts w:hint="eastAsia" w:ascii="宋体" w:hAnsi="宋体"/>
          <w:szCs w:val="21"/>
        </w:rPr>
      </w:pPr>
      <w:r>
        <w:rPr>
          <w:rFonts w:hint="eastAsia" w:ascii="宋体" w:hAnsi="宋体"/>
          <w:szCs w:val="21"/>
        </w:rPr>
        <w:t>4.2.4 通知义务</w:t>
      </w:r>
    </w:p>
    <w:p w14:paraId="36DB88C0">
      <w:pPr>
        <w:spacing w:line="400" w:lineRule="exact"/>
        <w:ind w:firstLine="420" w:firstLineChars="200"/>
        <w:rPr>
          <w:rFonts w:hint="eastAsia" w:ascii="宋体" w:hAnsi="宋体"/>
          <w:szCs w:val="21"/>
        </w:rPr>
      </w:pPr>
      <w:r>
        <w:rPr>
          <w:rFonts w:hint="eastAsia" w:ascii="宋体" w:hAnsi="宋体"/>
          <w:szCs w:val="21"/>
        </w:rPr>
        <w:t>不管履约担保条款中如何约定，甲方根据担保条款提出索赔或兑现要求28天前，应通知乙方并说明导致此类索赔或兑现的违约性质或原因。相应地，不管专用合同条款2.8(1)目约定的支付担保条款中如何约定，乙方根据担保条款提出索赔或兑现要求28天前，也应通知甲方并说明导致此类索赔或兑现的违约性质或原因。但是，本项约定的通知不应理解为是在任何意义上寻求乙方或者甲方的同意。</w:t>
      </w:r>
    </w:p>
    <w:p w14:paraId="7891D962">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 xml:space="preserve">4.3 分包 </w:t>
      </w:r>
    </w:p>
    <w:p w14:paraId="13546878">
      <w:pPr>
        <w:spacing w:line="400" w:lineRule="exact"/>
        <w:ind w:firstLine="420" w:firstLineChars="200"/>
        <w:rPr>
          <w:rFonts w:hint="eastAsia" w:ascii="宋体" w:hAnsi="宋体"/>
          <w:szCs w:val="21"/>
        </w:rPr>
      </w:pPr>
      <w:r>
        <w:rPr>
          <w:rFonts w:hint="eastAsia" w:ascii="宋体" w:hAnsi="宋体"/>
          <w:szCs w:val="21"/>
        </w:rPr>
        <w:t>4.3.2甲方同意乙方分包的非主体、非关键性工作见投标函附录。除通用合同条款第4.3款的约定外，分包还应遵循以下约定：</w:t>
      </w:r>
    </w:p>
    <w:p w14:paraId="09422256">
      <w:pPr>
        <w:spacing w:line="400" w:lineRule="exact"/>
        <w:ind w:firstLine="315" w:firstLineChars="150"/>
        <w:rPr>
          <w:rFonts w:hint="eastAsia" w:ascii="宋体" w:hAnsi="宋体"/>
          <w:szCs w:val="21"/>
        </w:rPr>
      </w:pPr>
      <w:r>
        <w:rPr>
          <w:rFonts w:hint="eastAsia" w:ascii="宋体" w:hAnsi="宋体"/>
          <w:szCs w:val="21"/>
        </w:rPr>
        <w:t>（1）除投标函附录中约定的分包内容外，经过甲方和监理人同意，乙方可以将其他非主体、非关键性工作分包给第三人，但分包人应当经过甲方和监理人审批。甲方和监理人有权拒绝乙方的分包请求和乙方选择的分包人。</w:t>
      </w:r>
    </w:p>
    <w:p w14:paraId="383FE906">
      <w:pPr>
        <w:spacing w:line="400" w:lineRule="exact"/>
        <w:ind w:firstLine="315" w:firstLineChars="150"/>
        <w:rPr>
          <w:rFonts w:hint="eastAsia" w:ascii="宋体" w:hAnsi="宋体"/>
          <w:szCs w:val="21"/>
        </w:rPr>
      </w:pPr>
      <w:r>
        <w:rPr>
          <w:rFonts w:hint="eastAsia" w:ascii="宋体" w:hAnsi="宋体"/>
          <w:szCs w:val="21"/>
        </w:rPr>
        <w:t>（2）甲方在工程量清单中给定暂估价的专业工程，包括从暂列金额开支的专业工程，</w:t>
      </w:r>
      <w:r>
        <w:rPr>
          <w:rFonts w:hint="eastAsia" w:ascii="宋体" w:hAnsi="宋体" w:cs="Arial"/>
          <w:szCs w:val="21"/>
        </w:rPr>
        <w:t>达到依法应当招标的规模标准的，以及虽未达到规定的规模标准但合同中约定采用分包方式或者招标方式实施的，应当按专用合同条款第15.8.1项的约定，</w:t>
      </w:r>
      <w:r>
        <w:rPr>
          <w:rFonts w:hint="eastAsia" w:ascii="宋体" w:hAnsi="宋体"/>
          <w:szCs w:val="21"/>
        </w:rPr>
        <w:t>由甲方和乙方以招标方式确定专业分包人。</w:t>
      </w:r>
      <w:r>
        <w:rPr>
          <w:rFonts w:hint="eastAsia" w:ascii="宋体" w:hAnsi="宋体" w:cs="Arial"/>
          <w:szCs w:val="21"/>
        </w:rPr>
        <w:t>除项目审批部门有特别核准外，暂估价的专业工程的招标应当采用与施工总承包同样的招标方式。</w:t>
      </w:r>
    </w:p>
    <w:p w14:paraId="59B6EC10">
      <w:pPr>
        <w:spacing w:line="400" w:lineRule="exact"/>
        <w:ind w:firstLine="315" w:firstLineChars="150"/>
        <w:rPr>
          <w:rFonts w:hint="eastAsia" w:ascii="宋体" w:hAnsi="宋体"/>
          <w:szCs w:val="21"/>
        </w:rPr>
      </w:pPr>
      <w:r>
        <w:rPr>
          <w:rFonts w:hint="eastAsia" w:ascii="宋体" w:hAnsi="宋体"/>
          <w:szCs w:val="21"/>
        </w:rPr>
        <w:t>（3）在相关分包合同签订并报送有关建设行政主管部门备案后7天内，乙方应当将一份副本提交给监理人，乙方应保障分包工作不得</w:t>
      </w:r>
      <w:r>
        <w:rPr>
          <w:rFonts w:ascii="宋体" w:hAnsi="宋体"/>
          <w:szCs w:val="21"/>
        </w:rPr>
        <w:t>再次分包。</w:t>
      </w:r>
    </w:p>
    <w:p w14:paraId="4567010A">
      <w:pPr>
        <w:spacing w:line="400" w:lineRule="exact"/>
        <w:ind w:firstLine="315" w:firstLineChars="150"/>
        <w:rPr>
          <w:rFonts w:hint="eastAsia" w:ascii="宋体" w:hAnsi="宋体" w:cs="Arial"/>
          <w:szCs w:val="21"/>
        </w:rPr>
      </w:pPr>
      <w:r>
        <w:rPr>
          <w:rFonts w:hint="eastAsia" w:ascii="宋体" w:hAnsi="宋体"/>
          <w:szCs w:val="21"/>
        </w:rPr>
        <w:t>（4）分包工程价款由乙方与分包人（包括专业分包人）结算。未经乙方同意，甲方不得以任何形式向分包人（包括专业分包人）支付相关分包合同项下的任何工程款项。因甲方未经乙方同意直接向分包人（包括专业分包人）支付相关分包合同项下的任何工程款项而影响乙方工作的，所造成的乙方费用增加和（或）延误的工期由甲方承担。</w:t>
      </w:r>
    </w:p>
    <w:p w14:paraId="24406141">
      <w:pPr>
        <w:spacing w:line="400" w:lineRule="exact"/>
        <w:ind w:firstLine="315" w:firstLineChars="150"/>
        <w:rPr>
          <w:rFonts w:hint="eastAsia" w:ascii="宋体" w:hAnsi="宋体"/>
          <w:szCs w:val="21"/>
        </w:rPr>
      </w:pPr>
      <w:r>
        <w:rPr>
          <w:rFonts w:hint="eastAsia" w:ascii="宋体" w:hAnsi="宋体"/>
          <w:szCs w:val="21"/>
        </w:rPr>
        <w:t>（5）未经甲方和监理人审批同意的分包工程和分包人，甲方有权拒绝验收分包工程和支付相应款项，由此引起的乙方费用增加和（或）延误的工期由乙方承担。</w:t>
      </w:r>
    </w:p>
    <w:p w14:paraId="781D2B6B">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4.5 乙方项目经理</w:t>
      </w:r>
    </w:p>
    <w:p w14:paraId="288F7798">
      <w:pPr>
        <w:spacing w:line="400" w:lineRule="exact"/>
        <w:ind w:firstLine="420" w:firstLineChars="200"/>
        <w:rPr>
          <w:rFonts w:hint="eastAsia" w:ascii="宋体" w:hAnsi="宋体" w:cs="Arial"/>
          <w:szCs w:val="21"/>
        </w:rPr>
      </w:pPr>
      <w:r>
        <w:rPr>
          <w:rFonts w:ascii="宋体" w:hAnsi="宋体"/>
          <w:szCs w:val="21"/>
        </w:rPr>
        <w:t>4.5.</w:t>
      </w:r>
      <w:r>
        <w:rPr>
          <w:rFonts w:hint="eastAsia" w:ascii="宋体" w:hAnsi="宋体"/>
          <w:szCs w:val="21"/>
        </w:rPr>
        <w:t>1乙方</w:t>
      </w:r>
      <w:r>
        <w:rPr>
          <w:rFonts w:ascii="宋体" w:hAnsi="宋体"/>
          <w:szCs w:val="21"/>
        </w:rPr>
        <w:t>项目经理必须与乙方投标</w:t>
      </w:r>
      <w:r>
        <w:rPr>
          <w:rFonts w:hint="eastAsia" w:ascii="宋体" w:hAnsi="宋体"/>
          <w:szCs w:val="21"/>
        </w:rPr>
        <w:t>时</w:t>
      </w:r>
      <w:r>
        <w:rPr>
          <w:rFonts w:ascii="宋体" w:hAnsi="宋体"/>
          <w:szCs w:val="21"/>
        </w:rPr>
        <w:t>所</w:t>
      </w:r>
      <w:r>
        <w:rPr>
          <w:rFonts w:hint="eastAsia" w:ascii="宋体" w:hAnsi="宋体"/>
          <w:szCs w:val="21"/>
        </w:rPr>
        <w:t>承诺的</w:t>
      </w:r>
      <w:r>
        <w:rPr>
          <w:rFonts w:ascii="宋体" w:hAnsi="宋体"/>
          <w:szCs w:val="21"/>
        </w:rPr>
        <w:t>人员一致</w:t>
      </w:r>
      <w:r>
        <w:rPr>
          <w:rFonts w:hint="eastAsia" w:ascii="宋体" w:hAnsi="宋体"/>
          <w:szCs w:val="21"/>
        </w:rPr>
        <w:t>，并在根据通用合同条款第11.1.1项确定的开工日期前到任</w:t>
      </w:r>
      <w:r>
        <w:rPr>
          <w:rFonts w:ascii="宋体" w:hAnsi="宋体"/>
          <w:szCs w:val="21"/>
        </w:rPr>
        <w:t>。</w:t>
      </w:r>
      <w:r>
        <w:rPr>
          <w:rFonts w:hint="eastAsia" w:ascii="宋体" w:hAnsi="宋体"/>
          <w:szCs w:val="21"/>
        </w:rPr>
        <w:t>在监理人向乙方颁发（出具）工程接收证书前，</w:t>
      </w:r>
      <w:r>
        <w:rPr>
          <w:rFonts w:ascii="宋体" w:hAnsi="宋体"/>
          <w:szCs w:val="21"/>
        </w:rPr>
        <w:t>项目经理不得同时兼任</w:t>
      </w:r>
      <w:r>
        <w:rPr>
          <w:rFonts w:hint="eastAsia" w:ascii="宋体" w:hAnsi="宋体"/>
          <w:szCs w:val="21"/>
        </w:rPr>
        <w:t>其他任何</w:t>
      </w:r>
      <w:r>
        <w:rPr>
          <w:rFonts w:ascii="宋体" w:hAnsi="宋体"/>
          <w:szCs w:val="21"/>
        </w:rPr>
        <w:t>项目的项目经理。</w:t>
      </w:r>
      <w:r>
        <w:rPr>
          <w:rFonts w:hint="eastAsia" w:ascii="宋体" w:hAnsi="宋体"/>
          <w:szCs w:val="21"/>
        </w:rPr>
        <w:t>未经甲方书面许可，乙方</w:t>
      </w:r>
      <w:r>
        <w:rPr>
          <w:rFonts w:ascii="宋体" w:hAnsi="宋体"/>
          <w:szCs w:val="21"/>
        </w:rPr>
        <w:t>不得更换</w:t>
      </w:r>
      <w:r>
        <w:rPr>
          <w:rFonts w:hint="eastAsia" w:ascii="宋体" w:hAnsi="宋体"/>
          <w:szCs w:val="21"/>
        </w:rPr>
        <w:t>项目经理。乙方项目经理的姓名、职称、身份证号、执业资格证书号、注册证书号、执业印章号、安全生产考核合格证书号等细节资料应当在合同协议书中载明。</w:t>
      </w:r>
    </w:p>
    <w:p w14:paraId="07EE2FEF">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4.11 不利物质条件</w:t>
      </w:r>
    </w:p>
    <w:p w14:paraId="2A47F1F7">
      <w:pPr>
        <w:spacing w:line="400" w:lineRule="exact"/>
        <w:ind w:firstLine="420" w:firstLineChars="200"/>
        <w:rPr>
          <w:rFonts w:hint="eastAsia" w:ascii="宋体" w:hAnsi="宋体"/>
          <w:szCs w:val="21"/>
        </w:rPr>
      </w:pPr>
      <w:r>
        <w:rPr>
          <w:rFonts w:hint="eastAsia" w:ascii="宋体" w:hAnsi="宋体"/>
          <w:szCs w:val="21"/>
        </w:rPr>
        <w:t>4.11.1不利物质条件的范围：</w:t>
      </w:r>
      <w:r>
        <w:rPr>
          <w:rFonts w:hint="eastAsia" w:ascii="宋体" w:hAnsi="宋体"/>
          <w:szCs w:val="21"/>
          <w:u w:val="single"/>
        </w:rPr>
        <w:t xml:space="preserve">      /     </w:t>
      </w:r>
      <w:r>
        <w:rPr>
          <w:rFonts w:hint="eastAsia" w:ascii="宋体" w:hAnsi="宋体"/>
          <w:szCs w:val="21"/>
        </w:rPr>
        <w:t xml:space="preserve"> 。</w:t>
      </w:r>
    </w:p>
    <w:p w14:paraId="7E35B43E">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5.1 乙方提供的材料和工程设备</w:t>
      </w:r>
    </w:p>
    <w:p w14:paraId="7EF192CA">
      <w:pPr>
        <w:spacing w:line="400" w:lineRule="exact"/>
        <w:ind w:firstLine="420" w:firstLineChars="200"/>
        <w:rPr>
          <w:rFonts w:hint="eastAsia" w:ascii="宋体" w:hAnsi="宋体"/>
          <w:szCs w:val="21"/>
        </w:rPr>
      </w:pPr>
      <w:r>
        <w:rPr>
          <w:rFonts w:hint="eastAsia" w:ascii="宋体" w:hAnsi="宋体"/>
          <w:szCs w:val="21"/>
        </w:rPr>
        <w:t>5.1.1除专用合同条款第5.2款约定由甲方提供的材料和工程设备外，由乙方提供的材料和工程设备均由乙方负责采购、运输和保管。但是，甲方在工程量清单中给定暂估价的材料和工程设备，包括从暂列金额开支的材料和工程设备，其中属于依法必须招标的范围并</w:t>
      </w:r>
      <w:r>
        <w:rPr>
          <w:rFonts w:hint="eastAsia" w:ascii="宋体" w:hAnsi="宋体" w:cs="Arial"/>
          <w:szCs w:val="21"/>
        </w:rPr>
        <w:t>达到规定的规模标准的，以及虽不属于依法必须招标的范围但合同中约定采用招标方式采购的，应当按专用合同条款第15.8.1项的约定，</w:t>
      </w:r>
      <w:r>
        <w:rPr>
          <w:rFonts w:hint="eastAsia" w:ascii="宋体" w:hAnsi="宋体"/>
          <w:szCs w:val="21"/>
        </w:rPr>
        <w:t>由甲方和乙方以招标方式确定专项供应商。乙方负责提供的主要材料和工程设备清单见合同附件二“乙方提供的材料和工程设备一览表”。</w:t>
      </w:r>
    </w:p>
    <w:p w14:paraId="06244FB4">
      <w:pPr>
        <w:spacing w:line="400" w:lineRule="exact"/>
        <w:ind w:firstLine="420" w:firstLineChars="200"/>
        <w:rPr>
          <w:rFonts w:hint="eastAsia" w:ascii="宋体" w:hAnsi="宋体" w:cs="Arial"/>
          <w:szCs w:val="21"/>
        </w:rPr>
      </w:pPr>
      <w:r>
        <w:rPr>
          <w:rFonts w:hint="eastAsia" w:ascii="宋体" w:hAnsi="宋体"/>
          <w:szCs w:val="21"/>
        </w:rPr>
        <w:t>5.1.2 乙方将由其提供的材料和工程设备的供货人及品种、规格、数量和供货时间等报送监理人审批的期限：</w:t>
      </w:r>
      <w:r>
        <w:rPr>
          <w:rFonts w:hint="eastAsia" w:ascii="宋体" w:hAnsi="宋体"/>
          <w:szCs w:val="21"/>
          <w:u w:val="single"/>
        </w:rPr>
        <w:t>施工前15日</w:t>
      </w:r>
      <w:r>
        <w:rPr>
          <w:rFonts w:hint="eastAsia" w:ascii="宋体" w:hAnsi="宋体"/>
          <w:szCs w:val="21"/>
        </w:rPr>
        <w:t xml:space="preserve">。 </w:t>
      </w:r>
    </w:p>
    <w:p w14:paraId="60ECC2DD">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5.2 甲方提供的材料和工程设备</w:t>
      </w:r>
    </w:p>
    <w:p w14:paraId="05E6AF80">
      <w:pPr>
        <w:spacing w:line="400" w:lineRule="exact"/>
        <w:ind w:firstLine="420" w:firstLineChars="200"/>
        <w:rPr>
          <w:rFonts w:hint="eastAsia" w:ascii="宋体" w:hAnsi="宋体"/>
          <w:szCs w:val="21"/>
        </w:rPr>
      </w:pPr>
      <w:r>
        <w:rPr>
          <w:rFonts w:hint="eastAsia" w:ascii="宋体" w:hAnsi="宋体"/>
          <w:szCs w:val="21"/>
        </w:rPr>
        <w:t>5.2.1甲方负责提供的材料和工程设备的名称、规格、数量、价格、交货方式、交货地点和计划交货日期等见合同附件三“甲方提供的材料和工程设备一览表”。</w:t>
      </w:r>
    </w:p>
    <w:p w14:paraId="0B944779">
      <w:pPr>
        <w:spacing w:line="400" w:lineRule="exact"/>
        <w:ind w:firstLine="420" w:firstLineChars="200"/>
        <w:rPr>
          <w:rFonts w:hint="eastAsia" w:ascii="宋体" w:hAnsi="宋体"/>
          <w:szCs w:val="21"/>
        </w:rPr>
      </w:pPr>
      <w:r>
        <w:rPr>
          <w:rFonts w:hint="eastAsia" w:ascii="宋体" w:hAnsi="宋体"/>
          <w:szCs w:val="21"/>
        </w:rPr>
        <w:t xml:space="preserve">5.2.3由甲方提供的材料和工程设备验收后，由乙方负责接收、运输和保管。 </w:t>
      </w:r>
    </w:p>
    <w:p w14:paraId="67396CF3">
      <w:pPr>
        <w:pStyle w:val="260"/>
        <w:spacing w:before="0"/>
        <w:outlineLvl w:val="9"/>
        <w:rPr>
          <w:rFonts w:hint="eastAsia" w:ascii="宋体" w:hAnsi="宋体"/>
          <w:sz w:val="21"/>
          <w:szCs w:val="21"/>
        </w:rPr>
      </w:pPr>
      <w:r>
        <w:rPr>
          <w:rFonts w:hint="eastAsia" w:ascii="宋体" w:hAnsi="宋体"/>
          <w:sz w:val="21"/>
          <w:szCs w:val="21"/>
        </w:rPr>
        <w:t>6. 施工设备和临时设施</w:t>
      </w:r>
    </w:p>
    <w:p w14:paraId="6452BBC8">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6.1 乙方提供的施工设备和临时设施</w:t>
      </w:r>
    </w:p>
    <w:p w14:paraId="10F75172">
      <w:pPr>
        <w:spacing w:line="400" w:lineRule="exact"/>
        <w:ind w:firstLine="420" w:firstLineChars="200"/>
        <w:rPr>
          <w:rFonts w:hint="eastAsia" w:ascii="宋体" w:hAnsi="宋体"/>
          <w:szCs w:val="21"/>
        </w:rPr>
      </w:pPr>
      <w:r>
        <w:rPr>
          <w:rFonts w:hint="eastAsia" w:ascii="宋体" w:hAnsi="宋体"/>
          <w:szCs w:val="21"/>
        </w:rPr>
        <w:t>6.1.2甲方承担修建临时设施的费用的范围：</w:t>
      </w:r>
      <w:r>
        <w:rPr>
          <w:rFonts w:hint="eastAsia" w:ascii="宋体" w:hAnsi="宋体"/>
          <w:szCs w:val="21"/>
          <w:u w:val="single"/>
        </w:rPr>
        <w:t>满足现场施工的临水、临电以及安全文明施工措施等:住宿、用餐、库房等需承包方自行解决，所需费用由承包人自行承担；其他由双方根据现场实际条件协商解决</w:t>
      </w:r>
      <w:r>
        <w:rPr>
          <w:rFonts w:hint="eastAsia" w:ascii="宋体" w:hAnsi="宋体"/>
          <w:szCs w:val="21"/>
        </w:rPr>
        <w:t xml:space="preserve">。 </w:t>
      </w:r>
    </w:p>
    <w:p w14:paraId="0676ED9D">
      <w:pPr>
        <w:spacing w:line="400" w:lineRule="exact"/>
        <w:ind w:firstLine="420" w:firstLineChars="200"/>
        <w:rPr>
          <w:rFonts w:hint="eastAsia" w:ascii="宋体" w:hAnsi="宋体" w:cs="Arial"/>
          <w:szCs w:val="21"/>
        </w:rPr>
      </w:pPr>
      <w:r>
        <w:rPr>
          <w:rFonts w:hint="eastAsia" w:ascii="宋体" w:hAnsi="宋体"/>
          <w:szCs w:val="21"/>
        </w:rPr>
        <w:t>需要甲方办理申请手续和承担相关费用的临时占地：</w:t>
      </w:r>
      <w:r>
        <w:rPr>
          <w:rFonts w:hint="eastAsia" w:ascii="宋体" w:hAnsi="宋体"/>
          <w:szCs w:val="21"/>
          <w:u w:val="single"/>
        </w:rPr>
        <w:t xml:space="preserve">      /       </w:t>
      </w:r>
      <w:r>
        <w:rPr>
          <w:rFonts w:hint="eastAsia" w:ascii="宋体" w:hAnsi="宋体"/>
          <w:szCs w:val="21"/>
        </w:rPr>
        <w:t xml:space="preserve">。 </w:t>
      </w:r>
    </w:p>
    <w:p w14:paraId="178C2A2C">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6.2 甲方提供的施工设备和临时设施</w:t>
      </w:r>
    </w:p>
    <w:p w14:paraId="0E55ABDB">
      <w:pPr>
        <w:spacing w:line="400" w:lineRule="exact"/>
        <w:ind w:firstLine="420" w:firstLineChars="200"/>
        <w:rPr>
          <w:rFonts w:hint="eastAsia" w:ascii="宋体" w:hAnsi="宋体"/>
          <w:szCs w:val="21"/>
        </w:rPr>
      </w:pPr>
      <w:r>
        <w:rPr>
          <w:rFonts w:hint="eastAsia" w:ascii="宋体" w:hAnsi="宋体"/>
          <w:szCs w:val="21"/>
        </w:rPr>
        <w:t>甲方提供的施工设备和临时设施：</w:t>
      </w:r>
      <w:r>
        <w:rPr>
          <w:rFonts w:hint="eastAsia" w:ascii="宋体" w:hAnsi="宋体"/>
          <w:szCs w:val="21"/>
          <w:u w:val="single"/>
        </w:rPr>
        <w:t xml:space="preserve">    无   </w:t>
      </w:r>
      <w:r>
        <w:rPr>
          <w:rFonts w:hint="eastAsia" w:ascii="宋体" w:hAnsi="宋体"/>
          <w:szCs w:val="21"/>
        </w:rPr>
        <w:t>。</w:t>
      </w:r>
    </w:p>
    <w:p w14:paraId="03040C85">
      <w:pPr>
        <w:spacing w:line="400" w:lineRule="exact"/>
        <w:ind w:firstLine="420" w:firstLineChars="200"/>
        <w:rPr>
          <w:rFonts w:hint="eastAsia" w:ascii="宋体" w:hAnsi="宋体"/>
          <w:szCs w:val="21"/>
        </w:rPr>
      </w:pPr>
      <w:r>
        <w:rPr>
          <w:rFonts w:hint="eastAsia" w:ascii="宋体" w:hAnsi="宋体"/>
          <w:szCs w:val="21"/>
        </w:rPr>
        <w:t>甲方提供的施工设备和临时设施的运行、维护、拆除、清运费用的承担人：</w:t>
      </w:r>
      <w:r>
        <w:rPr>
          <w:rFonts w:hint="eastAsia" w:ascii="宋体" w:hAnsi="宋体"/>
          <w:szCs w:val="21"/>
          <w:u w:val="single"/>
        </w:rPr>
        <w:t xml:space="preserve">  无  </w:t>
      </w:r>
      <w:r>
        <w:rPr>
          <w:rFonts w:hint="eastAsia" w:ascii="宋体" w:hAnsi="宋体"/>
          <w:szCs w:val="21"/>
        </w:rPr>
        <w:t xml:space="preserve"> 。</w:t>
      </w:r>
    </w:p>
    <w:p w14:paraId="1C203E89">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6.4 施工设备和临时设施专用于合同工程</w:t>
      </w:r>
    </w:p>
    <w:p w14:paraId="445DF707">
      <w:pPr>
        <w:spacing w:line="400" w:lineRule="exact"/>
        <w:ind w:firstLine="420" w:firstLineChars="200"/>
        <w:rPr>
          <w:rFonts w:hint="eastAsia" w:ascii="宋体" w:hAnsi="宋体" w:cs="Arial"/>
          <w:szCs w:val="21"/>
          <w:u w:val="single"/>
          <w:bdr w:val="single" w:color="auto" w:sz="4" w:space="0"/>
        </w:rPr>
      </w:pPr>
      <w:r>
        <w:rPr>
          <w:rFonts w:hint="eastAsia" w:ascii="宋体" w:hAnsi="宋体"/>
          <w:szCs w:val="21"/>
        </w:rPr>
        <w:t>6.4.1除为专用合同条款第4.1.8项约定的其他独立乙方和监理人指示的他人提供条件外,乙方运入施工场地的所有</w:t>
      </w:r>
      <w:r>
        <w:rPr>
          <w:rFonts w:ascii="宋体" w:hAnsi="宋体"/>
          <w:szCs w:val="21"/>
        </w:rPr>
        <w:t>施工设备</w:t>
      </w:r>
      <w:r>
        <w:rPr>
          <w:rFonts w:hint="eastAsia" w:ascii="宋体" w:hAnsi="宋体"/>
          <w:szCs w:val="21"/>
        </w:rPr>
        <w:t>以及在施工场地建设的</w:t>
      </w:r>
      <w:r>
        <w:rPr>
          <w:rFonts w:ascii="宋体" w:hAnsi="宋体"/>
          <w:szCs w:val="21"/>
        </w:rPr>
        <w:t>临时设施</w:t>
      </w:r>
      <w:r>
        <w:rPr>
          <w:rFonts w:hint="eastAsia" w:ascii="宋体" w:hAnsi="宋体"/>
          <w:szCs w:val="21"/>
        </w:rPr>
        <w:t>仅限于用于合同工程。</w:t>
      </w:r>
    </w:p>
    <w:p w14:paraId="43925CDA">
      <w:pPr>
        <w:pStyle w:val="260"/>
        <w:spacing w:before="0"/>
        <w:outlineLvl w:val="9"/>
        <w:rPr>
          <w:rFonts w:hint="eastAsia" w:ascii="宋体" w:hAnsi="宋体"/>
          <w:sz w:val="21"/>
          <w:szCs w:val="21"/>
        </w:rPr>
      </w:pPr>
      <w:r>
        <w:rPr>
          <w:rFonts w:hint="eastAsia" w:ascii="宋体" w:hAnsi="宋体"/>
          <w:sz w:val="21"/>
          <w:szCs w:val="21"/>
        </w:rPr>
        <w:t>7. 交通运输</w:t>
      </w:r>
    </w:p>
    <w:p w14:paraId="734BE314">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7.1 道路通行权和场外设施</w:t>
      </w:r>
    </w:p>
    <w:p w14:paraId="1DD91BCE">
      <w:pPr>
        <w:spacing w:line="400" w:lineRule="exact"/>
        <w:ind w:firstLine="420" w:firstLineChars="200"/>
        <w:rPr>
          <w:rFonts w:hint="eastAsia" w:ascii="宋体" w:hAnsi="宋体"/>
          <w:szCs w:val="21"/>
          <w:u w:val="single"/>
        </w:rPr>
      </w:pPr>
      <w:r>
        <w:rPr>
          <w:rFonts w:hint="eastAsia" w:ascii="宋体" w:hAnsi="宋体"/>
          <w:szCs w:val="21"/>
        </w:rPr>
        <w:t>取得道路通行权、场外设施修建权的办理人:</w:t>
      </w:r>
      <w:r>
        <w:rPr>
          <w:rFonts w:hint="eastAsia" w:ascii="宋体" w:hAnsi="宋体"/>
          <w:szCs w:val="21"/>
          <w:u w:val="single"/>
        </w:rPr>
        <w:t xml:space="preserve">  乙方  </w:t>
      </w:r>
      <w:r>
        <w:rPr>
          <w:rFonts w:hint="eastAsia" w:ascii="宋体" w:hAnsi="宋体"/>
          <w:szCs w:val="21"/>
        </w:rPr>
        <w:t>，其相关费用由甲方承担。</w:t>
      </w:r>
    </w:p>
    <w:p w14:paraId="152BA7A1">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7.2 场内施工道路</w:t>
      </w:r>
    </w:p>
    <w:p w14:paraId="692173F7">
      <w:pPr>
        <w:spacing w:line="400" w:lineRule="exact"/>
        <w:ind w:firstLine="420" w:firstLineChars="200"/>
        <w:rPr>
          <w:rFonts w:hint="eastAsia" w:ascii="宋体" w:hAnsi="宋体"/>
          <w:szCs w:val="21"/>
        </w:rPr>
      </w:pPr>
      <w:r>
        <w:rPr>
          <w:rFonts w:hint="eastAsia" w:ascii="宋体" w:hAnsi="宋体"/>
          <w:szCs w:val="21"/>
        </w:rPr>
        <w:t>7.2.1施工所需的场内临时道路和交通设施的修建、维护、养护和管理人：</w:t>
      </w:r>
      <w:r>
        <w:rPr>
          <w:rFonts w:hint="eastAsia" w:ascii="宋体" w:hAnsi="宋体"/>
          <w:szCs w:val="21"/>
          <w:u w:val="single"/>
        </w:rPr>
        <w:t>乙方</w:t>
      </w:r>
      <w:r>
        <w:rPr>
          <w:rFonts w:hint="eastAsia" w:ascii="宋体" w:hAnsi="宋体"/>
          <w:szCs w:val="21"/>
        </w:rPr>
        <w:t>，相关费用由</w:t>
      </w:r>
      <w:r>
        <w:rPr>
          <w:rFonts w:hint="eastAsia" w:ascii="宋体" w:hAnsi="宋体"/>
          <w:szCs w:val="21"/>
          <w:u w:val="single"/>
        </w:rPr>
        <w:t>乙方</w:t>
      </w:r>
      <w:r>
        <w:rPr>
          <w:rFonts w:hint="eastAsia" w:ascii="宋体" w:hAnsi="宋体"/>
          <w:szCs w:val="21"/>
        </w:rPr>
        <w:t>承担。</w:t>
      </w:r>
    </w:p>
    <w:p w14:paraId="31987ECE">
      <w:pPr>
        <w:spacing w:line="400" w:lineRule="exact"/>
        <w:ind w:firstLine="420" w:firstLineChars="200"/>
        <w:rPr>
          <w:rFonts w:hint="eastAsia" w:ascii="宋体" w:hAnsi="宋体"/>
          <w:szCs w:val="21"/>
          <w:u w:val="single"/>
        </w:rPr>
      </w:pPr>
      <w:r>
        <w:rPr>
          <w:rFonts w:hint="eastAsia" w:ascii="宋体" w:hAnsi="宋体"/>
          <w:szCs w:val="21"/>
        </w:rPr>
        <w:t>7.2.2甲方和监理人有权无偿使用乙方修建的临时道路和交通设施，不需要交纳任何费用。</w:t>
      </w:r>
    </w:p>
    <w:p w14:paraId="398D6F39">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7.4 超大件和超重件的运输</w:t>
      </w:r>
    </w:p>
    <w:p w14:paraId="19C16548">
      <w:pPr>
        <w:spacing w:line="400" w:lineRule="exact"/>
        <w:ind w:firstLine="420" w:firstLineChars="200"/>
        <w:rPr>
          <w:rFonts w:hint="eastAsia" w:ascii="宋体" w:hAnsi="宋体"/>
          <w:szCs w:val="21"/>
        </w:rPr>
      </w:pPr>
      <w:r>
        <w:rPr>
          <w:rFonts w:hint="eastAsia" w:ascii="宋体" w:hAnsi="宋体"/>
          <w:szCs w:val="21"/>
        </w:rPr>
        <w:t>运输超大件或超重件所需的道路和桥梁临时加固改造等费用的承担人：</w:t>
      </w:r>
      <w:r>
        <w:rPr>
          <w:rFonts w:hint="eastAsia" w:ascii="宋体" w:hAnsi="宋体"/>
          <w:szCs w:val="21"/>
          <w:u w:val="single"/>
        </w:rPr>
        <w:t xml:space="preserve">   / </w:t>
      </w:r>
      <w:r>
        <w:rPr>
          <w:rFonts w:hint="eastAsia" w:ascii="宋体" w:hAnsi="宋体"/>
          <w:szCs w:val="21"/>
        </w:rPr>
        <w:t>。</w:t>
      </w:r>
    </w:p>
    <w:p w14:paraId="52DACC42">
      <w:pPr>
        <w:pStyle w:val="260"/>
        <w:spacing w:before="0"/>
        <w:outlineLvl w:val="9"/>
        <w:rPr>
          <w:rFonts w:hint="eastAsia" w:ascii="宋体" w:hAnsi="宋体"/>
          <w:sz w:val="21"/>
          <w:szCs w:val="21"/>
        </w:rPr>
      </w:pPr>
      <w:r>
        <w:rPr>
          <w:rFonts w:hint="eastAsia" w:ascii="宋体" w:hAnsi="宋体"/>
          <w:sz w:val="21"/>
          <w:szCs w:val="21"/>
        </w:rPr>
        <w:t>8. 测量放线</w:t>
      </w:r>
    </w:p>
    <w:p w14:paraId="6DC189BA">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8.1 施工控制网</w:t>
      </w:r>
    </w:p>
    <w:p w14:paraId="34C5676E">
      <w:pPr>
        <w:spacing w:line="400" w:lineRule="exact"/>
        <w:ind w:firstLine="420" w:firstLineChars="200"/>
        <w:rPr>
          <w:rFonts w:hint="eastAsia" w:ascii="宋体" w:hAnsi="宋体"/>
          <w:szCs w:val="21"/>
          <w:u w:val="single"/>
        </w:rPr>
      </w:pPr>
      <w:r>
        <w:rPr>
          <w:rFonts w:hint="eastAsia" w:ascii="宋体" w:hAnsi="宋体"/>
          <w:szCs w:val="21"/>
        </w:rPr>
        <w:t>8.1.1甲方通过监理人提供测量基准点、基准线和水准点及其书面资料的期限：</w:t>
      </w:r>
      <w:r>
        <w:rPr>
          <w:rFonts w:hint="eastAsia" w:ascii="宋体" w:hAnsi="宋体"/>
          <w:szCs w:val="21"/>
          <w:u w:val="single"/>
        </w:rPr>
        <w:t xml:space="preserve">   / </w:t>
      </w:r>
      <w:r>
        <w:rPr>
          <w:rFonts w:hint="eastAsia" w:ascii="宋体" w:hAnsi="宋体"/>
          <w:szCs w:val="21"/>
        </w:rPr>
        <w:t>。乙方测设施工控制网的要求：</w:t>
      </w:r>
      <w:r>
        <w:rPr>
          <w:rFonts w:hint="eastAsia" w:ascii="宋体" w:hAnsi="宋体"/>
          <w:szCs w:val="21"/>
          <w:u w:val="single"/>
        </w:rPr>
        <w:t xml:space="preserve">   /  </w:t>
      </w:r>
      <w:r>
        <w:rPr>
          <w:rFonts w:hint="eastAsia" w:ascii="宋体" w:hAnsi="宋体"/>
          <w:szCs w:val="21"/>
        </w:rPr>
        <w:t>。乙方将施工控制网资料报送监理人审批的期限：</w:t>
      </w:r>
      <w:r>
        <w:rPr>
          <w:rFonts w:hint="eastAsia" w:ascii="宋体" w:hAnsi="宋体"/>
          <w:szCs w:val="21"/>
          <w:u w:val="single"/>
        </w:rPr>
        <w:t xml:space="preserve">   / </w:t>
      </w:r>
      <w:r>
        <w:rPr>
          <w:rFonts w:hint="eastAsia" w:ascii="宋体" w:hAnsi="宋体"/>
          <w:szCs w:val="21"/>
        </w:rPr>
        <w:t>。</w:t>
      </w:r>
    </w:p>
    <w:p w14:paraId="375A294F">
      <w:pPr>
        <w:pStyle w:val="260"/>
        <w:spacing w:before="0"/>
        <w:outlineLvl w:val="9"/>
        <w:rPr>
          <w:rFonts w:hint="eastAsia" w:ascii="宋体" w:hAnsi="宋体"/>
          <w:sz w:val="21"/>
          <w:szCs w:val="21"/>
        </w:rPr>
      </w:pPr>
      <w:r>
        <w:rPr>
          <w:rFonts w:hint="eastAsia" w:ascii="宋体" w:hAnsi="宋体"/>
          <w:sz w:val="21"/>
          <w:szCs w:val="21"/>
        </w:rPr>
        <w:t>9. 施工安全、治安保卫和环境保护</w:t>
      </w:r>
    </w:p>
    <w:p w14:paraId="25321FA7">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9.2 乙方的施工安全责任</w:t>
      </w:r>
    </w:p>
    <w:p w14:paraId="5AADAB21">
      <w:pPr>
        <w:pStyle w:val="27"/>
        <w:spacing w:line="400" w:lineRule="exact"/>
        <w:ind w:firstLineChars="0"/>
        <w:rPr>
          <w:rFonts w:hint="eastAsia" w:ascii="宋体" w:hAnsi="宋体" w:eastAsia="宋体"/>
          <w:sz w:val="21"/>
          <w:szCs w:val="21"/>
        </w:rPr>
      </w:pPr>
      <w:r>
        <w:rPr>
          <w:rFonts w:hint="eastAsia" w:ascii="宋体" w:hAnsi="宋体" w:eastAsia="宋体"/>
          <w:sz w:val="21"/>
          <w:szCs w:val="21"/>
        </w:rPr>
        <w:t>9.2.1乙方向监理人报送施工安全措施计划的期限：</w:t>
      </w:r>
      <w:r>
        <w:rPr>
          <w:rFonts w:hint="eastAsia" w:ascii="宋体" w:hAnsi="宋体" w:eastAsia="宋体"/>
          <w:sz w:val="21"/>
          <w:szCs w:val="21"/>
          <w:u w:val="single"/>
        </w:rPr>
        <w:t>本合同生效后7日内。</w:t>
      </w:r>
    </w:p>
    <w:p w14:paraId="655A9A43">
      <w:pPr>
        <w:pStyle w:val="27"/>
        <w:spacing w:line="400" w:lineRule="exact"/>
        <w:ind w:firstLineChars="0"/>
        <w:rPr>
          <w:rFonts w:hint="eastAsia" w:ascii="宋体" w:hAnsi="宋体" w:eastAsia="宋体"/>
          <w:sz w:val="21"/>
          <w:szCs w:val="21"/>
        </w:rPr>
      </w:pPr>
      <w:r>
        <w:rPr>
          <w:rFonts w:hint="eastAsia" w:ascii="宋体" w:hAnsi="宋体" w:eastAsia="宋体"/>
          <w:sz w:val="21"/>
          <w:szCs w:val="21"/>
        </w:rPr>
        <w:t>监理人收到乙方报送的施工安全措施计划后应当在</w:t>
      </w:r>
      <w:r>
        <w:rPr>
          <w:rFonts w:hint="eastAsia" w:ascii="宋体" w:hAnsi="宋体" w:eastAsia="宋体"/>
          <w:sz w:val="21"/>
          <w:szCs w:val="21"/>
          <w:u w:val="single"/>
        </w:rPr>
        <w:t xml:space="preserve"> 7日</w:t>
      </w:r>
      <w:r>
        <w:rPr>
          <w:rFonts w:hint="eastAsia" w:ascii="宋体" w:hAnsi="宋体" w:eastAsia="宋体"/>
          <w:sz w:val="21"/>
          <w:szCs w:val="21"/>
        </w:rPr>
        <w:t>天内给予批复。</w:t>
      </w:r>
    </w:p>
    <w:p w14:paraId="626D6178">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9.3 治安保卫</w:t>
      </w:r>
    </w:p>
    <w:p w14:paraId="4E8315FE">
      <w:pPr>
        <w:pStyle w:val="27"/>
        <w:spacing w:line="400" w:lineRule="exact"/>
        <w:ind w:firstLineChars="0"/>
        <w:rPr>
          <w:rFonts w:hint="eastAsia" w:ascii="宋体" w:hAnsi="宋体" w:eastAsia="宋体"/>
          <w:sz w:val="21"/>
          <w:szCs w:val="21"/>
        </w:rPr>
      </w:pPr>
      <w:r>
        <w:rPr>
          <w:rFonts w:hint="eastAsia" w:ascii="宋体" w:hAnsi="宋体" w:eastAsia="宋体"/>
          <w:sz w:val="21"/>
          <w:szCs w:val="21"/>
        </w:rPr>
        <w:t>9.3.1乙方应当负责统一管理施工场地的治安保卫事项，履行合同工程的治安保卫职责。</w:t>
      </w:r>
    </w:p>
    <w:p w14:paraId="33F5B932">
      <w:pPr>
        <w:pStyle w:val="27"/>
        <w:spacing w:line="400" w:lineRule="exact"/>
        <w:ind w:firstLineChars="0"/>
        <w:rPr>
          <w:rFonts w:hint="eastAsia" w:ascii="宋体" w:hAnsi="宋体" w:eastAsia="宋体"/>
          <w:sz w:val="21"/>
          <w:szCs w:val="21"/>
        </w:rPr>
      </w:pPr>
      <w:r>
        <w:rPr>
          <w:rFonts w:hint="eastAsia" w:ascii="宋体" w:hAnsi="宋体" w:eastAsia="宋体"/>
          <w:sz w:val="21"/>
          <w:szCs w:val="21"/>
        </w:rPr>
        <w:t>9.3.3施工场地治安管理计划和突发治安事件紧急预案的编制责任人：</w:t>
      </w:r>
      <w:r>
        <w:rPr>
          <w:rFonts w:hint="eastAsia" w:ascii="宋体" w:hAnsi="宋体" w:eastAsia="宋体"/>
          <w:sz w:val="21"/>
          <w:szCs w:val="21"/>
          <w:u w:val="single"/>
        </w:rPr>
        <w:t>乙方</w:t>
      </w:r>
      <w:r>
        <w:rPr>
          <w:rFonts w:hint="eastAsia" w:ascii="宋体" w:hAnsi="宋体" w:eastAsia="宋体"/>
          <w:sz w:val="21"/>
          <w:szCs w:val="21"/>
        </w:rPr>
        <w:t>。</w:t>
      </w:r>
    </w:p>
    <w:p w14:paraId="5ECC74F1">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9.4 环境保护</w:t>
      </w:r>
    </w:p>
    <w:p w14:paraId="6D165AE3">
      <w:pPr>
        <w:pStyle w:val="27"/>
        <w:spacing w:line="400" w:lineRule="exact"/>
        <w:ind w:firstLineChars="0"/>
        <w:rPr>
          <w:rFonts w:hint="eastAsia" w:ascii="宋体" w:hAnsi="宋体" w:eastAsia="宋体"/>
          <w:sz w:val="21"/>
          <w:szCs w:val="21"/>
        </w:rPr>
      </w:pPr>
      <w:r>
        <w:rPr>
          <w:rFonts w:hint="eastAsia" w:ascii="宋体" w:hAnsi="宋体" w:eastAsia="宋体"/>
          <w:sz w:val="21"/>
          <w:szCs w:val="21"/>
        </w:rPr>
        <w:t>9.4.2施工环保措施计划报送监理人审批的时间：</w:t>
      </w:r>
      <w:r>
        <w:rPr>
          <w:rFonts w:hint="eastAsia" w:ascii="宋体" w:hAnsi="宋体" w:eastAsia="宋体"/>
          <w:sz w:val="21"/>
          <w:szCs w:val="21"/>
          <w:u w:val="single"/>
        </w:rPr>
        <w:t>本合同生效后7日内</w:t>
      </w:r>
      <w:r>
        <w:rPr>
          <w:rFonts w:hint="eastAsia" w:ascii="宋体" w:hAnsi="宋体" w:eastAsia="宋体"/>
          <w:sz w:val="21"/>
          <w:szCs w:val="21"/>
        </w:rPr>
        <w:t>。</w:t>
      </w:r>
    </w:p>
    <w:p w14:paraId="67E4FBC6">
      <w:pPr>
        <w:pStyle w:val="27"/>
        <w:spacing w:line="400" w:lineRule="exact"/>
        <w:ind w:firstLineChars="0"/>
        <w:rPr>
          <w:rFonts w:hint="eastAsia" w:ascii="宋体" w:hAnsi="宋体" w:eastAsia="宋体"/>
          <w:sz w:val="21"/>
          <w:szCs w:val="21"/>
        </w:rPr>
      </w:pPr>
      <w:r>
        <w:rPr>
          <w:rFonts w:hint="eastAsia" w:ascii="宋体" w:hAnsi="宋体" w:eastAsia="宋体"/>
          <w:sz w:val="21"/>
          <w:szCs w:val="21"/>
        </w:rPr>
        <w:t>监理人收到乙方报送的施工环保措施计划后应当在</w:t>
      </w:r>
      <w:r>
        <w:rPr>
          <w:rFonts w:hint="eastAsia" w:ascii="宋体" w:hAnsi="宋体" w:eastAsia="宋体"/>
          <w:sz w:val="21"/>
          <w:szCs w:val="21"/>
          <w:u w:val="single"/>
        </w:rPr>
        <w:t>7日</w:t>
      </w:r>
      <w:r>
        <w:rPr>
          <w:rFonts w:hint="eastAsia" w:ascii="宋体" w:hAnsi="宋体" w:eastAsia="宋体"/>
          <w:sz w:val="21"/>
          <w:szCs w:val="21"/>
        </w:rPr>
        <w:t>天内给予批复。</w:t>
      </w:r>
    </w:p>
    <w:p w14:paraId="3A78463D">
      <w:pPr>
        <w:pStyle w:val="260"/>
        <w:spacing w:before="0"/>
        <w:outlineLvl w:val="9"/>
        <w:rPr>
          <w:rFonts w:hint="eastAsia" w:ascii="宋体" w:hAnsi="宋体"/>
          <w:sz w:val="21"/>
          <w:szCs w:val="21"/>
        </w:rPr>
      </w:pPr>
      <w:r>
        <w:rPr>
          <w:rFonts w:hint="eastAsia" w:ascii="宋体" w:hAnsi="宋体"/>
          <w:sz w:val="21"/>
          <w:szCs w:val="21"/>
        </w:rPr>
        <w:t>10. 进度计划</w:t>
      </w:r>
    </w:p>
    <w:p w14:paraId="013208E2">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10.1 合同进度计划</w:t>
      </w:r>
    </w:p>
    <w:p w14:paraId="6102D425">
      <w:pPr>
        <w:pStyle w:val="27"/>
        <w:spacing w:line="400" w:lineRule="exact"/>
        <w:ind w:firstLineChars="0"/>
        <w:rPr>
          <w:rFonts w:hint="eastAsia" w:ascii="宋体" w:hAnsi="宋体" w:eastAsia="宋体"/>
          <w:sz w:val="21"/>
          <w:szCs w:val="21"/>
        </w:rPr>
      </w:pPr>
      <w:r>
        <w:rPr>
          <w:rFonts w:hint="eastAsia" w:ascii="宋体" w:hAnsi="宋体" w:eastAsia="宋体"/>
          <w:sz w:val="21"/>
          <w:szCs w:val="21"/>
        </w:rPr>
        <w:t>（1）乙方应当在收到监理人按照通用合同条款第11.1.1项发出的开工通知后7天内，编制详细的施工进度计划和施工方案说明并报送监理人。乙方编制施工进度计划和施工方案说明的内容：</w:t>
      </w:r>
      <w:r>
        <w:rPr>
          <w:rFonts w:hint="eastAsia" w:ascii="宋体" w:hAnsi="宋体" w:eastAsia="宋体"/>
          <w:sz w:val="21"/>
          <w:szCs w:val="21"/>
          <w:u w:val="single"/>
        </w:rPr>
        <w:t>乙方应按投标阶段承诺的总进度计划关键线路目标，以及施工顺序和方法要点，向监理人提交更准确更详细的施工进度计划和施工方案。施工总进度计划的内容包括：编制说明，施工总进度计划表，分期分批工程的开工日期、完工日期及工期一览表，资源需要量及供应平衡表等</w:t>
      </w:r>
      <w:r>
        <w:rPr>
          <w:rFonts w:hint="eastAsia" w:ascii="宋体" w:hAnsi="宋体" w:eastAsia="宋体"/>
          <w:sz w:val="21"/>
          <w:szCs w:val="21"/>
        </w:rPr>
        <w:t>，施工进度计划中还应载明要求甲方组织设计人进行阶段性工程设计交底的时间。</w:t>
      </w:r>
    </w:p>
    <w:p w14:paraId="5DEF4057">
      <w:pPr>
        <w:pStyle w:val="27"/>
        <w:spacing w:line="400" w:lineRule="exact"/>
        <w:ind w:firstLineChars="0"/>
        <w:rPr>
          <w:rFonts w:hint="eastAsia" w:ascii="宋体" w:hAnsi="宋体" w:eastAsia="宋体"/>
          <w:sz w:val="21"/>
          <w:szCs w:val="21"/>
        </w:rPr>
      </w:pPr>
      <w:r>
        <w:rPr>
          <w:rFonts w:hint="eastAsia" w:ascii="宋体" w:hAnsi="宋体" w:eastAsia="宋体"/>
          <w:sz w:val="21"/>
          <w:szCs w:val="21"/>
        </w:rPr>
        <w:t>（2）监理人批复或对施工进度计划和施工方案说明提出修改意见的期限：自监理人收到乙方报送的相关进度计划和施工方案说明后14天内。</w:t>
      </w:r>
    </w:p>
    <w:p w14:paraId="5833AA31">
      <w:pPr>
        <w:pStyle w:val="27"/>
        <w:spacing w:line="400" w:lineRule="exact"/>
        <w:ind w:firstLineChars="0"/>
        <w:rPr>
          <w:rFonts w:hint="eastAsia" w:ascii="宋体" w:hAnsi="宋体" w:eastAsia="宋体"/>
          <w:sz w:val="21"/>
          <w:szCs w:val="21"/>
        </w:rPr>
      </w:pPr>
      <w:r>
        <w:rPr>
          <w:rFonts w:hint="eastAsia" w:ascii="宋体" w:hAnsi="宋体" w:eastAsia="宋体"/>
          <w:sz w:val="21"/>
          <w:szCs w:val="21"/>
        </w:rPr>
        <w:t>（3）</w:t>
      </w:r>
      <w:r>
        <w:rPr>
          <w:rFonts w:ascii="宋体" w:hAnsi="宋体" w:eastAsia="宋体"/>
          <w:sz w:val="21"/>
          <w:szCs w:val="21"/>
        </w:rPr>
        <w:t>乙方</w:t>
      </w:r>
      <w:r>
        <w:rPr>
          <w:rFonts w:hint="eastAsia" w:ascii="宋体" w:hAnsi="宋体" w:eastAsia="宋体"/>
          <w:sz w:val="21"/>
          <w:szCs w:val="21"/>
        </w:rPr>
        <w:t>编制</w:t>
      </w:r>
      <w:r>
        <w:rPr>
          <w:rFonts w:ascii="宋体" w:hAnsi="宋体" w:eastAsia="宋体"/>
          <w:sz w:val="21"/>
          <w:szCs w:val="21"/>
        </w:rPr>
        <w:t>分阶段或分项</w:t>
      </w:r>
      <w:r>
        <w:rPr>
          <w:rFonts w:hint="eastAsia" w:ascii="宋体" w:hAnsi="宋体" w:eastAsia="宋体"/>
          <w:sz w:val="21"/>
          <w:szCs w:val="21"/>
        </w:rPr>
        <w:t>施工</w:t>
      </w:r>
      <w:r>
        <w:rPr>
          <w:rFonts w:ascii="宋体" w:hAnsi="宋体" w:eastAsia="宋体"/>
          <w:sz w:val="21"/>
          <w:szCs w:val="21"/>
        </w:rPr>
        <w:t>进度计划</w:t>
      </w:r>
      <w:r>
        <w:rPr>
          <w:rFonts w:hint="eastAsia" w:ascii="宋体" w:hAnsi="宋体" w:eastAsia="宋体"/>
          <w:sz w:val="21"/>
          <w:szCs w:val="21"/>
        </w:rPr>
        <w:t>和施工方案说明</w:t>
      </w:r>
      <w:r>
        <w:rPr>
          <w:rFonts w:ascii="宋体" w:hAnsi="宋体" w:eastAsia="宋体"/>
          <w:sz w:val="21"/>
          <w:szCs w:val="21"/>
        </w:rPr>
        <w:t>的内容</w:t>
      </w:r>
      <w:r>
        <w:rPr>
          <w:rFonts w:hint="eastAsia" w:ascii="宋体" w:hAnsi="宋体" w:eastAsia="宋体"/>
          <w:sz w:val="21"/>
          <w:szCs w:val="21"/>
        </w:rPr>
        <w:t>：</w:t>
      </w:r>
      <w:r>
        <w:rPr>
          <w:rFonts w:hint="eastAsia" w:ascii="宋体" w:hAnsi="宋体" w:eastAsia="宋体"/>
          <w:sz w:val="21"/>
          <w:szCs w:val="21"/>
          <w:u w:val="single"/>
        </w:rPr>
        <w:t>分项施工进度计划、分项施工工艺、劳动力安排计划和劳务分包情况、技术要求、安全措施等</w:t>
      </w:r>
      <w:r>
        <w:rPr>
          <w:rFonts w:ascii="宋体" w:hAnsi="宋体" w:eastAsia="宋体"/>
          <w:sz w:val="21"/>
          <w:szCs w:val="21"/>
        </w:rPr>
        <w:t>。乙方</w:t>
      </w:r>
      <w:r>
        <w:rPr>
          <w:rFonts w:hint="eastAsia" w:ascii="宋体" w:hAnsi="宋体" w:eastAsia="宋体"/>
          <w:sz w:val="21"/>
          <w:szCs w:val="21"/>
        </w:rPr>
        <w:t>报送</w:t>
      </w:r>
      <w:r>
        <w:rPr>
          <w:rFonts w:ascii="宋体" w:hAnsi="宋体" w:eastAsia="宋体"/>
          <w:sz w:val="21"/>
          <w:szCs w:val="21"/>
        </w:rPr>
        <w:t>分阶段或分项</w:t>
      </w:r>
      <w:r>
        <w:rPr>
          <w:rFonts w:hint="eastAsia" w:ascii="宋体" w:hAnsi="宋体" w:eastAsia="宋体"/>
          <w:sz w:val="21"/>
          <w:szCs w:val="21"/>
        </w:rPr>
        <w:t>施工</w:t>
      </w:r>
      <w:r>
        <w:rPr>
          <w:rFonts w:ascii="宋体" w:hAnsi="宋体" w:eastAsia="宋体"/>
          <w:sz w:val="21"/>
          <w:szCs w:val="21"/>
        </w:rPr>
        <w:t>进度计划</w:t>
      </w:r>
      <w:r>
        <w:rPr>
          <w:rFonts w:hint="eastAsia" w:ascii="宋体" w:hAnsi="宋体" w:eastAsia="宋体"/>
          <w:sz w:val="21"/>
          <w:szCs w:val="21"/>
        </w:rPr>
        <w:t>和施工方案说明</w:t>
      </w:r>
      <w:r>
        <w:rPr>
          <w:rFonts w:ascii="宋体" w:hAnsi="宋体" w:eastAsia="宋体"/>
          <w:sz w:val="21"/>
          <w:szCs w:val="21"/>
        </w:rPr>
        <w:t>的期限</w:t>
      </w:r>
      <w:r>
        <w:rPr>
          <w:rFonts w:hint="eastAsia" w:ascii="宋体" w:hAnsi="宋体" w:eastAsia="宋体"/>
          <w:sz w:val="21"/>
          <w:szCs w:val="21"/>
        </w:rPr>
        <w:t>：</w:t>
      </w:r>
      <w:r>
        <w:rPr>
          <w:rFonts w:hint="eastAsia" w:ascii="宋体" w:hAnsi="宋体" w:eastAsia="宋体"/>
          <w:sz w:val="21"/>
          <w:szCs w:val="21"/>
          <w:u w:val="single"/>
        </w:rPr>
        <w:t>应于每月25日上报工程施工进度计划</w:t>
      </w:r>
      <w:r>
        <w:rPr>
          <w:rFonts w:hint="eastAsia" w:ascii="宋体" w:hAnsi="宋体" w:eastAsia="宋体"/>
          <w:sz w:val="21"/>
          <w:szCs w:val="21"/>
        </w:rPr>
        <w:t>。</w:t>
      </w:r>
    </w:p>
    <w:p w14:paraId="528D76CA">
      <w:pPr>
        <w:pStyle w:val="27"/>
        <w:spacing w:line="400" w:lineRule="exact"/>
        <w:ind w:firstLineChars="0"/>
        <w:jc w:val="left"/>
        <w:rPr>
          <w:rFonts w:hint="eastAsia" w:ascii="宋体" w:hAnsi="宋体" w:eastAsia="宋体"/>
          <w:sz w:val="21"/>
          <w:szCs w:val="21"/>
        </w:rPr>
      </w:pPr>
      <w:r>
        <w:rPr>
          <w:rFonts w:hint="eastAsia" w:ascii="宋体" w:hAnsi="宋体" w:eastAsia="宋体"/>
          <w:sz w:val="21"/>
          <w:szCs w:val="21"/>
        </w:rPr>
        <w:t>（4）群体工程中单位工程分期进行施工的，乙方应按照甲方提供图纸及有关资料的时间，按单位工程编制进度计划和施工方案说明。群体工程中有关进度计划和施工方案说明的要求：</w:t>
      </w:r>
      <w:r>
        <w:rPr>
          <w:rFonts w:hint="eastAsia" w:ascii="宋体" w:hAnsi="宋体" w:eastAsia="宋体"/>
          <w:sz w:val="21"/>
          <w:szCs w:val="21"/>
          <w:u w:val="single"/>
        </w:rPr>
        <w:t xml:space="preserve">   /  </w:t>
      </w:r>
      <w:r>
        <w:rPr>
          <w:rFonts w:hint="eastAsia" w:ascii="宋体" w:hAnsi="宋体" w:eastAsia="宋体"/>
          <w:sz w:val="21"/>
          <w:szCs w:val="21"/>
        </w:rPr>
        <w:t>。</w:t>
      </w:r>
    </w:p>
    <w:p w14:paraId="2764016A">
      <w:pPr>
        <w:pStyle w:val="27"/>
        <w:spacing w:line="400" w:lineRule="exact"/>
        <w:ind w:firstLine="0" w:firstLineChars="0"/>
        <w:jc w:val="left"/>
        <w:rPr>
          <w:rFonts w:hint="eastAsia" w:ascii="宋体" w:hAnsi="宋体" w:eastAsia="宋体" w:cs="Arial"/>
          <w:sz w:val="21"/>
          <w:szCs w:val="21"/>
        </w:rPr>
      </w:pPr>
      <w:r>
        <w:rPr>
          <w:rFonts w:hint="eastAsia" w:ascii="宋体" w:hAnsi="宋体" w:eastAsia="宋体" w:cs="Arial"/>
          <w:sz w:val="21"/>
          <w:szCs w:val="21"/>
        </w:rPr>
        <w:t>10.2 合同进度计划的修订</w:t>
      </w:r>
    </w:p>
    <w:p w14:paraId="26EDC11A">
      <w:pPr>
        <w:pStyle w:val="27"/>
        <w:spacing w:line="400" w:lineRule="exact"/>
        <w:ind w:firstLineChars="0"/>
        <w:rPr>
          <w:rFonts w:hint="eastAsia" w:ascii="宋体" w:hAnsi="宋体" w:eastAsia="宋体"/>
          <w:sz w:val="21"/>
          <w:szCs w:val="21"/>
        </w:rPr>
      </w:pPr>
      <w:r>
        <w:rPr>
          <w:rFonts w:hint="eastAsia" w:ascii="宋体" w:hAnsi="宋体" w:eastAsia="宋体"/>
          <w:sz w:val="21"/>
          <w:szCs w:val="21"/>
        </w:rPr>
        <w:t>（1）乙方报送修订合同进度计划申请报告和相关资料的期限：</w:t>
      </w:r>
      <w:r>
        <w:rPr>
          <w:rFonts w:hint="eastAsia" w:ascii="宋体" w:hAnsi="宋体" w:eastAsia="宋体"/>
          <w:sz w:val="21"/>
          <w:szCs w:val="21"/>
          <w:u w:val="single"/>
        </w:rPr>
        <w:t>签订合同后7日内</w:t>
      </w:r>
      <w:r>
        <w:rPr>
          <w:rFonts w:hint="eastAsia" w:ascii="宋体" w:hAnsi="宋体" w:eastAsia="宋体"/>
          <w:sz w:val="21"/>
          <w:szCs w:val="21"/>
        </w:rPr>
        <w:t>。</w:t>
      </w:r>
    </w:p>
    <w:p w14:paraId="178ACCF4">
      <w:pPr>
        <w:pStyle w:val="27"/>
        <w:spacing w:line="400" w:lineRule="exact"/>
        <w:ind w:firstLineChars="0"/>
        <w:rPr>
          <w:rFonts w:hint="eastAsia" w:ascii="宋体" w:hAnsi="宋体" w:eastAsia="宋体"/>
          <w:sz w:val="21"/>
          <w:szCs w:val="21"/>
        </w:rPr>
      </w:pPr>
      <w:r>
        <w:rPr>
          <w:rFonts w:hint="eastAsia" w:ascii="宋体" w:hAnsi="宋体" w:eastAsia="宋体"/>
          <w:sz w:val="21"/>
          <w:szCs w:val="21"/>
        </w:rPr>
        <w:t>（2）监理人批复修订合同进度计划申请报告的期限：</w:t>
      </w:r>
      <w:r>
        <w:rPr>
          <w:rFonts w:hint="eastAsia" w:ascii="宋体" w:hAnsi="宋体" w:eastAsia="宋体"/>
          <w:sz w:val="21"/>
          <w:szCs w:val="21"/>
          <w:u w:val="single"/>
        </w:rPr>
        <w:t>收到乙方报送的修订合同进度计划申请报告和相关资料后7天内</w:t>
      </w:r>
      <w:r>
        <w:rPr>
          <w:rFonts w:hint="eastAsia" w:ascii="宋体" w:hAnsi="宋体" w:eastAsia="宋体"/>
          <w:sz w:val="21"/>
          <w:szCs w:val="21"/>
        </w:rPr>
        <w:t>。</w:t>
      </w:r>
    </w:p>
    <w:p w14:paraId="22FBC94B">
      <w:pPr>
        <w:pStyle w:val="27"/>
        <w:spacing w:line="400" w:lineRule="exact"/>
        <w:ind w:firstLineChars="0"/>
        <w:rPr>
          <w:rFonts w:hint="eastAsia" w:ascii="宋体" w:hAnsi="宋体" w:eastAsia="宋体"/>
          <w:sz w:val="21"/>
          <w:szCs w:val="21"/>
          <w:u w:val="single"/>
        </w:rPr>
      </w:pPr>
      <w:r>
        <w:rPr>
          <w:rFonts w:hint="eastAsia" w:ascii="宋体" w:hAnsi="宋体" w:eastAsia="宋体"/>
          <w:sz w:val="21"/>
          <w:szCs w:val="21"/>
        </w:rPr>
        <w:t>（3）监理人批复修订合同进度计划的期限：</w:t>
      </w:r>
      <w:r>
        <w:rPr>
          <w:rFonts w:hint="eastAsia" w:ascii="宋体" w:hAnsi="宋体" w:eastAsia="宋体"/>
          <w:sz w:val="21"/>
          <w:szCs w:val="21"/>
          <w:u w:val="single"/>
        </w:rPr>
        <w:t>收到乙方报送的修订合同进度计划和相关资料后7天内</w:t>
      </w:r>
      <w:r>
        <w:rPr>
          <w:rFonts w:hint="eastAsia" w:ascii="宋体" w:hAnsi="宋体" w:eastAsia="宋体"/>
          <w:sz w:val="21"/>
          <w:szCs w:val="21"/>
        </w:rPr>
        <w:t>。</w:t>
      </w:r>
    </w:p>
    <w:p w14:paraId="1D7D322B">
      <w:pPr>
        <w:pStyle w:val="260"/>
        <w:spacing w:before="0"/>
        <w:outlineLvl w:val="9"/>
        <w:rPr>
          <w:rFonts w:hint="eastAsia" w:ascii="宋体" w:hAnsi="宋体"/>
          <w:sz w:val="21"/>
          <w:szCs w:val="21"/>
        </w:rPr>
      </w:pPr>
      <w:r>
        <w:rPr>
          <w:rFonts w:hint="eastAsia" w:ascii="宋体" w:hAnsi="宋体"/>
          <w:sz w:val="21"/>
          <w:szCs w:val="21"/>
        </w:rPr>
        <w:t>11. 开工和竣工</w:t>
      </w:r>
    </w:p>
    <w:p w14:paraId="608DC4E1">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11.3 甲方的工期延误</w:t>
      </w:r>
    </w:p>
    <w:p w14:paraId="10A24B2F">
      <w:pPr>
        <w:pStyle w:val="27"/>
        <w:spacing w:line="400" w:lineRule="exact"/>
        <w:ind w:firstLineChars="0"/>
        <w:rPr>
          <w:rFonts w:hint="eastAsia" w:ascii="宋体" w:hAnsi="宋体" w:eastAsia="宋体"/>
          <w:sz w:val="21"/>
          <w:szCs w:val="21"/>
        </w:rPr>
      </w:pPr>
      <w:r>
        <w:rPr>
          <w:rFonts w:hint="eastAsia" w:ascii="宋体" w:hAnsi="宋体" w:eastAsia="宋体"/>
          <w:sz w:val="21"/>
          <w:szCs w:val="21"/>
        </w:rPr>
        <w:t>(7) 因甲方原因不能按照监理人发出的开工通知中载明的开工日期开工。除甲方原因延期开工外，甲方造成工期延误的其他原因还包括：</w:t>
      </w:r>
      <w:r>
        <w:rPr>
          <w:rFonts w:hint="eastAsia" w:ascii="宋体" w:hAnsi="宋体" w:eastAsia="宋体"/>
          <w:sz w:val="21"/>
          <w:szCs w:val="21"/>
          <w:u w:val="single"/>
        </w:rPr>
        <w:t>(1)因甲方原因造成的设计变更引起的工程量增加或额外增加的工作量（以甲方的书面文件为准）；（2）甲方和乙方双方共通认为必须延长工期的（以书面文件为准）</w:t>
      </w:r>
      <w:r>
        <w:rPr>
          <w:rFonts w:hint="eastAsia" w:ascii="宋体" w:hAnsi="宋体" w:eastAsia="宋体"/>
          <w:sz w:val="21"/>
          <w:szCs w:val="21"/>
        </w:rPr>
        <w:t>等延误乙方关键线路工作的情况。</w:t>
      </w:r>
    </w:p>
    <w:p w14:paraId="37D4192A">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11.4 异常恶劣的气候条件</w:t>
      </w:r>
    </w:p>
    <w:p w14:paraId="1F08CFB7">
      <w:pPr>
        <w:pStyle w:val="27"/>
        <w:spacing w:line="400" w:lineRule="exact"/>
        <w:ind w:firstLineChars="0"/>
        <w:rPr>
          <w:rFonts w:hint="eastAsia" w:ascii="宋体" w:hAnsi="宋体" w:eastAsia="宋体"/>
          <w:sz w:val="21"/>
          <w:szCs w:val="21"/>
        </w:rPr>
      </w:pPr>
      <w:r>
        <w:rPr>
          <w:rFonts w:hint="eastAsia" w:ascii="宋体" w:hAnsi="宋体" w:eastAsia="宋体"/>
          <w:sz w:val="21"/>
          <w:szCs w:val="21"/>
        </w:rPr>
        <w:t>异常恶劣的气候条件的范围和标准：</w:t>
      </w:r>
      <w:r>
        <w:rPr>
          <w:rFonts w:hint="eastAsia" w:ascii="宋体" w:hAnsi="宋体" w:eastAsia="宋体"/>
          <w:sz w:val="21"/>
          <w:szCs w:val="21"/>
          <w:u w:val="single"/>
        </w:rPr>
        <w:t>烈度7度（不含7度）以上地震，10级以上（不含10级）台风，日雨量60mm以上暴雨（以国家县（市）级以上气象局（台）、地震局（台）等专门机构公布为准），以及县市级以上政府公告不允许在本场地施工的时段</w:t>
      </w:r>
      <w:r>
        <w:rPr>
          <w:rFonts w:hint="eastAsia" w:ascii="宋体" w:hAnsi="宋体" w:eastAsia="宋体"/>
          <w:sz w:val="21"/>
          <w:szCs w:val="21"/>
        </w:rPr>
        <w:t>。</w:t>
      </w:r>
    </w:p>
    <w:p w14:paraId="5CF611AA">
      <w:pPr>
        <w:pStyle w:val="27"/>
        <w:spacing w:line="400" w:lineRule="exact"/>
        <w:ind w:firstLineChars="0"/>
        <w:rPr>
          <w:rFonts w:hint="eastAsia" w:ascii="宋体" w:hAnsi="宋体" w:eastAsia="宋体"/>
          <w:sz w:val="21"/>
          <w:szCs w:val="21"/>
        </w:rPr>
      </w:pPr>
      <w:r>
        <w:rPr>
          <w:rFonts w:hint="eastAsia" w:ascii="宋体" w:hAnsi="宋体" w:eastAsia="宋体"/>
          <w:sz w:val="21"/>
          <w:szCs w:val="21"/>
        </w:rPr>
        <w:t>注：乙方明知本工程处于市区、校内、地下的特点，且在签订本合同时已考虑交通管制、运输限制、各类考试等可能需要停工的各种因素，如有因此而导致停工，不延长工期（特殊情况确需延期的，需要甲方书面同意），乙方也不得进行延误工期索赔。</w:t>
      </w:r>
    </w:p>
    <w:p w14:paraId="1B8CDBBB">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11.5 乙方的工期延误</w:t>
      </w:r>
    </w:p>
    <w:p w14:paraId="4095E898">
      <w:pPr>
        <w:pStyle w:val="27"/>
        <w:spacing w:line="400" w:lineRule="exact"/>
        <w:ind w:firstLineChars="0"/>
        <w:rPr>
          <w:rFonts w:hint="eastAsia" w:ascii="宋体" w:hAnsi="宋体" w:eastAsia="宋体"/>
          <w:sz w:val="21"/>
          <w:szCs w:val="21"/>
        </w:rPr>
      </w:pPr>
      <w:r>
        <w:rPr>
          <w:rFonts w:hint="eastAsia" w:ascii="宋体" w:hAnsi="宋体" w:eastAsia="宋体"/>
          <w:sz w:val="21"/>
          <w:szCs w:val="21"/>
        </w:rPr>
        <w:t>由于乙方原因造成不能按期竣工的，在按合同约定确定的竣工日期（包括按合同延长的工期）后7天内，监理人应当按通用合同条款第23.4.1项的约定书面通知乙方,说明甲方有权得到按本款约定的下列标准和方法计算的逾期竣工违约金，但最终违约金的金额不应超过本款约定的逾期竣工违约金最高限额。监理人未在规定的期限内发出本款约定的书面通知的，甲方丧失主张逾期竣工违约金的权利。</w:t>
      </w:r>
    </w:p>
    <w:p w14:paraId="25BDE3C3">
      <w:pPr>
        <w:pStyle w:val="27"/>
        <w:spacing w:line="400" w:lineRule="exact"/>
        <w:ind w:firstLineChars="0"/>
        <w:rPr>
          <w:rFonts w:hint="eastAsia" w:ascii="宋体" w:hAnsi="宋体" w:eastAsia="宋体"/>
          <w:sz w:val="21"/>
          <w:szCs w:val="21"/>
        </w:rPr>
      </w:pPr>
      <w:r>
        <w:rPr>
          <w:rFonts w:hint="eastAsia" w:ascii="宋体" w:hAnsi="宋体" w:eastAsia="宋体"/>
          <w:sz w:val="21"/>
          <w:szCs w:val="21"/>
        </w:rPr>
        <w:t>逾期竣工违约金的计算标准：</w:t>
      </w:r>
      <w:r>
        <w:rPr>
          <w:rFonts w:hint="eastAsia" w:ascii="宋体" w:hAnsi="宋体" w:eastAsia="宋体"/>
          <w:sz w:val="21"/>
          <w:szCs w:val="21"/>
          <w:u w:val="single"/>
        </w:rPr>
        <w:t>签约合同价的0.</w:t>
      </w:r>
      <w:r>
        <w:rPr>
          <w:rFonts w:ascii="宋体" w:hAnsi="宋体" w:eastAsia="宋体"/>
          <w:sz w:val="21"/>
          <w:szCs w:val="21"/>
          <w:u w:val="single"/>
        </w:rPr>
        <w:t>5</w:t>
      </w:r>
      <w:r>
        <w:rPr>
          <w:rFonts w:hint="eastAsia" w:ascii="宋体" w:hAnsi="宋体" w:eastAsia="宋体"/>
          <w:sz w:val="21"/>
          <w:szCs w:val="21"/>
          <w:u w:val="single"/>
        </w:rPr>
        <w:t>‰</w:t>
      </w:r>
      <w:r>
        <w:rPr>
          <w:rFonts w:hint="eastAsia" w:ascii="宋体" w:hAnsi="宋体" w:eastAsia="宋体"/>
          <w:sz w:val="21"/>
          <w:szCs w:val="21"/>
        </w:rPr>
        <w:t>。</w:t>
      </w:r>
    </w:p>
    <w:p w14:paraId="2F3E6270">
      <w:pPr>
        <w:pStyle w:val="27"/>
        <w:spacing w:line="400" w:lineRule="exact"/>
        <w:ind w:firstLineChars="0"/>
        <w:rPr>
          <w:rFonts w:hint="eastAsia" w:ascii="宋体" w:hAnsi="宋体" w:eastAsia="宋体"/>
          <w:sz w:val="21"/>
          <w:szCs w:val="21"/>
        </w:rPr>
      </w:pPr>
      <w:r>
        <w:rPr>
          <w:rFonts w:hint="eastAsia" w:ascii="宋体" w:hAnsi="宋体" w:eastAsia="宋体"/>
          <w:sz w:val="21"/>
          <w:szCs w:val="21"/>
        </w:rPr>
        <w:t>逾期竣工违约金的计算方法：</w:t>
      </w:r>
      <w:r>
        <w:rPr>
          <w:rFonts w:hint="eastAsia" w:ascii="宋体" w:hAnsi="宋体" w:eastAsia="宋体"/>
          <w:sz w:val="21"/>
          <w:szCs w:val="21"/>
          <w:u w:val="single"/>
        </w:rPr>
        <w:t>每延误一天，乙方应当向甲方赔偿签约合同价的0.</w:t>
      </w:r>
      <w:r>
        <w:rPr>
          <w:rFonts w:ascii="宋体" w:hAnsi="宋体" w:eastAsia="宋体"/>
          <w:sz w:val="21"/>
          <w:szCs w:val="21"/>
          <w:u w:val="single"/>
        </w:rPr>
        <w:t>5</w:t>
      </w:r>
      <w:r>
        <w:rPr>
          <w:rFonts w:hint="eastAsia" w:ascii="宋体" w:hAnsi="宋体" w:eastAsia="宋体"/>
          <w:sz w:val="21"/>
          <w:szCs w:val="21"/>
          <w:u w:val="single"/>
        </w:rPr>
        <w:t>‰/天整，不足一天按一天计</w:t>
      </w:r>
      <w:r>
        <w:rPr>
          <w:rFonts w:hint="eastAsia" w:ascii="宋体" w:hAnsi="宋体" w:eastAsia="宋体"/>
          <w:sz w:val="21"/>
          <w:szCs w:val="21"/>
        </w:rPr>
        <w:t xml:space="preserve">。 </w:t>
      </w:r>
    </w:p>
    <w:p w14:paraId="26BAFE08">
      <w:pPr>
        <w:pStyle w:val="27"/>
        <w:spacing w:line="400" w:lineRule="exact"/>
        <w:ind w:firstLineChars="0"/>
        <w:rPr>
          <w:rFonts w:hint="eastAsia" w:ascii="宋体" w:hAnsi="宋体" w:eastAsia="宋体"/>
          <w:sz w:val="21"/>
          <w:szCs w:val="21"/>
        </w:rPr>
      </w:pPr>
      <w:r>
        <w:rPr>
          <w:rFonts w:hint="eastAsia" w:ascii="宋体" w:hAnsi="宋体" w:eastAsia="宋体"/>
          <w:sz w:val="21"/>
          <w:szCs w:val="21"/>
        </w:rPr>
        <w:t>逾期竣工</w:t>
      </w:r>
      <w:r>
        <w:rPr>
          <w:rFonts w:ascii="宋体" w:hAnsi="宋体" w:eastAsia="宋体"/>
          <w:sz w:val="21"/>
          <w:szCs w:val="21"/>
        </w:rPr>
        <w:t>违约</w:t>
      </w:r>
      <w:r>
        <w:rPr>
          <w:rFonts w:hint="eastAsia" w:ascii="宋体" w:hAnsi="宋体" w:eastAsia="宋体"/>
          <w:sz w:val="21"/>
          <w:szCs w:val="21"/>
        </w:rPr>
        <w:t>金</w:t>
      </w:r>
      <w:r>
        <w:rPr>
          <w:rFonts w:ascii="宋体" w:hAnsi="宋体" w:eastAsia="宋体"/>
          <w:sz w:val="21"/>
          <w:szCs w:val="21"/>
        </w:rPr>
        <w:t>最高限额</w:t>
      </w:r>
      <w:r>
        <w:rPr>
          <w:rFonts w:hint="eastAsia" w:ascii="宋体" w:hAnsi="宋体" w:eastAsia="宋体"/>
          <w:sz w:val="21"/>
          <w:szCs w:val="21"/>
        </w:rPr>
        <w:t>：</w:t>
      </w:r>
      <w:r>
        <w:rPr>
          <w:rFonts w:hint="eastAsia" w:ascii="宋体" w:hAnsi="宋体" w:eastAsia="宋体"/>
          <w:sz w:val="21"/>
          <w:szCs w:val="21"/>
          <w:u w:val="single"/>
        </w:rPr>
        <w:t>合同额的</w:t>
      </w:r>
      <w:r>
        <w:rPr>
          <w:rFonts w:ascii="宋体" w:hAnsi="宋体" w:eastAsia="宋体"/>
          <w:sz w:val="21"/>
          <w:szCs w:val="21"/>
          <w:u w:val="single"/>
        </w:rPr>
        <w:t>30%</w:t>
      </w:r>
      <w:r>
        <w:rPr>
          <w:rFonts w:hint="eastAsia" w:ascii="宋体" w:hAnsi="宋体" w:eastAsia="宋体"/>
          <w:sz w:val="21"/>
          <w:szCs w:val="21"/>
        </w:rPr>
        <w:t>。若因施工方原因延误工期导致发包方政府财政资金被收回，则施工方需承担发包方被政府收回的财政资金及孳息。</w:t>
      </w:r>
    </w:p>
    <w:p w14:paraId="21E94080">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11.6 工期提前</w:t>
      </w:r>
    </w:p>
    <w:p w14:paraId="5868FA5B">
      <w:pPr>
        <w:pStyle w:val="27"/>
        <w:spacing w:line="400" w:lineRule="exact"/>
        <w:ind w:firstLine="478" w:firstLineChars="228"/>
        <w:rPr>
          <w:rFonts w:hint="eastAsia" w:ascii="宋体" w:hAnsi="宋体" w:eastAsia="宋体"/>
          <w:sz w:val="21"/>
          <w:szCs w:val="21"/>
        </w:rPr>
      </w:pPr>
      <w:r>
        <w:rPr>
          <w:rFonts w:hint="eastAsia" w:ascii="宋体" w:hAnsi="宋体" w:eastAsia="宋体"/>
          <w:sz w:val="21"/>
          <w:szCs w:val="21"/>
        </w:rPr>
        <w:t>提前竣工的奖励办法：</w:t>
      </w:r>
      <w:r>
        <w:rPr>
          <w:rFonts w:hint="eastAsia" w:ascii="宋体" w:hAnsi="宋体" w:eastAsia="宋体"/>
          <w:sz w:val="21"/>
          <w:szCs w:val="21"/>
          <w:u w:val="single"/>
        </w:rPr>
        <w:t xml:space="preserve">  /  </w:t>
      </w:r>
      <w:r>
        <w:rPr>
          <w:rFonts w:hint="eastAsia" w:ascii="宋体" w:hAnsi="宋体" w:eastAsia="宋体"/>
          <w:sz w:val="21"/>
          <w:szCs w:val="21"/>
        </w:rPr>
        <w:t>。</w:t>
      </w:r>
    </w:p>
    <w:p w14:paraId="147C43B8">
      <w:pPr>
        <w:pStyle w:val="260"/>
        <w:spacing w:before="0"/>
        <w:outlineLvl w:val="9"/>
        <w:rPr>
          <w:rFonts w:hint="eastAsia" w:ascii="宋体" w:hAnsi="宋体"/>
          <w:sz w:val="21"/>
          <w:szCs w:val="21"/>
        </w:rPr>
      </w:pPr>
      <w:r>
        <w:rPr>
          <w:rFonts w:hint="eastAsia" w:ascii="宋体" w:hAnsi="宋体"/>
          <w:sz w:val="21"/>
          <w:szCs w:val="21"/>
        </w:rPr>
        <w:t>12. 暂停施工</w:t>
      </w:r>
    </w:p>
    <w:p w14:paraId="07F5C2B2">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12.1 乙方暂停施工的责任</w:t>
      </w:r>
    </w:p>
    <w:p w14:paraId="46EEF70E">
      <w:pPr>
        <w:pStyle w:val="27"/>
        <w:spacing w:line="400" w:lineRule="exact"/>
        <w:ind w:firstLineChars="0"/>
        <w:rPr>
          <w:rFonts w:hint="eastAsia" w:ascii="宋体" w:hAnsi="宋体" w:eastAsia="宋体"/>
          <w:sz w:val="21"/>
          <w:szCs w:val="21"/>
          <w:u w:val="single"/>
        </w:rPr>
      </w:pPr>
      <w:r>
        <w:rPr>
          <w:rFonts w:hint="eastAsia" w:ascii="宋体" w:hAnsi="宋体" w:eastAsia="宋体"/>
          <w:sz w:val="21"/>
          <w:szCs w:val="21"/>
        </w:rPr>
        <w:t>（5）乙方承担暂停施工责任的其他情形：</w:t>
      </w:r>
      <w:r>
        <w:rPr>
          <w:rFonts w:hint="eastAsia" w:ascii="宋体" w:hAnsi="宋体" w:eastAsia="宋体"/>
          <w:sz w:val="21"/>
          <w:szCs w:val="21"/>
          <w:u w:val="single"/>
        </w:rPr>
        <w:t>1）因乙方违反规范或任何工程质量不合格而进行返工、重建、修建的工期；2）未按设计要求进行施工或因施工组织方案不可行导致甲方未能按时审批而影响工期的；3）工程验收不合格发现存在质量问题或技术问题需要整改的；4）乙方自身原因的待工待料的；5）工程质量未达到等级标准要求，甲方要求乙方返工的。发生以上情形工期不予顺延，因此导致的额外费用甲方不予补偿。</w:t>
      </w:r>
    </w:p>
    <w:p w14:paraId="7652910E">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12.4 暂停施工后的复工</w:t>
      </w:r>
    </w:p>
    <w:p w14:paraId="6A7E7BFE">
      <w:pPr>
        <w:spacing w:line="400" w:lineRule="exact"/>
        <w:ind w:firstLine="420" w:firstLineChars="200"/>
        <w:rPr>
          <w:rFonts w:hint="eastAsia" w:ascii="宋体" w:hAnsi="宋体"/>
          <w:szCs w:val="21"/>
        </w:rPr>
      </w:pPr>
      <w:r>
        <w:rPr>
          <w:rFonts w:ascii="宋体" w:hAnsi="宋体" w:cs="Arial"/>
          <w:szCs w:val="21"/>
        </w:rPr>
        <w:t>12.</w:t>
      </w:r>
      <w:r>
        <w:rPr>
          <w:rFonts w:hint="eastAsia" w:ascii="宋体" w:hAnsi="宋体" w:cs="Arial"/>
          <w:szCs w:val="21"/>
        </w:rPr>
        <w:t xml:space="preserve">4.3 </w:t>
      </w:r>
      <w:r>
        <w:rPr>
          <w:rFonts w:hint="eastAsia" w:ascii="宋体" w:hAnsi="宋体"/>
          <w:szCs w:val="21"/>
        </w:rPr>
        <w:t>根据通用合同条款第12.4.1款的约定，监理人发出复工通知后，监理人应和乙方一起对受到暂停施工影响的工程、材料和工程设备进行检查。乙方负责修复在暂停施工期间发生在工程、材料和工程设备上的任何损蚀、缺陷或损失，修复费用由承担暂停施工责任的责任人承担。</w:t>
      </w:r>
    </w:p>
    <w:p w14:paraId="2AA2B542">
      <w:pPr>
        <w:spacing w:line="400" w:lineRule="exact"/>
        <w:ind w:firstLine="420" w:firstLineChars="200"/>
        <w:rPr>
          <w:rFonts w:hint="eastAsia" w:ascii="宋体" w:hAnsi="宋体"/>
          <w:szCs w:val="21"/>
        </w:rPr>
      </w:pPr>
      <w:r>
        <w:rPr>
          <w:rFonts w:ascii="宋体" w:hAnsi="宋体" w:cs="Arial"/>
          <w:szCs w:val="21"/>
        </w:rPr>
        <w:t>12.</w:t>
      </w:r>
      <w:r>
        <w:rPr>
          <w:rFonts w:hint="eastAsia" w:ascii="宋体" w:hAnsi="宋体" w:cs="Arial"/>
          <w:szCs w:val="21"/>
        </w:rPr>
        <w:t xml:space="preserve">4.4 </w:t>
      </w:r>
      <w:r>
        <w:rPr>
          <w:rFonts w:hint="eastAsia" w:ascii="宋体" w:hAnsi="宋体"/>
          <w:szCs w:val="21"/>
        </w:rPr>
        <w:t>因发包人的原因造成暂停施工持续56天以上，按合同约定由承包人提供的材料和工程设备，由于暂停施工原因导致承包人在暂停施工前已经订购但被暂停运至施工现场的，发包人应按照承包人订购合同的约定支付相应的订货损失。</w:t>
      </w:r>
    </w:p>
    <w:p w14:paraId="36630DE7">
      <w:pPr>
        <w:pStyle w:val="260"/>
        <w:spacing w:before="0"/>
        <w:outlineLvl w:val="9"/>
        <w:rPr>
          <w:rFonts w:hint="eastAsia" w:ascii="宋体" w:hAnsi="宋体"/>
          <w:sz w:val="21"/>
          <w:szCs w:val="21"/>
        </w:rPr>
      </w:pPr>
      <w:r>
        <w:rPr>
          <w:rFonts w:hint="eastAsia" w:ascii="宋体" w:hAnsi="宋体"/>
          <w:sz w:val="21"/>
          <w:szCs w:val="21"/>
        </w:rPr>
        <w:t>13. 工程质量</w:t>
      </w:r>
    </w:p>
    <w:p w14:paraId="6A681D33">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13.2 乙方的质量管理</w:t>
      </w:r>
    </w:p>
    <w:p w14:paraId="36228272">
      <w:pPr>
        <w:spacing w:line="400" w:lineRule="exact"/>
        <w:ind w:firstLine="420" w:firstLineChars="200"/>
        <w:rPr>
          <w:rFonts w:hint="eastAsia" w:ascii="宋体" w:hAnsi="宋体" w:cs="Arial"/>
          <w:szCs w:val="21"/>
        </w:rPr>
      </w:pPr>
      <w:r>
        <w:rPr>
          <w:rFonts w:ascii="宋体" w:hAnsi="宋体"/>
          <w:szCs w:val="21"/>
        </w:rPr>
        <w:t>1</w:t>
      </w:r>
      <w:r>
        <w:rPr>
          <w:rFonts w:hint="eastAsia" w:ascii="宋体" w:hAnsi="宋体"/>
          <w:szCs w:val="21"/>
        </w:rPr>
        <w:t>3</w:t>
      </w:r>
      <w:r>
        <w:rPr>
          <w:rFonts w:ascii="宋体" w:hAnsi="宋体"/>
          <w:szCs w:val="21"/>
        </w:rPr>
        <w:t>.</w:t>
      </w:r>
      <w:r>
        <w:rPr>
          <w:rFonts w:hint="eastAsia" w:ascii="宋体" w:hAnsi="宋体"/>
          <w:szCs w:val="21"/>
        </w:rPr>
        <w:t>2</w:t>
      </w:r>
      <w:r>
        <w:rPr>
          <w:rFonts w:ascii="宋体" w:hAnsi="宋体"/>
          <w:szCs w:val="21"/>
        </w:rPr>
        <w:t>.</w:t>
      </w:r>
      <w:r>
        <w:rPr>
          <w:rFonts w:hint="eastAsia" w:ascii="宋体" w:hAnsi="宋体"/>
          <w:szCs w:val="21"/>
        </w:rPr>
        <w:t>1乙方向监理人提交工程质量保证措施文件的期限：</w:t>
      </w:r>
      <w:r>
        <w:rPr>
          <w:rFonts w:hint="eastAsia" w:ascii="宋体" w:hAnsi="宋体"/>
          <w:szCs w:val="21"/>
          <w:u w:val="single"/>
        </w:rPr>
        <w:t>合同生效后7日内</w:t>
      </w:r>
      <w:r>
        <w:rPr>
          <w:rFonts w:ascii="宋体" w:hAnsi="宋体"/>
          <w:szCs w:val="21"/>
          <w:u w:val="single"/>
        </w:rPr>
        <w:t>。</w:t>
      </w:r>
    </w:p>
    <w:p w14:paraId="2A83D971">
      <w:pPr>
        <w:spacing w:line="400" w:lineRule="exact"/>
        <w:ind w:firstLine="420" w:firstLineChars="200"/>
        <w:rPr>
          <w:rFonts w:hint="eastAsia" w:ascii="宋体" w:hAnsi="宋体"/>
          <w:szCs w:val="21"/>
        </w:rPr>
      </w:pPr>
      <w:r>
        <w:rPr>
          <w:rFonts w:hint="eastAsia" w:ascii="宋体" w:hAnsi="宋体"/>
          <w:szCs w:val="21"/>
        </w:rPr>
        <w:t>监理人审批工程质量保证措施文件的期限：</w:t>
      </w:r>
      <w:r>
        <w:rPr>
          <w:rFonts w:hint="eastAsia" w:ascii="宋体" w:hAnsi="宋体"/>
          <w:szCs w:val="21"/>
          <w:u w:val="single"/>
        </w:rPr>
        <w:t>收到质量保证措施文件后7日内。</w:t>
      </w:r>
    </w:p>
    <w:p w14:paraId="203616DD">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13.3 乙方的质量检查</w:t>
      </w:r>
    </w:p>
    <w:p w14:paraId="1152574E">
      <w:pPr>
        <w:spacing w:line="400" w:lineRule="exact"/>
        <w:ind w:firstLine="420" w:firstLineChars="200"/>
        <w:rPr>
          <w:rFonts w:hint="eastAsia" w:ascii="宋体" w:hAnsi="宋体"/>
          <w:szCs w:val="21"/>
          <w:u w:val="single"/>
        </w:rPr>
      </w:pPr>
      <w:r>
        <w:rPr>
          <w:rFonts w:hint="eastAsia" w:ascii="宋体" w:hAnsi="宋体"/>
          <w:szCs w:val="21"/>
        </w:rPr>
        <w:t>乙方向监理人报送工程质量报表的期限：</w:t>
      </w:r>
      <w:r>
        <w:rPr>
          <w:rFonts w:hint="eastAsia" w:ascii="宋体" w:hAnsi="宋体"/>
          <w:szCs w:val="21"/>
          <w:u w:val="single"/>
        </w:rPr>
        <w:t>每月25日提交</w:t>
      </w:r>
      <w:r>
        <w:rPr>
          <w:rFonts w:ascii="宋体" w:hAnsi="宋体"/>
          <w:szCs w:val="21"/>
          <w:u w:val="single"/>
        </w:rPr>
        <w:t>。</w:t>
      </w:r>
    </w:p>
    <w:p w14:paraId="2ACC61C8">
      <w:pPr>
        <w:spacing w:line="400" w:lineRule="exact"/>
        <w:ind w:firstLine="420" w:firstLineChars="200"/>
        <w:rPr>
          <w:rFonts w:hint="eastAsia" w:ascii="宋体" w:hAnsi="宋体"/>
          <w:szCs w:val="21"/>
        </w:rPr>
      </w:pPr>
      <w:r>
        <w:rPr>
          <w:rFonts w:hint="eastAsia" w:ascii="宋体" w:hAnsi="宋体"/>
          <w:szCs w:val="21"/>
        </w:rPr>
        <w:t>乙方向监理人报送工程质量报表的要求：</w:t>
      </w:r>
      <w:r>
        <w:rPr>
          <w:rFonts w:hint="eastAsia" w:ascii="宋体" w:hAnsi="宋体"/>
          <w:szCs w:val="21"/>
          <w:u w:val="single"/>
        </w:rPr>
        <w:t xml:space="preserve">                /                    </w:t>
      </w:r>
      <w:r>
        <w:rPr>
          <w:rFonts w:ascii="宋体" w:hAnsi="宋体"/>
          <w:szCs w:val="21"/>
        </w:rPr>
        <w:t>。</w:t>
      </w:r>
    </w:p>
    <w:p w14:paraId="7DF7B57D">
      <w:pPr>
        <w:spacing w:line="400" w:lineRule="exact"/>
        <w:ind w:firstLine="420" w:firstLineChars="200"/>
        <w:rPr>
          <w:rFonts w:hint="eastAsia" w:ascii="宋体" w:hAnsi="宋体"/>
          <w:szCs w:val="21"/>
          <w:u w:val="single"/>
        </w:rPr>
      </w:pPr>
      <w:r>
        <w:rPr>
          <w:rFonts w:hint="eastAsia" w:ascii="宋体" w:hAnsi="宋体"/>
          <w:szCs w:val="21"/>
        </w:rPr>
        <w:t>监理人审查工程质量报表的期限：</w:t>
      </w:r>
      <w:r>
        <w:rPr>
          <w:rFonts w:hint="eastAsia" w:ascii="宋体" w:hAnsi="宋体"/>
          <w:szCs w:val="21"/>
          <w:u w:val="single"/>
        </w:rPr>
        <w:t>收到乙方提交的工程质量报表后7天内进行审查</w:t>
      </w:r>
      <w:r>
        <w:rPr>
          <w:rFonts w:ascii="宋体" w:hAnsi="宋体"/>
          <w:szCs w:val="21"/>
          <w:u w:val="single"/>
        </w:rPr>
        <w:t>。</w:t>
      </w:r>
    </w:p>
    <w:p w14:paraId="697AA19F">
      <w:pPr>
        <w:spacing w:line="400" w:lineRule="exact"/>
        <w:rPr>
          <w:rFonts w:hint="eastAsia" w:ascii="宋体" w:hAnsi="宋体" w:cs="Arial"/>
          <w:szCs w:val="21"/>
        </w:rPr>
      </w:pPr>
      <w:r>
        <w:rPr>
          <w:rFonts w:hint="eastAsia" w:ascii="宋体" w:hAnsi="宋体" w:cs="Arial"/>
          <w:szCs w:val="21"/>
        </w:rPr>
        <w:t>13.4 监理人的质量检查</w:t>
      </w:r>
    </w:p>
    <w:p w14:paraId="7A78D077">
      <w:pPr>
        <w:spacing w:line="400" w:lineRule="exact"/>
        <w:ind w:firstLine="420" w:firstLineChars="200"/>
        <w:rPr>
          <w:rFonts w:hint="eastAsia" w:ascii="宋体" w:hAnsi="宋体"/>
          <w:szCs w:val="21"/>
        </w:rPr>
      </w:pPr>
      <w:r>
        <w:rPr>
          <w:rFonts w:hint="eastAsia" w:ascii="宋体" w:hAnsi="宋体"/>
          <w:szCs w:val="21"/>
        </w:rPr>
        <w:t>乙方应当为监理人的检查和检验提供方便，监理人可以进行察看和查阅施工原始记录的其他地方包括：</w:t>
      </w:r>
      <w:r>
        <w:rPr>
          <w:rFonts w:hint="eastAsia" w:ascii="宋体" w:hAnsi="宋体"/>
          <w:szCs w:val="21"/>
          <w:u w:val="single"/>
        </w:rPr>
        <w:t>乙方的材料加工现场</w:t>
      </w:r>
      <w:r>
        <w:rPr>
          <w:rFonts w:hint="eastAsia" w:ascii="宋体" w:hAnsi="宋体"/>
          <w:szCs w:val="21"/>
        </w:rPr>
        <w:t>。</w:t>
      </w:r>
    </w:p>
    <w:p w14:paraId="42D86AA9">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13.5 工程隐蔽部位覆盖前的检查</w:t>
      </w:r>
    </w:p>
    <w:p w14:paraId="29077A12">
      <w:pPr>
        <w:spacing w:line="400" w:lineRule="exact"/>
        <w:ind w:firstLine="420" w:firstLineChars="200"/>
        <w:rPr>
          <w:rFonts w:hint="eastAsia" w:ascii="宋体" w:hAnsi="宋体" w:cs="Arial"/>
          <w:szCs w:val="21"/>
          <w:u w:val="single"/>
        </w:rPr>
      </w:pPr>
      <w:r>
        <w:rPr>
          <w:rFonts w:ascii="宋体" w:hAnsi="宋体"/>
          <w:szCs w:val="21"/>
        </w:rPr>
        <w:t>1</w:t>
      </w:r>
      <w:r>
        <w:rPr>
          <w:rFonts w:hint="eastAsia" w:ascii="宋体" w:hAnsi="宋体"/>
          <w:szCs w:val="21"/>
        </w:rPr>
        <w:t>3</w:t>
      </w:r>
      <w:r>
        <w:rPr>
          <w:rFonts w:ascii="宋体" w:hAnsi="宋体"/>
          <w:szCs w:val="21"/>
        </w:rPr>
        <w:t>.</w:t>
      </w:r>
      <w:r>
        <w:rPr>
          <w:rFonts w:hint="eastAsia" w:ascii="宋体" w:hAnsi="宋体"/>
          <w:szCs w:val="21"/>
        </w:rPr>
        <w:t>5</w:t>
      </w:r>
      <w:r>
        <w:rPr>
          <w:rFonts w:ascii="宋体" w:hAnsi="宋体"/>
          <w:szCs w:val="21"/>
        </w:rPr>
        <w:t>.</w:t>
      </w:r>
      <w:r>
        <w:rPr>
          <w:rFonts w:hint="eastAsia" w:ascii="宋体" w:hAnsi="宋体"/>
          <w:szCs w:val="21"/>
        </w:rPr>
        <w:t>1监理人对工程隐蔽部位进行检查的期限：</w:t>
      </w:r>
      <w:r>
        <w:rPr>
          <w:rFonts w:hint="eastAsia" w:ascii="宋体" w:hAnsi="宋体"/>
          <w:szCs w:val="21"/>
          <w:u w:val="single"/>
        </w:rPr>
        <w:t>收到乙方的检查通知后12小时内。</w:t>
      </w:r>
    </w:p>
    <w:p w14:paraId="19EECD26">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13.7 质量争议</w:t>
      </w:r>
    </w:p>
    <w:p w14:paraId="5E4615B1">
      <w:pPr>
        <w:spacing w:line="400" w:lineRule="exact"/>
        <w:ind w:firstLine="420" w:firstLineChars="200"/>
        <w:rPr>
          <w:rFonts w:hint="eastAsia" w:ascii="宋体" w:hAnsi="宋体"/>
          <w:szCs w:val="21"/>
        </w:rPr>
      </w:pPr>
      <w:r>
        <w:rPr>
          <w:rFonts w:hint="eastAsia" w:ascii="宋体" w:hAnsi="宋体"/>
          <w:szCs w:val="21"/>
        </w:rPr>
        <w:t>甲方和乙方对工程质量有争议的，除可按合同条款第24条办理外，监理人可提请合同双方委托有相应资质的工程质量检测机构进行鉴定，所需费用及因此造成的损失，由责任人承担，双方均有责任，由双方根据其责任分别承担。经检测，质量确有缺陷的，已竣工验收或已竣工未验收但实际投入使用的工程，其处理按工程保修书的约定执行；已竣工未验收且未实际投入使用的工程以及停工、停建的工程，根据检测结果确定解决方案，或按工程质量监督机构的处理决定执行。</w:t>
      </w:r>
    </w:p>
    <w:p w14:paraId="437CC3B0">
      <w:pPr>
        <w:pStyle w:val="260"/>
        <w:spacing w:before="0"/>
        <w:outlineLvl w:val="9"/>
        <w:rPr>
          <w:rFonts w:hint="eastAsia" w:ascii="宋体" w:hAnsi="宋体"/>
          <w:sz w:val="21"/>
          <w:szCs w:val="21"/>
        </w:rPr>
      </w:pPr>
      <w:r>
        <w:rPr>
          <w:rFonts w:hint="eastAsia" w:ascii="宋体" w:hAnsi="宋体"/>
          <w:sz w:val="21"/>
          <w:szCs w:val="21"/>
        </w:rPr>
        <w:t>15. 变更</w:t>
      </w:r>
    </w:p>
    <w:p w14:paraId="77C80916">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15.1 变更的范围和内容</w:t>
      </w:r>
    </w:p>
    <w:p w14:paraId="35E851DD">
      <w:pPr>
        <w:spacing w:line="400" w:lineRule="exact"/>
        <w:ind w:firstLine="420" w:firstLineChars="200"/>
        <w:rPr>
          <w:rFonts w:hint="eastAsia" w:ascii="宋体" w:hAnsi="宋体"/>
          <w:szCs w:val="21"/>
        </w:rPr>
      </w:pPr>
      <w:r>
        <w:rPr>
          <w:rFonts w:hint="eastAsia" w:ascii="宋体" w:hAnsi="宋体"/>
          <w:szCs w:val="21"/>
        </w:rPr>
        <w:t>应当进行变更的其他情形：</w:t>
      </w:r>
      <w:r>
        <w:rPr>
          <w:rFonts w:hint="eastAsia" w:ascii="宋体" w:hAnsi="宋体"/>
          <w:szCs w:val="21"/>
          <w:u w:val="single"/>
        </w:rPr>
        <w:t xml:space="preserve">合同风险范围以外的内容为：（1）设计变更及洽商变更；（2）主要材料、人工及机械的价格超出约定承担风险的范围；（3）双方约定的其他内容：国家政策明确必须调整的内容等 </w:t>
      </w:r>
      <w:r>
        <w:rPr>
          <w:rFonts w:hint="eastAsia" w:ascii="宋体" w:hAnsi="宋体"/>
          <w:szCs w:val="21"/>
        </w:rPr>
        <w:t>。</w:t>
      </w:r>
    </w:p>
    <w:p w14:paraId="7AA0D3C4">
      <w:pPr>
        <w:spacing w:line="400" w:lineRule="exact"/>
        <w:ind w:firstLine="420" w:firstLineChars="200"/>
        <w:rPr>
          <w:rFonts w:hint="eastAsia" w:ascii="宋体" w:hAnsi="宋体"/>
          <w:szCs w:val="21"/>
        </w:rPr>
      </w:pPr>
      <w:r>
        <w:rPr>
          <w:rFonts w:hint="eastAsia" w:ascii="宋体" w:hAnsi="宋体"/>
          <w:szCs w:val="21"/>
        </w:rPr>
        <w:t>甲方违背通用合同条款15.1（1）目的约定，将被取消的合同中的工作转由甲方或其他人实施的，乙方可向监理人发出通知，要求甲方采取有效措施纠正违约行为，甲方在监理人收到乙方通知后28天内仍不纠正违约行为的，应当赔偿乙方损失（包括合理的利润）并承担由此引起的其他责任。乙方应当按通用合同条款第23.1.1（1）目的约定，在上述28天期限到期后的28天内，向监理人递交索赔意向通知书,并按通用合同条款第23.1.1（2）目的约定，及时向监理人递交正式索赔通知书，说明有权得到的损失赔偿金额并附必要的记录和证明材料。甲方支付给乙方的损失赔偿金额应当包括被取消工作的合同价值中所包含的乙方管理费、利润以及相应的税金和规费。</w:t>
      </w:r>
    </w:p>
    <w:p w14:paraId="70591268">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15.3 变更程序</w:t>
      </w:r>
    </w:p>
    <w:p w14:paraId="7139B367">
      <w:pPr>
        <w:spacing w:line="400" w:lineRule="exact"/>
        <w:ind w:firstLine="420" w:firstLineChars="200"/>
        <w:rPr>
          <w:rFonts w:hint="eastAsia" w:ascii="宋体" w:hAnsi="宋体" w:cs="Arial"/>
          <w:szCs w:val="21"/>
        </w:rPr>
      </w:pPr>
      <w:r>
        <w:rPr>
          <w:rFonts w:hint="eastAsia" w:ascii="宋体" w:hAnsi="宋体" w:cs="Arial"/>
          <w:szCs w:val="21"/>
        </w:rPr>
        <w:t>15.3.2 变更估价</w:t>
      </w:r>
    </w:p>
    <w:p w14:paraId="78BBF65C">
      <w:pPr>
        <w:spacing w:line="400" w:lineRule="exact"/>
        <w:ind w:firstLine="420" w:firstLineChars="200"/>
        <w:rPr>
          <w:rFonts w:hint="eastAsia" w:ascii="宋体" w:hAnsi="宋体"/>
          <w:szCs w:val="21"/>
        </w:rPr>
      </w:pPr>
      <w:r>
        <w:rPr>
          <w:rFonts w:hint="eastAsia" w:ascii="宋体" w:hAnsi="宋体"/>
          <w:szCs w:val="21"/>
        </w:rPr>
        <w:t>（1）乙方提交变更报价书的期限：</w:t>
      </w:r>
      <w:r>
        <w:rPr>
          <w:rFonts w:hint="eastAsia" w:ascii="宋体" w:hAnsi="宋体"/>
          <w:szCs w:val="21"/>
          <w:u w:val="single"/>
        </w:rPr>
        <w:t>乙方收到变更指示或变更意向书后14天内。</w:t>
      </w:r>
    </w:p>
    <w:p w14:paraId="70AFCFF4">
      <w:pPr>
        <w:spacing w:line="400" w:lineRule="exact"/>
        <w:ind w:firstLine="420" w:firstLineChars="200"/>
        <w:rPr>
          <w:rFonts w:hint="eastAsia" w:ascii="宋体" w:hAnsi="宋体"/>
          <w:szCs w:val="21"/>
          <w:u w:val="single"/>
        </w:rPr>
      </w:pPr>
      <w:r>
        <w:rPr>
          <w:rFonts w:hint="eastAsia" w:ascii="宋体" w:hAnsi="宋体"/>
          <w:szCs w:val="21"/>
        </w:rPr>
        <w:t>（3）监理人商定或确定变更价格的期限：</w:t>
      </w:r>
      <w:r>
        <w:rPr>
          <w:rFonts w:hint="eastAsia" w:ascii="宋体" w:hAnsi="宋体"/>
          <w:szCs w:val="21"/>
          <w:u w:val="single"/>
        </w:rPr>
        <w:t>甲方收到乙方变更报价书后14天内给予初步答复。</w:t>
      </w:r>
    </w:p>
    <w:p w14:paraId="269D49D1">
      <w:pPr>
        <w:spacing w:line="400" w:lineRule="exact"/>
        <w:ind w:firstLine="420" w:firstLineChars="200"/>
        <w:rPr>
          <w:rFonts w:hint="eastAsia" w:ascii="宋体" w:hAnsi="宋体"/>
          <w:szCs w:val="21"/>
        </w:rPr>
      </w:pPr>
      <w:r>
        <w:rPr>
          <w:rFonts w:hint="eastAsia" w:ascii="宋体" w:hAnsi="宋体"/>
          <w:szCs w:val="21"/>
        </w:rPr>
        <w:t>（4）收到变更指示后，如乙方未在规定的期限内提交变更报价书的，监理人可自行决定是否调整合同价款以及如果监理人决定调整合同价款时，相应调整的具体金额。</w:t>
      </w:r>
    </w:p>
    <w:p w14:paraId="1D52E45E">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15.4 变更的估价原则</w:t>
      </w:r>
    </w:p>
    <w:p w14:paraId="0E1BD68B">
      <w:pPr>
        <w:spacing w:line="400" w:lineRule="exact"/>
        <w:ind w:firstLine="420" w:firstLineChars="200"/>
        <w:rPr>
          <w:rFonts w:hint="eastAsia" w:ascii="宋体" w:hAnsi="宋体"/>
          <w:szCs w:val="21"/>
        </w:rPr>
      </w:pPr>
      <w:r>
        <w:rPr>
          <w:rFonts w:hint="eastAsia" w:ascii="宋体" w:hAnsi="宋体"/>
          <w:szCs w:val="21"/>
        </w:rPr>
        <w:t>15.4.4 因工程量清单漏项（仅适用于合同协议书约定采用单价合同形式时）或变更引起措施项目发生变化，原措施项目费中已有的措施项目，采用原措施项目费的组价方法变更；原措施项目费中没有的措施项目，由乙方根据措施项目变更情况，提出适当的措施项目费变更，由监理人按第3.5款商定或确定变更措施项目的费用。</w:t>
      </w:r>
    </w:p>
    <w:p w14:paraId="20354578">
      <w:pPr>
        <w:spacing w:line="400" w:lineRule="exact"/>
        <w:ind w:firstLine="420" w:firstLineChars="200"/>
        <w:rPr>
          <w:rFonts w:hint="eastAsia" w:ascii="宋体" w:hAnsi="宋体"/>
          <w:szCs w:val="21"/>
        </w:rPr>
      </w:pPr>
      <w:r>
        <w:rPr>
          <w:rFonts w:hint="eastAsia" w:ascii="宋体" w:hAnsi="宋体"/>
          <w:szCs w:val="21"/>
        </w:rPr>
        <w:t>15.4.5 合同协议书约定采用单价合同形式时，因非乙方原因引起已标价工程量清单中列明的工程量发生增减，且单个子目工程量变化幅度在</w:t>
      </w:r>
      <w:r>
        <w:rPr>
          <w:rFonts w:hint="eastAsia" w:ascii="宋体" w:hAnsi="宋体"/>
          <w:szCs w:val="21"/>
          <w:u w:val="single"/>
        </w:rPr>
        <w:t xml:space="preserve">  15  </w:t>
      </w:r>
      <w:r>
        <w:rPr>
          <w:rFonts w:hint="eastAsia" w:ascii="宋体" w:hAnsi="宋体"/>
          <w:szCs w:val="21"/>
        </w:rPr>
        <w:t>%以内（含）时，应执行已标价工程量清单中列明的该子目的单价；单个子目工程量变化幅度在</w:t>
      </w:r>
      <w:r>
        <w:rPr>
          <w:rFonts w:hint="eastAsia" w:ascii="宋体" w:hAnsi="宋体"/>
          <w:szCs w:val="21"/>
          <w:u w:val="single"/>
        </w:rPr>
        <w:t xml:space="preserve">   15   </w:t>
      </w:r>
      <w:r>
        <w:rPr>
          <w:rFonts w:hint="eastAsia" w:ascii="宋体" w:hAnsi="宋体"/>
          <w:szCs w:val="21"/>
        </w:rPr>
        <w:t>%以外（不含），且导致分部分项工程费总额变化幅度超过</w:t>
      </w:r>
      <w:r>
        <w:rPr>
          <w:rFonts w:hint="eastAsia" w:ascii="宋体" w:hAnsi="宋体"/>
          <w:szCs w:val="21"/>
          <w:u w:val="single"/>
        </w:rPr>
        <w:t xml:space="preserve">   0.1  </w:t>
      </w:r>
      <w:r>
        <w:rPr>
          <w:rFonts w:hint="eastAsia" w:ascii="宋体" w:hAnsi="宋体"/>
          <w:szCs w:val="21"/>
        </w:rPr>
        <w:t>%时，由乙方提出并由监理人按第3.5款商定或确定新的单价，该子目按修正后的新的单价计价。</w:t>
      </w:r>
    </w:p>
    <w:p w14:paraId="1B0C0295">
      <w:pPr>
        <w:spacing w:line="400" w:lineRule="exact"/>
        <w:ind w:firstLine="420" w:firstLineChars="200"/>
        <w:rPr>
          <w:rFonts w:hint="eastAsia" w:ascii="宋体" w:hAnsi="宋体"/>
          <w:szCs w:val="21"/>
          <w:u w:val="single"/>
        </w:rPr>
      </w:pPr>
      <w:r>
        <w:rPr>
          <w:rFonts w:hint="eastAsia" w:ascii="宋体" w:hAnsi="宋体"/>
          <w:szCs w:val="21"/>
        </w:rPr>
        <w:t>5.4.6 因变更引起价格调整的其他处理方式：</w:t>
      </w:r>
      <w:r>
        <w:rPr>
          <w:rFonts w:hint="eastAsia" w:ascii="宋体" w:hAnsi="宋体"/>
          <w:szCs w:val="21"/>
          <w:u w:val="single"/>
        </w:rPr>
        <w:t>因工程变更而引起价格变化时，需调整工程量综合单价或确定新的综合单价时符合15.4款的按15.4款的方法调整，如果15.4款没有适用的条款时，需调整的工程量单价以招标时的工程招标控制价中的人、材、机和中标单位的投标费率组成新的综合单价，以此进行相应调整。</w:t>
      </w:r>
      <w:r>
        <w:rPr>
          <w:rFonts w:ascii="宋体" w:hAnsi="宋体"/>
          <w:szCs w:val="21"/>
          <w:u w:val="single"/>
        </w:rPr>
        <w:t>工程量单价按投标期的人、材、机及投标费率组成</w:t>
      </w:r>
      <w:r>
        <w:rPr>
          <w:rFonts w:hint="eastAsia" w:ascii="宋体" w:hAnsi="宋体"/>
          <w:szCs w:val="21"/>
          <w:u w:val="single"/>
        </w:rPr>
        <w:t>，</w:t>
      </w:r>
      <w:r>
        <w:rPr>
          <w:rFonts w:ascii="宋体" w:hAnsi="宋体"/>
          <w:szCs w:val="21"/>
          <w:u w:val="single"/>
        </w:rPr>
        <w:t>人材机单价采用投标书中单价，投标书中没有的，按投标期北京工程造价信息价</w:t>
      </w:r>
      <w:r>
        <w:rPr>
          <w:rFonts w:hint="eastAsia" w:ascii="宋体" w:hAnsi="宋体"/>
          <w:szCs w:val="21"/>
          <w:u w:val="single"/>
        </w:rPr>
        <w:t>，造价信息中有上、下限的，以下限为准，工程造价</w:t>
      </w:r>
      <w:r>
        <w:rPr>
          <w:rFonts w:ascii="宋体" w:hAnsi="宋体"/>
          <w:szCs w:val="21"/>
          <w:u w:val="single"/>
        </w:rPr>
        <w:t>信息价没有的，按投标书中对类似定额工料机基价的调整系数进行调整</w:t>
      </w:r>
      <w:r>
        <w:rPr>
          <w:rFonts w:hint="eastAsia" w:ascii="宋体" w:hAnsi="宋体"/>
          <w:szCs w:val="21"/>
          <w:u w:val="single"/>
        </w:rPr>
        <w:t>，或按甲方与乙方共同确认的市场价格为准。</w:t>
      </w:r>
    </w:p>
    <w:p w14:paraId="683AFF53">
      <w:pPr>
        <w:spacing w:line="400" w:lineRule="exact"/>
        <w:ind w:firstLine="525" w:firstLineChars="250"/>
        <w:rPr>
          <w:rFonts w:hint="eastAsia" w:ascii="宋体" w:hAnsi="宋体" w:cs="Arial"/>
          <w:szCs w:val="21"/>
        </w:rPr>
      </w:pPr>
      <w:r>
        <w:rPr>
          <w:rFonts w:hint="eastAsia" w:ascii="宋体" w:hAnsi="宋体" w:cs="Arial"/>
          <w:szCs w:val="21"/>
        </w:rPr>
        <w:t>15.5 乙方的合理化建议</w:t>
      </w:r>
    </w:p>
    <w:p w14:paraId="26A59737">
      <w:pPr>
        <w:spacing w:line="400" w:lineRule="exact"/>
        <w:ind w:firstLine="420" w:firstLineChars="200"/>
        <w:rPr>
          <w:rFonts w:hint="eastAsia" w:ascii="宋体" w:hAnsi="宋体"/>
          <w:szCs w:val="21"/>
        </w:rPr>
      </w:pPr>
      <w:r>
        <w:rPr>
          <w:rFonts w:hint="eastAsia" w:ascii="宋体" w:hAnsi="宋体"/>
          <w:szCs w:val="21"/>
        </w:rPr>
        <w:t>15.5.2对乙方提出合理化建议的奖励方法：</w:t>
      </w:r>
      <w:r>
        <w:rPr>
          <w:rFonts w:hint="eastAsia" w:ascii="宋体" w:hAnsi="宋体"/>
          <w:szCs w:val="21"/>
          <w:u w:val="single"/>
        </w:rPr>
        <w:t xml:space="preserve">    /  </w:t>
      </w:r>
      <w:r>
        <w:rPr>
          <w:rFonts w:hint="eastAsia" w:ascii="宋体" w:hAnsi="宋体"/>
          <w:szCs w:val="21"/>
        </w:rPr>
        <w:t>。</w:t>
      </w:r>
    </w:p>
    <w:p w14:paraId="62FC3181">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15.8 暂估价</w:t>
      </w:r>
    </w:p>
    <w:p w14:paraId="6AEF2A76">
      <w:pPr>
        <w:spacing w:line="400" w:lineRule="exact"/>
        <w:ind w:firstLine="420" w:firstLineChars="200"/>
        <w:rPr>
          <w:rFonts w:hint="eastAsia" w:ascii="宋体" w:hAnsi="宋体"/>
          <w:szCs w:val="21"/>
        </w:rPr>
      </w:pPr>
      <w:r>
        <w:rPr>
          <w:rFonts w:hint="eastAsia" w:ascii="宋体" w:hAnsi="宋体"/>
          <w:szCs w:val="21"/>
        </w:rPr>
        <w:t>15.8.1按合同约定应当由甲方和乙方采用招标方式选择专项供应商或专业分包人的，应当由乙方作为招标人，依法组织招标工作并接受有管辖权的建设工程招标投标行政监督部门的监督。与组织招标工作有关的费用应当被认为已经包括在乙方的签约合同价（投标总报价）中：</w:t>
      </w:r>
    </w:p>
    <w:p w14:paraId="082F062F">
      <w:pPr>
        <w:spacing w:line="400" w:lineRule="exact"/>
        <w:ind w:firstLine="420" w:firstLineChars="200"/>
        <w:rPr>
          <w:rFonts w:hint="eastAsia" w:ascii="宋体" w:hAnsi="宋体"/>
          <w:szCs w:val="21"/>
        </w:rPr>
      </w:pPr>
      <w:r>
        <w:rPr>
          <w:rFonts w:hint="eastAsia" w:ascii="宋体" w:hAnsi="宋体"/>
          <w:szCs w:val="21"/>
        </w:rPr>
        <w:t>（1）在任何招标工作启动前，乙方应当提前至少</w:t>
      </w:r>
      <w:r>
        <w:rPr>
          <w:rFonts w:hint="eastAsia" w:ascii="宋体" w:hAnsi="宋体"/>
          <w:szCs w:val="21"/>
          <w:u w:val="single"/>
        </w:rPr>
        <w:t xml:space="preserve">  /  </w:t>
      </w:r>
      <w:r>
        <w:rPr>
          <w:rFonts w:hint="eastAsia" w:ascii="宋体" w:hAnsi="宋体"/>
          <w:szCs w:val="21"/>
        </w:rPr>
        <w:t>天编制招标工作计划并通过监理人报请甲方审批，招标工作计划应当包括招标工作的时间安排、拟采用的招标方式、拟采用的资格审查方法、主要招标过程文件的编制内容、对投标人的资格条件要求、评标标准和方法、评标委员会组成、是否编制招标控制价和（或）标底以及招标控制价和（或）标底编制原则，甲方应当在监理人收到乙方报送的招标工作计划后</w:t>
      </w:r>
      <w:r>
        <w:rPr>
          <w:rFonts w:hint="eastAsia" w:ascii="宋体" w:hAnsi="宋体"/>
          <w:szCs w:val="21"/>
          <w:u w:val="single"/>
        </w:rPr>
        <w:t xml:space="preserve">  /  </w:t>
      </w:r>
      <w:r>
        <w:rPr>
          <w:rFonts w:hint="eastAsia" w:ascii="宋体" w:hAnsi="宋体"/>
          <w:szCs w:val="21"/>
        </w:rPr>
        <w:t>天内给予批准或者提出修改意见。乙方应当严格按照经过甲方批准的招标工作计划开展招标工作。</w:t>
      </w:r>
    </w:p>
    <w:p w14:paraId="72ADAF05">
      <w:pPr>
        <w:spacing w:line="400" w:lineRule="exact"/>
        <w:ind w:firstLine="420" w:firstLineChars="200"/>
        <w:rPr>
          <w:rFonts w:hint="eastAsia" w:ascii="宋体" w:hAnsi="宋体"/>
          <w:szCs w:val="21"/>
        </w:rPr>
      </w:pPr>
      <w:r>
        <w:rPr>
          <w:rFonts w:hint="eastAsia" w:ascii="宋体" w:hAnsi="宋体"/>
          <w:szCs w:val="21"/>
        </w:rPr>
        <w:t>（2）乙方应当在发出招标公告（或者资格预审公告或者投标邀请书）、资格预审文件和招标文件前至少</w:t>
      </w:r>
      <w:r>
        <w:rPr>
          <w:rFonts w:hint="eastAsia" w:ascii="宋体" w:hAnsi="宋体"/>
          <w:szCs w:val="21"/>
          <w:u w:val="single"/>
        </w:rPr>
        <w:t xml:space="preserve">  /  </w:t>
      </w:r>
      <w:r>
        <w:rPr>
          <w:rFonts w:hint="eastAsia" w:ascii="宋体" w:hAnsi="宋体"/>
          <w:szCs w:val="21"/>
        </w:rPr>
        <w:t>天，分别将相关文件通过监理人报请甲方审批，甲方应当在监理人收到乙方报送的相关文件后</w:t>
      </w:r>
      <w:r>
        <w:rPr>
          <w:rFonts w:hint="eastAsia" w:ascii="宋体" w:hAnsi="宋体"/>
          <w:szCs w:val="21"/>
          <w:u w:val="single"/>
        </w:rPr>
        <w:t xml:space="preserve">  /  </w:t>
      </w:r>
      <w:r>
        <w:rPr>
          <w:rFonts w:hint="eastAsia" w:ascii="宋体" w:hAnsi="宋体"/>
          <w:szCs w:val="21"/>
        </w:rPr>
        <w:t>天内给予批准或者提出修改意见，经甲方批准的相关文件，由乙方负责誊清整理并准备出开展实际招标工作所需要的份数，通过监理人报甲方核查并加盖甲方印章，甲方在相关文件上加盖印章只表明相关文件经过甲方审核批准。最终发出的文件应当分别报送一份给甲方和监理人备查。</w:t>
      </w:r>
    </w:p>
    <w:p w14:paraId="4ED2CC92">
      <w:pPr>
        <w:spacing w:line="400" w:lineRule="exact"/>
        <w:ind w:firstLine="420" w:firstLineChars="200"/>
        <w:rPr>
          <w:rFonts w:hint="eastAsia" w:ascii="宋体" w:hAnsi="宋体"/>
          <w:szCs w:val="21"/>
        </w:rPr>
      </w:pPr>
      <w:r>
        <w:rPr>
          <w:rFonts w:hint="eastAsia" w:ascii="宋体" w:hAnsi="宋体"/>
          <w:szCs w:val="21"/>
        </w:rPr>
        <w:t>（3）如果发、承包任何一方委派评标代表，评标委员会应当由七人以上单数构成。除甲方或者乙方自愿放弃委派评标代表的权利外，招标人评标代表应当分别由甲方和乙方等额委派。</w:t>
      </w:r>
    </w:p>
    <w:p w14:paraId="38D36B69">
      <w:pPr>
        <w:spacing w:line="400" w:lineRule="exact"/>
        <w:ind w:firstLine="420" w:firstLineChars="200"/>
        <w:rPr>
          <w:rFonts w:hint="eastAsia" w:ascii="宋体" w:hAnsi="宋体"/>
          <w:szCs w:val="21"/>
        </w:rPr>
      </w:pPr>
      <w:r>
        <w:rPr>
          <w:rFonts w:hint="eastAsia" w:ascii="宋体" w:hAnsi="宋体"/>
          <w:szCs w:val="21"/>
        </w:rPr>
        <w:t>（4）设有标底的，乙方应当在开标前提前48小时将标底报甲方审核认可，甲方应当在收到乙方报送的标底后24小时内给予批准或者提出修改意见。乙方和甲方应当共同制定标底保密措施，不得提前泄露标底。标底的最终审核和决定权属于甲方。</w:t>
      </w:r>
    </w:p>
    <w:p w14:paraId="121E1EE1">
      <w:pPr>
        <w:spacing w:line="400" w:lineRule="exact"/>
        <w:ind w:firstLine="420" w:firstLineChars="200"/>
        <w:rPr>
          <w:rFonts w:hint="eastAsia" w:ascii="宋体" w:hAnsi="宋体"/>
          <w:szCs w:val="21"/>
        </w:rPr>
      </w:pPr>
      <w:r>
        <w:rPr>
          <w:rFonts w:hint="eastAsia" w:ascii="宋体" w:hAnsi="宋体"/>
          <w:szCs w:val="21"/>
        </w:rPr>
        <w:t>（5）设有招标控制价的，乙方应当在招标文件发出前提前7天将招标控制价报甲方审核认可，甲方应当在收到乙方报送的招标控制价后72小时内给予认可或者提出修改意见。招标控制价的最终审核和决定权属于甲方，未经甲方认可，乙方不得发出招标文件。</w:t>
      </w:r>
    </w:p>
    <w:p w14:paraId="1472AF05">
      <w:pPr>
        <w:spacing w:line="400" w:lineRule="exact"/>
        <w:ind w:firstLine="420" w:firstLineChars="200"/>
        <w:rPr>
          <w:rFonts w:hint="eastAsia" w:ascii="宋体" w:hAnsi="宋体"/>
          <w:szCs w:val="21"/>
        </w:rPr>
      </w:pPr>
      <w:r>
        <w:rPr>
          <w:rFonts w:hint="eastAsia" w:ascii="宋体" w:hAnsi="宋体"/>
          <w:szCs w:val="21"/>
        </w:rPr>
        <w:t>（6）乙方在收到相关招标项目评标委员会提交的评标报告后，应当在24小时内通过监理人转报甲方核查，甲方应当在监理人收到乙方报送的评标报告后48小时内核查完毕，评标报告经过甲方核查认可后，乙方才可以开始后续程序，依法确定中标人并发出中标通知书。</w:t>
      </w:r>
    </w:p>
    <w:p w14:paraId="6F9CE8D5">
      <w:pPr>
        <w:spacing w:line="400" w:lineRule="exact"/>
        <w:ind w:firstLine="420" w:firstLineChars="200"/>
        <w:rPr>
          <w:rFonts w:hint="eastAsia" w:ascii="宋体" w:hAnsi="宋体"/>
          <w:szCs w:val="21"/>
        </w:rPr>
      </w:pPr>
      <w:r>
        <w:rPr>
          <w:rFonts w:hint="eastAsia" w:ascii="宋体" w:hAnsi="宋体"/>
          <w:szCs w:val="21"/>
        </w:rPr>
        <w:t>（7）乙方与专业分包人或者专项供应商订立合同前</w:t>
      </w:r>
      <w:r>
        <w:rPr>
          <w:rFonts w:hint="eastAsia" w:ascii="宋体" w:hAnsi="宋体"/>
          <w:szCs w:val="21"/>
          <w:u w:val="single"/>
        </w:rPr>
        <w:t xml:space="preserve">  /   </w:t>
      </w:r>
      <w:r>
        <w:rPr>
          <w:rFonts w:hint="eastAsia" w:ascii="宋体" w:hAnsi="宋体"/>
          <w:szCs w:val="21"/>
        </w:rPr>
        <w:t>天，应当将准备用于正式签订的合同文件通过监理人报甲方审核，甲方应当在监理人收到相关文件后</w:t>
      </w:r>
      <w:r>
        <w:rPr>
          <w:rFonts w:hint="eastAsia" w:ascii="宋体" w:hAnsi="宋体"/>
          <w:szCs w:val="21"/>
          <w:u w:val="single"/>
        </w:rPr>
        <w:t xml:space="preserve">  /   </w:t>
      </w:r>
      <w:r>
        <w:rPr>
          <w:rFonts w:hint="eastAsia" w:ascii="宋体" w:hAnsi="宋体"/>
          <w:szCs w:val="21"/>
        </w:rPr>
        <w:t>天内给予批准或者提出修改意见，乙方应当按照甲方批准的合同文件签订相关合同，合同订立后</w:t>
      </w:r>
      <w:r>
        <w:rPr>
          <w:rFonts w:hint="eastAsia" w:ascii="宋体" w:hAnsi="宋体"/>
          <w:szCs w:val="21"/>
          <w:u w:val="single"/>
        </w:rPr>
        <w:t xml:space="preserve">   /  </w:t>
      </w:r>
      <w:r>
        <w:rPr>
          <w:rFonts w:hint="eastAsia" w:ascii="宋体" w:hAnsi="宋体"/>
          <w:szCs w:val="21"/>
        </w:rPr>
        <w:t>天内，乙方应当将其中的两份副本报送监理人，其中一份由监理人报甲方留存。</w:t>
      </w:r>
    </w:p>
    <w:p w14:paraId="23FEE2A3">
      <w:pPr>
        <w:spacing w:line="400" w:lineRule="exact"/>
        <w:ind w:firstLine="420" w:firstLineChars="200"/>
        <w:rPr>
          <w:rFonts w:hint="eastAsia" w:ascii="宋体" w:hAnsi="宋体"/>
          <w:szCs w:val="21"/>
        </w:rPr>
      </w:pPr>
      <w:r>
        <w:rPr>
          <w:rFonts w:hint="eastAsia" w:ascii="宋体" w:hAnsi="宋体"/>
          <w:szCs w:val="21"/>
        </w:rPr>
        <w:t>（8）甲方对乙方报送文件进行审批或提出的修改意见应当合理，并符合现行有关法律法规的规定。</w:t>
      </w:r>
    </w:p>
    <w:p w14:paraId="2F42E426">
      <w:pPr>
        <w:spacing w:line="400" w:lineRule="exact"/>
        <w:ind w:firstLine="420" w:firstLineChars="200"/>
        <w:rPr>
          <w:rFonts w:hint="eastAsia" w:ascii="宋体" w:hAnsi="宋体"/>
          <w:szCs w:val="21"/>
        </w:rPr>
      </w:pPr>
      <w:r>
        <w:rPr>
          <w:rFonts w:hint="eastAsia" w:ascii="宋体" w:hAnsi="宋体"/>
          <w:szCs w:val="21"/>
        </w:rPr>
        <w:t>（9）乙方违背本项上述约定的程序或者未履行本项上述约定的报批手续的，甲方有权拒绝对相关专业工程或者涉及相关专项供应的材料和工程设备的工程进行验收和拨付相应工程款项，所造成的费用增加和（或）工期延误由乙方承担。甲方未按本项上述约定履行审批手续的，所造成的费用增加和（或）工期延误由甲方承担。</w:t>
      </w:r>
    </w:p>
    <w:p w14:paraId="5515B4A5">
      <w:pPr>
        <w:spacing w:line="400" w:lineRule="exact"/>
        <w:ind w:firstLine="420" w:firstLineChars="200"/>
        <w:rPr>
          <w:rFonts w:hint="eastAsia" w:ascii="宋体" w:hAnsi="宋体"/>
          <w:szCs w:val="21"/>
        </w:rPr>
      </w:pPr>
      <w:r>
        <w:rPr>
          <w:rFonts w:hint="eastAsia" w:ascii="宋体" w:hAnsi="宋体"/>
          <w:szCs w:val="21"/>
        </w:rPr>
        <w:t>15.8.3甲方在工程量清单中给定暂估价的专业工程不属于依法必须招标的范围或者未达到依法必须招标的规模标准的，其最终价格的估价人为：</w:t>
      </w:r>
      <w:r>
        <w:rPr>
          <w:rFonts w:hint="eastAsia" w:ascii="宋体" w:hAnsi="宋体"/>
          <w:szCs w:val="21"/>
          <w:u w:val="single"/>
        </w:rPr>
        <w:t xml:space="preserve">   甲方     </w:t>
      </w:r>
      <w:r>
        <w:rPr>
          <w:rFonts w:hint="eastAsia" w:ascii="宋体" w:hAnsi="宋体"/>
          <w:szCs w:val="21"/>
        </w:rPr>
        <w:t>或者按照下列约定：</w:t>
      </w:r>
      <w:r>
        <w:rPr>
          <w:rFonts w:hint="eastAsia" w:ascii="宋体" w:hAnsi="宋体"/>
          <w:szCs w:val="21"/>
          <w:u w:val="single"/>
        </w:rPr>
        <w:t xml:space="preserve">     /     </w:t>
      </w:r>
      <w:r>
        <w:rPr>
          <w:rFonts w:hint="eastAsia" w:ascii="宋体" w:hAnsi="宋体"/>
          <w:szCs w:val="21"/>
        </w:rPr>
        <w:t>。</w:t>
      </w:r>
    </w:p>
    <w:p w14:paraId="47204FFC">
      <w:pPr>
        <w:pStyle w:val="260"/>
        <w:spacing w:before="0"/>
        <w:outlineLvl w:val="9"/>
        <w:rPr>
          <w:rFonts w:hint="eastAsia" w:ascii="宋体" w:hAnsi="宋体"/>
          <w:sz w:val="21"/>
          <w:szCs w:val="21"/>
        </w:rPr>
      </w:pPr>
      <w:r>
        <w:rPr>
          <w:rFonts w:hint="eastAsia" w:ascii="宋体" w:hAnsi="宋体"/>
          <w:sz w:val="21"/>
          <w:szCs w:val="21"/>
        </w:rPr>
        <w:t>16. 价格调整</w:t>
      </w:r>
    </w:p>
    <w:p w14:paraId="25F5F921">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16.1 物价波动引起的价格调整</w:t>
      </w:r>
    </w:p>
    <w:p w14:paraId="08DCADA2">
      <w:pPr>
        <w:spacing w:line="400" w:lineRule="exact"/>
        <w:ind w:firstLine="420" w:firstLineChars="200"/>
        <w:rPr>
          <w:rFonts w:hint="eastAsia" w:ascii="宋体" w:hAnsi="宋体"/>
          <w:szCs w:val="21"/>
          <w:u w:val="single"/>
        </w:rPr>
      </w:pPr>
      <w:r>
        <w:rPr>
          <w:rFonts w:hint="eastAsia" w:ascii="宋体" w:hAnsi="宋体"/>
          <w:szCs w:val="21"/>
        </w:rPr>
        <w:t>物价波动引起的价格调整方法：</w:t>
      </w:r>
      <w:r>
        <w:rPr>
          <w:rFonts w:hint="eastAsia" w:ascii="宋体" w:hAnsi="宋体"/>
          <w:szCs w:val="21"/>
          <w:u w:val="single"/>
        </w:rPr>
        <w:t>因工期短，人工、材料、机械等不做调整。调整价差时同时调整相应税金，企业管理 费和利润的风险由承包人全部承担。</w:t>
      </w:r>
    </w:p>
    <w:p w14:paraId="572C9CB6">
      <w:pPr>
        <w:pStyle w:val="260"/>
        <w:spacing w:before="0"/>
        <w:outlineLvl w:val="9"/>
        <w:rPr>
          <w:rFonts w:hint="eastAsia" w:ascii="宋体" w:hAnsi="宋体"/>
          <w:sz w:val="21"/>
          <w:szCs w:val="21"/>
        </w:rPr>
      </w:pPr>
      <w:r>
        <w:rPr>
          <w:rFonts w:hint="eastAsia" w:ascii="宋体" w:hAnsi="宋体"/>
          <w:sz w:val="21"/>
          <w:szCs w:val="21"/>
        </w:rPr>
        <w:t>17. 计量与支付</w:t>
      </w:r>
    </w:p>
    <w:p w14:paraId="7FD63CD7">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17.1 计量</w:t>
      </w:r>
    </w:p>
    <w:p w14:paraId="6F63517F">
      <w:pPr>
        <w:spacing w:line="400" w:lineRule="exact"/>
        <w:ind w:firstLine="420" w:firstLineChars="200"/>
        <w:rPr>
          <w:rFonts w:hint="eastAsia" w:ascii="宋体" w:hAnsi="宋体" w:cs="Arial"/>
          <w:szCs w:val="21"/>
        </w:rPr>
      </w:pPr>
      <w:r>
        <w:rPr>
          <w:rFonts w:hint="eastAsia" w:ascii="宋体" w:hAnsi="宋体" w:cs="Arial"/>
          <w:szCs w:val="21"/>
        </w:rPr>
        <w:t>17.1.2 计量方法</w:t>
      </w:r>
    </w:p>
    <w:p w14:paraId="1694CD49">
      <w:pPr>
        <w:spacing w:line="400" w:lineRule="exact"/>
        <w:ind w:firstLine="420" w:firstLineChars="200"/>
        <w:rPr>
          <w:rFonts w:hint="eastAsia" w:ascii="宋体" w:hAnsi="宋体"/>
          <w:szCs w:val="21"/>
        </w:rPr>
      </w:pPr>
      <w:r>
        <w:rPr>
          <w:rFonts w:ascii="宋体" w:hAnsi="宋体"/>
          <w:szCs w:val="21"/>
        </w:rPr>
        <w:t>工程量计算规则</w:t>
      </w:r>
      <w:r>
        <w:rPr>
          <w:rFonts w:hint="eastAsia" w:ascii="宋体" w:hAnsi="宋体"/>
          <w:szCs w:val="21"/>
        </w:rPr>
        <w:t>执行国家标准</w:t>
      </w:r>
      <w:r>
        <w:rPr>
          <w:rFonts w:ascii="宋体" w:hAnsi="宋体"/>
          <w:szCs w:val="21"/>
        </w:rPr>
        <w:t>《建设工程工程量清单计价规范》</w:t>
      </w:r>
      <w:r>
        <w:rPr>
          <w:rFonts w:hint="eastAsia" w:ascii="宋体" w:hAnsi="宋体"/>
          <w:szCs w:val="21"/>
        </w:rPr>
        <w:t>（GB50500）或其适用的修订版本</w:t>
      </w:r>
      <w:r>
        <w:rPr>
          <w:rFonts w:ascii="宋体" w:hAnsi="宋体"/>
          <w:szCs w:val="21"/>
        </w:rPr>
        <w:t>。</w:t>
      </w:r>
      <w:r>
        <w:rPr>
          <w:rFonts w:hint="eastAsia" w:ascii="宋体" w:hAnsi="宋体"/>
          <w:szCs w:val="21"/>
        </w:rPr>
        <w:t>除合同另有约定外，乙方实际完成的工程量按约定的工程量计算规则和有合同约束力的图纸进行计量。</w:t>
      </w:r>
    </w:p>
    <w:p w14:paraId="73F3ACCA">
      <w:pPr>
        <w:spacing w:line="400" w:lineRule="exact"/>
        <w:ind w:firstLine="420" w:firstLineChars="200"/>
        <w:rPr>
          <w:rFonts w:hint="eastAsia" w:ascii="宋体" w:hAnsi="宋体" w:cs="Arial"/>
          <w:szCs w:val="21"/>
        </w:rPr>
      </w:pPr>
      <w:r>
        <w:rPr>
          <w:rFonts w:hint="eastAsia" w:ascii="宋体" w:hAnsi="宋体" w:cs="Arial"/>
          <w:szCs w:val="21"/>
        </w:rPr>
        <w:t>17.1.3 计量周期</w:t>
      </w:r>
    </w:p>
    <w:p w14:paraId="4F1EB86E">
      <w:pPr>
        <w:spacing w:line="400" w:lineRule="exact"/>
        <w:ind w:firstLine="420" w:firstLineChars="200"/>
        <w:rPr>
          <w:rFonts w:hint="eastAsia" w:ascii="宋体" w:hAnsi="宋体"/>
          <w:szCs w:val="21"/>
        </w:rPr>
      </w:pPr>
      <w:r>
        <w:rPr>
          <w:rFonts w:hint="eastAsia" w:ascii="宋体" w:hAnsi="宋体" w:cs="Arial"/>
          <w:szCs w:val="21"/>
        </w:rPr>
        <w:t>（1）</w:t>
      </w:r>
      <w:r>
        <w:rPr>
          <w:rFonts w:hint="eastAsia" w:ascii="宋体" w:hAnsi="宋体"/>
          <w:szCs w:val="21"/>
        </w:rPr>
        <w:t>本合同的计量周期为月，每月</w:t>
      </w:r>
      <w:r>
        <w:rPr>
          <w:rFonts w:hint="eastAsia" w:ascii="宋体" w:hAnsi="宋体"/>
          <w:szCs w:val="21"/>
          <w:u w:val="single"/>
        </w:rPr>
        <w:t xml:space="preserve">  25  </w:t>
      </w:r>
      <w:r>
        <w:rPr>
          <w:rFonts w:hint="eastAsia" w:ascii="宋体" w:hAnsi="宋体"/>
          <w:szCs w:val="21"/>
        </w:rPr>
        <w:t>日为当月计量截止日期（不含当日）和下月计量起始日期（含当日）。</w:t>
      </w:r>
    </w:p>
    <w:p w14:paraId="250D9AA1">
      <w:pPr>
        <w:spacing w:line="400" w:lineRule="exact"/>
        <w:ind w:firstLine="420" w:firstLineChars="200"/>
        <w:rPr>
          <w:rFonts w:hint="eastAsia" w:ascii="宋体" w:hAnsi="宋体" w:cs="Arial"/>
          <w:szCs w:val="21"/>
        </w:rPr>
      </w:pPr>
      <w:r>
        <w:rPr>
          <w:rFonts w:hint="eastAsia" w:ascii="宋体" w:hAnsi="宋体" w:cs="Arial"/>
          <w:szCs w:val="21"/>
        </w:rPr>
        <w:t>（2）本合同</w:t>
      </w:r>
      <w:r>
        <w:rPr>
          <w:rFonts w:hint="eastAsia" w:ascii="宋体" w:hAnsi="宋体" w:cs="Arial"/>
          <w:szCs w:val="21"/>
          <w:u w:val="single"/>
        </w:rPr>
        <w:t>不执</w:t>
      </w:r>
      <w:r>
        <w:rPr>
          <w:rFonts w:ascii="宋体" w:hAnsi="宋体" w:cs="Arial"/>
          <w:szCs w:val="21"/>
          <w:u w:val="single"/>
        </w:rPr>
        <w:t>行</w:t>
      </w:r>
      <w:r>
        <w:rPr>
          <w:rFonts w:hint="eastAsia" w:ascii="宋体" w:hAnsi="宋体" w:cs="Arial"/>
          <w:szCs w:val="21"/>
        </w:rPr>
        <w:t>（执行（采用单价合同形式时）/不执行（采用总价合同形式时））通用合同条款本项约定的单价子目计量。</w:t>
      </w:r>
      <w:r>
        <w:rPr>
          <w:rFonts w:hint="eastAsia" w:ascii="宋体" w:hAnsi="宋体"/>
          <w:szCs w:val="21"/>
        </w:rPr>
        <w:t>总价子目计量方法按专用合同条款第</w:t>
      </w:r>
      <w:r>
        <w:rPr>
          <w:rFonts w:ascii="宋体" w:hAnsi="宋体" w:cs="Arial"/>
          <w:szCs w:val="21"/>
        </w:rPr>
        <w:t>17.1.5</w:t>
      </w:r>
      <w:r>
        <w:rPr>
          <w:rFonts w:hint="eastAsia" w:ascii="宋体" w:hAnsi="宋体"/>
          <w:szCs w:val="21"/>
        </w:rPr>
        <w:t>项总价子目的计量--</w:t>
      </w:r>
      <w:r>
        <w:rPr>
          <w:rFonts w:hint="eastAsia" w:ascii="宋体" w:hAnsi="宋体" w:cs="Arial"/>
          <w:szCs w:val="21"/>
          <w:u w:val="single"/>
        </w:rPr>
        <w:t>按实际完成工程量计量</w:t>
      </w:r>
      <w:r>
        <w:rPr>
          <w:rFonts w:hint="eastAsia" w:ascii="宋体" w:hAnsi="宋体" w:cs="Arial"/>
          <w:szCs w:val="21"/>
        </w:rPr>
        <w:t>（支付分解报告/按实际完成工程量计量）。</w:t>
      </w:r>
    </w:p>
    <w:p w14:paraId="4CBAEA52">
      <w:pPr>
        <w:spacing w:line="400" w:lineRule="exact"/>
        <w:ind w:firstLine="420" w:firstLineChars="200"/>
        <w:rPr>
          <w:rFonts w:hint="eastAsia" w:ascii="宋体" w:hAnsi="宋体" w:cs="Arial"/>
          <w:szCs w:val="21"/>
        </w:rPr>
      </w:pPr>
      <w:r>
        <w:rPr>
          <w:rFonts w:hint="eastAsia" w:ascii="宋体" w:hAnsi="宋体" w:cs="Arial"/>
          <w:szCs w:val="21"/>
        </w:rPr>
        <w:t>17.1.5 总价</w:t>
      </w:r>
      <w:r>
        <w:rPr>
          <w:rFonts w:hint="eastAsia" w:ascii="宋体" w:hAnsi="宋体"/>
          <w:szCs w:val="21"/>
        </w:rPr>
        <w:t>子目</w:t>
      </w:r>
      <w:r>
        <w:rPr>
          <w:rFonts w:hint="eastAsia" w:ascii="宋体" w:hAnsi="宋体" w:cs="Arial"/>
          <w:szCs w:val="21"/>
        </w:rPr>
        <w:t>的计量--按实际完成工程量计量</w:t>
      </w:r>
    </w:p>
    <w:p w14:paraId="08FD3DF9">
      <w:pPr>
        <w:spacing w:line="400" w:lineRule="exact"/>
        <w:ind w:firstLine="420" w:firstLineChars="200"/>
        <w:rPr>
          <w:rFonts w:hint="eastAsia" w:ascii="宋体" w:hAnsi="宋体" w:cs="Arial"/>
          <w:szCs w:val="21"/>
        </w:rPr>
      </w:pPr>
      <w:r>
        <w:rPr>
          <w:rFonts w:hint="eastAsia" w:ascii="宋体" w:hAnsi="宋体" w:cs="Arial"/>
          <w:szCs w:val="21"/>
        </w:rPr>
        <w:t>（1）总价</w:t>
      </w:r>
      <w:r>
        <w:rPr>
          <w:rFonts w:hint="eastAsia" w:ascii="宋体" w:hAnsi="宋体"/>
          <w:szCs w:val="21"/>
        </w:rPr>
        <w:t>子目</w:t>
      </w:r>
      <w:r>
        <w:rPr>
          <w:rFonts w:hint="eastAsia" w:ascii="宋体" w:hAnsi="宋体" w:cs="Arial"/>
          <w:szCs w:val="21"/>
        </w:rPr>
        <w:t>的价格调整方法：</w:t>
      </w:r>
      <w:r>
        <w:rPr>
          <w:rFonts w:hint="eastAsia" w:ascii="宋体" w:hAnsi="宋体" w:cs="Arial"/>
          <w:szCs w:val="21"/>
          <w:u w:val="single"/>
        </w:rPr>
        <w:t>非乙方原因引起已标价工程量清单中某单个子目工程量变化幅度超出15%（不含），且乙方或监理人认为该变化引起相关措施项目发生变化的，甲方或监理人要求乙方针对措施项目的变化提交施工调整方案及价格调整报告，监理人同意且甲方均批准后才能确定需调整的措施项目价款</w:t>
      </w:r>
      <w:r>
        <w:rPr>
          <w:rFonts w:hint="eastAsia" w:ascii="宋体" w:hAnsi="宋体" w:cs="Arial"/>
          <w:szCs w:val="21"/>
        </w:rPr>
        <w:t>。总价</w:t>
      </w:r>
      <w:r>
        <w:rPr>
          <w:rFonts w:hint="eastAsia" w:ascii="宋体" w:hAnsi="宋体"/>
          <w:szCs w:val="21"/>
        </w:rPr>
        <w:t>子目</w:t>
      </w:r>
      <w:r>
        <w:rPr>
          <w:rFonts w:hint="eastAsia" w:ascii="宋体" w:hAnsi="宋体" w:cs="Arial"/>
          <w:szCs w:val="21"/>
        </w:rPr>
        <w:t>的计量和支付应以总价为基础，对乙方实际完成的工程量进行计量，是进行工程目标管理和控制进度款支付的依据。</w:t>
      </w:r>
    </w:p>
    <w:p w14:paraId="4720E577">
      <w:pPr>
        <w:spacing w:line="400" w:lineRule="exact"/>
        <w:ind w:firstLine="420" w:firstLineChars="200"/>
        <w:rPr>
          <w:rFonts w:hint="eastAsia" w:ascii="宋体" w:hAnsi="宋体" w:cs="Arial"/>
          <w:szCs w:val="21"/>
        </w:rPr>
      </w:pPr>
      <w:r>
        <w:rPr>
          <w:rFonts w:hint="eastAsia" w:ascii="宋体" w:hAnsi="宋体" w:cs="Arial"/>
          <w:szCs w:val="21"/>
        </w:rPr>
        <w:t>（2）乙方在专用合同条款第17.1.3（1）目约定的每月计量截止日期后，对已完成的分部分项工程和单价措施项目的</w:t>
      </w:r>
      <w:r>
        <w:rPr>
          <w:rFonts w:hint="eastAsia" w:ascii="宋体" w:hAnsi="宋体"/>
          <w:szCs w:val="21"/>
        </w:rPr>
        <w:t>子目</w:t>
      </w:r>
      <w:r>
        <w:rPr>
          <w:rFonts w:hint="eastAsia" w:ascii="宋体" w:hAnsi="宋体" w:cs="Arial"/>
          <w:szCs w:val="21"/>
        </w:rPr>
        <w:t>，按照专用合同条款第17.1.2项约定的计量方法进行计量，对已完成的总价措施项目的相关</w:t>
      </w:r>
      <w:r>
        <w:rPr>
          <w:rFonts w:hint="eastAsia" w:ascii="宋体" w:hAnsi="宋体"/>
          <w:szCs w:val="21"/>
        </w:rPr>
        <w:t>子目，按其总价构成、费用性质和实际发生比例进行计量，向监理人提交进度付款申请单、已完成工程量报表和有关计量资料</w:t>
      </w:r>
      <w:r>
        <w:rPr>
          <w:rFonts w:hint="eastAsia" w:ascii="宋体" w:hAnsi="宋体" w:cs="Arial"/>
          <w:szCs w:val="21"/>
        </w:rPr>
        <w:t>。</w:t>
      </w:r>
    </w:p>
    <w:p w14:paraId="64C579BE">
      <w:pPr>
        <w:spacing w:line="400" w:lineRule="exact"/>
        <w:ind w:firstLine="420" w:firstLineChars="200"/>
        <w:rPr>
          <w:rFonts w:hint="eastAsia" w:ascii="宋体" w:hAnsi="宋体"/>
          <w:szCs w:val="21"/>
        </w:rPr>
      </w:pPr>
      <w:r>
        <w:rPr>
          <w:rFonts w:hint="eastAsia" w:ascii="宋体" w:hAnsi="宋体" w:cs="Arial"/>
          <w:szCs w:val="21"/>
        </w:rPr>
        <w:t>（3）</w:t>
      </w:r>
      <w:r>
        <w:rPr>
          <w:rFonts w:hint="eastAsia" w:ascii="宋体" w:hAnsi="宋体"/>
          <w:szCs w:val="21"/>
        </w:rPr>
        <w:t>监理人对乙方提交的工程量报表进行复核，以确定实际完成的工程量。对数量有异议的，可要求乙方进行共同复核。乙方应协助监理人进行复核并按监理人要求提供补充计量资料。乙方未按监理人要求参加复核，监理人复核或修正的工程量视为乙方实际完成的工程量。</w:t>
      </w:r>
    </w:p>
    <w:p w14:paraId="314A1777">
      <w:pPr>
        <w:spacing w:line="400" w:lineRule="exact"/>
        <w:ind w:firstLine="420" w:firstLineChars="200"/>
        <w:rPr>
          <w:rFonts w:hint="eastAsia" w:ascii="宋体" w:hAnsi="宋体"/>
          <w:szCs w:val="21"/>
        </w:rPr>
      </w:pPr>
      <w:r>
        <w:rPr>
          <w:rFonts w:hint="eastAsia" w:ascii="宋体" w:hAnsi="宋体"/>
          <w:szCs w:val="21"/>
        </w:rPr>
        <w:t>（4）监理人应在收到乙方提交的工程量报表后的7天内进行复核，监理人未在约定时间内复核的，乙方提交的工程量报表中的工程量视为乙方实际完成的工程量，据此计算工程价款。</w:t>
      </w:r>
    </w:p>
    <w:p w14:paraId="47A41FFF">
      <w:pPr>
        <w:spacing w:line="400" w:lineRule="exact"/>
        <w:ind w:firstLine="420" w:firstLineChars="200"/>
        <w:rPr>
          <w:rFonts w:hint="eastAsia" w:ascii="宋体" w:hAnsi="宋体" w:cs="Arial"/>
          <w:szCs w:val="21"/>
        </w:rPr>
      </w:pPr>
      <w:r>
        <w:rPr>
          <w:rFonts w:hint="eastAsia" w:ascii="宋体" w:hAnsi="宋体" w:cs="Arial"/>
          <w:szCs w:val="21"/>
        </w:rPr>
        <w:t>（5）除按照第15条约定的变更外，在竣工结算时总价</w:t>
      </w:r>
      <w:r>
        <w:rPr>
          <w:rFonts w:hint="eastAsia" w:ascii="宋体" w:hAnsi="宋体"/>
          <w:szCs w:val="21"/>
        </w:rPr>
        <w:t>子目</w:t>
      </w:r>
      <w:r>
        <w:rPr>
          <w:rFonts w:hint="eastAsia" w:ascii="宋体" w:hAnsi="宋体" w:cs="Arial"/>
          <w:szCs w:val="21"/>
        </w:rPr>
        <w:t>的工程量不应当重新计量，签约合同价所基于的工程量即是用于竣工结算的最终工程量。</w:t>
      </w:r>
    </w:p>
    <w:p w14:paraId="52D2F063">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17.2 预付款</w:t>
      </w:r>
    </w:p>
    <w:p w14:paraId="49FFDDDC">
      <w:pPr>
        <w:spacing w:line="400" w:lineRule="exact"/>
        <w:ind w:firstLine="420" w:firstLineChars="200"/>
        <w:rPr>
          <w:rFonts w:hint="eastAsia" w:ascii="宋体" w:hAnsi="宋体" w:cs="Arial"/>
          <w:szCs w:val="21"/>
        </w:rPr>
      </w:pPr>
      <w:r>
        <w:rPr>
          <w:rFonts w:hint="eastAsia" w:ascii="宋体" w:hAnsi="宋体" w:cs="Arial"/>
          <w:szCs w:val="21"/>
        </w:rPr>
        <w:t>17.2.1付款方式</w:t>
      </w:r>
    </w:p>
    <w:p w14:paraId="32093AAC">
      <w:pPr>
        <w:spacing w:line="400" w:lineRule="exact"/>
        <w:ind w:firstLine="420" w:firstLineChars="200"/>
        <w:rPr>
          <w:rFonts w:hint="eastAsia" w:ascii="宋体" w:hAnsi="宋体"/>
          <w:szCs w:val="21"/>
        </w:rPr>
      </w:pPr>
      <w:r>
        <w:rPr>
          <w:rFonts w:hint="eastAsia" w:ascii="宋体" w:hAnsi="宋体"/>
          <w:szCs w:val="21"/>
        </w:rPr>
        <w:t>（1）付款额度</w:t>
      </w:r>
    </w:p>
    <w:p w14:paraId="7EE33119">
      <w:pPr>
        <w:keepNext/>
        <w:keepLines/>
        <w:spacing w:line="400" w:lineRule="exact"/>
        <w:ind w:firstLine="420" w:firstLineChars="200"/>
        <w:rPr>
          <w:rFonts w:hint="eastAsia" w:ascii="宋体" w:hAnsi="宋体"/>
          <w:szCs w:val="21"/>
        </w:rPr>
      </w:pPr>
      <w:r>
        <w:rPr>
          <w:rFonts w:hint="eastAsia"/>
        </w:rPr>
        <w:t>合同总价的30%（不包含其他项目费用），包含措施费和安全生产标准化措施费</w:t>
      </w:r>
      <w:r>
        <w:rPr>
          <w:rFonts w:hint="eastAsia" w:ascii="宋体" w:hAnsi="宋体"/>
          <w:szCs w:val="21"/>
        </w:rPr>
        <w:t>。</w:t>
      </w:r>
    </w:p>
    <w:p w14:paraId="0E941EB7">
      <w:pPr>
        <w:spacing w:line="400" w:lineRule="exact"/>
        <w:ind w:firstLine="420" w:firstLineChars="200"/>
        <w:rPr>
          <w:rFonts w:hint="eastAsia" w:ascii="宋体" w:hAnsi="宋体"/>
          <w:szCs w:val="21"/>
        </w:rPr>
      </w:pPr>
      <w:r>
        <w:rPr>
          <w:rFonts w:hint="eastAsia" w:ascii="宋体" w:hAnsi="宋体"/>
          <w:szCs w:val="21"/>
        </w:rPr>
        <w:t>（2）预付办法</w:t>
      </w:r>
    </w:p>
    <w:p w14:paraId="6CC6E379">
      <w:pPr>
        <w:spacing w:line="400" w:lineRule="exact"/>
        <w:ind w:firstLine="420" w:firstLineChars="200"/>
        <w:rPr>
          <w:rFonts w:hint="eastAsia" w:ascii="宋体" w:hAnsi="宋体"/>
          <w:szCs w:val="21"/>
        </w:rPr>
      </w:pPr>
      <w:r>
        <w:rPr>
          <w:rFonts w:hint="eastAsia" w:ascii="宋体" w:hAnsi="宋体"/>
          <w:szCs w:val="21"/>
        </w:rPr>
        <w:t>预付款预付办法：</w:t>
      </w:r>
      <w:r>
        <w:rPr>
          <w:rFonts w:hint="eastAsia" w:ascii="宋体" w:hAnsi="宋体"/>
          <w:szCs w:val="21"/>
          <w:u w:val="single"/>
        </w:rPr>
        <w:t>甲方一次性向乙方支付预付款</w:t>
      </w:r>
      <w:r>
        <w:rPr>
          <w:rFonts w:hint="eastAsia" w:ascii="宋体" w:hAnsi="宋体"/>
          <w:szCs w:val="21"/>
        </w:rPr>
        <w:t>。</w:t>
      </w:r>
    </w:p>
    <w:p w14:paraId="66F24540">
      <w:pPr>
        <w:spacing w:line="400" w:lineRule="exact"/>
        <w:ind w:firstLine="420" w:firstLineChars="200"/>
        <w:rPr>
          <w:rFonts w:hint="eastAsia" w:ascii="宋体" w:hAnsi="宋体" w:cs="Arial"/>
          <w:szCs w:val="21"/>
        </w:rPr>
      </w:pPr>
      <w:r>
        <w:rPr>
          <w:rFonts w:hint="eastAsia" w:ascii="宋体" w:hAnsi="宋体"/>
          <w:szCs w:val="21"/>
        </w:rPr>
        <w:t>预付款的支付时间：</w:t>
      </w:r>
      <w:r>
        <w:rPr>
          <w:rFonts w:hint="eastAsia" w:ascii="宋体" w:hAnsi="宋体"/>
          <w:szCs w:val="21"/>
          <w:u w:val="single"/>
        </w:rPr>
        <w:t>本合同签订后</w:t>
      </w:r>
      <w:r>
        <w:rPr>
          <w:rFonts w:ascii="宋体" w:hAnsi="宋体"/>
          <w:szCs w:val="21"/>
          <w:u w:val="single"/>
        </w:rPr>
        <w:t>10</w:t>
      </w:r>
      <w:r>
        <w:rPr>
          <w:rFonts w:hint="eastAsia" w:ascii="宋体" w:hAnsi="宋体"/>
          <w:szCs w:val="21"/>
          <w:u w:val="single"/>
        </w:rPr>
        <w:t>个工作日内，不迟于约定的开工日期前7日内</w:t>
      </w:r>
      <w:r>
        <w:rPr>
          <w:rFonts w:hint="eastAsia" w:ascii="宋体" w:hAnsi="宋体"/>
          <w:szCs w:val="21"/>
        </w:rPr>
        <w:t>。</w:t>
      </w:r>
    </w:p>
    <w:p w14:paraId="6191DFF0">
      <w:pPr>
        <w:spacing w:line="400" w:lineRule="exact"/>
        <w:ind w:firstLine="420" w:firstLineChars="200"/>
        <w:rPr>
          <w:rFonts w:hint="eastAsia" w:ascii="宋体" w:hAnsi="宋体"/>
          <w:szCs w:val="21"/>
        </w:rPr>
      </w:pPr>
      <w:r>
        <w:rPr>
          <w:rFonts w:hint="eastAsia" w:ascii="宋体" w:hAnsi="宋体"/>
          <w:szCs w:val="21"/>
        </w:rPr>
        <w:t>17.</w:t>
      </w:r>
      <w:r>
        <w:rPr>
          <w:rFonts w:ascii="宋体" w:hAnsi="宋体"/>
          <w:szCs w:val="21"/>
        </w:rPr>
        <w:t>2</w:t>
      </w:r>
      <w:r>
        <w:rPr>
          <w:rFonts w:hint="eastAsia" w:ascii="宋体" w:hAnsi="宋体"/>
          <w:szCs w:val="21"/>
        </w:rPr>
        <w:t>.2进度付款申请单</w:t>
      </w:r>
    </w:p>
    <w:p w14:paraId="6BF4499A">
      <w:pPr>
        <w:spacing w:line="400" w:lineRule="exact"/>
        <w:ind w:firstLine="420" w:firstLineChars="200"/>
        <w:rPr>
          <w:rFonts w:hint="eastAsia" w:ascii="宋体" w:hAnsi="宋体"/>
          <w:szCs w:val="21"/>
        </w:rPr>
      </w:pPr>
      <w:r>
        <w:rPr>
          <w:rFonts w:hint="eastAsia" w:ascii="宋体" w:hAnsi="宋体"/>
          <w:szCs w:val="21"/>
        </w:rPr>
        <w:t>进度付款申请单的份数：</w:t>
      </w:r>
      <w:r>
        <w:rPr>
          <w:rFonts w:hint="eastAsia" w:ascii="宋体" w:hAnsi="宋体"/>
          <w:szCs w:val="21"/>
          <w:u w:val="single"/>
        </w:rPr>
        <w:t>一式五份</w:t>
      </w:r>
      <w:r>
        <w:rPr>
          <w:rFonts w:hint="eastAsia" w:ascii="宋体" w:hAnsi="宋体"/>
          <w:szCs w:val="21"/>
        </w:rPr>
        <w:t>。</w:t>
      </w:r>
    </w:p>
    <w:p w14:paraId="4FEF9BAF">
      <w:pPr>
        <w:spacing w:line="400" w:lineRule="exact"/>
        <w:ind w:firstLine="420" w:firstLineChars="200"/>
        <w:rPr>
          <w:rFonts w:hint="eastAsia" w:ascii="宋体" w:hAnsi="宋体"/>
          <w:szCs w:val="21"/>
          <w:u w:val="single"/>
        </w:rPr>
      </w:pPr>
      <w:r>
        <w:rPr>
          <w:rFonts w:hint="eastAsia" w:ascii="宋体" w:hAnsi="宋体"/>
          <w:szCs w:val="21"/>
        </w:rPr>
        <w:t>进度付款申请单的内容：</w:t>
      </w:r>
      <w:r>
        <w:rPr>
          <w:rFonts w:hint="eastAsia" w:ascii="宋体" w:hAnsi="宋体"/>
          <w:szCs w:val="21"/>
          <w:u w:val="single"/>
        </w:rPr>
        <w:t>（1）付款次数或编号；（2）截至本次付款周期末已实施工程的价款；（3）变更洽商金额；（4）索赔金额；（5）本次应支付的预付款和应扣减的返还预付款；（6）根据合同应增加和扣减的其他金额.</w:t>
      </w:r>
    </w:p>
    <w:p w14:paraId="652D9457">
      <w:pPr>
        <w:wordWrap w:val="0"/>
        <w:topLinePunct/>
        <w:spacing w:line="400" w:lineRule="exact"/>
        <w:ind w:firstLine="420" w:firstLineChars="200"/>
        <w:rPr>
          <w:rFonts w:hint="eastAsia" w:ascii="宋体" w:hAnsi="宋体"/>
          <w:szCs w:val="21"/>
          <w:u w:val="single"/>
        </w:rPr>
      </w:pPr>
      <w:r>
        <w:rPr>
          <w:rFonts w:hint="eastAsia" w:ascii="宋体" w:hAnsi="宋体"/>
          <w:szCs w:val="21"/>
        </w:rPr>
        <w:t>17.</w:t>
      </w:r>
      <w:r>
        <w:rPr>
          <w:rFonts w:ascii="宋体" w:hAnsi="宋体"/>
          <w:szCs w:val="21"/>
        </w:rPr>
        <w:t>2</w:t>
      </w:r>
      <w:r>
        <w:rPr>
          <w:rFonts w:hint="eastAsia" w:ascii="宋体" w:hAnsi="宋体"/>
          <w:szCs w:val="21"/>
        </w:rPr>
        <w:t>.3进度付款证书和支付时间</w:t>
      </w:r>
    </w:p>
    <w:p w14:paraId="5157113C">
      <w:pPr>
        <w:wordWrap w:val="0"/>
        <w:topLinePunct/>
        <w:spacing w:line="400" w:lineRule="exact"/>
        <w:ind w:firstLine="482" w:firstLineChars="200"/>
        <w:rPr>
          <w:rFonts w:hint="eastAsia" w:ascii="宋体" w:hAnsi="宋体"/>
          <w:b/>
          <w:sz w:val="24"/>
        </w:rPr>
      </w:pPr>
      <w:r>
        <w:rPr>
          <w:rFonts w:hint="eastAsia" w:ascii="宋体" w:hAnsi="宋体"/>
          <w:b/>
          <w:sz w:val="24"/>
        </w:rPr>
        <w:t>进度付款涉及政府性资金的支付方法：乙方向甲方递交有效发票后，甲方向乙方付总工程款的30%，计人民币：</w:t>
      </w:r>
      <w:r>
        <w:rPr>
          <w:rFonts w:hint="eastAsia" w:ascii="宋体" w:hAnsi="宋体"/>
          <w:bCs/>
          <w:sz w:val="36"/>
          <w:szCs w:val="36"/>
          <w:u w:val="single"/>
        </w:rPr>
        <w:t xml:space="preserve">      </w:t>
      </w:r>
      <w:r>
        <w:rPr>
          <w:rFonts w:hint="eastAsia" w:ascii="宋体" w:hAnsi="宋体"/>
          <w:b/>
          <w:sz w:val="24"/>
        </w:rPr>
        <w:t>元，工程进度和工程量完成至70%时，累计支付至合同价款的70%，计人民币：</w:t>
      </w:r>
      <w:r>
        <w:rPr>
          <w:rFonts w:hint="eastAsia" w:ascii="宋体" w:hAnsi="宋体"/>
          <w:bCs/>
          <w:sz w:val="36"/>
          <w:szCs w:val="36"/>
          <w:u w:val="single"/>
        </w:rPr>
        <w:t xml:space="preserve">      </w:t>
      </w:r>
      <w:r>
        <w:rPr>
          <w:rFonts w:hint="eastAsia" w:ascii="宋体" w:hAnsi="宋体"/>
          <w:b/>
          <w:sz w:val="24"/>
        </w:rPr>
        <w:t>元。进度款支付不作为结算依据。工程竣工验收合格并提交完整的结算资料后，待工程竣工结算审计并经发承包双方确认后90日历天内支付至结算价款的100%，乙方向甲方交纳审定金额的</w:t>
      </w:r>
      <w:r>
        <w:rPr>
          <w:rFonts w:ascii="宋体" w:hAnsi="宋体"/>
          <w:b/>
          <w:sz w:val="24"/>
        </w:rPr>
        <w:t>3</w:t>
      </w:r>
      <w:r>
        <w:rPr>
          <w:rFonts w:hint="eastAsia" w:ascii="宋体" w:hAnsi="宋体"/>
          <w:b/>
          <w:sz w:val="24"/>
        </w:rPr>
        <w:t>%作为质保金，无质量问题24个月后无息返还。</w:t>
      </w:r>
    </w:p>
    <w:p w14:paraId="42ED54D4">
      <w:pPr>
        <w:wordWrap w:val="0"/>
        <w:topLinePunct/>
        <w:spacing w:line="400" w:lineRule="exact"/>
        <w:rPr>
          <w:rFonts w:hint="eastAsia" w:ascii="宋体" w:hAnsi="宋体" w:cs="Arial"/>
          <w:b/>
          <w:bCs/>
          <w:szCs w:val="21"/>
        </w:rPr>
      </w:pPr>
      <w:r>
        <w:rPr>
          <w:rFonts w:hint="eastAsia" w:ascii="宋体" w:hAnsi="宋体"/>
          <w:b/>
          <w:sz w:val="24"/>
        </w:rPr>
        <w:t>1</w:t>
      </w:r>
      <w:r>
        <w:rPr>
          <w:rFonts w:ascii="宋体" w:hAnsi="宋体"/>
          <w:b/>
          <w:sz w:val="24"/>
        </w:rPr>
        <w:t>7.4</w:t>
      </w:r>
      <w:r>
        <w:rPr>
          <w:rFonts w:hint="eastAsia" w:ascii="宋体" w:hAnsi="宋体" w:cs="Arial"/>
          <w:b/>
          <w:bCs/>
          <w:szCs w:val="21"/>
        </w:rPr>
        <w:t>工程结算</w:t>
      </w:r>
    </w:p>
    <w:p w14:paraId="25E4BE77">
      <w:pPr>
        <w:wordWrap w:val="0"/>
        <w:topLinePunct/>
        <w:spacing w:line="400" w:lineRule="exact"/>
        <w:rPr>
          <w:rFonts w:hint="eastAsia" w:ascii="宋体" w:hAnsi="宋体" w:cs="Arial"/>
          <w:b/>
          <w:bCs/>
          <w:sz w:val="22"/>
        </w:rPr>
      </w:pPr>
      <w:r>
        <w:rPr>
          <w:rFonts w:hint="eastAsia" w:ascii="宋体" w:hAnsi="宋体" w:cs="Arial"/>
          <w:b/>
          <w:bCs/>
          <w:sz w:val="22"/>
        </w:rPr>
        <w:t>1</w:t>
      </w:r>
      <w:r>
        <w:rPr>
          <w:rFonts w:ascii="宋体" w:hAnsi="宋体" w:cs="Arial"/>
          <w:b/>
          <w:bCs/>
          <w:sz w:val="22"/>
        </w:rPr>
        <w:t>7.4.1</w:t>
      </w:r>
      <w:r>
        <w:rPr>
          <w:rFonts w:hint="eastAsia" w:ascii="宋体" w:hAnsi="宋体" w:cs="Arial"/>
          <w:b/>
          <w:bCs/>
          <w:sz w:val="22"/>
        </w:rPr>
        <w:t>本合同为固定总价合同，其合同总价已包含甲方确认的设计图、施工图、效果图、乙方投标报价所列内容及所涉及的各项风险，上述依据中出现冲突以有利于甲方的条件为准。竣工结算时在完成本合同范围内不作调整。在合同范围外增加的，另行结算。对于合同总价内项目，工程结算审计的审减率若超过工程款的5%，超出5%的审计费由施工单位承担，审减率小于5%，审计费用由发包方承担。对于合同总价外经发包人书面同意的增项，工程结算审计的审减率若超过工程款的10%，超出10%的审计费由施工单位承担，审减小于10%，审计费用由发包方承担。</w:t>
      </w:r>
    </w:p>
    <w:p w14:paraId="530C5FB4">
      <w:pPr>
        <w:wordWrap w:val="0"/>
        <w:topLinePunct/>
        <w:spacing w:line="400" w:lineRule="exact"/>
        <w:rPr>
          <w:rFonts w:hint="eastAsia" w:ascii="宋体" w:hAnsi="宋体" w:cs="Arial"/>
          <w:b/>
          <w:bCs/>
          <w:sz w:val="22"/>
        </w:rPr>
      </w:pPr>
      <w:r>
        <w:rPr>
          <w:rFonts w:hint="eastAsia" w:ascii="宋体" w:hAnsi="宋体" w:cs="Arial"/>
          <w:b/>
          <w:bCs/>
          <w:sz w:val="22"/>
        </w:rPr>
        <w:t>1</w:t>
      </w:r>
      <w:r>
        <w:rPr>
          <w:rFonts w:ascii="宋体" w:hAnsi="宋体" w:cs="Arial"/>
          <w:b/>
          <w:bCs/>
          <w:sz w:val="22"/>
        </w:rPr>
        <w:t>7.4.2</w:t>
      </w:r>
      <w:r>
        <w:rPr>
          <w:rFonts w:hint="eastAsia" w:ascii="宋体" w:hAnsi="宋体" w:cs="Arial"/>
          <w:b/>
          <w:bCs/>
          <w:sz w:val="22"/>
        </w:rPr>
        <w:t>若在施工过程中，因甲方原因产生新的设计变更，足以导制工程施工费用明显增加的，在工程结算后支付，计价依据如下：</w:t>
      </w:r>
    </w:p>
    <w:p w14:paraId="7CCA46E6">
      <w:pPr>
        <w:wordWrap w:val="0"/>
        <w:topLinePunct/>
        <w:spacing w:line="400" w:lineRule="exact"/>
        <w:rPr>
          <w:rFonts w:hint="eastAsia" w:ascii="宋体" w:hAnsi="宋体" w:cs="Arial"/>
          <w:b/>
          <w:bCs/>
          <w:sz w:val="22"/>
        </w:rPr>
      </w:pPr>
      <w:r>
        <w:rPr>
          <w:rFonts w:hint="eastAsia" w:ascii="宋体" w:hAnsi="宋体" w:cs="Arial"/>
          <w:b/>
          <w:bCs/>
          <w:sz w:val="22"/>
        </w:rPr>
        <w:t>（1）预算中有综合单价的，按原预算单价执行。</w:t>
      </w:r>
    </w:p>
    <w:p w14:paraId="2E26E4B8">
      <w:pPr>
        <w:wordWrap w:val="0"/>
        <w:topLinePunct/>
        <w:spacing w:line="400" w:lineRule="exact"/>
        <w:rPr>
          <w:rFonts w:hint="eastAsia" w:ascii="宋体" w:hAnsi="宋体" w:cs="Arial"/>
          <w:b/>
          <w:bCs/>
          <w:szCs w:val="21"/>
        </w:rPr>
      </w:pPr>
      <w:r>
        <w:rPr>
          <w:rFonts w:hint="eastAsia" w:ascii="宋体" w:hAnsi="宋体" w:cs="Arial"/>
          <w:b/>
          <w:bCs/>
          <w:sz w:val="22"/>
        </w:rPr>
        <w:t>（2）原预算中没有综合单价的，按合同约定计价规范文件，人工、材料、机械费用有信息价的参照施工期信息价执行，没有信息价的参照施工期市场价执行。</w:t>
      </w:r>
    </w:p>
    <w:p w14:paraId="3C7070A6">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17.5 竣工结算</w:t>
      </w:r>
    </w:p>
    <w:p w14:paraId="0B3BDF55">
      <w:pPr>
        <w:spacing w:line="400" w:lineRule="exact"/>
        <w:ind w:firstLine="420" w:firstLineChars="200"/>
        <w:rPr>
          <w:rFonts w:hint="eastAsia" w:ascii="宋体" w:hAnsi="宋体"/>
          <w:szCs w:val="21"/>
        </w:rPr>
      </w:pPr>
      <w:r>
        <w:rPr>
          <w:rFonts w:hint="eastAsia" w:ascii="宋体" w:hAnsi="宋体"/>
          <w:szCs w:val="21"/>
        </w:rPr>
        <w:t>17.5.1竣工付款申请单</w:t>
      </w:r>
    </w:p>
    <w:p w14:paraId="0AC5B2CB">
      <w:pPr>
        <w:spacing w:line="400" w:lineRule="exact"/>
        <w:ind w:firstLine="420" w:firstLineChars="200"/>
        <w:rPr>
          <w:rFonts w:hint="eastAsia" w:ascii="宋体" w:hAnsi="宋体"/>
          <w:szCs w:val="21"/>
          <w:u w:val="single"/>
        </w:rPr>
      </w:pPr>
      <w:r>
        <w:rPr>
          <w:rFonts w:hint="eastAsia" w:ascii="宋体" w:hAnsi="宋体"/>
          <w:szCs w:val="21"/>
        </w:rPr>
        <w:t>乙方提交竣工付款申请单的份数：</w:t>
      </w:r>
      <w:r>
        <w:rPr>
          <w:rFonts w:hint="eastAsia" w:ascii="宋体" w:hAnsi="宋体"/>
          <w:szCs w:val="21"/>
          <w:u w:val="single"/>
        </w:rPr>
        <w:t>一式五份</w:t>
      </w:r>
      <w:r>
        <w:rPr>
          <w:rFonts w:hint="eastAsia" w:ascii="宋体" w:hAnsi="宋体"/>
          <w:szCs w:val="21"/>
        </w:rPr>
        <w:t>。</w:t>
      </w:r>
    </w:p>
    <w:p w14:paraId="6C564D90">
      <w:pPr>
        <w:spacing w:line="400" w:lineRule="exact"/>
        <w:ind w:firstLine="420" w:firstLineChars="200"/>
        <w:rPr>
          <w:rFonts w:hint="eastAsia" w:ascii="宋体" w:hAnsi="宋体"/>
          <w:szCs w:val="21"/>
          <w:u w:val="single"/>
        </w:rPr>
      </w:pPr>
      <w:r>
        <w:rPr>
          <w:rFonts w:hint="eastAsia" w:ascii="宋体" w:hAnsi="宋体"/>
          <w:szCs w:val="21"/>
        </w:rPr>
        <w:t>乙方提交竣工付款申请单的期限：</w:t>
      </w:r>
      <w:r>
        <w:rPr>
          <w:rFonts w:hint="eastAsia" w:ascii="宋体" w:hAnsi="宋体"/>
          <w:szCs w:val="21"/>
          <w:u w:val="single"/>
        </w:rPr>
        <w:t>在工程接收证书颁发后14天内</w:t>
      </w:r>
      <w:r>
        <w:rPr>
          <w:rFonts w:hint="eastAsia" w:ascii="宋体" w:hAnsi="宋体"/>
          <w:szCs w:val="21"/>
        </w:rPr>
        <w:t>。</w:t>
      </w:r>
    </w:p>
    <w:p w14:paraId="193722C9">
      <w:pPr>
        <w:spacing w:line="400" w:lineRule="exact"/>
        <w:ind w:firstLine="420" w:firstLineChars="200"/>
        <w:rPr>
          <w:rFonts w:hint="eastAsia" w:ascii="宋体" w:hAnsi="宋体"/>
          <w:szCs w:val="21"/>
        </w:rPr>
      </w:pPr>
      <w:r>
        <w:rPr>
          <w:rFonts w:hint="eastAsia" w:ascii="宋体" w:hAnsi="宋体"/>
          <w:szCs w:val="21"/>
        </w:rPr>
        <w:t>竣工付款申请单的内容：</w:t>
      </w:r>
      <w:r>
        <w:rPr>
          <w:rFonts w:hint="eastAsia" w:ascii="宋体" w:hAnsi="宋体"/>
          <w:szCs w:val="21"/>
          <w:u w:val="single"/>
        </w:rPr>
        <w:t>按照甲方规定的格式和内容填写，应包括但不限于竣工结算合同总价、已支付的工程价款、应扣留的质量保证金、应支付的竣工付款金额等</w:t>
      </w:r>
      <w:r>
        <w:rPr>
          <w:rFonts w:hint="eastAsia" w:ascii="宋体" w:hAnsi="宋体"/>
          <w:szCs w:val="21"/>
        </w:rPr>
        <w:t>。</w:t>
      </w:r>
    </w:p>
    <w:p w14:paraId="08D5D6AB">
      <w:pPr>
        <w:spacing w:line="400" w:lineRule="exact"/>
        <w:ind w:firstLine="420" w:firstLineChars="200"/>
        <w:rPr>
          <w:rFonts w:hint="eastAsia" w:ascii="宋体" w:hAnsi="宋体"/>
          <w:szCs w:val="21"/>
        </w:rPr>
      </w:pPr>
      <w:r>
        <w:rPr>
          <w:rFonts w:hint="eastAsia" w:ascii="宋体" w:hAnsi="宋体" w:cs="Arial"/>
          <w:szCs w:val="21"/>
        </w:rPr>
        <w:t>乙方未按本项约定的期限和内容提交竣工付款申请单或者未按通用合同条款第17.5.1（2)目约定提交修正后的竣工付款申请单，经监理人催促后14天内仍未提交或者没有明确答复的，监理人和甲方有权根据已有资料进行审查，审查确定的竣工结算</w:t>
      </w:r>
      <w:r>
        <w:rPr>
          <w:rFonts w:hint="eastAsia" w:ascii="宋体" w:hAnsi="宋体"/>
          <w:szCs w:val="21"/>
        </w:rPr>
        <w:t xml:space="preserve">合同总价和竣工付款金额视同是经乙方认可的工程竣工结算合同总价和竣工付款金额。   </w:t>
      </w:r>
    </w:p>
    <w:p w14:paraId="2D8DE01A">
      <w:pPr>
        <w:spacing w:line="400" w:lineRule="exact"/>
        <w:ind w:firstLine="420" w:firstLineChars="200"/>
        <w:rPr>
          <w:rFonts w:hint="eastAsia" w:ascii="宋体" w:hAnsi="宋体"/>
          <w:szCs w:val="21"/>
        </w:rPr>
      </w:pPr>
      <w:r>
        <w:rPr>
          <w:rFonts w:hint="eastAsia" w:ascii="宋体" w:hAnsi="宋体"/>
          <w:szCs w:val="21"/>
        </w:rPr>
        <w:t>不管通用合同条款17.5.2项如何约定，甲方和乙方应当在监理人颁发（出具）工程接收证书后56天内办清竣工结算和竣工付款。但是，政府投资或者以政府投资为主的建设项目纳入审计项目计划的，甲方和乙方均负有配合、接受审计机关审计的义务，竣工结算应当依据审计结论，办清竣工结算和竣工付款的时间按照相关规定执行。</w:t>
      </w:r>
    </w:p>
    <w:p w14:paraId="73F41377">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17.6 最终结清</w:t>
      </w:r>
    </w:p>
    <w:p w14:paraId="245E7D71">
      <w:pPr>
        <w:spacing w:line="400" w:lineRule="exact"/>
        <w:ind w:firstLine="420" w:firstLineChars="200"/>
        <w:rPr>
          <w:rFonts w:hint="eastAsia" w:ascii="宋体" w:hAnsi="宋体"/>
          <w:szCs w:val="21"/>
        </w:rPr>
      </w:pPr>
      <w:r>
        <w:rPr>
          <w:rFonts w:hint="eastAsia" w:ascii="宋体" w:hAnsi="宋体"/>
          <w:szCs w:val="21"/>
        </w:rPr>
        <w:t>17.6.1最终结清申请单</w:t>
      </w:r>
    </w:p>
    <w:p w14:paraId="560E7822">
      <w:pPr>
        <w:spacing w:line="400" w:lineRule="exact"/>
        <w:ind w:firstLine="420" w:firstLineChars="200"/>
        <w:rPr>
          <w:rFonts w:hint="eastAsia" w:ascii="宋体" w:hAnsi="宋体"/>
          <w:szCs w:val="21"/>
          <w:u w:val="single"/>
        </w:rPr>
      </w:pPr>
      <w:r>
        <w:rPr>
          <w:rFonts w:hint="eastAsia" w:ascii="宋体" w:hAnsi="宋体"/>
          <w:szCs w:val="21"/>
        </w:rPr>
        <w:t>乙方提交最终结清申请单的份数：</w:t>
      </w:r>
      <w:r>
        <w:rPr>
          <w:rFonts w:hint="eastAsia" w:ascii="宋体" w:hAnsi="宋体"/>
          <w:szCs w:val="21"/>
          <w:u w:val="single"/>
        </w:rPr>
        <w:t>一式五份</w:t>
      </w:r>
      <w:r>
        <w:rPr>
          <w:rFonts w:hint="eastAsia" w:ascii="宋体" w:hAnsi="宋体"/>
          <w:szCs w:val="21"/>
        </w:rPr>
        <w:t>。</w:t>
      </w:r>
    </w:p>
    <w:p w14:paraId="77BCCFBF">
      <w:pPr>
        <w:spacing w:line="400" w:lineRule="exact"/>
        <w:ind w:firstLine="420" w:firstLineChars="200"/>
        <w:rPr>
          <w:rFonts w:hint="eastAsia" w:ascii="宋体" w:hAnsi="宋体"/>
          <w:szCs w:val="21"/>
        </w:rPr>
      </w:pPr>
      <w:r>
        <w:rPr>
          <w:rFonts w:hint="eastAsia" w:ascii="宋体" w:hAnsi="宋体"/>
          <w:szCs w:val="21"/>
        </w:rPr>
        <w:t>乙方提交最终结清申请单的期限：</w:t>
      </w:r>
      <w:r>
        <w:rPr>
          <w:rFonts w:hint="eastAsia" w:ascii="宋体" w:hAnsi="宋体"/>
          <w:szCs w:val="21"/>
          <w:u w:val="single"/>
        </w:rPr>
        <w:t>在缺陷责任期终止证书颁发后28天内</w:t>
      </w:r>
      <w:r>
        <w:rPr>
          <w:rFonts w:hint="eastAsia" w:ascii="宋体" w:hAnsi="宋体"/>
          <w:szCs w:val="21"/>
        </w:rPr>
        <w:t>。</w:t>
      </w:r>
    </w:p>
    <w:p w14:paraId="36E935B2">
      <w:pPr>
        <w:pStyle w:val="260"/>
        <w:spacing w:before="0"/>
        <w:outlineLvl w:val="9"/>
        <w:rPr>
          <w:rFonts w:hint="eastAsia" w:ascii="宋体" w:hAnsi="宋体"/>
          <w:sz w:val="21"/>
          <w:szCs w:val="21"/>
        </w:rPr>
      </w:pPr>
      <w:r>
        <w:rPr>
          <w:rFonts w:hint="eastAsia" w:ascii="宋体" w:hAnsi="宋体"/>
          <w:sz w:val="21"/>
          <w:szCs w:val="21"/>
        </w:rPr>
        <w:t>18. 竣工验收</w:t>
      </w:r>
    </w:p>
    <w:p w14:paraId="46895EE6">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18.2 竣工验收申请报告</w:t>
      </w:r>
    </w:p>
    <w:p w14:paraId="048DC9D6">
      <w:pPr>
        <w:spacing w:line="400" w:lineRule="exact"/>
        <w:ind w:firstLine="420" w:firstLineChars="200"/>
        <w:rPr>
          <w:rFonts w:hint="eastAsia" w:ascii="宋体" w:hAnsi="宋体"/>
          <w:szCs w:val="21"/>
          <w:u w:val="single"/>
        </w:rPr>
      </w:pPr>
      <w:r>
        <w:rPr>
          <w:rFonts w:hint="eastAsia" w:ascii="宋体" w:hAnsi="宋体"/>
          <w:szCs w:val="21"/>
        </w:rPr>
        <w:t>（2）乙方负责整理和提交的竣工验收资料应当符合工程所在地建设行政主管部门和（或）城市建设档案管理机构有关施工资料的要求，具体内容包括：</w:t>
      </w:r>
      <w:r>
        <w:rPr>
          <w:rFonts w:hint="eastAsia" w:ascii="宋体" w:hAnsi="宋体"/>
          <w:szCs w:val="21"/>
          <w:u w:val="single"/>
        </w:rPr>
        <w:t>（一）文件封面应具有工程名称、开竣工日期、编制单位、卷册编号、单位技术负责人和法人代表或法人委托人签字并加盖单位公章</w:t>
      </w:r>
    </w:p>
    <w:p w14:paraId="4FC411A0">
      <w:pPr>
        <w:spacing w:line="400" w:lineRule="exact"/>
        <w:ind w:firstLine="420" w:firstLineChars="200"/>
        <w:rPr>
          <w:rFonts w:hint="eastAsia" w:ascii="宋体" w:hAnsi="宋体"/>
          <w:szCs w:val="21"/>
          <w:u w:val="single"/>
        </w:rPr>
      </w:pPr>
      <w:r>
        <w:rPr>
          <w:rFonts w:hint="eastAsia" w:ascii="宋体" w:hAnsi="宋体"/>
          <w:szCs w:val="21"/>
          <w:u w:val="single"/>
        </w:rPr>
        <w:t>（二）文件材料部分排列宜按以下顺序</w:t>
      </w:r>
    </w:p>
    <w:p w14:paraId="16CEA781">
      <w:pPr>
        <w:spacing w:line="400" w:lineRule="exact"/>
        <w:ind w:firstLine="420" w:firstLineChars="200"/>
        <w:rPr>
          <w:rFonts w:hint="eastAsia" w:ascii="宋体" w:hAnsi="宋体"/>
          <w:szCs w:val="21"/>
          <w:u w:val="single"/>
        </w:rPr>
      </w:pPr>
      <w:r>
        <w:rPr>
          <w:rFonts w:hint="eastAsia" w:ascii="宋体" w:hAnsi="宋体"/>
          <w:szCs w:val="21"/>
          <w:u w:val="single"/>
        </w:rPr>
        <w:t>1、施工组织设计</w:t>
      </w:r>
    </w:p>
    <w:p w14:paraId="56660132">
      <w:pPr>
        <w:spacing w:line="400" w:lineRule="exact"/>
        <w:ind w:firstLine="420" w:firstLineChars="200"/>
        <w:rPr>
          <w:rFonts w:hint="eastAsia" w:ascii="宋体" w:hAnsi="宋体"/>
          <w:szCs w:val="21"/>
          <w:u w:val="single"/>
        </w:rPr>
      </w:pPr>
      <w:r>
        <w:rPr>
          <w:rFonts w:hint="eastAsia" w:ascii="宋体" w:hAnsi="宋体"/>
          <w:szCs w:val="21"/>
          <w:u w:val="single"/>
        </w:rPr>
        <w:t>2、施工图设计文件会审、技术交底记录</w:t>
      </w:r>
    </w:p>
    <w:p w14:paraId="48619482">
      <w:pPr>
        <w:spacing w:line="400" w:lineRule="exact"/>
        <w:ind w:firstLine="420" w:firstLineChars="200"/>
        <w:rPr>
          <w:rFonts w:hint="eastAsia" w:ascii="宋体" w:hAnsi="宋体"/>
          <w:szCs w:val="21"/>
          <w:u w:val="single"/>
        </w:rPr>
      </w:pPr>
      <w:r>
        <w:rPr>
          <w:rFonts w:hint="eastAsia" w:ascii="宋体" w:hAnsi="宋体"/>
          <w:szCs w:val="21"/>
          <w:u w:val="single"/>
        </w:rPr>
        <w:t>3、设计变更通知单、洽商记录</w:t>
      </w:r>
    </w:p>
    <w:p w14:paraId="5ADE76AC">
      <w:pPr>
        <w:spacing w:line="400" w:lineRule="exact"/>
        <w:ind w:firstLine="420" w:firstLineChars="200"/>
        <w:rPr>
          <w:rFonts w:hint="eastAsia" w:ascii="宋体" w:hAnsi="宋体"/>
          <w:szCs w:val="21"/>
          <w:u w:val="single"/>
        </w:rPr>
      </w:pPr>
      <w:r>
        <w:rPr>
          <w:rFonts w:hint="eastAsia" w:ascii="宋体" w:hAnsi="宋体"/>
          <w:szCs w:val="21"/>
          <w:u w:val="single"/>
        </w:rPr>
        <w:t>4、原材料、成品、半成品、构配件、设备出厂质量合格证书，出厂检（试）验报告和复试报告（须一一对应）。</w:t>
      </w:r>
    </w:p>
    <w:p w14:paraId="13C0082B">
      <w:pPr>
        <w:spacing w:line="400" w:lineRule="exact"/>
        <w:ind w:firstLine="420" w:firstLineChars="200"/>
        <w:rPr>
          <w:rFonts w:hint="eastAsia" w:ascii="宋体" w:hAnsi="宋体"/>
          <w:szCs w:val="21"/>
          <w:u w:val="single"/>
        </w:rPr>
      </w:pPr>
      <w:r>
        <w:rPr>
          <w:rFonts w:hint="eastAsia" w:ascii="宋体" w:hAnsi="宋体"/>
          <w:szCs w:val="21"/>
          <w:u w:val="single"/>
        </w:rPr>
        <w:t>5、施工试验资料</w:t>
      </w:r>
    </w:p>
    <w:p w14:paraId="6A465C4C">
      <w:pPr>
        <w:spacing w:line="400" w:lineRule="exact"/>
        <w:ind w:firstLine="420" w:firstLineChars="200"/>
        <w:rPr>
          <w:rFonts w:hint="eastAsia" w:ascii="宋体" w:hAnsi="宋体"/>
          <w:szCs w:val="21"/>
          <w:u w:val="single"/>
        </w:rPr>
      </w:pPr>
      <w:r>
        <w:rPr>
          <w:rFonts w:hint="eastAsia" w:ascii="宋体" w:hAnsi="宋体"/>
          <w:szCs w:val="21"/>
          <w:u w:val="single"/>
        </w:rPr>
        <w:t>6、施工记录</w:t>
      </w:r>
    </w:p>
    <w:p w14:paraId="544CCE83">
      <w:pPr>
        <w:spacing w:line="400" w:lineRule="exact"/>
        <w:ind w:firstLine="420" w:firstLineChars="200"/>
        <w:rPr>
          <w:rFonts w:hint="eastAsia" w:ascii="宋体" w:hAnsi="宋体"/>
          <w:szCs w:val="21"/>
          <w:u w:val="single"/>
        </w:rPr>
      </w:pPr>
      <w:r>
        <w:rPr>
          <w:rFonts w:hint="eastAsia" w:ascii="宋体" w:hAnsi="宋体"/>
          <w:szCs w:val="21"/>
          <w:u w:val="single"/>
        </w:rPr>
        <w:t>7、测量复核及预检记录</w:t>
      </w:r>
    </w:p>
    <w:p w14:paraId="3BB594F3">
      <w:pPr>
        <w:spacing w:line="400" w:lineRule="exact"/>
        <w:ind w:firstLine="420" w:firstLineChars="200"/>
        <w:rPr>
          <w:rFonts w:hint="eastAsia" w:ascii="宋体" w:hAnsi="宋体"/>
          <w:szCs w:val="21"/>
          <w:u w:val="single"/>
        </w:rPr>
      </w:pPr>
      <w:r>
        <w:rPr>
          <w:rFonts w:hint="eastAsia" w:ascii="宋体" w:hAnsi="宋体"/>
          <w:szCs w:val="21"/>
          <w:u w:val="single"/>
        </w:rPr>
        <w:t>8、隐蔽工程检查验收记录</w:t>
      </w:r>
    </w:p>
    <w:p w14:paraId="02915992">
      <w:pPr>
        <w:spacing w:line="400" w:lineRule="exact"/>
        <w:ind w:firstLine="420" w:firstLineChars="200"/>
        <w:rPr>
          <w:rFonts w:hint="eastAsia" w:ascii="宋体" w:hAnsi="宋体"/>
          <w:szCs w:val="21"/>
          <w:u w:val="single"/>
        </w:rPr>
      </w:pPr>
      <w:r>
        <w:rPr>
          <w:rFonts w:hint="eastAsia" w:ascii="宋体" w:hAnsi="宋体"/>
          <w:szCs w:val="21"/>
          <w:u w:val="single"/>
        </w:rPr>
        <w:t>9、工程质量检验评定资料</w:t>
      </w:r>
    </w:p>
    <w:p w14:paraId="1BED35D2">
      <w:pPr>
        <w:spacing w:line="400" w:lineRule="exact"/>
        <w:ind w:firstLine="420" w:firstLineChars="200"/>
        <w:rPr>
          <w:rFonts w:hint="eastAsia" w:ascii="宋体" w:hAnsi="宋体"/>
          <w:szCs w:val="21"/>
          <w:u w:val="single"/>
        </w:rPr>
      </w:pPr>
      <w:r>
        <w:rPr>
          <w:rFonts w:hint="eastAsia" w:ascii="宋体" w:hAnsi="宋体"/>
          <w:szCs w:val="21"/>
          <w:u w:val="single"/>
        </w:rPr>
        <w:t>10、使用功能试验记录</w:t>
      </w:r>
    </w:p>
    <w:p w14:paraId="5C52F87D">
      <w:pPr>
        <w:spacing w:line="400" w:lineRule="exact"/>
        <w:ind w:firstLine="420" w:firstLineChars="200"/>
        <w:rPr>
          <w:rFonts w:hint="eastAsia" w:ascii="宋体" w:hAnsi="宋体"/>
          <w:szCs w:val="21"/>
          <w:u w:val="single"/>
        </w:rPr>
      </w:pPr>
      <w:r>
        <w:rPr>
          <w:rFonts w:hint="eastAsia" w:ascii="宋体" w:hAnsi="宋体"/>
          <w:szCs w:val="21"/>
          <w:u w:val="single"/>
        </w:rPr>
        <w:t>11、事故报告</w:t>
      </w:r>
    </w:p>
    <w:p w14:paraId="04C085ED">
      <w:pPr>
        <w:spacing w:line="400" w:lineRule="exact"/>
        <w:ind w:firstLine="420" w:firstLineChars="200"/>
        <w:rPr>
          <w:rFonts w:hint="eastAsia" w:ascii="宋体" w:hAnsi="宋体"/>
          <w:szCs w:val="21"/>
          <w:u w:val="single"/>
        </w:rPr>
      </w:pPr>
      <w:r>
        <w:rPr>
          <w:rFonts w:hint="eastAsia" w:ascii="宋体" w:hAnsi="宋体"/>
          <w:szCs w:val="21"/>
          <w:u w:val="single"/>
        </w:rPr>
        <w:t>12、竣工测量资料</w:t>
      </w:r>
    </w:p>
    <w:p w14:paraId="483E0C29">
      <w:pPr>
        <w:spacing w:line="400" w:lineRule="exact"/>
        <w:ind w:firstLine="420" w:firstLineChars="200"/>
        <w:rPr>
          <w:rFonts w:hint="eastAsia" w:ascii="宋体" w:hAnsi="宋体"/>
          <w:szCs w:val="21"/>
          <w:u w:val="single"/>
        </w:rPr>
      </w:pPr>
      <w:r>
        <w:rPr>
          <w:rFonts w:hint="eastAsia" w:ascii="宋体" w:hAnsi="宋体"/>
          <w:szCs w:val="21"/>
          <w:u w:val="single"/>
        </w:rPr>
        <w:t>13、竣工图</w:t>
      </w:r>
    </w:p>
    <w:p w14:paraId="484E129A">
      <w:pPr>
        <w:spacing w:line="400" w:lineRule="exact"/>
        <w:ind w:firstLine="420" w:firstLineChars="200"/>
        <w:rPr>
          <w:rFonts w:hint="eastAsia" w:ascii="宋体" w:hAnsi="宋体"/>
          <w:szCs w:val="21"/>
        </w:rPr>
      </w:pPr>
      <w:r>
        <w:rPr>
          <w:rFonts w:hint="eastAsia" w:ascii="宋体" w:hAnsi="宋体"/>
          <w:szCs w:val="21"/>
          <w:u w:val="single"/>
        </w:rPr>
        <w:t>14、工程竣工验收文件</w:t>
      </w:r>
      <w:r>
        <w:rPr>
          <w:rFonts w:hint="eastAsia" w:ascii="宋体" w:hAnsi="宋体"/>
          <w:szCs w:val="21"/>
        </w:rPr>
        <w:t>。</w:t>
      </w:r>
    </w:p>
    <w:p w14:paraId="58FBF061">
      <w:pPr>
        <w:spacing w:line="400" w:lineRule="exact"/>
        <w:ind w:firstLine="420" w:firstLineChars="200"/>
        <w:rPr>
          <w:rFonts w:hint="eastAsia" w:ascii="宋体" w:hAnsi="宋体"/>
          <w:szCs w:val="21"/>
        </w:rPr>
      </w:pPr>
      <w:r>
        <w:rPr>
          <w:rFonts w:hint="eastAsia" w:ascii="宋体" w:hAnsi="宋体"/>
          <w:szCs w:val="21"/>
        </w:rPr>
        <w:t>竣工验收资料的份数：</w:t>
      </w:r>
      <w:r>
        <w:rPr>
          <w:rFonts w:hint="eastAsia" w:ascii="宋体" w:hAnsi="宋体"/>
          <w:szCs w:val="21"/>
          <w:u w:val="single"/>
        </w:rPr>
        <w:t>4套纸质竣工图及工程档案资料（含4套缩微版文档，执行档案馆要求）</w:t>
      </w:r>
      <w:r>
        <w:rPr>
          <w:rFonts w:hint="eastAsia" w:ascii="宋体" w:hAnsi="宋体"/>
          <w:szCs w:val="21"/>
        </w:rPr>
        <w:t>。</w:t>
      </w:r>
    </w:p>
    <w:p w14:paraId="224F3CC8">
      <w:pPr>
        <w:spacing w:line="400" w:lineRule="exact"/>
        <w:ind w:firstLine="420" w:firstLineChars="200"/>
        <w:rPr>
          <w:rFonts w:hint="eastAsia" w:ascii="宋体" w:hAnsi="宋体"/>
          <w:szCs w:val="21"/>
        </w:rPr>
      </w:pPr>
      <w:r>
        <w:rPr>
          <w:rFonts w:hint="eastAsia" w:ascii="宋体" w:hAnsi="宋体"/>
          <w:szCs w:val="21"/>
        </w:rPr>
        <w:t>竣工验收资料的费用支付方式：</w:t>
      </w:r>
      <w:r>
        <w:rPr>
          <w:rFonts w:hint="eastAsia" w:ascii="宋体" w:hAnsi="宋体"/>
          <w:szCs w:val="21"/>
          <w:u w:val="single"/>
        </w:rPr>
        <w:t>已包含在合同价款中，由乙方承担</w:t>
      </w:r>
      <w:r>
        <w:rPr>
          <w:rFonts w:hint="eastAsia" w:ascii="宋体" w:hAnsi="宋体"/>
          <w:szCs w:val="21"/>
        </w:rPr>
        <w:t>。</w:t>
      </w:r>
    </w:p>
    <w:p w14:paraId="13CBF8A1">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18.3 验 收</w:t>
      </w:r>
    </w:p>
    <w:p w14:paraId="0A30F135">
      <w:pPr>
        <w:spacing w:line="400" w:lineRule="exact"/>
        <w:ind w:firstLine="420" w:firstLineChars="200"/>
        <w:rPr>
          <w:rFonts w:hint="eastAsia" w:ascii="宋体" w:hAnsi="宋体" w:cs="Arial"/>
          <w:szCs w:val="21"/>
        </w:rPr>
      </w:pPr>
      <w:r>
        <w:rPr>
          <w:rFonts w:hint="eastAsia" w:ascii="宋体" w:hAnsi="宋体"/>
          <w:szCs w:val="21"/>
        </w:rPr>
        <w:t>18.3.5经验收合格的工程, 实际竣工日期为乙方按照第18.2款提交竣工验收申请报告或按照本款重新提交竣工验收申请报告的日期（以两者中时间在后者为准）。</w:t>
      </w:r>
    </w:p>
    <w:p w14:paraId="7FEDB56E">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18.5 施工期运行</w:t>
      </w:r>
    </w:p>
    <w:p w14:paraId="53958B3D">
      <w:pPr>
        <w:spacing w:line="400" w:lineRule="exact"/>
        <w:ind w:firstLine="420" w:firstLineChars="200"/>
        <w:rPr>
          <w:rFonts w:hint="eastAsia" w:ascii="宋体" w:hAnsi="宋体"/>
          <w:szCs w:val="21"/>
          <w:u w:val="single"/>
        </w:rPr>
      </w:pPr>
      <w:r>
        <w:rPr>
          <w:rFonts w:hint="eastAsia" w:ascii="宋体" w:hAnsi="宋体"/>
          <w:szCs w:val="21"/>
        </w:rPr>
        <w:t>18.5.1需要施工期运行的单位工程或设备安装工程：</w:t>
      </w:r>
      <w:r>
        <w:rPr>
          <w:rFonts w:hint="eastAsia" w:ascii="宋体" w:hAnsi="宋体"/>
          <w:szCs w:val="21"/>
          <w:u w:val="single"/>
        </w:rPr>
        <w:t>甲方根据工程实际情况另行安排</w:t>
      </w:r>
      <w:r>
        <w:rPr>
          <w:rFonts w:hint="eastAsia" w:ascii="宋体" w:hAnsi="宋体"/>
          <w:szCs w:val="21"/>
        </w:rPr>
        <w:t>。</w:t>
      </w:r>
    </w:p>
    <w:p w14:paraId="1F5109D1">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18.6 试运行</w:t>
      </w:r>
    </w:p>
    <w:p w14:paraId="2205CF88">
      <w:pPr>
        <w:spacing w:line="400" w:lineRule="exact"/>
        <w:ind w:firstLine="420" w:firstLineChars="200"/>
        <w:rPr>
          <w:rFonts w:hint="eastAsia" w:ascii="宋体" w:hAnsi="宋体"/>
          <w:szCs w:val="21"/>
        </w:rPr>
      </w:pPr>
      <w:r>
        <w:rPr>
          <w:rFonts w:hint="eastAsia" w:ascii="宋体" w:hAnsi="宋体"/>
          <w:szCs w:val="21"/>
        </w:rPr>
        <w:t>18.6.1工程及工程设备试运行的组织与费用承担</w:t>
      </w:r>
    </w:p>
    <w:p w14:paraId="468A1740">
      <w:pPr>
        <w:spacing w:line="400" w:lineRule="exact"/>
        <w:ind w:firstLine="420" w:firstLineChars="200"/>
        <w:rPr>
          <w:rFonts w:hint="eastAsia" w:ascii="宋体" w:hAnsi="宋体"/>
          <w:szCs w:val="21"/>
        </w:rPr>
      </w:pPr>
      <w:r>
        <w:rPr>
          <w:rFonts w:hint="eastAsia" w:ascii="宋体" w:hAnsi="宋体"/>
          <w:szCs w:val="21"/>
        </w:rPr>
        <w:t>（1）工程设备安装具备单机无负荷试运行条件，由乙方组织试运行，费用由乙方承担。</w:t>
      </w:r>
    </w:p>
    <w:p w14:paraId="28893EB5">
      <w:pPr>
        <w:spacing w:line="400" w:lineRule="exact"/>
        <w:ind w:firstLine="420" w:firstLineChars="200"/>
        <w:rPr>
          <w:rFonts w:hint="eastAsia" w:ascii="宋体" w:hAnsi="宋体"/>
          <w:szCs w:val="21"/>
        </w:rPr>
      </w:pPr>
      <w:r>
        <w:rPr>
          <w:rFonts w:hint="eastAsia" w:ascii="宋体" w:hAnsi="宋体"/>
          <w:szCs w:val="21"/>
        </w:rPr>
        <w:t>（2）工程设备安装具备无负荷联动试运行条件，由甲方组织试运行，费用由甲方承担</w:t>
      </w:r>
      <w:r>
        <w:rPr>
          <w:rFonts w:ascii="宋体" w:hAnsi="宋体"/>
          <w:szCs w:val="21"/>
        </w:rPr>
        <w:t>。</w:t>
      </w:r>
    </w:p>
    <w:p w14:paraId="68BE20FB">
      <w:pPr>
        <w:spacing w:line="400" w:lineRule="exact"/>
        <w:ind w:firstLine="420" w:firstLineChars="200"/>
        <w:rPr>
          <w:rFonts w:hint="eastAsia" w:ascii="宋体" w:hAnsi="宋体" w:cs="Arial"/>
          <w:szCs w:val="21"/>
        </w:rPr>
      </w:pPr>
      <w:r>
        <w:rPr>
          <w:rFonts w:hint="eastAsia" w:ascii="宋体" w:hAnsi="宋体" w:cs="Arial"/>
          <w:szCs w:val="21"/>
        </w:rPr>
        <w:t>（3）</w:t>
      </w:r>
      <w:r>
        <w:rPr>
          <w:rFonts w:hint="eastAsia" w:ascii="宋体" w:hAnsi="宋体"/>
          <w:szCs w:val="21"/>
        </w:rPr>
        <w:t>投料试运行应在工程竣工验收后由甲方负责，如甲方要求在工程竣工验收前进行或需要乙方配合时，应征得乙方同意，另行签订补充协议。</w:t>
      </w:r>
    </w:p>
    <w:p w14:paraId="3B9D56BB">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18.7 竣工清场</w:t>
      </w:r>
    </w:p>
    <w:p w14:paraId="0221B8FF">
      <w:pPr>
        <w:spacing w:line="400" w:lineRule="exact"/>
        <w:ind w:firstLine="420" w:firstLineChars="200"/>
        <w:rPr>
          <w:rFonts w:hint="eastAsia" w:ascii="宋体" w:hAnsi="宋体"/>
          <w:szCs w:val="21"/>
        </w:rPr>
      </w:pPr>
      <w:r>
        <w:rPr>
          <w:rFonts w:hint="eastAsia" w:ascii="宋体" w:hAnsi="宋体"/>
          <w:szCs w:val="21"/>
        </w:rPr>
        <w:t>18.7.1监理人颁发（出具）工程接收证书后，乙方负责按照通用合同条款本项约定的要求对施工场地进行清理并承担相关费用，直至监理人检验合格为止。</w:t>
      </w:r>
    </w:p>
    <w:p w14:paraId="5F1EA411">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18.8 施工队伍的撤离</w:t>
      </w:r>
    </w:p>
    <w:p w14:paraId="328C29B1">
      <w:pPr>
        <w:spacing w:line="400" w:lineRule="exact"/>
        <w:ind w:firstLine="420" w:firstLineChars="200"/>
        <w:rPr>
          <w:rFonts w:hint="eastAsia" w:ascii="宋体" w:hAnsi="宋体"/>
          <w:szCs w:val="21"/>
        </w:rPr>
      </w:pPr>
      <w:r>
        <w:rPr>
          <w:rFonts w:hint="eastAsia" w:ascii="宋体" w:hAnsi="宋体" w:cs="Arial"/>
          <w:szCs w:val="21"/>
        </w:rPr>
        <w:t>乙方按照通用合同条款第18.8款约定撤离施工场地（现场）时，监理人和乙方应当办理永久工程和施工场地移交手续，移交手续以书面方式出具，并分别经过甲方、监理人和乙方的签认。但是，监理人和甲方未按专用合同条款17.5.1项约定的期限办清竣工结算和竣工付款的，本工程不得交付使用，甲方和监理人也无权要求乙方按合同约定的期限撤离施工场地（现场）和办理工程移交手续。</w:t>
      </w:r>
    </w:p>
    <w:p w14:paraId="398AEFAB">
      <w:pPr>
        <w:spacing w:line="400" w:lineRule="exact"/>
        <w:ind w:firstLine="420" w:firstLineChars="200"/>
        <w:rPr>
          <w:rFonts w:hint="eastAsia" w:ascii="宋体" w:hAnsi="宋体"/>
          <w:szCs w:val="21"/>
        </w:rPr>
      </w:pPr>
      <w:r>
        <w:rPr>
          <w:rFonts w:hint="eastAsia" w:ascii="宋体" w:hAnsi="宋体"/>
          <w:szCs w:val="21"/>
        </w:rPr>
        <w:t>缺陷责任期满时，乙方可以继续在施工场地保留的人员和施工设备以及最终撤离的期限：</w:t>
      </w:r>
      <w:r>
        <w:rPr>
          <w:rFonts w:hint="eastAsia" w:ascii="宋体" w:hAnsi="宋体"/>
          <w:szCs w:val="21"/>
          <w:u w:val="single"/>
        </w:rPr>
        <w:t>工程接收证书颁发后的56天内，除了经承包人同意需在缺陷责任期内继续工作和使用的人员、施工设备和临时工程外，其余的人员、施工设备和临时工程均应撤离施工场地或拆除。承包人应提交其留场人员和设备的明细表及最后撤离时间。延后撤离造成发包人增加的费用，应由承包人承担。</w:t>
      </w:r>
      <w:r>
        <w:rPr>
          <w:rFonts w:hint="eastAsia" w:ascii="宋体" w:hAnsi="宋体"/>
          <w:szCs w:val="21"/>
        </w:rPr>
        <w:t xml:space="preserve">  </w:t>
      </w:r>
    </w:p>
    <w:p w14:paraId="6805FE36">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18.9 中间验收</w:t>
      </w:r>
    </w:p>
    <w:p w14:paraId="248BDB65">
      <w:pPr>
        <w:spacing w:line="400" w:lineRule="exact"/>
        <w:ind w:firstLine="525" w:firstLineChars="250"/>
        <w:rPr>
          <w:rFonts w:hint="eastAsia" w:ascii="宋体" w:hAnsi="宋体"/>
          <w:szCs w:val="21"/>
        </w:rPr>
      </w:pPr>
      <w:r>
        <w:rPr>
          <w:rFonts w:hint="eastAsia" w:ascii="宋体" w:hAnsi="宋体"/>
          <w:szCs w:val="21"/>
        </w:rPr>
        <w:t>本工程需要进行中间验收的部位如下：</w:t>
      </w:r>
    </w:p>
    <w:p w14:paraId="6F301888">
      <w:pPr>
        <w:spacing w:line="400" w:lineRule="exact"/>
        <w:rPr>
          <w:rFonts w:hint="eastAsia" w:ascii="宋体" w:hAnsi="宋体"/>
          <w:szCs w:val="21"/>
        </w:rPr>
      </w:pPr>
      <w:r>
        <w:rPr>
          <w:rFonts w:hint="eastAsia" w:ascii="宋体" w:hAnsi="宋体"/>
          <w:szCs w:val="21"/>
          <w:u w:val="single"/>
        </w:rPr>
        <w:t xml:space="preserve">   按相关验收规范执行  </w:t>
      </w:r>
      <w:r>
        <w:rPr>
          <w:rFonts w:hint="eastAsia" w:ascii="宋体" w:hAnsi="宋体"/>
          <w:szCs w:val="21"/>
        </w:rPr>
        <w:t>。</w:t>
      </w:r>
    </w:p>
    <w:p w14:paraId="2ABCCDC9">
      <w:pPr>
        <w:spacing w:line="400" w:lineRule="exact"/>
        <w:ind w:firstLine="420" w:firstLineChars="200"/>
        <w:rPr>
          <w:rFonts w:hint="eastAsia" w:ascii="宋体" w:hAnsi="宋体"/>
          <w:szCs w:val="21"/>
        </w:rPr>
      </w:pPr>
      <w:r>
        <w:rPr>
          <w:rFonts w:hint="eastAsia" w:ascii="宋体" w:hAnsi="宋体"/>
          <w:szCs w:val="21"/>
        </w:rPr>
        <w:t>当工程进度达到本款约定的中间验收部位时，乙方应当进行自检，并在中间验收前48小时以书面形式通知监理人验收。书面通知应包括中间验收的内容、验收时间和地点。乙方应当准备验收记录。只有监理人验收合格并在验收记录上签字后，乙方方可继续施工。验收不合格的，乙方在</w:t>
      </w:r>
      <w:r>
        <w:rPr>
          <w:rFonts w:hint="eastAsia" w:ascii="宋体" w:hAnsi="宋体"/>
          <w:szCs w:val="21"/>
          <w:u w:val="single"/>
        </w:rPr>
        <w:t xml:space="preserve">  甲方要求    </w:t>
      </w:r>
      <w:r>
        <w:rPr>
          <w:rFonts w:hint="eastAsia" w:ascii="宋体" w:hAnsi="宋体"/>
          <w:szCs w:val="21"/>
        </w:rPr>
        <w:t>期限内进行修改后重新验收。</w:t>
      </w:r>
    </w:p>
    <w:p w14:paraId="09874625">
      <w:pPr>
        <w:spacing w:line="400" w:lineRule="exact"/>
        <w:ind w:firstLine="420" w:firstLineChars="200"/>
        <w:rPr>
          <w:rFonts w:hint="eastAsia" w:ascii="宋体" w:hAnsi="宋体"/>
          <w:szCs w:val="21"/>
        </w:rPr>
      </w:pPr>
      <w:r>
        <w:rPr>
          <w:rFonts w:hint="eastAsia" w:ascii="宋体" w:hAnsi="宋体"/>
          <w:szCs w:val="21"/>
        </w:rPr>
        <w:t>监理人不能按时进行验收的，应在验收前24小时以书面形式向乙方提出延期要求，延期不能超过48小时。监理人未能按本款约定的时限提出延期要求，又未按期进行验收的，乙方可自行组织验收，监理人必须认同验收记录。</w:t>
      </w:r>
    </w:p>
    <w:p w14:paraId="5F2A6F7C">
      <w:pPr>
        <w:spacing w:line="400" w:lineRule="exact"/>
        <w:ind w:firstLine="420" w:firstLineChars="200"/>
        <w:rPr>
          <w:rFonts w:hint="eastAsia" w:ascii="宋体" w:hAnsi="宋体"/>
          <w:szCs w:val="21"/>
        </w:rPr>
      </w:pPr>
      <w:r>
        <w:rPr>
          <w:rFonts w:hint="eastAsia" w:ascii="宋体" w:hAnsi="宋体"/>
          <w:szCs w:val="21"/>
        </w:rPr>
        <w:t>经监理人验收后工程质量符合约定的验收标准，但验收24小时后监理人仍不在验收记录上签字的，视为监理人已经认可验收记录，乙方可继续施工。</w:t>
      </w:r>
    </w:p>
    <w:p w14:paraId="40F4DFE7">
      <w:pPr>
        <w:pStyle w:val="260"/>
        <w:spacing w:before="0"/>
        <w:outlineLvl w:val="9"/>
        <w:rPr>
          <w:rFonts w:hint="eastAsia" w:ascii="宋体" w:hAnsi="宋体"/>
          <w:sz w:val="21"/>
          <w:szCs w:val="21"/>
        </w:rPr>
      </w:pPr>
      <w:r>
        <w:rPr>
          <w:rFonts w:hint="eastAsia" w:ascii="宋体" w:hAnsi="宋体"/>
          <w:sz w:val="21"/>
          <w:szCs w:val="21"/>
        </w:rPr>
        <w:t>19. 缺陷责任与保修责任</w:t>
      </w:r>
    </w:p>
    <w:p w14:paraId="2516EBD4">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19.7 保修责任</w:t>
      </w:r>
    </w:p>
    <w:p w14:paraId="68C228E1">
      <w:pPr>
        <w:spacing w:line="400" w:lineRule="exact"/>
        <w:ind w:firstLine="420" w:firstLineChars="200"/>
        <w:rPr>
          <w:rFonts w:hint="eastAsia" w:ascii="宋体" w:hAnsi="宋体"/>
          <w:szCs w:val="21"/>
        </w:rPr>
      </w:pPr>
      <w:r>
        <w:rPr>
          <w:rFonts w:hint="eastAsia" w:ascii="宋体" w:hAnsi="宋体"/>
          <w:szCs w:val="21"/>
        </w:rPr>
        <w:t>（1）工程质量保修范围：</w:t>
      </w:r>
      <w:r>
        <w:rPr>
          <w:rFonts w:hint="eastAsia" w:ascii="宋体" w:hAnsi="宋体"/>
          <w:szCs w:val="21"/>
          <w:u w:val="single"/>
        </w:rPr>
        <w:t>本合同的全部内容。</w:t>
      </w:r>
    </w:p>
    <w:p w14:paraId="58585F1A">
      <w:pPr>
        <w:spacing w:line="400" w:lineRule="exact"/>
        <w:ind w:firstLine="420" w:firstLineChars="200"/>
        <w:rPr>
          <w:rFonts w:hint="eastAsia" w:ascii="宋体" w:hAnsi="宋体"/>
          <w:szCs w:val="21"/>
        </w:rPr>
      </w:pPr>
      <w:r>
        <w:rPr>
          <w:rFonts w:hint="eastAsia" w:ascii="宋体" w:hAnsi="宋体"/>
          <w:szCs w:val="21"/>
        </w:rPr>
        <w:t>（2）工程质量保修期限：</w:t>
      </w:r>
      <w:r>
        <w:rPr>
          <w:rFonts w:hint="eastAsia" w:ascii="宋体" w:hAnsi="宋体"/>
          <w:szCs w:val="21"/>
          <w:u w:val="single"/>
        </w:rPr>
        <w:t>通过竣工验收之日起24个月。</w:t>
      </w:r>
    </w:p>
    <w:p w14:paraId="0B1B9F70">
      <w:pPr>
        <w:spacing w:line="400" w:lineRule="exact"/>
        <w:ind w:firstLine="420" w:firstLineChars="200"/>
        <w:rPr>
          <w:rFonts w:hint="eastAsia" w:ascii="宋体" w:hAnsi="宋体"/>
          <w:szCs w:val="21"/>
          <w:u w:val="single"/>
        </w:rPr>
      </w:pPr>
      <w:r>
        <w:rPr>
          <w:rFonts w:hint="eastAsia" w:ascii="宋体" w:hAnsi="宋体"/>
          <w:szCs w:val="21"/>
        </w:rPr>
        <w:t>（3）工程质量保修责任：</w:t>
      </w:r>
      <w:r>
        <w:rPr>
          <w:rFonts w:hint="eastAsia" w:ascii="宋体" w:hAnsi="宋体"/>
          <w:szCs w:val="21"/>
          <w:u w:val="single"/>
        </w:rPr>
        <w:t>1．属于保修范围和内容的项目，乙方应在接到修理通知之日后7天内派人修理，乙方不在约定期限内派人修理，甲方可委托其他人员修理，保修费用从质量保修金内扣除。</w:t>
      </w:r>
    </w:p>
    <w:p w14:paraId="1225A44B">
      <w:pPr>
        <w:spacing w:line="400" w:lineRule="exact"/>
        <w:ind w:firstLine="420" w:firstLineChars="200"/>
        <w:rPr>
          <w:rFonts w:hint="eastAsia" w:ascii="宋体" w:hAnsi="宋体"/>
          <w:szCs w:val="21"/>
        </w:rPr>
      </w:pPr>
      <w:r>
        <w:rPr>
          <w:rFonts w:hint="eastAsia" w:ascii="宋体" w:hAnsi="宋体"/>
          <w:szCs w:val="21"/>
          <w:u w:val="single"/>
        </w:rPr>
        <w:t>2．发生须紧急抢修事故，乙方接到事故通知后，应立即到达事故现场抢修。非乙方施工质量引起的事故，抢修费用由甲方承担。</w:t>
      </w:r>
    </w:p>
    <w:p w14:paraId="7DFE7ED9">
      <w:pPr>
        <w:spacing w:line="400" w:lineRule="exact"/>
        <w:ind w:firstLine="420" w:firstLineChars="200"/>
        <w:rPr>
          <w:rFonts w:hint="eastAsia" w:ascii="宋体" w:hAnsi="宋体"/>
          <w:szCs w:val="21"/>
        </w:rPr>
      </w:pPr>
      <w:r>
        <w:rPr>
          <w:rFonts w:hint="eastAsia" w:ascii="宋体" w:hAnsi="宋体" w:cs="Arial"/>
          <w:szCs w:val="21"/>
        </w:rPr>
        <w:t>质量保修书是竣工验收申请报告的组成内容。</w:t>
      </w:r>
      <w:r>
        <w:rPr>
          <w:rFonts w:hint="eastAsia" w:ascii="宋体" w:hAnsi="宋体"/>
          <w:szCs w:val="21"/>
        </w:rPr>
        <w:t>乙方</w:t>
      </w:r>
      <w:r>
        <w:rPr>
          <w:rFonts w:hint="eastAsia" w:ascii="宋体" w:hAnsi="宋体" w:cs="Arial"/>
          <w:szCs w:val="21"/>
        </w:rPr>
        <w:t>应当</w:t>
      </w:r>
      <w:r>
        <w:rPr>
          <w:rFonts w:hint="eastAsia" w:ascii="宋体" w:hAnsi="宋体"/>
          <w:szCs w:val="21"/>
        </w:rPr>
        <w:t>按照有关法律法规规定和</w:t>
      </w:r>
      <w:r>
        <w:rPr>
          <w:rFonts w:hint="eastAsia" w:ascii="宋体" w:hAnsi="宋体" w:cs="Arial"/>
          <w:szCs w:val="21"/>
        </w:rPr>
        <w:t>合同所附的格式</w:t>
      </w:r>
      <w:r>
        <w:rPr>
          <w:rFonts w:hint="eastAsia" w:ascii="宋体" w:hAnsi="宋体"/>
          <w:szCs w:val="21"/>
        </w:rPr>
        <w:t>出具质量保修书，质量保修书的主要内容应当与本款上述约定内容一致。乙方</w:t>
      </w:r>
      <w:r>
        <w:rPr>
          <w:rFonts w:hint="eastAsia" w:ascii="宋体" w:hAnsi="宋体" w:cs="Arial"/>
          <w:szCs w:val="21"/>
        </w:rPr>
        <w:t>在递交</w:t>
      </w:r>
      <w:r>
        <w:rPr>
          <w:rFonts w:hint="eastAsia" w:ascii="宋体" w:hAnsi="宋体"/>
          <w:szCs w:val="21"/>
        </w:rPr>
        <w:t>合同条款第18.2款约定的</w:t>
      </w:r>
      <w:r>
        <w:rPr>
          <w:rFonts w:hint="eastAsia" w:ascii="宋体" w:hAnsi="宋体" w:cs="Arial"/>
          <w:szCs w:val="21"/>
        </w:rPr>
        <w:t>竣工验收报告的同时，将质量保修书</w:t>
      </w:r>
      <w:r>
        <w:rPr>
          <w:rFonts w:hint="eastAsia" w:ascii="宋体" w:hAnsi="宋体"/>
          <w:szCs w:val="21"/>
        </w:rPr>
        <w:t>一并报送监理人。</w:t>
      </w:r>
    </w:p>
    <w:p w14:paraId="30F6B891">
      <w:pPr>
        <w:pStyle w:val="260"/>
        <w:spacing w:before="0"/>
        <w:outlineLvl w:val="9"/>
        <w:rPr>
          <w:rFonts w:hint="eastAsia" w:ascii="宋体" w:hAnsi="宋体"/>
          <w:sz w:val="21"/>
          <w:szCs w:val="21"/>
        </w:rPr>
      </w:pPr>
      <w:r>
        <w:rPr>
          <w:rFonts w:hint="eastAsia" w:ascii="宋体" w:hAnsi="宋体"/>
          <w:sz w:val="21"/>
          <w:szCs w:val="21"/>
        </w:rPr>
        <w:t>20. 保险</w:t>
      </w:r>
    </w:p>
    <w:p w14:paraId="13444D8C">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20.1 工程保险</w:t>
      </w:r>
    </w:p>
    <w:p w14:paraId="6E010080">
      <w:pPr>
        <w:spacing w:line="400" w:lineRule="exact"/>
        <w:ind w:firstLine="420" w:firstLineChars="200"/>
        <w:rPr>
          <w:rFonts w:hint="eastAsia" w:ascii="宋体" w:hAnsi="宋体"/>
          <w:szCs w:val="21"/>
        </w:rPr>
      </w:pPr>
      <w:r>
        <w:rPr>
          <w:rFonts w:hint="eastAsia" w:ascii="宋体" w:hAnsi="宋体"/>
          <w:szCs w:val="21"/>
        </w:rPr>
        <w:t>本工程</w:t>
      </w:r>
      <w:r>
        <w:rPr>
          <w:rFonts w:hint="eastAsia" w:ascii="宋体" w:hAnsi="宋体"/>
          <w:szCs w:val="21"/>
          <w:u w:val="single"/>
        </w:rPr>
        <w:t xml:space="preserve">  不投保</w:t>
      </w:r>
      <w:r>
        <w:rPr>
          <w:rFonts w:hint="eastAsia" w:ascii="宋体" w:hAnsi="宋体"/>
          <w:szCs w:val="21"/>
        </w:rPr>
        <w:t>(投保/不投保)工程保险。投保工程保险时，险种为：</w:t>
      </w:r>
      <w:r>
        <w:rPr>
          <w:rFonts w:hint="eastAsia" w:ascii="宋体" w:hAnsi="宋体"/>
          <w:szCs w:val="21"/>
          <w:u w:val="single"/>
        </w:rPr>
        <w:t xml:space="preserve">   /     </w:t>
      </w:r>
      <w:r>
        <w:rPr>
          <w:rFonts w:hint="eastAsia" w:ascii="宋体" w:hAnsi="宋体"/>
          <w:szCs w:val="21"/>
        </w:rPr>
        <w:t>，并符合以下约定。</w:t>
      </w:r>
    </w:p>
    <w:p w14:paraId="2C7BEB1F">
      <w:pPr>
        <w:spacing w:line="400" w:lineRule="exact"/>
        <w:ind w:firstLine="420" w:firstLineChars="200"/>
        <w:rPr>
          <w:rFonts w:hint="eastAsia" w:ascii="宋体" w:hAnsi="宋体"/>
          <w:szCs w:val="21"/>
        </w:rPr>
      </w:pPr>
      <w:r>
        <w:rPr>
          <w:rFonts w:hint="eastAsia" w:ascii="宋体" w:hAnsi="宋体"/>
          <w:szCs w:val="21"/>
        </w:rPr>
        <w:t>（1）投保人：</w:t>
      </w:r>
      <w:r>
        <w:rPr>
          <w:rFonts w:hint="eastAsia" w:ascii="宋体" w:hAnsi="宋体"/>
          <w:szCs w:val="21"/>
          <w:u w:val="single"/>
        </w:rPr>
        <w:t xml:space="preserve">        /      </w:t>
      </w:r>
      <w:r>
        <w:rPr>
          <w:rFonts w:hint="eastAsia" w:ascii="宋体" w:hAnsi="宋体"/>
          <w:szCs w:val="21"/>
        </w:rPr>
        <w:t>。</w:t>
      </w:r>
    </w:p>
    <w:p w14:paraId="5B654A77">
      <w:pPr>
        <w:spacing w:line="400" w:lineRule="exact"/>
        <w:ind w:firstLine="420" w:firstLineChars="200"/>
        <w:rPr>
          <w:rFonts w:hint="eastAsia" w:ascii="宋体" w:hAnsi="宋体"/>
          <w:szCs w:val="21"/>
        </w:rPr>
      </w:pPr>
      <w:r>
        <w:rPr>
          <w:rFonts w:hint="eastAsia" w:ascii="宋体" w:hAnsi="宋体"/>
          <w:szCs w:val="21"/>
        </w:rPr>
        <w:t>（2）投保内容：</w:t>
      </w:r>
      <w:r>
        <w:rPr>
          <w:rFonts w:hint="eastAsia" w:ascii="宋体" w:hAnsi="宋体"/>
          <w:szCs w:val="21"/>
          <w:u w:val="single"/>
        </w:rPr>
        <w:t xml:space="preserve">      /      </w:t>
      </w:r>
      <w:r>
        <w:rPr>
          <w:rFonts w:hint="eastAsia" w:ascii="宋体" w:hAnsi="宋体"/>
          <w:szCs w:val="21"/>
        </w:rPr>
        <w:t>。</w:t>
      </w:r>
    </w:p>
    <w:p w14:paraId="1908B284">
      <w:pPr>
        <w:spacing w:line="400" w:lineRule="exact"/>
        <w:ind w:firstLine="420" w:firstLineChars="200"/>
        <w:rPr>
          <w:rFonts w:hint="eastAsia" w:ascii="宋体" w:hAnsi="宋体" w:cs="Arial"/>
          <w:szCs w:val="21"/>
        </w:rPr>
      </w:pPr>
      <w:r>
        <w:rPr>
          <w:rFonts w:hint="eastAsia" w:ascii="宋体" w:hAnsi="宋体"/>
          <w:szCs w:val="21"/>
        </w:rPr>
        <w:t>（3）保险费率：由投保人与合同双方同意的保险人商定</w:t>
      </w:r>
      <w:r>
        <w:rPr>
          <w:rFonts w:hint="eastAsia" w:ascii="宋体" w:hAnsi="宋体" w:cs="Arial"/>
          <w:szCs w:val="21"/>
        </w:rPr>
        <w:t>。</w:t>
      </w:r>
    </w:p>
    <w:p w14:paraId="3F947D5F">
      <w:pPr>
        <w:spacing w:line="400" w:lineRule="exact"/>
        <w:ind w:firstLine="420" w:firstLineChars="200"/>
        <w:rPr>
          <w:rFonts w:hint="eastAsia" w:ascii="宋体" w:hAnsi="宋体"/>
          <w:szCs w:val="21"/>
        </w:rPr>
      </w:pPr>
      <w:r>
        <w:rPr>
          <w:rFonts w:hint="eastAsia" w:ascii="宋体" w:hAnsi="宋体"/>
          <w:szCs w:val="21"/>
        </w:rPr>
        <w:t>（4）保险金额：</w:t>
      </w:r>
      <w:r>
        <w:rPr>
          <w:rFonts w:hint="eastAsia" w:ascii="宋体" w:hAnsi="宋体" w:cs="Arial"/>
          <w:szCs w:val="21"/>
          <w:u w:val="single"/>
        </w:rPr>
        <w:t xml:space="preserve"> /      </w:t>
      </w:r>
      <w:r>
        <w:rPr>
          <w:rFonts w:hint="eastAsia" w:ascii="宋体" w:hAnsi="宋体" w:cs="Arial"/>
          <w:szCs w:val="21"/>
        </w:rPr>
        <w:t>。</w:t>
      </w:r>
    </w:p>
    <w:p w14:paraId="39BC93A6">
      <w:pPr>
        <w:spacing w:line="400" w:lineRule="exact"/>
        <w:ind w:firstLine="420" w:firstLineChars="200"/>
        <w:rPr>
          <w:rFonts w:hint="eastAsia" w:ascii="宋体" w:hAnsi="宋体"/>
          <w:szCs w:val="21"/>
          <w:u w:val="single"/>
        </w:rPr>
      </w:pPr>
      <w:r>
        <w:rPr>
          <w:rFonts w:hint="eastAsia" w:ascii="宋体" w:hAnsi="宋体"/>
          <w:szCs w:val="21"/>
        </w:rPr>
        <w:t>（5）保险期限：</w:t>
      </w:r>
      <w:r>
        <w:rPr>
          <w:rFonts w:hint="eastAsia" w:ascii="宋体" w:hAnsi="宋体" w:cs="Arial"/>
          <w:szCs w:val="21"/>
          <w:u w:val="single"/>
        </w:rPr>
        <w:t xml:space="preserve"> /     </w:t>
      </w:r>
      <w:r>
        <w:rPr>
          <w:rFonts w:hint="eastAsia" w:ascii="宋体" w:hAnsi="宋体" w:cs="Arial"/>
          <w:szCs w:val="21"/>
        </w:rPr>
        <w:t>。</w:t>
      </w:r>
    </w:p>
    <w:p w14:paraId="7F7E3CF7">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20.4 第三者责任险</w:t>
      </w:r>
    </w:p>
    <w:p w14:paraId="34439F0A">
      <w:pPr>
        <w:spacing w:line="400" w:lineRule="exact"/>
        <w:ind w:firstLine="420" w:firstLineChars="200"/>
        <w:rPr>
          <w:rFonts w:hint="eastAsia" w:ascii="宋体" w:hAnsi="宋体" w:cs="Arial"/>
          <w:szCs w:val="21"/>
        </w:rPr>
      </w:pPr>
      <w:r>
        <w:rPr>
          <w:rFonts w:hint="eastAsia" w:ascii="宋体" w:hAnsi="宋体"/>
          <w:szCs w:val="21"/>
        </w:rPr>
        <w:t>20.4.2保险金额：</w:t>
      </w:r>
      <w:r>
        <w:rPr>
          <w:rFonts w:hint="eastAsia" w:ascii="宋体" w:hAnsi="宋体" w:cs="Arial"/>
          <w:szCs w:val="21"/>
          <w:u w:val="single"/>
        </w:rPr>
        <w:t xml:space="preserve">   /     </w:t>
      </w:r>
      <w:r>
        <w:rPr>
          <w:rFonts w:hint="eastAsia" w:ascii="宋体" w:hAnsi="宋体" w:cs="Arial"/>
          <w:szCs w:val="21"/>
        </w:rPr>
        <w:t xml:space="preserve"> ，</w:t>
      </w:r>
      <w:r>
        <w:rPr>
          <w:rFonts w:hint="eastAsia" w:ascii="宋体" w:hAnsi="宋体"/>
          <w:szCs w:val="21"/>
        </w:rPr>
        <w:t>保险费率由乙方与甲方同意的保险人商定，相关保险费由</w:t>
      </w:r>
      <w:r>
        <w:rPr>
          <w:rFonts w:hint="eastAsia" w:ascii="宋体" w:hAnsi="宋体"/>
          <w:szCs w:val="21"/>
          <w:u w:val="single"/>
        </w:rPr>
        <w:t xml:space="preserve">     /    </w:t>
      </w:r>
      <w:r>
        <w:rPr>
          <w:rFonts w:hint="eastAsia" w:ascii="宋体" w:hAnsi="宋体"/>
          <w:szCs w:val="21"/>
        </w:rPr>
        <w:t>承担</w:t>
      </w:r>
      <w:r>
        <w:rPr>
          <w:rFonts w:hint="eastAsia" w:ascii="宋体" w:hAnsi="宋体" w:cs="Arial"/>
          <w:szCs w:val="21"/>
        </w:rPr>
        <w:t xml:space="preserve">。                               </w:t>
      </w:r>
    </w:p>
    <w:p w14:paraId="31E890BC">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20.5 其他保险</w:t>
      </w:r>
    </w:p>
    <w:p w14:paraId="635F4879">
      <w:pPr>
        <w:spacing w:line="400" w:lineRule="exact"/>
        <w:ind w:firstLine="420" w:firstLineChars="200"/>
        <w:rPr>
          <w:rFonts w:hint="eastAsia" w:ascii="宋体" w:hAnsi="宋体" w:cs="Arial"/>
          <w:szCs w:val="21"/>
        </w:rPr>
      </w:pPr>
      <w:r>
        <w:rPr>
          <w:rFonts w:hint="eastAsia" w:ascii="宋体" w:hAnsi="宋体"/>
          <w:szCs w:val="21"/>
        </w:rPr>
        <w:t>乙方应为其施工设备、进场材料和工程设备等办理的保险：</w:t>
      </w:r>
      <w:r>
        <w:rPr>
          <w:rFonts w:hint="eastAsia" w:ascii="宋体" w:hAnsi="宋体"/>
          <w:szCs w:val="21"/>
          <w:u w:val="single"/>
        </w:rPr>
        <w:t xml:space="preserve">    /  </w:t>
      </w:r>
      <w:r>
        <w:rPr>
          <w:rFonts w:hint="eastAsia" w:ascii="宋体" w:hAnsi="宋体" w:cs="Arial"/>
          <w:szCs w:val="21"/>
        </w:rPr>
        <w:t>。</w:t>
      </w:r>
    </w:p>
    <w:p w14:paraId="4BA71238">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20.6 对各项保险的一般要求</w:t>
      </w:r>
    </w:p>
    <w:p w14:paraId="11CE008F">
      <w:pPr>
        <w:spacing w:line="400" w:lineRule="exact"/>
        <w:rPr>
          <w:rFonts w:hint="eastAsia" w:ascii="宋体" w:hAnsi="宋体"/>
          <w:szCs w:val="21"/>
        </w:rPr>
      </w:pPr>
      <w:r>
        <w:rPr>
          <w:rFonts w:hint="eastAsia" w:ascii="宋体" w:hAnsi="宋体"/>
          <w:szCs w:val="21"/>
        </w:rPr>
        <w:t>20.6.1保险凭证</w:t>
      </w:r>
    </w:p>
    <w:p w14:paraId="5DBA0764">
      <w:pPr>
        <w:spacing w:line="400" w:lineRule="exact"/>
        <w:ind w:firstLine="525"/>
        <w:rPr>
          <w:rFonts w:hint="eastAsia" w:ascii="宋体" w:hAnsi="宋体"/>
          <w:szCs w:val="21"/>
          <w:u w:val="single"/>
        </w:rPr>
      </w:pPr>
      <w:r>
        <w:rPr>
          <w:rFonts w:hint="eastAsia" w:ascii="宋体" w:hAnsi="宋体"/>
          <w:szCs w:val="21"/>
        </w:rPr>
        <w:t>乙方向甲方提交各项保险生效的证据和保险单副本的期限：</w:t>
      </w:r>
      <w:r>
        <w:rPr>
          <w:rFonts w:hint="eastAsia" w:ascii="宋体" w:hAnsi="宋体"/>
          <w:szCs w:val="21"/>
          <w:u w:val="single"/>
        </w:rPr>
        <w:t xml:space="preserve">   /  </w:t>
      </w:r>
      <w:r>
        <w:rPr>
          <w:rFonts w:hint="eastAsia" w:ascii="宋体" w:hAnsi="宋体" w:cs="Arial"/>
          <w:szCs w:val="21"/>
        </w:rPr>
        <w:t>。</w:t>
      </w:r>
    </w:p>
    <w:p w14:paraId="7B698CB7">
      <w:pPr>
        <w:spacing w:line="400" w:lineRule="exact"/>
        <w:rPr>
          <w:rFonts w:hint="eastAsia" w:ascii="宋体" w:hAnsi="宋体"/>
          <w:szCs w:val="21"/>
        </w:rPr>
      </w:pPr>
      <w:r>
        <w:rPr>
          <w:rFonts w:hint="eastAsia" w:ascii="宋体" w:hAnsi="宋体"/>
          <w:szCs w:val="21"/>
        </w:rPr>
        <w:t>20.6.4保险金不足的补偿</w:t>
      </w:r>
    </w:p>
    <w:p w14:paraId="74E3EBE2">
      <w:pPr>
        <w:spacing w:line="400" w:lineRule="exact"/>
        <w:ind w:firstLine="525"/>
        <w:rPr>
          <w:rFonts w:hint="eastAsia" w:ascii="宋体" w:hAnsi="宋体" w:cs="Arial"/>
          <w:szCs w:val="21"/>
        </w:rPr>
      </w:pPr>
      <w:r>
        <w:rPr>
          <w:rFonts w:hint="eastAsia" w:ascii="宋体" w:hAnsi="宋体"/>
          <w:szCs w:val="21"/>
        </w:rPr>
        <w:t>保险金不足以补偿损失时，乙方和甲方负责补偿的责任分摊：</w:t>
      </w:r>
      <w:r>
        <w:rPr>
          <w:rFonts w:hint="eastAsia" w:ascii="宋体" w:hAnsi="宋体"/>
          <w:szCs w:val="21"/>
          <w:u w:val="single"/>
        </w:rPr>
        <w:t xml:space="preserve">   /</w:t>
      </w:r>
      <w:r>
        <w:rPr>
          <w:rFonts w:hint="eastAsia" w:ascii="宋体" w:hAnsi="宋体" w:cs="Arial"/>
          <w:szCs w:val="21"/>
        </w:rPr>
        <w:t>。</w:t>
      </w:r>
    </w:p>
    <w:p w14:paraId="263DF1CF">
      <w:pPr>
        <w:pStyle w:val="260"/>
        <w:spacing w:before="0"/>
        <w:outlineLvl w:val="9"/>
        <w:rPr>
          <w:rFonts w:hint="eastAsia" w:ascii="宋体" w:hAnsi="宋体"/>
          <w:sz w:val="21"/>
          <w:szCs w:val="21"/>
        </w:rPr>
      </w:pPr>
      <w:r>
        <w:rPr>
          <w:rFonts w:hint="eastAsia" w:ascii="宋体" w:hAnsi="宋体"/>
          <w:sz w:val="21"/>
          <w:szCs w:val="21"/>
        </w:rPr>
        <w:t>21. 不可抗力</w:t>
      </w:r>
    </w:p>
    <w:p w14:paraId="02E6045C">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21.1 不可抗力的确认</w:t>
      </w:r>
    </w:p>
    <w:p w14:paraId="0C84F438">
      <w:pPr>
        <w:spacing w:line="400" w:lineRule="exact"/>
        <w:ind w:firstLine="525"/>
        <w:rPr>
          <w:rFonts w:hint="eastAsia" w:ascii="宋体" w:hAnsi="宋体"/>
          <w:szCs w:val="21"/>
        </w:rPr>
      </w:pPr>
      <w:r>
        <w:rPr>
          <w:rFonts w:hint="eastAsia" w:ascii="宋体" w:hAnsi="宋体"/>
          <w:szCs w:val="21"/>
        </w:rPr>
        <w:t>21.1.1通用合同条款第21.1.1项约定的不可抗力以外的其他情形：</w:t>
      </w:r>
      <w:r>
        <w:rPr>
          <w:rFonts w:hint="eastAsia" w:ascii="宋体" w:hAnsi="宋体"/>
          <w:szCs w:val="21"/>
          <w:u w:val="single"/>
        </w:rPr>
        <w:t xml:space="preserve">   /  </w:t>
      </w:r>
      <w:r>
        <w:rPr>
          <w:rFonts w:hint="eastAsia" w:ascii="宋体" w:hAnsi="宋体" w:cs="Arial"/>
          <w:szCs w:val="21"/>
        </w:rPr>
        <w:t>。</w:t>
      </w:r>
    </w:p>
    <w:p w14:paraId="305A8A10">
      <w:pPr>
        <w:spacing w:line="400" w:lineRule="exact"/>
        <w:ind w:firstLine="420" w:firstLineChars="200"/>
        <w:rPr>
          <w:rFonts w:hint="eastAsia" w:ascii="宋体" w:hAnsi="宋体" w:cs="Arial"/>
          <w:szCs w:val="21"/>
        </w:rPr>
      </w:pPr>
      <w:r>
        <w:rPr>
          <w:rFonts w:hint="eastAsia" w:ascii="宋体" w:hAnsi="宋体"/>
          <w:szCs w:val="21"/>
        </w:rPr>
        <w:t>不可抗力的等级范围约定：</w:t>
      </w:r>
      <w:r>
        <w:rPr>
          <w:rFonts w:hint="eastAsia" w:ascii="宋体" w:hAnsi="宋体"/>
          <w:szCs w:val="21"/>
          <w:u w:val="single"/>
        </w:rPr>
        <w:t>7级及以上地震；12级及以上的大风；6小时内降雪量大于15MM及以上降雪；3小时内降水量为100mm以上的暴雨。以国家县（市）级以上气象局（台）、地震局（台）等专门机构公布为准），以及县市级以上政府公告不允许在本场地施工的时段</w:t>
      </w:r>
      <w:r>
        <w:rPr>
          <w:rFonts w:hint="eastAsia" w:ascii="宋体" w:hAnsi="宋体" w:cs="Arial"/>
          <w:szCs w:val="21"/>
        </w:rPr>
        <w:t>。</w:t>
      </w:r>
    </w:p>
    <w:p w14:paraId="6E913AC1">
      <w:pPr>
        <w:spacing w:line="400" w:lineRule="exact"/>
        <w:ind w:firstLine="420" w:firstLineChars="200"/>
        <w:rPr>
          <w:rFonts w:hint="eastAsia" w:ascii="宋体" w:hAnsi="宋体" w:cs="Arial"/>
          <w:szCs w:val="21"/>
        </w:rPr>
      </w:pPr>
      <w:r>
        <w:rPr>
          <w:rFonts w:hint="eastAsia" w:ascii="宋体" w:hAnsi="宋体" w:cs="Arial"/>
          <w:szCs w:val="21"/>
        </w:rPr>
        <w:t>21.3 不可抗力后果及其处理</w:t>
      </w:r>
    </w:p>
    <w:p w14:paraId="1C42D330">
      <w:pPr>
        <w:spacing w:line="400" w:lineRule="exact"/>
        <w:ind w:firstLine="420" w:firstLineChars="200"/>
        <w:rPr>
          <w:rFonts w:hint="eastAsia" w:ascii="宋体" w:hAnsi="宋体"/>
          <w:szCs w:val="21"/>
        </w:rPr>
      </w:pPr>
      <w:r>
        <w:rPr>
          <w:rFonts w:hint="eastAsia" w:ascii="宋体" w:hAnsi="宋体"/>
          <w:szCs w:val="21"/>
        </w:rPr>
        <w:t>21.3.1不可抗力造成损害的责任</w:t>
      </w:r>
    </w:p>
    <w:p w14:paraId="41B600B8">
      <w:pPr>
        <w:spacing w:line="400" w:lineRule="exact"/>
        <w:ind w:firstLine="420" w:firstLineChars="200"/>
        <w:rPr>
          <w:rFonts w:hint="eastAsia" w:ascii="宋体" w:hAnsi="宋体" w:cs="Arial"/>
          <w:szCs w:val="21"/>
        </w:rPr>
      </w:pPr>
      <w:r>
        <w:rPr>
          <w:rFonts w:hint="eastAsia" w:ascii="宋体" w:hAnsi="宋体"/>
          <w:szCs w:val="21"/>
        </w:rPr>
        <w:t xml:space="preserve">不可抗力导致的人员伤亡、财产损失、费用增加和（或）工期延误等后果，由合同双方按通用合同条款第21.3.1项约定的原则承担。                                                                      </w:t>
      </w:r>
    </w:p>
    <w:p w14:paraId="5DC43462">
      <w:pPr>
        <w:pStyle w:val="260"/>
        <w:spacing w:before="0"/>
        <w:outlineLvl w:val="9"/>
        <w:rPr>
          <w:rFonts w:hint="eastAsia" w:ascii="宋体" w:hAnsi="宋体"/>
          <w:sz w:val="21"/>
          <w:szCs w:val="21"/>
        </w:rPr>
      </w:pPr>
      <w:r>
        <w:rPr>
          <w:rFonts w:hint="eastAsia" w:ascii="宋体" w:hAnsi="宋体"/>
          <w:sz w:val="21"/>
          <w:szCs w:val="21"/>
        </w:rPr>
        <w:t>24. 争议的解决</w:t>
      </w:r>
    </w:p>
    <w:p w14:paraId="61DCC3D5">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24.1 争议的解决方式</w:t>
      </w:r>
    </w:p>
    <w:p w14:paraId="4D651271">
      <w:pPr>
        <w:spacing w:line="400" w:lineRule="exact"/>
        <w:ind w:firstLine="525"/>
        <w:rPr>
          <w:rFonts w:hint="eastAsia" w:ascii="宋体" w:hAnsi="宋体"/>
          <w:szCs w:val="21"/>
        </w:rPr>
      </w:pPr>
      <w:r>
        <w:rPr>
          <w:rFonts w:hint="eastAsia" w:ascii="宋体" w:hAnsi="宋体"/>
          <w:szCs w:val="21"/>
        </w:rPr>
        <w:t>因本合同引起的或与本合同有关的任何争议，合同双方友好协商不成、不愿提请争议组评审或者不愿接受争议评审组意见的，选择下列第</w:t>
      </w:r>
      <w:r>
        <w:rPr>
          <w:rFonts w:hint="eastAsia" w:ascii="宋体" w:hAnsi="宋体"/>
          <w:szCs w:val="21"/>
          <w:u w:val="single"/>
        </w:rPr>
        <w:t xml:space="preserve">  贰  </w:t>
      </w:r>
      <w:r>
        <w:rPr>
          <w:rFonts w:hint="eastAsia" w:ascii="宋体" w:hAnsi="宋体"/>
          <w:szCs w:val="21"/>
        </w:rPr>
        <w:t>种方式解决：</w:t>
      </w:r>
    </w:p>
    <w:p w14:paraId="7F90D363">
      <w:pPr>
        <w:spacing w:line="400" w:lineRule="exact"/>
        <w:ind w:firstLine="525"/>
        <w:rPr>
          <w:rFonts w:hint="eastAsia" w:ascii="宋体" w:hAnsi="宋体"/>
          <w:szCs w:val="21"/>
        </w:rPr>
      </w:pPr>
      <w:r>
        <w:rPr>
          <w:rFonts w:hint="eastAsia" w:ascii="宋体" w:hAnsi="宋体"/>
          <w:szCs w:val="21"/>
          <w:u w:val="single"/>
        </w:rPr>
        <w:t>（壹）</w:t>
      </w:r>
      <w:r>
        <w:rPr>
          <w:rFonts w:hint="eastAsia" w:ascii="宋体" w:hAnsi="宋体"/>
          <w:szCs w:val="21"/>
        </w:rPr>
        <w:t>提请</w:t>
      </w:r>
      <w:r>
        <w:rPr>
          <w:rFonts w:hint="eastAsia" w:ascii="宋体" w:hAnsi="宋体"/>
          <w:szCs w:val="21"/>
          <w:u w:val="single"/>
        </w:rPr>
        <w:t xml:space="preserve">   北京   </w:t>
      </w:r>
      <w:r>
        <w:rPr>
          <w:rFonts w:hint="eastAsia" w:ascii="宋体" w:hAnsi="宋体"/>
          <w:szCs w:val="21"/>
        </w:rPr>
        <w:t>仲裁委员会按照该会仲裁规则进行仲裁，仲裁裁决是终局的，对合同双方均有约束力。</w:t>
      </w:r>
    </w:p>
    <w:p w14:paraId="10CAF653">
      <w:pPr>
        <w:spacing w:line="400" w:lineRule="exact"/>
        <w:ind w:firstLine="525"/>
        <w:rPr>
          <w:rFonts w:hint="eastAsia" w:ascii="宋体" w:hAnsi="宋体"/>
          <w:szCs w:val="21"/>
        </w:rPr>
      </w:pPr>
      <w:r>
        <w:rPr>
          <w:rFonts w:hint="eastAsia" w:ascii="宋体" w:hAnsi="宋体"/>
          <w:szCs w:val="21"/>
          <w:u w:val="single"/>
        </w:rPr>
        <w:t>（贰）</w:t>
      </w:r>
      <w:r>
        <w:rPr>
          <w:rFonts w:hint="eastAsia" w:ascii="宋体" w:hAnsi="宋体"/>
          <w:szCs w:val="21"/>
        </w:rPr>
        <w:t>向甲方所在地有管辖权的人民法院提起诉讼。</w:t>
      </w:r>
    </w:p>
    <w:p w14:paraId="496A29B8">
      <w:pPr>
        <w:pStyle w:val="261"/>
        <w:tabs>
          <w:tab w:val="left" w:pos="720"/>
        </w:tabs>
        <w:outlineLvl w:val="9"/>
        <w:rPr>
          <w:rFonts w:hint="eastAsia" w:ascii="宋体" w:hAnsi="宋体" w:eastAsia="宋体"/>
          <w:sz w:val="21"/>
          <w:szCs w:val="21"/>
        </w:rPr>
      </w:pPr>
      <w:r>
        <w:rPr>
          <w:rFonts w:hint="eastAsia" w:ascii="宋体" w:hAnsi="宋体" w:eastAsia="宋体"/>
          <w:sz w:val="21"/>
          <w:szCs w:val="21"/>
        </w:rPr>
        <w:t>24.3 争议评审</w:t>
      </w:r>
    </w:p>
    <w:p w14:paraId="46FC44D4">
      <w:pPr>
        <w:spacing w:line="400" w:lineRule="exact"/>
        <w:ind w:firstLine="525"/>
        <w:rPr>
          <w:rFonts w:hint="eastAsia" w:ascii="宋体" w:hAnsi="宋体"/>
          <w:szCs w:val="21"/>
        </w:rPr>
      </w:pPr>
      <w:r>
        <w:rPr>
          <w:rFonts w:hint="eastAsia" w:ascii="宋体" w:hAnsi="宋体"/>
          <w:szCs w:val="21"/>
        </w:rPr>
        <w:t>24.3.4争议评审组邀请合同双方代表人和有关人员举行调查会的期限：</w:t>
      </w:r>
      <w:r>
        <w:rPr>
          <w:rFonts w:hint="eastAsia" w:ascii="宋体" w:hAnsi="宋体"/>
          <w:szCs w:val="21"/>
          <w:u w:val="single"/>
        </w:rPr>
        <w:t xml:space="preserve">   /    </w:t>
      </w:r>
      <w:r>
        <w:rPr>
          <w:rFonts w:hint="eastAsia" w:ascii="宋体" w:hAnsi="宋体"/>
          <w:szCs w:val="21"/>
        </w:rPr>
        <w:t>。</w:t>
      </w:r>
    </w:p>
    <w:p w14:paraId="6C7386D0">
      <w:pPr>
        <w:spacing w:line="400" w:lineRule="exact"/>
        <w:ind w:firstLine="525"/>
        <w:rPr>
          <w:rFonts w:hint="eastAsia" w:ascii="宋体" w:hAnsi="宋体"/>
          <w:szCs w:val="21"/>
        </w:rPr>
      </w:pPr>
      <w:r>
        <w:rPr>
          <w:rFonts w:hint="eastAsia" w:ascii="宋体" w:hAnsi="宋体"/>
          <w:szCs w:val="21"/>
        </w:rPr>
        <w:t>24.3.5争议评审组在调查会后作出争议评审意见的期限：</w:t>
      </w:r>
      <w:r>
        <w:rPr>
          <w:rFonts w:hint="eastAsia" w:ascii="宋体" w:hAnsi="宋体"/>
          <w:szCs w:val="21"/>
          <w:u w:val="single"/>
        </w:rPr>
        <w:t xml:space="preserve">       /     </w:t>
      </w:r>
      <w:r>
        <w:rPr>
          <w:rFonts w:hint="eastAsia" w:ascii="宋体" w:hAnsi="宋体"/>
          <w:szCs w:val="21"/>
        </w:rPr>
        <w:t>。</w:t>
      </w:r>
    </w:p>
    <w:p w14:paraId="588CD2DF">
      <w:r>
        <w:br w:type="page"/>
      </w:r>
    </w:p>
    <w:p w14:paraId="05728699">
      <w:pPr>
        <w:pStyle w:val="261"/>
        <w:tabs>
          <w:tab w:val="left" w:pos="720"/>
        </w:tabs>
        <w:ind w:firstLine="240" w:firstLineChars="100"/>
        <w:outlineLvl w:val="9"/>
      </w:pPr>
      <w:r>
        <w:rPr>
          <w:rFonts w:hint="eastAsia"/>
        </w:rPr>
        <w:t>附件一：乙方提供的材料和工程设备一览表</w:t>
      </w:r>
    </w:p>
    <w:p w14:paraId="0257C4DE"/>
    <w:tbl>
      <w:tblPr>
        <w:tblStyle w:val="4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4"/>
        <w:gridCol w:w="1240"/>
        <w:gridCol w:w="1127"/>
        <w:gridCol w:w="675"/>
        <w:gridCol w:w="563"/>
        <w:gridCol w:w="790"/>
        <w:gridCol w:w="902"/>
        <w:gridCol w:w="902"/>
        <w:gridCol w:w="790"/>
        <w:gridCol w:w="1015"/>
      </w:tblGrid>
      <w:tr w14:paraId="3F7EF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302" w:type="pct"/>
            <w:vAlign w:val="center"/>
          </w:tcPr>
          <w:p w14:paraId="56EB1B2E">
            <w:pPr>
              <w:wordWrap w:val="0"/>
              <w:topLinePunct/>
              <w:jc w:val="center"/>
              <w:rPr>
                <w:rFonts w:hint="eastAsia" w:ascii="宋体" w:hAnsi="宋体"/>
              </w:rPr>
            </w:pPr>
            <w:r>
              <w:rPr>
                <w:rFonts w:hint="eastAsia" w:ascii="宋体" w:hAnsi="宋体"/>
              </w:rPr>
              <w:t>序</w:t>
            </w:r>
          </w:p>
          <w:p w14:paraId="1991E3A0">
            <w:pPr>
              <w:wordWrap w:val="0"/>
              <w:topLinePunct/>
              <w:jc w:val="center"/>
              <w:rPr>
                <w:rFonts w:hint="eastAsia" w:ascii="宋体" w:hAnsi="宋体"/>
              </w:rPr>
            </w:pPr>
            <w:r>
              <w:rPr>
                <w:rFonts w:hint="eastAsia" w:ascii="宋体" w:hAnsi="宋体"/>
              </w:rPr>
              <w:t>号</w:t>
            </w:r>
          </w:p>
        </w:tc>
        <w:tc>
          <w:tcPr>
            <w:tcW w:w="727" w:type="pct"/>
            <w:vAlign w:val="center"/>
          </w:tcPr>
          <w:p w14:paraId="6E736A57">
            <w:pPr>
              <w:wordWrap w:val="0"/>
              <w:topLinePunct/>
              <w:jc w:val="center"/>
              <w:rPr>
                <w:rFonts w:hint="eastAsia" w:ascii="宋体" w:hAnsi="宋体"/>
              </w:rPr>
            </w:pPr>
            <w:r>
              <w:rPr>
                <w:rFonts w:hint="eastAsia" w:ascii="宋体" w:hAnsi="宋体"/>
              </w:rPr>
              <w:t>材料设备</w:t>
            </w:r>
          </w:p>
          <w:p w14:paraId="6E4EEBD2">
            <w:pPr>
              <w:wordWrap w:val="0"/>
              <w:topLinePunct/>
              <w:jc w:val="center"/>
              <w:rPr>
                <w:rFonts w:hint="eastAsia" w:ascii="宋体" w:hAnsi="宋体"/>
              </w:rPr>
            </w:pPr>
            <w:r>
              <w:rPr>
                <w:rFonts w:hint="eastAsia" w:ascii="宋体" w:hAnsi="宋体"/>
              </w:rPr>
              <w:t>名    称</w:t>
            </w:r>
          </w:p>
        </w:tc>
        <w:tc>
          <w:tcPr>
            <w:tcW w:w="661" w:type="pct"/>
            <w:vAlign w:val="center"/>
          </w:tcPr>
          <w:p w14:paraId="74317690">
            <w:pPr>
              <w:wordWrap w:val="0"/>
              <w:topLinePunct/>
              <w:jc w:val="center"/>
              <w:rPr>
                <w:rFonts w:hint="eastAsia" w:ascii="宋体" w:hAnsi="宋体"/>
              </w:rPr>
            </w:pPr>
            <w:r>
              <w:rPr>
                <w:rFonts w:hint="eastAsia" w:ascii="宋体" w:hAnsi="宋体"/>
              </w:rPr>
              <w:t>规格</w:t>
            </w:r>
          </w:p>
          <w:p w14:paraId="66DF0BBA">
            <w:pPr>
              <w:wordWrap w:val="0"/>
              <w:topLinePunct/>
              <w:jc w:val="center"/>
              <w:rPr>
                <w:rFonts w:hint="eastAsia" w:ascii="宋体" w:hAnsi="宋体"/>
              </w:rPr>
            </w:pPr>
            <w:r>
              <w:rPr>
                <w:rFonts w:hint="eastAsia" w:ascii="宋体" w:hAnsi="宋体"/>
              </w:rPr>
              <w:t>型号</w:t>
            </w:r>
          </w:p>
        </w:tc>
        <w:tc>
          <w:tcPr>
            <w:tcW w:w="396" w:type="pct"/>
            <w:vAlign w:val="center"/>
          </w:tcPr>
          <w:p w14:paraId="304B7101">
            <w:pPr>
              <w:wordWrap w:val="0"/>
              <w:topLinePunct/>
              <w:jc w:val="center"/>
              <w:rPr>
                <w:rFonts w:hint="eastAsia" w:ascii="宋体" w:hAnsi="宋体"/>
              </w:rPr>
            </w:pPr>
            <w:r>
              <w:rPr>
                <w:rFonts w:hint="eastAsia" w:ascii="宋体" w:hAnsi="宋体"/>
              </w:rPr>
              <w:t>单</w:t>
            </w:r>
          </w:p>
          <w:p w14:paraId="3D02D7DA">
            <w:pPr>
              <w:wordWrap w:val="0"/>
              <w:topLinePunct/>
              <w:jc w:val="center"/>
              <w:rPr>
                <w:rFonts w:hint="eastAsia" w:ascii="宋体" w:hAnsi="宋体"/>
              </w:rPr>
            </w:pPr>
            <w:r>
              <w:rPr>
                <w:rFonts w:hint="eastAsia" w:ascii="宋体" w:hAnsi="宋体"/>
              </w:rPr>
              <w:t>位</w:t>
            </w:r>
          </w:p>
        </w:tc>
        <w:tc>
          <w:tcPr>
            <w:tcW w:w="330" w:type="pct"/>
            <w:vAlign w:val="center"/>
          </w:tcPr>
          <w:p w14:paraId="6E2E4557">
            <w:pPr>
              <w:wordWrap w:val="0"/>
              <w:topLinePunct/>
              <w:jc w:val="center"/>
              <w:rPr>
                <w:rFonts w:hint="eastAsia" w:ascii="宋体" w:hAnsi="宋体"/>
              </w:rPr>
            </w:pPr>
            <w:r>
              <w:rPr>
                <w:rFonts w:hint="eastAsia" w:ascii="宋体" w:hAnsi="宋体"/>
              </w:rPr>
              <w:t>数</w:t>
            </w:r>
          </w:p>
          <w:p w14:paraId="136E17D2">
            <w:pPr>
              <w:wordWrap w:val="0"/>
              <w:topLinePunct/>
              <w:jc w:val="center"/>
              <w:rPr>
                <w:rFonts w:hint="eastAsia" w:ascii="宋体" w:hAnsi="宋体"/>
              </w:rPr>
            </w:pPr>
            <w:r>
              <w:rPr>
                <w:rFonts w:hint="eastAsia" w:ascii="宋体" w:hAnsi="宋体"/>
              </w:rPr>
              <w:t>量</w:t>
            </w:r>
          </w:p>
        </w:tc>
        <w:tc>
          <w:tcPr>
            <w:tcW w:w="463" w:type="pct"/>
            <w:vAlign w:val="center"/>
          </w:tcPr>
          <w:p w14:paraId="3D16F2BB">
            <w:pPr>
              <w:wordWrap w:val="0"/>
              <w:topLinePunct/>
              <w:jc w:val="center"/>
              <w:rPr>
                <w:rFonts w:hint="eastAsia" w:ascii="宋体" w:hAnsi="宋体"/>
              </w:rPr>
            </w:pPr>
            <w:r>
              <w:rPr>
                <w:rFonts w:hint="eastAsia" w:ascii="宋体" w:hAnsi="宋体"/>
              </w:rPr>
              <w:t>单</w:t>
            </w:r>
          </w:p>
          <w:p w14:paraId="31CFDD65">
            <w:pPr>
              <w:wordWrap w:val="0"/>
              <w:topLinePunct/>
              <w:jc w:val="center"/>
              <w:rPr>
                <w:rFonts w:hint="eastAsia" w:ascii="宋体" w:hAnsi="宋体"/>
              </w:rPr>
            </w:pPr>
            <w:r>
              <w:rPr>
                <w:rFonts w:hint="eastAsia" w:ascii="宋体" w:hAnsi="宋体"/>
              </w:rPr>
              <w:t>价</w:t>
            </w:r>
          </w:p>
        </w:tc>
        <w:tc>
          <w:tcPr>
            <w:tcW w:w="529" w:type="pct"/>
            <w:vAlign w:val="center"/>
          </w:tcPr>
          <w:p w14:paraId="17CAD2B3">
            <w:pPr>
              <w:wordWrap w:val="0"/>
              <w:topLinePunct/>
              <w:jc w:val="center"/>
              <w:rPr>
                <w:rFonts w:hint="eastAsia" w:ascii="宋体" w:hAnsi="宋体"/>
              </w:rPr>
            </w:pPr>
            <w:r>
              <w:rPr>
                <w:rFonts w:hint="eastAsia" w:ascii="宋体" w:hAnsi="宋体"/>
              </w:rPr>
              <w:t>交货</w:t>
            </w:r>
          </w:p>
          <w:p w14:paraId="061D1E35">
            <w:pPr>
              <w:wordWrap w:val="0"/>
              <w:topLinePunct/>
              <w:jc w:val="center"/>
              <w:rPr>
                <w:rFonts w:hint="eastAsia" w:ascii="宋体" w:hAnsi="宋体"/>
              </w:rPr>
            </w:pPr>
            <w:r>
              <w:rPr>
                <w:rFonts w:hint="eastAsia" w:ascii="宋体" w:hAnsi="宋体"/>
              </w:rPr>
              <w:t>方式</w:t>
            </w:r>
          </w:p>
        </w:tc>
        <w:tc>
          <w:tcPr>
            <w:tcW w:w="529" w:type="pct"/>
            <w:vAlign w:val="center"/>
          </w:tcPr>
          <w:p w14:paraId="2BC1103D">
            <w:pPr>
              <w:wordWrap w:val="0"/>
              <w:topLinePunct/>
              <w:jc w:val="center"/>
              <w:rPr>
                <w:rFonts w:hint="eastAsia" w:ascii="宋体" w:hAnsi="宋体"/>
              </w:rPr>
            </w:pPr>
            <w:r>
              <w:rPr>
                <w:rFonts w:hint="eastAsia" w:ascii="宋体" w:hAnsi="宋体"/>
              </w:rPr>
              <w:t>交货</w:t>
            </w:r>
          </w:p>
          <w:p w14:paraId="7AD57A98">
            <w:pPr>
              <w:wordWrap w:val="0"/>
              <w:topLinePunct/>
              <w:jc w:val="center"/>
              <w:rPr>
                <w:rFonts w:hint="eastAsia" w:ascii="宋体" w:hAnsi="宋体"/>
              </w:rPr>
            </w:pPr>
            <w:r>
              <w:rPr>
                <w:rFonts w:hint="eastAsia" w:ascii="宋体" w:hAnsi="宋体"/>
              </w:rPr>
              <w:t>地点</w:t>
            </w:r>
          </w:p>
        </w:tc>
        <w:tc>
          <w:tcPr>
            <w:tcW w:w="463" w:type="pct"/>
            <w:vAlign w:val="center"/>
          </w:tcPr>
          <w:p w14:paraId="7FF12710">
            <w:pPr>
              <w:wordWrap w:val="0"/>
              <w:topLinePunct/>
              <w:jc w:val="center"/>
              <w:rPr>
                <w:rFonts w:hint="eastAsia" w:ascii="宋体" w:hAnsi="宋体"/>
              </w:rPr>
            </w:pPr>
            <w:r>
              <w:rPr>
                <w:rFonts w:hint="eastAsia" w:ascii="宋体" w:hAnsi="宋体"/>
              </w:rPr>
              <w:t>计划交货</w:t>
            </w:r>
          </w:p>
          <w:p w14:paraId="139FE584">
            <w:pPr>
              <w:wordWrap w:val="0"/>
              <w:topLinePunct/>
              <w:jc w:val="center"/>
              <w:rPr>
                <w:rFonts w:hint="eastAsia" w:ascii="宋体" w:hAnsi="宋体"/>
              </w:rPr>
            </w:pPr>
            <w:r>
              <w:rPr>
                <w:rFonts w:hint="eastAsia" w:ascii="宋体" w:hAnsi="宋体"/>
              </w:rPr>
              <w:t>时间</w:t>
            </w:r>
          </w:p>
        </w:tc>
        <w:tc>
          <w:tcPr>
            <w:tcW w:w="595" w:type="pct"/>
            <w:vAlign w:val="center"/>
          </w:tcPr>
          <w:p w14:paraId="7B1CB632">
            <w:pPr>
              <w:wordWrap w:val="0"/>
              <w:topLinePunct/>
              <w:jc w:val="center"/>
              <w:rPr>
                <w:rFonts w:hint="eastAsia" w:ascii="宋体" w:hAnsi="宋体"/>
              </w:rPr>
            </w:pPr>
            <w:r>
              <w:rPr>
                <w:rFonts w:hint="eastAsia" w:ascii="宋体" w:hAnsi="宋体"/>
              </w:rPr>
              <w:t>备注</w:t>
            </w:r>
          </w:p>
        </w:tc>
      </w:tr>
      <w:tr w14:paraId="5D8AE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Pr>
          <w:p w14:paraId="504BAB06">
            <w:pPr>
              <w:wordWrap w:val="0"/>
              <w:topLinePunct/>
              <w:jc w:val="center"/>
              <w:rPr>
                <w:rFonts w:hint="eastAsia" w:ascii="宋体" w:hAnsi="宋体"/>
                <w:sz w:val="28"/>
                <w:szCs w:val="28"/>
              </w:rPr>
            </w:pPr>
          </w:p>
        </w:tc>
        <w:tc>
          <w:tcPr>
            <w:tcW w:w="727" w:type="pct"/>
          </w:tcPr>
          <w:p w14:paraId="0413C7CD">
            <w:pPr>
              <w:wordWrap w:val="0"/>
              <w:topLinePunct/>
              <w:jc w:val="center"/>
              <w:rPr>
                <w:rFonts w:hint="eastAsia" w:ascii="宋体" w:hAnsi="宋体"/>
                <w:sz w:val="28"/>
                <w:szCs w:val="28"/>
              </w:rPr>
            </w:pPr>
          </w:p>
        </w:tc>
        <w:tc>
          <w:tcPr>
            <w:tcW w:w="661" w:type="pct"/>
          </w:tcPr>
          <w:p w14:paraId="57FDF51A">
            <w:pPr>
              <w:wordWrap w:val="0"/>
              <w:topLinePunct/>
              <w:jc w:val="center"/>
              <w:rPr>
                <w:rFonts w:hint="eastAsia" w:ascii="宋体" w:hAnsi="宋体"/>
                <w:sz w:val="28"/>
                <w:szCs w:val="28"/>
              </w:rPr>
            </w:pPr>
          </w:p>
        </w:tc>
        <w:tc>
          <w:tcPr>
            <w:tcW w:w="396" w:type="pct"/>
          </w:tcPr>
          <w:p w14:paraId="7060E5BF">
            <w:pPr>
              <w:wordWrap w:val="0"/>
              <w:topLinePunct/>
              <w:jc w:val="center"/>
              <w:rPr>
                <w:rFonts w:hint="eastAsia" w:ascii="宋体" w:hAnsi="宋体"/>
                <w:sz w:val="28"/>
                <w:szCs w:val="28"/>
              </w:rPr>
            </w:pPr>
          </w:p>
        </w:tc>
        <w:tc>
          <w:tcPr>
            <w:tcW w:w="330" w:type="pct"/>
          </w:tcPr>
          <w:p w14:paraId="60314A15">
            <w:pPr>
              <w:wordWrap w:val="0"/>
              <w:topLinePunct/>
              <w:jc w:val="center"/>
              <w:rPr>
                <w:rFonts w:hint="eastAsia" w:ascii="宋体" w:hAnsi="宋体"/>
                <w:sz w:val="28"/>
                <w:szCs w:val="28"/>
              </w:rPr>
            </w:pPr>
          </w:p>
        </w:tc>
        <w:tc>
          <w:tcPr>
            <w:tcW w:w="463" w:type="pct"/>
          </w:tcPr>
          <w:p w14:paraId="413D7E8A">
            <w:pPr>
              <w:wordWrap w:val="0"/>
              <w:topLinePunct/>
              <w:jc w:val="center"/>
              <w:rPr>
                <w:rFonts w:hint="eastAsia" w:ascii="宋体" w:hAnsi="宋体"/>
                <w:sz w:val="28"/>
                <w:szCs w:val="28"/>
              </w:rPr>
            </w:pPr>
          </w:p>
        </w:tc>
        <w:tc>
          <w:tcPr>
            <w:tcW w:w="529" w:type="pct"/>
          </w:tcPr>
          <w:p w14:paraId="296ABB85">
            <w:pPr>
              <w:wordWrap w:val="0"/>
              <w:topLinePunct/>
              <w:jc w:val="center"/>
              <w:rPr>
                <w:rFonts w:hint="eastAsia" w:ascii="宋体" w:hAnsi="宋体"/>
                <w:sz w:val="28"/>
                <w:szCs w:val="28"/>
              </w:rPr>
            </w:pPr>
          </w:p>
        </w:tc>
        <w:tc>
          <w:tcPr>
            <w:tcW w:w="529" w:type="pct"/>
          </w:tcPr>
          <w:p w14:paraId="0A6D61E7">
            <w:pPr>
              <w:wordWrap w:val="0"/>
              <w:topLinePunct/>
              <w:jc w:val="center"/>
              <w:rPr>
                <w:rFonts w:hint="eastAsia" w:ascii="宋体" w:hAnsi="宋体"/>
                <w:sz w:val="28"/>
                <w:szCs w:val="28"/>
              </w:rPr>
            </w:pPr>
          </w:p>
        </w:tc>
        <w:tc>
          <w:tcPr>
            <w:tcW w:w="463" w:type="pct"/>
          </w:tcPr>
          <w:p w14:paraId="730016E4">
            <w:pPr>
              <w:wordWrap w:val="0"/>
              <w:topLinePunct/>
              <w:jc w:val="center"/>
              <w:rPr>
                <w:rFonts w:hint="eastAsia" w:ascii="宋体" w:hAnsi="宋体"/>
                <w:sz w:val="28"/>
                <w:szCs w:val="28"/>
              </w:rPr>
            </w:pPr>
          </w:p>
        </w:tc>
        <w:tc>
          <w:tcPr>
            <w:tcW w:w="595" w:type="pct"/>
          </w:tcPr>
          <w:p w14:paraId="40424635">
            <w:pPr>
              <w:wordWrap w:val="0"/>
              <w:topLinePunct/>
              <w:jc w:val="center"/>
              <w:rPr>
                <w:rFonts w:hint="eastAsia" w:ascii="宋体" w:hAnsi="宋体"/>
                <w:sz w:val="28"/>
                <w:szCs w:val="28"/>
              </w:rPr>
            </w:pPr>
          </w:p>
        </w:tc>
      </w:tr>
      <w:tr w14:paraId="6B4EB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Pr>
          <w:p w14:paraId="5A25F872">
            <w:pPr>
              <w:wordWrap w:val="0"/>
              <w:topLinePunct/>
              <w:jc w:val="center"/>
              <w:rPr>
                <w:rFonts w:hint="eastAsia" w:ascii="宋体" w:hAnsi="宋体"/>
                <w:sz w:val="28"/>
                <w:szCs w:val="28"/>
              </w:rPr>
            </w:pPr>
          </w:p>
        </w:tc>
        <w:tc>
          <w:tcPr>
            <w:tcW w:w="727" w:type="pct"/>
          </w:tcPr>
          <w:p w14:paraId="07D0D1E7">
            <w:pPr>
              <w:wordWrap w:val="0"/>
              <w:topLinePunct/>
              <w:jc w:val="center"/>
              <w:rPr>
                <w:rFonts w:hint="eastAsia" w:ascii="宋体" w:hAnsi="宋体"/>
                <w:sz w:val="28"/>
                <w:szCs w:val="28"/>
              </w:rPr>
            </w:pPr>
          </w:p>
        </w:tc>
        <w:tc>
          <w:tcPr>
            <w:tcW w:w="661" w:type="pct"/>
          </w:tcPr>
          <w:p w14:paraId="453888EC">
            <w:pPr>
              <w:wordWrap w:val="0"/>
              <w:topLinePunct/>
              <w:jc w:val="center"/>
              <w:rPr>
                <w:rFonts w:hint="eastAsia" w:ascii="宋体" w:hAnsi="宋体"/>
                <w:sz w:val="28"/>
                <w:szCs w:val="28"/>
              </w:rPr>
            </w:pPr>
          </w:p>
        </w:tc>
        <w:tc>
          <w:tcPr>
            <w:tcW w:w="396" w:type="pct"/>
          </w:tcPr>
          <w:p w14:paraId="0EDC58D6">
            <w:pPr>
              <w:wordWrap w:val="0"/>
              <w:topLinePunct/>
              <w:jc w:val="center"/>
              <w:rPr>
                <w:rFonts w:hint="eastAsia" w:ascii="宋体" w:hAnsi="宋体"/>
                <w:sz w:val="28"/>
                <w:szCs w:val="28"/>
              </w:rPr>
            </w:pPr>
          </w:p>
        </w:tc>
        <w:tc>
          <w:tcPr>
            <w:tcW w:w="330" w:type="pct"/>
          </w:tcPr>
          <w:p w14:paraId="7705CAB3">
            <w:pPr>
              <w:wordWrap w:val="0"/>
              <w:topLinePunct/>
              <w:jc w:val="center"/>
              <w:rPr>
                <w:rFonts w:hint="eastAsia" w:ascii="宋体" w:hAnsi="宋体"/>
                <w:sz w:val="28"/>
                <w:szCs w:val="28"/>
              </w:rPr>
            </w:pPr>
          </w:p>
        </w:tc>
        <w:tc>
          <w:tcPr>
            <w:tcW w:w="463" w:type="pct"/>
          </w:tcPr>
          <w:p w14:paraId="1212B25B">
            <w:pPr>
              <w:wordWrap w:val="0"/>
              <w:topLinePunct/>
              <w:jc w:val="center"/>
              <w:rPr>
                <w:rFonts w:hint="eastAsia" w:ascii="宋体" w:hAnsi="宋体"/>
                <w:sz w:val="28"/>
                <w:szCs w:val="28"/>
              </w:rPr>
            </w:pPr>
          </w:p>
        </w:tc>
        <w:tc>
          <w:tcPr>
            <w:tcW w:w="529" w:type="pct"/>
          </w:tcPr>
          <w:p w14:paraId="4491C872">
            <w:pPr>
              <w:wordWrap w:val="0"/>
              <w:topLinePunct/>
              <w:jc w:val="center"/>
              <w:rPr>
                <w:rFonts w:hint="eastAsia" w:ascii="宋体" w:hAnsi="宋体"/>
                <w:sz w:val="28"/>
                <w:szCs w:val="28"/>
              </w:rPr>
            </w:pPr>
          </w:p>
        </w:tc>
        <w:tc>
          <w:tcPr>
            <w:tcW w:w="529" w:type="pct"/>
          </w:tcPr>
          <w:p w14:paraId="5FD26FA3">
            <w:pPr>
              <w:wordWrap w:val="0"/>
              <w:topLinePunct/>
              <w:jc w:val="center"/>
              <w:rPr>
                <w:rFonts w:hint="eastAsia" w:ascii="宋体" w:hAnsi="宋体"/>
                <w:sz w:val="28"/>
                <w:szCs w:val="28"/>
              </w:rPr>
            </w:pPr>
          </w:p>
        </w:tc>
        <w:tc>
          <w:tcPr>
            <w:tcW w:w="463" w:type="pct"/>
          </w:tcPr>
          <w:p w14:paraId="1E54C90D">
            <w:pPr>
              <w:wordWrap w:val="0"/>
              <w:topLinePunct/>
              <w:jc w:val="center"/>
              <w:rPr>
                <w:rFonts w:hint="eastAsia" w:ascii="宋体" w:hAnsi="宋体"/>
                <w:sz w:val="28"/>
                <w:szCs w:val="28"/>
              </w:rPr>
            </w:pPr>
          </w:p>
        </w:tc>
        <w:tc>
          <w:tcPr>
            <w:tcW w:w="595" w:type="pct"/>
          </w:tcPr>
          <w:p w14:paraId="69AE73EA">
            <w:pPr>
              <w:wordWrap w:val="0"/>
              <w:topLinePunct/>
              <w:jc w:val="center"/>
              <w:rPr>
                <w:rFonts w:hint="eastAsia" w:ascii="宋体" w:hAnsi="宋体"/>
                <w:sz w:val="28"/>
                <w:szCs w:val="28"/>
              </w:rPr>
            </w:pPr>
          </w:p>
        </w:tc>
      </w:tr>
      <w:tr w14:paraId="7129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Pr>
          <w:p w14:paraId="01D40822">
            <w:pPr>
              <w:wordWrap w:val="0"/>
              <w:topLinePunct/>
              <w:jc w:val="center"/>
              <w:rPr>
                <w:rFonts w:hint="eastAsia" w:ascii="宋体" w:hAnsi="宋体"/>
                <w:sz w:val="28"/>
                <w:szCs w:val="28"/>
              </w:rPr>
            </w:pPr>
          </w:p>
        </w:tc>
        <w:tc>
          <w:tcPr>
            <w:tcW w:w="727" w:type="pct"/>
          </w:tcPr>
          <w:p w14:paraId="44210B4C">
            <w:pPr>
              <w:wordWrap w:val="0"/>
              <w:topLinePunct/>
              <w:jc w:val="center"/>
              <w:rPr>
                <w:rFonts w:hint="eastAsia" w:ascii="宋体" w:hAnsi="宋体"/>
                <w:sz w:val="28"/>
                <w:szCs w:val="28"/>
              </w:rPr>
            </w:pPr>
          </w:p>
        </w:tc>
        <w:tc>
          <w:tcPr>
            <w:tcW w:w="661" w:type="pct"/>
          </w:tcPr>
          <w:p w14:paraId="09086E8E">
            <w:pPr>
              <w:wordWrap w:val="0"/>
              <w:topLinePunct/>
              <w:jc w:val="center"/>
              <w:rPr>
                <w:rFonts w:hint="eastAsia" w:ascii="宋体" w:hAnsi="宋体"/>
                <w:sz w:val="28"/>
                <w:szCs w:val="28"/>
              </w:rPr>
            </w:pPr>
          </w:p>
        </w:tc>
        <w:tc>
          <w:tcPr>
            <w:tcW w:w="396" w:type="pct"/>
          </w:tcPr>
          <w:p w14:paraId="53BC6B32">
            <w:pPr>
              <w:wordWrap w:val="0"/>
              <w:topLinePunct/>
              <w:jc w:val="center"/>
              <w:rPr>
                <w:rFonts w:hint="eastAsia" w:ascii="宋体" w:hAnsi="宋体"/>
                <w:sz w:val="28"/>
                <w:szCs w:val="28"/>
              </w:rPr>
            </w:pPr>
          </w:p>
        </w:tc>
        <w:tc>
          <w:tcPr>
            <w:tcW w:w="330" w:type="pct"/>
          </w:tcPr>
          <w:p w14:paraId="76ED0C12">
            <w:pPr>
              <w:wordWrap w:val="0"/>
              <w:topLinePunct/>
              <w:jc w:val="center"/>
              <w:rPr>
                <w:rFonts w:hint="eastAsia" w:ascii="宋体" w:hAnsi="宋体"/>
                <w:sz w:val="28"/>
                <w:szCs w:val="28"/>
              </w:rPr>
            </w:pPr>
          </w:p>
        </w:tc>
        <w:tc>
          <w:tcPr>
            <w:tcW w:w="463" w:type="pct"/>
          </w:tcPr>
          <w:p w14:paraId="4CAFD35D">
            <w:pPr>
              <w:wordWrap w:val="0"/>
              <w:topLinePunct/>
              <w:jc w:val="center"/>
              <w:rPr>
                <w:rFonts w:hint="eastAsia" w:ascii="宋体" w:hAnsi="宋体"/>
                <w:sz w:val="28"/>
                <w:szCs w:val="28"/>
              </w:rPr>
            </w:pPr>
          </w:p>
        </w:tc>
        <w:tc>
          <w:tcPr>
            <w:tcW w:w="529" w:type="pct"/>
          </w:tcPr>
          <w:p w14:paraId="17DAD9F3">
            <w:pPr>
              <w:wordWrap w:val="0"/>
              <w:topLinePunct/>
              <w:jc w:val="center"/>
              <w:rPr>
                <w:rFonts w:hint="eastAsia" w:ascii="宋体" w:hAnsi="宋体"/>
                <w:sz w:val="28"/>
                <w:szCs w:val="28"/>
              </w:rPr>
            </w:pPr>
          </w:p>
        </w:tc>
        <w:tc>
          <w:tcPr>
            <w:tcW w:w="529" w:type="pct"/>
          </w:tcPr>
          <w:p w14:paraId="46006560">
            <w:pPr>
              <w:wordWrap w:val="0"/>
              <w:topLinePunct/>
              <w:jc w:val="center"/>
              <w:rPr>
                <w:rFonts w:hint="eastAsia" w:ascii="宋体" w:hAnsi="宋体"/>
                <w:sz w:val="28"/>
                <w:szCs w:val="28"/>
              </w:rPr>
            </w:pPr>
          </w:p>
        </w:tc>
        <w:tc>
          <w:tcPr>
            <w:tcW w:w="463" w:type="pct"/>
          </w:tcPr>
          <w:p w14:paraId="7C9F0851">
            <w:pPr>
              <w:wordWrap w:val="0"/>
              <w:topLinePunct/>
              <w:jc w:val="center"/>
              <w:rPr>
                <w:rFonts w:hint="eastAsia" w:ascii="宋体" w:hAnsi="宋体"/>
                <w:sz w:val="28"/>
                <w:szCs w:val="28"/>
              </w:rPr>
            </w:pPr>
          </w:p>
        </w:tc>
        <w:tc>
          <w:tcPr>
            <w:tcW w:w="595" w:type="pct"/>
          </w:tcPr>
          <w:p w14:paraId="48B2402F">
            <w:pPr>
              <w:wordWrap w:val="0"/>
              <w:topLinePunct/>
              <w:jc w:val="center"/>
              <w:rPr>
                <w:rFonts w:hint="eastAsia" w:ascii="宋体" w:hAnsi="宋体"/>
                <w:sz w:val="28"/>
                <w:szCs w:val="28"/>
              </w:rPr>
            </w:pPr>
          </w:p>
        </w:tc>
      </w:tr>
      <w:tr w14:paraId="6477F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Pr>
          <w:p w14:paraId="2A7CBF79">
            <w:pPr>
              <w:wordWrap w:val="0"/>
              <w:topLinePunct/>
              <w:jc w:val="center"/>
              <w:rPr>
                <w:rFonts w:hint="eastAsia" w:ascii="宋体" w:hAnsi="宋体"/>
                <w:sz w:val="28"/>
                <w:szCs w:val="28"/>
              </w:rPr>
            </w:pPr>
          </w:p>
        </w:tc>
        <w:tc>
          <w:tcPr>
            <w:tcW w:w="727" w:type="pct"/>
          </w:tcPr>
          <w:p w14:paraId="772D1194">
            <w:pPr>
              <w:wordWrap w:val="0"/>
              <w:topLinePunct/>
              <w:jc w:val="center"/>
              <w:rPr>
                <w:rFonts w:hint="eastAsia" w:ascii="宋体" w:hAnsi="宋体"/>
                <w:sz w:val="28"/>
                <w:szCs w:val="28"/>
              </w:rPr>
            </w:pPr>
          </w:p>
        </w:tc>
        <w:tc>
          <w:tcPr>
            <w:tcW w:w="661" w:type="pct"/>
          </w:tcPr>
          <w:p w14:paraId="33CF6F24">
            <w:pPr>
              <w:wordWrap w:val="0"/>
              <w:topLinePunct/>
              <w:jc w:val="center"/>
              <w:rPr>
                <w:rFonts w:hint="eastAsia" w:ascii="宋体" w:hAnsi="宋体"/>
                <w:sz w:val="28"/>
                <w:szCs w:val="28"/>
              </w:rPr>
            </w:pPr>
          </w:p>
        </w:tc>
        <w:tc>
          <w:tcPr>
            <w:tcW w:w="396" w:type="pct"/>
          </w:tcPr>
          <w:p w14:paraId="34F645FF">
            <w:pPr>
              <w:wordWrap w:val="0"/>
              <w:topLinePunct/>
              <w:jc w:val="center"/>
              <w:rPr>
                <w:rFonts w:hint="eastAsia" w:ascii="宋体" w:hAnsi="宋体"/>
                <w:sz w:val="28"/>
                <w:szCs w:val="28"/>
              </w:rPr>
            </w:pPr>
          </w:p>
        </w:tc>
        <w:tc>
          <w:tcPr>
            <w:tcW w:w="330" w:type="pct"/>
          </w:tcPr>
          <w:p w14:paraId="5360B421">
            <w:pPr>
              <w:wordWrap w:val="0"/>
              <w:topLinePunct/>
              <w:jc w:val="center"/>
              <w:rPr>
                <w:rFonts w:hint="eastAsia" w:ascii="宋体" w:hAnsi="宋体"/>
                <w:sz w:val="28"/>
                <w:szCs w:val="28"/>
              </w:rPr>
            </w:pPr>
          </w:p>
        </w:tc>
        <w:tc>
          <w:tcPr>
            <w:tcW w:w="463" w:type="pct"/>
          </w:tcPr>
          <w:p w14:paraId="3058C5D2">
            <w:pPr>
              <w:wordWrap w:val="0"/>
              <w:topLinePunct/>
              <w:jc w:val="center"/>
              <w:rPr>
                <w:rFonts w:hint="eastAsia" w:ascii="宋体" w:hAnsi="宋体"/>
                <w:sz w:val="28"/>
                <w:szCs w:val="28"/>
              </w:rPr>
            </w:pPr>
          </w:p>
        </w:tc>
        <w:tc>
          <w:tcPr>
            <w:tcW w:w="529" w:type="pct"/>
          </w:tcPr>
          <w:p w14:paraId="292AFD35">
            <w:pPr>
              <w:wordWrap w:val="0"/>
              <w:topLinePunct/>
              <w:jc w:val="center"/>
              <w:rPr>
                <w:rFonts w:hint="eastAsia" w:ascii="宋体" w:hAnsi="宋体"/>
                <w:sz w:val="28"/>
                <w:szCs w:val="28"/>
              </w:rPr>
            </w:pPr>
          </w:p>
        </w:tc>
        <w:tc>
          <w:tcPr>
            <w:tcW w:w="529" w:type="pct"/>
          </w:tcPr>
          <w:p w14:paraId="0A20043F">
            <w:pPr>
              <w:wordWrap w:val="0"/>
              <w:topLinePunct/>
              <w:jc w:val="center"/>
              <w:rPr>
                <w:rFonts w:hint="eastAsia" w:ascii="宋体" w:hAnsi="宋体"/>
                <w:sz w:val="28"/>
                <w:szCs w:val="28"/>
              </w:rPr>
            </w:pPr>
          </w:p>
        </w:tc>
        <w:tc>
          <w:tcPr>
            <w:tcW w:w="463" w:type="pct"/>
          </w:tcPr>
          <w:p w14:paraId="6B83036B">
            <w:pPr>
              <w:wordWrap w:val="0"/>
              <w:topLinePunct/>
              <w:jc w:val="center"/>
              <w:rPr>
                <w:rFonts w:hint="eastAsia" w:ascii="宋体" w:hAnsi="宋体"/>
                <w:sz w:val="28"/>
                <w:szCs w:val="28"/>
              </w:rPr>
            </w:pPr>
          </w:p>
        </w:tc>
        <w:tc>
          <w:tcPr>
            <w:tcW w:w="595" w:type="pct"/>
          </w:tcPr>
          <w:p w14:paraId="0794F916">
            <w:pPr>
              <w:wordWrap w:val="0"/>
              <w:topLinePunct/>
              <w:jc w:val="center"/>
              <w:rPr>
                <w:rFonts w:hint="eastAsia" w:ascii="宋体" w:hAnsi="宋体"/>
                <w:sz w:val="28"/>
                <w:szCs w:val="28"/>
              </w:rPr>
            </w:pPr>
          </w:p>
        </w:tc>
      </w:tr>
      <w:tr w14:paraId="16CA6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Pr>
          <w:p w14:paraId="2434C7FA">
            <w:pPr>
              <w:wordWrap w:val="0"/>
              <w:topLinePunct/>
              <w:jc w:val="center"/>
              <w:rPr>
                <w:rFonts w:hint="eastAsia" w:ascii="宋体" w:hAnsi="宋体"/>
                <w:sz w:val="28"/>
                <w:szCs w:val="28"/>
              </w:rPr>
            </w:pPr>
          </w:p>
        </w:tc>
        <w:tc>
          <w:tcPr>
            <w:tcW w:w="727" w:type="pct"/>
          </w:tcPr>
          <w:p w14:paraId="3768CC84">
            <w:pPr>
              <w:wordWrap w:val="0"/>
              <w:topLinePunct/>
              <w:jc w:val="center"/>
              <w:rPr>
                <w:rFonts w:hint="eastAsia" w:ascii="宋体" w:hAnsi="宋体"/>
                <w:sz w:val="28"/>
                <w:szCs w:val="28"/>
              </w:rPr>
            </w:pPr>
          </w:p>
        </w:tc>
        <w:tc>
          <w:tcPr>
            <w:tcW w:w="661" w:type="pct"/>
          </w:tcPr>
          <w:p w14:paraId="7CADC52E">
            <w:pPr>
              <w:wordWrap w:val="0"/>
              <w:topLinePunct/>
              <w:jc w:val="center"/>
              <w:rPr>
                <w:rFonts w:hint="eastAsia" w:ascii="宋体" w:hAnsi="宋体"/>
                <w:sz w:val="28"/>
                <w:szCs w:val="28"/>
              </w:rPr>
            </w:pPr>
          </w:p>
        </w:tc>
        <w:tc>
          <w:tcPr>
            <w:tcW w:w="396" w:type="pct"/>
          </w:tcPr>
          <w:p w14:paraId="6D7D30AF">
            <w:pPr>
              <w:wordWrap w:val="0"/>
              <w:topLinePunct/>
              <w:jc w:val="center"/>
              <w:rPr>
                <w:rFonts w:hint="eastAsia" w:ascii="宋体" w:hAnsi="宋体"/>
                <w:sz w:val="28"/>
                <w:szCs w:val="28"/>
              </w:rPr>
            </w:pPr>
          </w:p>
        </w:tc>
        <w:tc>
          <w:tcPr>
            <w:tcW w:w="330" w:type="pct"/>
          </w:tcPr>
          <w:p w14:paraId="5011EEA2">
            <w:pPr>
              <w:wordWrap w:val="0"/>
              <w:topLinePunct/>
              <w:jc w:val="center"/>
              <w:rPr>
                <w:rFonts w:hint="eastAsia" w:ascii="宋体" w:hAnsi="宋体"/>
                <w:sz w:val="28"/>
                <w:szCs w:val="28"/>
              </w:rPr>
            </w:pPr>
          </w:p>
        </w:tc>
        <w:tc>
          <w:tcPr>
            <w:tcW w:w="463" w:type="pct"/>
          </w:tcPr>
          <w:p w14:paraId="76DB3779">
            <w:pPr>
              <w:wordWrap w:val="0"/>
              <w:topLinePunct/>
              <w:jc w:val="center"/>
              <w:rPr>
                <w:rFonts w:hint="eastAsia" w:ascii="宋体" w:hAnsi="宋体"/>
                <w:sz w:val="28"/>
                <w:szCs w:val="28"/>
              </w:rPr>
            </w:pPr>
          </w:p>
        </w:tc>
        <w:tc>
          <w:tcPr>
            <w:tcW w:w="529" w:type="pct"/>
          </w:tcPr>
          <w:p w14:paraId="27A07638">
            <w:pPr>
              <w:wordWrap w:val="0"/>
              <w:topLinePunct/>
              <w:jc w:val="center"/>
              <w:rPr>
                <w:rFonts w:hint="eastAsia" w:ascii="宋体" w:hAnsi="宋体"/>
                <w:sz w:val="28"/>
                <w:szCs w:val="28"/>
              </w:rPr>
            </w:pPr>
          </w:p>
        </w:tc>
        <w:tc>
          <w:tcPr>
            <w:tcW w:w="529" w:type="pct"/>
          </w:tcPr>
          <w:p w14:paraId="5322F586">
            <w:pPr>
              <w:wordWrap w:val="0"/>
              <w:topLinePunct/>
              <w:jc w:val="center"/>
              <w:rPr>
                <w:rFonts w:hint="eastAsia" w:ascii="宋体" w:hAnsi="宋体"/>
                <w:sz w:val="28"/>
                <w:szCs w:val="28"/>
              </w:rPr>
            </w:pPr>
          </w:p>
        </w:tc>
        <w:tc>
          <w:tcPr>
            <w:tcW w:w="463" w:type="pct"/>
          </w:tcPr>
          <w:p w14:paraId="5126DEE6">
            <w:pPr>
              <w:wordWrap w:val="0"/>
              <w:topLinePunct/>
              <w:jc w:val="center"/>
              <w:rPr>
                <w:rFonts w:hint="eastAsia" w:ascii="宋体" w:hAnsi="宋体"/>
                <w:sz w:val="28"/>
                <w:szCs w:val="28"/>
              </w:rPr>
            </w:pPr>
          </w:p>
        </w:tc>
        <w:tc>
          <w:tcPr>
            <w:tcW w:w="595" w:type="pct"/>
          </w:tcPr>
          <w:p w14:paraId="048C8F77">
            <w:pPr>
              <w:wordWrap w:val="0"/>
              <w:topLinePunct/>
              <w:jc w:val="center"/>
              <w:rPr>
                <w:rFonts w:hint="eastAsia" w:ascii="宋体" w:hAnsi="宋体"/>
                <w:sz w:val="28"/>
                <w:szCs w:val="28"/>
              </w:rPr>
            </w:pPr>
          </w:p>
        </w:tc>
      </w:tr>
      <w:tr w14:paraId="61247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Pr>
          <w:p w14:paraId="0056A68C">
            <w:pPr>
              <w:wordWrap w:val="0"/>
              <w:topLinePunct/>
              <w:jc w:val="center"/>
              <w:rPr>
                <w:rFonts w:hint="eastAsia" w:ascii="宋体" w:hAnsi="宋体"/>
                <w:sz w:val="28"/>
                <w:szCs w:val="28"/>
              </w:rPr>
            </w:pPr>
          </w:p>
        </w:tc>
        <w:tc>
          <w:tcPr>
            <w:tcW w:w="727" w:type="pct"/>
          </w:tcPr>
          <w:p w14:paraId="56A64F74">
            <w:pPr>
              <w:wordWrap w:val="0"/>
              <w:topLinePunct/>
              <w:jc w:val="center"/>
              <w:rPr>
                <w:rFonts w:hint="eastAsia" w:ascii="宋体" w:hAnsi="宋体"/>
                <w:sz w:val="28"/>
                <w:szCs w:val="28"/>
              </w:rPr>
            </w:pPr>
          </w:p>
        </w:tc>
        <w:tc>
          <w:tcPr>
            <w:tcW w:w="661" w:type="pct"/>
          </w:tcPr>
          <w:p w14:paraId="4EBA903B">
            <w:pPr>
              <w:wordWrap w:val="0"/>
              <w:topLinePunct/>
              <w:jc w:val="center"/>
              <w:rPr>
                <w:rFonts w:hint="eastAsia" w:ascii="宋体" w:hAnsi="宋体"/>
                <w:sz w:val="28"/>
                <w:szCs w:val="28"/>
              </w:rPr>
            </w:pPr>
          </w:p>
        </w:tc>
        <w:tc>
          <w:tcPr>
            <w:tcW w:w="396" w:type="pct"/>
          </w:tcPr>
          <w:p w14:paraId="4563AC90">
            <w:pPr>
              <w:wordWrap w:val="0"/>
              <w:topLinePunct/>
              <w:jc w:val="center"/>
              <w:rPr>
                <w:rFonts w:hint="eastAsia" w:ascii="宋体" w:hAnsi="宋体"/>
                <w:sz w:val="28"/>
                <w:szCs w:val="28"/>
              </w:rPr>
            </w:pPr>
          </w:p>
        </w:tc>
        <w:tc>
          <w:tcPr>
            <w:tcW w:w="330" w:type="pct"/>
          </w:tcPr>
          <w:p w14:paraId="66671C53">
            <w:pPr>
              <w:wordWrap w:val="0"/>
              <w:topLinePunct/>
              <w:jc w:val="center"/>
              <w:rPr>
                <w:rFonts w:hint="eastAsia" w:ascii="宋体" w:hAnsi="宋体"/>
                <w:sz w:val="28"/>
                <w:szCs w:val="28"/>
              </w:rPr>
            </w:pPr>
          </w:p>
        </w:tc>
        <w:tc>
          <w:tcPr>
            <w:tcW w:w="463" w:type="pct"/>
          </w:tcPr>
          <w:p w14:paraId="26C14ECD">
            <w:pPr>
              <w:wordWrap w:val="0"/>
              <w:topLinePunct/>
              <w:jc w:val="center"/>
              <w:rPr>
                <w:rFonts w:hint="eastAsia" w:ascii="宋体" w:hAnsi="宋体"/>
                <w:sz w:val="28"/>
                <w:szCs w:val="28"/>
              </w:rPr>
            </w:pPr>
          </w:p>
        </w:tc>
        <w:tc>
          <w:tcPr>
            <w:tcW w:w="529" w:type="pct"/>
          </w:tcPr>
          <w:p w14:paraId="232044E0">
            <w:pPr>
              <w:wordWrap w:val="0"/>
              <w:topLinePunct/>
              <w:jc w:val="center"/>
              <w:rPr>
                <w:rFonts w:hint="eastAsia" w:ascii="宋体" w:hAnsi="宋体"/>
                <w:sz w:val="28"/>
                <w:szCs w:val="28"/>
              </w:rPr>
            </w:pPr>
          </w:p>
        </w:tc>
        <w:tc>
          <w:tcPr>
            <w:tcW w:w="529" w:type="pct"/>
          </w:tcPr>
          <w:p w14:paraId="1BA4F17F">
            <w:pPr>
              <w:wordWrap w:val="0"/>
              <w:topLinePunct/>
              <w:jc w:val="center"/>
              <w:rPr>
                <w:rFonts w:hint="eastAsia" w:ascii="宋体" w:hAnsi="宋体"/>
                <w:sz w:val="28"/>
                <w:szCs w:val="28"/>
              </w:rPr>
            </w:pPr>
          </w:p>
        </w:tc>
        <w:tc>
          <w:tcPr>
            <w:tcW w:w="463" w:type="pct"/>
          </w:tcPr>
          <w:p w14:paraId="7D5CC39B">
            <w:pPr>
              <w:wordWrap w:val="0"/>
              <w:topLinePunct/>
              <w:jc w:val="center"/>
              <w:rPr>
                <w:rFonts w:hint="eastAsia" w:ascii="宋体" w:hAnsi="宋体"/>
                <w:sz w:val="28"/>
                <w:szCs w:val="28"/>
              </w:rPr>
            </w:pPr>
          </w:p>
        </w:tc>
        <w:tc>
          <w:tcPr>
            <w:tcW w:w="595" w:type="pct"/>
          </w:tcPr>
          <w:p w14:paraId="5D0698D3">
            <w:pPr>
              <w:wordWrap w:val="0"/>
              <w:topLinePunct/>
              <w:jc w:val="center"/>
              <w:rPr>
                <w:rFonts w:hint="eastAsia" w:ascii="宋体" w:hAnsi="宋体"/>
                <w:sz w:val="28"/>
                <w:szCs w:val="28"/>
              </w:rPr>
            </w:pPr>
          </w:p>
        </w:tc>
      </w:tr>
      <w:tr w14:paraId="75E8B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Pr>
          <w:p w14:paraId="34BA15B4">
            <w:pPr>
              <w:wordWrap w:val="0"/>
              <w:topLinePunct/>
              <w:jc w:val="center"/>
              <w:rPr>
                <w:rFonts w:hint="eastAsia" w:ascii="宋体" w:hAnsi="宋体"/>
                <w:sz w:val="28"/>
                <w:szCs w:val="28"/>
              </w:rPr>
            </w:pPr>
          </w:p>
        </w:tc>
        <w:tc>
          <w:tcPr>
            <w:tcW w:w="727" w:type="pct"/>
          </w:tcPr>
          <w:p w14:paraId="40577A28">
            <w:pPr>
              <w:wordWrap w:val="0"/>
              <w:topLinePunct/>
              <w:jc w:val="center"/>
              <w:rPr>
                <w:rFonts w:hint="eastAsia" w:ascii="宋体" w:hAnsi="宋体"/>
                <w:sz w:val="28"/>
                <w:szCs w:val="28"/>
              </w:rPr>
            </w:pPr>
          </w:p>
        </w:tc>
        <w:tc>
          <w:tcPr>
            <w:tcW w:w="661" w:type="pct"/>
          </w:tcPr>
          <w:p w14:paraId="794108C9">
            <w:pPr>
              <w:wordWrap w:val="0"/>
              <w:topLinePunct/>
              <w:jc w:val="center"/>
              <w:rPr>
                <w:rFonts w:hint="eastAsia" w:ascii="宋体" w:hAnsi="宋体"/>
                <w:sz w:val="28"/>
                <w:szCs w:val="28"/>
              </w:rPr>
            </w:pPr>
          </w:p>
        </w:tc>
        <w:tc>
          <w:tcPr>
            <w:tcW w:w="396" w:type="pct"/>
          </w:tcPr>
          <w:p w14:paraId="0C2BD64B">
            <w:pPr>
              <w:wordWrap w:val="0"/>
              <w:topLinePunct/>
              <w:jc w:val="center"/>
              <w:rPr>
                <w:rFonts w:hint="eastAsia" w:ascii="宋体" w:hAnsi="宋体"/>
                <w:sz w:val="28"/>
                <w:szCs w:val="28"/>
              </w:rPr>
            </w:pPr>
          </w:p>
        </w:tc>
        <w:tc>
          <w:tcPr>
            <w:tcW w:w="330" w:type="pct"/>
          </w:tcPr>
          <w:p w14:paraId="36D669AE">
            <w:pPr>
              <w:wordWrap w:val="0"/>
              <w:topLinePunct/>
              <w:jc w:val="center"/>
              <w:rPr>
                <w:rFonts w:hint="eastAsia" w:ascii="宋体" w:hAnsi="宋体"/>
                <w:sz w:val="28"/>
                <w:szCs w:val="28"/>
              </w:rPr>
            </w:pPr>
          </w:p>
        </w:tc>
        <w:tc>
          <w:tcPr>
            <w:tcW w:w="463" w:type="pct"/>
          </w:tcPr>
          <w:p w14:paraId="2DF49C9B">
            <w:pPr>
              <w:wordWrap w:val="0"/>
              <w:topLinePunct/>
              <w:jc w:val="center"/>
              <w:rPr>
                <w:rFonts w:hint="eastAsia" w:ascii="宋体" w:hAnsi="宋体"/>
                <w:sz w:val="28"/>
                <w:szCs w:val="28"/>
              </w:rPr>
            </w:pPr>
          </w:p>
        </w:tc>
        <w:tc>
          <w:tcPr>
            <w:tcW w:w="529" w:type="pct"/>
          </w:tcPr>
          <w:p w14:paraId="7236E494">
            <w:pPr>
              <w:wordWrap w:val="0"/>
              <w:topLinePunct/>
              <w:jc w:val="center"/>
              <w:rPr>
                <w:rFonts w:hint="eastAsia" w:ascii="宋体" w:hAnsi="宋体"/>
                <w:sz w:val="28"/>
                <w:szCs w:val="28"/>
              </w:rPr>
            </w:pPr>
          </w:p>
        </w:tc>
        <w:tc>
          <w:tcPr>
            <w:tcW w:w="529" w:type="pct"/>
          </w:tcPr>
          <w:p w14:paraId="4E674550">
            <w:pPr>
              <w:wordWrap w:val="0"/>
              <w:topLinePunct/>
              <w:jc w:val="center"/>
              <w:rPr>
                <w:rFonts w:hint="eastAsia" w:ascii="宋体" w:hAnsi="宋体"/>
                <w:sz w:val="28"/>
                <w:szCs w:val="28"/>
              </w:rPr>
            </w:pPr>
          </w:p>
        </w:tc>
        <w:tc>
          <w:tcPr>
            <w:tcW w:w="463" w:type="pct"/>
          </w:tcPr>
          <w:p w14:paraId="47A92EF3">
            <w:pPr>
              <w:wordWrap w:val="0"/>
              <w:topLinePunct/>
              <w:jc w:val="center"/>
              <w:rPr>
                <w:rFonts w:hint="eastAsia" w:ascii="宋体" w:hAnsi="宋体"/>
                <w:sz w:val="28"/>
                <w:szCs w:val="28"/>
              </w:rPr>
            </w:pPr>
          </w:p>
        </w:tc>
        <w:tc>
          <w:tcPr>
            <w:tcW w:w="595" w:type="pct"/>
          </w:tcPr>
          <w:p w14:paraId="135E4363">
            <w:pPr>
              <w:wordWrap w:val="0"/>
              <w:topLinePunct/>
              <w:jc w:val="center"/>
              <w:rPr>
                <w:rFonts w:hint="eastAsia" w:ascii="宋体" w:hAnsi="宋体"/>
                <w:sz w:val="28"/>
                <w:szCs w:val="28"/>
              </w:rPr>
            </w:pPr>
          </w:p>
        </w:tc>
      </w:tr>
      <w:tr w14:paraId="531A1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Pr>
          <w:p w14:paraId="041F71E2">
            <w:pPr>
              <w:wordWrap w:val="0"/>
              <w:topLinePunct/>
              <w:jc w:val="center"/>
              <w:rPr>
                <w:rFonts w:hint="eastAsia" w:ascii="宋体" w:hAnsi="宋体"/>
                <w:sz w:val="28"/>
                <w:szCs w:val="28"/>
              </w:rPr>
            </w:pPr>
          </w:p>
        </w:tc>
        <w:tc>
          <w:tcPr>
            <w:tcW w:w="727" w:type="pct"/>
          </w:tcPr>
          <w:p w14:paraId="1ECA0ACA">
            <w:pPr>
              <w:wordWrap w:val="0"/>
              <w:topLinePunct/>
              <w:jc w:val="center"/>
              <w:rPr>
                <w:rFonts w:hint="eastAsia" w:ascii="宋体" w:hAnsi="宋体"/>
                <w:sz w:val="28"/>
                <w:szCs w:val="28"/>
              </w:rPr>
            </w:pPr>
          </w:p>
        </w:tc>
        <w:tc>
          <w:tcPr>
            <w:tcW w:w="661" w:type="pct"/>
          </w:tcPr>
          <w:p w14:paraId="4D4156F0">
            <w:pPr>
              <w:wordWrap w:val="0"/>
              <w:topLinePunct/>
              <w:jc w:val="center"/>
              <w:rPr>
                <w:rFonts w:hint="eastAsia" w:ascii="宋体" w:hAnsi="宋体"/>
                <w:sz w:val="28"/>
                <w:szCs w:val="28"/>
              </w:rPr>
            </w:pPr>
          </w:p>
        </w:tc>
        <w:tc>
          <w:tcPr>
            <w:tcW w:w="396" w:type="pct"/>
          </w:tcPr>
          <w:p w14:paraId="5EC6BE85">
            <w:pPr>
              <w:wordWrap w:val="0"/>
              <w:topLinePunct/>
              <w:jc w:val="center"/>
              <w:rPr>
                <w:rFonts w:hint="eastAsia" w:ascii="宋体" w:hAnsi="宋体"/>
                <w:sz w:val="28"/>
                <w:szCs w:val="28"/>
              </w:rPr>
            </w:pPr>
          </w:p>
        </w:tc>
        <w:tc>
          <w:tcPr>
            <w:tcW w:w="330" w:type="pct"/>
          </w:tcPr>
          <w:p w14:paraId="1DBA46F6">
            <w:pPr>
              <w:wordWrap w:val="0"/>
              <w:topLinePunct/>
              <w:jc w:val="center"/>
              <w:rPr>
                <w:rFonts w:hint="eastAsia" w:ascii="宋体" w:hAnsi="宋体"/>
                <w:sz w:val="28"/>
                <w:szCs w:val="28"/>
              </w:rPr>
            </w:pPr>
          </w:p>
        </w:tc>
        <w:tc>
          <w:tcPr>
            <w:tcW w:w="463" w:type="pct"/>
          </w:tcPr>
          <w:p w14:paraId="6B8CFFFC">
            <w:pPr>
              <w:wordWrap w:val="0"/>
              <w:topLinePunct/>
              <w:jc w:val="center"/>
              <w:rPr>
                <w:rFonts w:hint="eastAsia" w:ascii="宋体" w:hAnsi="宋体"/>
                <w:sz w:val="28"/>
                <w:szCs w:val="28"/>
              </w:rPr>
            </w:pPr>
          </w:p>
        </w:tc>
        <w:tc>
          <w:tcPr>
            <w:tcW w:w="529" w:type="pct"/>
          </w:tcPr>
          <w:p w14:paraId="27DDDC8B">
            <w:pPr>
              <w:wordWrap w:val="0"/>
              <w:topLinePunct/>
              <w:jc w:val="center"/>
              <w:rPr>
                <w:rFonts w:hint="eastAsia" w:ascii="宋体" w:hAnsi="宋体"/>
                <w:sz w:val="28"/>
                <w:szCs w:val="28"/>
              </w:rPr>
            </w:pPr>
          </w:p>
        </w:tc>
        <w:tc>
          <w:tcPr>
            <w:tcW w:w="529" w:type="pct"/>
          </w:tcPr>
          <w:p w14:paraId="2D71193E">
            <w:pPr>
              <w:wordWrap w:val="0"/>
              <w:topLinePunct/>
              <w:jc w:val="center"/>
              <w:rPr>
                <w:rFonts w:hint="eastAsia" w:ascii="宋体" w:hAnsi="宋体"/>
                <w:sz w:val="28"/>
                <w:szCs w:val="28"/>
              </w:rPr>
            </w:pPr>
          </w:p>
        </w:tc>
        <w:tc>
          <w:tcPr>
            <w:tcW w:w="463" w:type="pct"/>
          </w:tcPr>
          <w:p w14:paraId="17250E23">
            <w:pPr>
              <w:wordWrap w:val="0"/>
              <w:topLinePunct/>
              <w:jc w:val="center"/>
              <w:rPr>
                <w:rFonts w:hint="eastAsia" w:ascii="宋体" w:hAnsi="宋体"/>
                <w:sz w:val="28"/>
                <w:szCs w:val="28"/>
              </w:rPr>
            </w:pPr>
          </w:p>
        </w:tc>
        <w:tc>
          <w:tcPr>
            <w:tcW w:w="595" w:type="pct"/>
          </w:tcPr>
          <w:p w14:paraId="798A7CC7">
            <w:pPr>
              <w:wordWrap w:val="0"/>
              <w:topLinePunct/>
              <w:jc w:val="center"/>
              <w:rPr>
                <w:rFonts w:hint="eastAsia" w:ascii="宋体" w:hAnsi="宋体"/>
                <w:sz w:val="28"/>
                <w:szCs w:val="28"/>
              </w:rPr>
            </w:pPr>
          </w:p>
        </w:tc>
      </w:tr>
      <w:tr w14:paraId="0A41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Pr>
          <w:p w14:paraId="6CFDF4BA">
            <w:pPr>
              <w:wordWrap w:val="0"/>
              <w:topLinePunct/>
              <w:jc w:val="center"/>
              <w:rPr>
                <w:rFonts w:hint="eastAsia" w:ascii="宋体" w:hAnsi="宋体"/>
                <w:sz w:val="28"/>
                <w:szCs w:val="28"/>
              </w:rPr>
            </w:pPr>
          </w:p>
        </w:tc>
        <w:tc>
          <w:tcPr>
            <w:tcW w:w="727" w:type="pct"/>
          </w:tcPr>
          <w:p w14:paraId="7C032AA8">
            <w:pPr>
              <w:wordWrap w:val="0"/>
              <w:topLinePunct/>
              <w:jc w:val="center"/>
              <w:rPr>
                <w:rFonts w:hint="eastAsia" w:ascii="宋体" w:hAnsi="宋体"/>
                <w:sz w:val="28"/>
                <w:szCs w:val="28"/>
              </w:rPr>
            </w:pPr>
          </w:p>
        </w:tc>
        <w:tc>
          <w:tcPr>
            <w:tcW w:w="661" w:type="pct"/>
          </w:tcPr>
          <w:p w14:paraId="32300F5F">
            <w:pPr>
              <w:wordWrap w:val="0"/>
              <w:topLinePunct/>
              <w:jc w:val="center"/>
              <w:rPr>
                <w:rFonts w:hint="eastAsia" w:ascii="宋体" w:hAnsi="宋体"/>
                <w:sz w:val="28"/>
                <w:szCs w:val="28"/>
              </w:rPr>
            </w:pPr>
          </w:p>
        </w:tc>
        <w:tc>
          <w:tcPr>
            <w:tcW w:w="396" w:type="pct"/>
          </w:tcPr>
          <w:p w14:paraId="78680028">
            <w:pPr>
              <w:wordWrap w:val="0"/>
              <w:topLinePunct/>
              <w:jc w:val="center"/>
              <w:rPr>
                <w:rFonts w:hint="eastAsia" w:ascii="宋体" w:hAnsi="宋体"/>
                <w:sz w:val="28"/>
                <w:szCs w:val="28"/>
              </w:rPr>
            </w:pPr>
          </w:p>
        </w:tc>
        <w:tc>
          <w:tcPr>
            <w:tcW w:w="330" w:type="pct"/>
          </w:tcPr>
          <w:p w14:paraId="1450F5D4">
            <w:pPr>
              <w:wordWrap w:val="0"/>
              <w:topLinePunct/>
              <w:jc w:val="center"/>
              <w:rPr>
                <w:rFonts w:hint="eastAsia" w:ascii="宋体" w:hAnsi="宋体"/>
                <w:sz w:val="28"/>
                <w:szCs w:val="28"/>
              </w:rPr>
            </w:pPr>
          </w:p>
        </w:tc>
        <w:tc>
          <w:tcPr>
            <w:tcW w:w="463" w:type="pct"/>
          </w:tcPr>
          <w:p w14:paraId="0E8C1BFD">
            <w:pPr>
              <w:wordWrap w:val="0"/>
              <w:topLinePunct/>
              <w:jc w:val="center"/>
              <w:rPr>
                <w:rFonts w:hint="eastAsia" w:ascii="宋体" w:hAnsi="宋体"/>
                <w:sz w:val="28"/>
                <w:szCs w:val="28"/>
              </w:rPr>
            </w:pPr>
          </w:p>
        </w:tc>
        <w:tc>
          <w:tcPr>
            <w:tcW w:w="529" w:type="pct"/>
          </w:tcPr>
          <w:p w14:paraId="53693708">
            <w:pPr>
              <w:wordWrap w:val="0"/>
              <w:topLinePunct/>
              <w:jc w:val="center"/>
              <w:rPr>
                <w:rFonts w:hint="eastAsia" w:ascii="宋体" w:hAnsi="宋体"/>
                <w:sz w:val="28"/>
                <w:szCs w:val="28"/>
              </w:rPr>
            </w:pPr>
          </w:p>
        </w:tc>
        <w:tc>
          <w:tcPr>
            <w:tcW w:w="529" w:type="pct"/>
          </w:tcPr>
          <w:p w14:paraId="567B7B7A">
            <w:pPr>
              <w:wordWrap w:val="0"/>
              <w:topLinePunct/>
              <w:jc w:val="center"/>
              <w:rPr>
                <w:rFonts w:hint="eastAsia" w:ascii="宋体" w:hAnsi="宋体"/>
                <w:sz w:val="28"/>
                <w:szCs w:val="28"/>
              </w:rPr>
            </w:pPr>
          </w:p>
        </w:tc>
        <w:tc>
          <w:tcPr>
            <w:tcW w:w="463" w:type="pct"/>
          </w:tcPr>
          <w:p w14:paraId="2F7D085B">
            <w:pPr>
              <w:wordWrap w:val="0"/>
              <w:topLinePunct/>
              <w:jc w:val="center"/>
              <w:rPr>
                <w:rFonts w:hint="eastAsia" w:ascii="宋体" w:hAnsi="宋体"/>
                <w:sz w:val="28"/>
                <w:szCs w:val="28"/>
              </w:rPr>
            </w:pPr>
          </w:p>
        </w:tc>
        <w:tc>
          <w:tcPr>
            <w:tcW w:w="595" w:type="pct"/>
          </w:tcPr>
          <w:p w14:paraId="6E4DFDFB">
            <w:pPr>
              <w:wordWrap w:val="0"/>
              <w:topLinePunct/>
              <w:jc w:val="center"/>
              <w:rPr>
                <w:rFonts w:hint="eastAsia" w:ascii="宋体" w:hAnsi="宋体"/>
                <w:sz w:val="28"/>
                <w:szCs w:val="28"/>
              </w:rPr>
            </w:pPr>
          </w:p>
        </w:tc>
      </w:tr>
      <w:tr w14:paraId="5D50D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Pr>
          <w:p w14:paraId="3CE76505">
            <w:pPr>
              <w:wordWrap w:val="0"/>
              <w:topLinePunct/>
              <w:jc w:val="center"/>
              <w:rPr>
                <w:rFonts w:hint="eastAsia" w:ascii="宋体" w:hAnsi="宋体"/>
                <w:sz w:val="28"/>
                <w:szCs w:val="28"/>
              </w:rPr>
            </w:pPr>
          </w:p>
        </w:tc>
        <w:tc>
          <w:tcPr>
            <w:tcW w:w="727" w:type="pct"/>
          </w:tcPr>
          <w:p w14:paraId="54275FE3">
            <w:pPr>
              <w:wordWrap w:val="0"/>
              <w:topLinePunct/>
              <w:jc w:val="center"/>
              <w:rPr>
                <w:rFonts w:hint="eastAsia" w:ascii="宋体" w:hAnsi="宋体"/>
                <w:sz w:val="28"/>
                <w:szCs w:val="28"/>
              </w:rPr>
            </w:pPr>
          </w:p>
        </w:tc>
        <w:tc>
          <w:tcPr>
            <w:tcW w:w="661" w:type="pct"/>
          </w:tcPr>
          <w:p w14:paraId="0CA03F8A">
            <w:pPr>
              <w:wordWrap w:val="0"/>
              <w:topLinePunct/>
              <w:jc w:val="center"/>
              <w:rPr>
                <w:rFonts w:hint="eastAsia" w:ascii="宋体" w:hAnsi="宋体"/>
                <w:sz w:val="28"/>
                <w:szCs w:val="28"/>
              </w:rPr>
            </w:pPr>
          </w:p>
        </w:tc>
        <w:tc>
          <w:tcPr>
            <w:tcW w:w="396" w:type="pct"/>
          </w:tcPr>
          <w:p w14:paraId="3645FCDF">
            <w:pPr>
              <w:wordWrap w:val="0"/>
              <w:topLinePunct/>
              <w:jc w:val="center"/>
              <w:rPr>
                <w:rFonts w:hint="eastAsia" w:ascii="宋体" w:hAnsi="宋体"/>
                <w:sz w:val="28"/>
                <w:szCs w:val="28"/>
              </w:rPr>
            </w:pPr>
          </w:p>
        </w:tc>
        <w:tc>
          <w:tcPr>
            <w:tcW w:w="330" w:type="pct"/>
          </w:tcPr>
          <w:p w14:paraId="3F731127">
            <w:pPr>
              <w:wordWrap w:val="0"/>
              <w:topLinePunct/>
              <w:jc w:val="center"/>
              <w:rPr>
                <w:rFonts w:hint="eastAsia" w:ascii="宋体" w:hAnsi="宋体"/>
                <w:sz w:val="28"/>
                <w:szCs w:val="28"/>
              </w:rPr>
            </w:pPr>
          </w:p>
        </w:tc>
        <w:tc>
          <w:tcPr>
            <w:tcW w:w="463" w:type="pct"/>
          </w:tcPr>
          <w:p w14:paraId="591B76B3">
            <w:pPr>
              <w:wordWrap w:val="0"/>
              <w:topLinePunct/>
              <w:jc w:val="center"/>
              <w:rPr>
                <w:rFonts w:hint="eastAsia" w:ascii="宋体" w:hAnsi="宋体"/>
                <w:sz w:val="28"/>
                <w:szCs w:val="28"/>
              </w:rPr>
            </w:pPr>
          </w:p>
        </w:tc>
        <w:tc>
          <w:tcPr>
            <w:tcW w:w="529" w:type="pct"/>
          </w:tcPr>
          <w:p w14:paraId="78554373">
            <w:pPr>
              <w:wordWrap w:val="0"/>
              <w:topLinePunct/>
              <w:jc w:val="center"/>
              <w:rPr>
                <w:rFonts w:hint="eastAsia" w:ascii="宋体" w:hAnsi="宋体"/>
                <w:sz w:val="28"/>
                <w:szCs w:val="28"/>
              </w:rPr>
            </w:pPr>
          </w:p>
        </w:tc>
        <w:tc>
          <w:tcPr>
            <w:tcW w:w="529" w:type="pct"/>
          </w:tcPr>
          <w:p w14:paraId="7D1C7F82">
            <w:pPr>
              <w:wordWrap w:val="0"/>
              <w:topLinePunct/>
              <w:jc w:val="center"/>
              <w:rPr>
                <w:rFonts w:hint="eastAsia" w:ascii="宋体" w:hAnsi="宋体"/>
                <w:sz w:val="28"/>
                <w:szCs w:val="28"/>
              </w:rPr>
            </w:pPr>
          </w:p>
        </w:tc>
        <w:tc>
          <w:tcPr>
            <w:tcW w:w="463" w:type="pct"/>
          </w:tcPr>
          <w:p w14:paraId="076ADCD1">
            <w:pPr>
              <w:wordWrap w:val="0"/>
              <w:topLinePunct/>
              <w:jc w:val="center"/>
              <w:rPr>
                <w:rFonts w:hint="eastAsia" w:ascii="宋体" w:hAnsi="宋体"/>
                <w:sz w:val="28"/>
                <w:szCs w:val="28"/>
              </w:rPr>
            </w:pPr>
          </w:p>
        </w:tc>
        <w:tc>
          <w:tcPr>
            <w:tcW w:w="595" w:type="pct"/>
          </w:tcPr>
          <w:p w14:paraId="5910E9A5">
            <w:pPr>
              <w:wordWrap w:val="0"/>
              <w:topLinePunct/>
              <w:jc w:val="center"/>
              <w:rPr>
                <w:rFonts w:hint="eastAsia" w:ascii="宋体" w:hAnsi="宋体"/>
                <w:sz w:val="28"/>
                <w:szCs w:val="28"/>
              </w:rPr>
            </w:pPr>
          </w:p>
        </w:tc>
      </w:tr>
      <w:tr w14:paraId="446B8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Pr>
          <w:p w14:paraId="46E520BF">
            <w:pPr>
              <w:wordWrap w:val="0"/>
              <w:topLinePunct/>
              <w:jc w:val="center"/>
              <w:rPr>
                <w:rFonts w:hint="eastAsia" w:ascii="宋体" w:hAnsi="宋体"/>
                <w:sz w:val="28"/>
                <w:szCs w:val="28"/>
              </w:rPr>
            </w:pPr>
          </w:p>
        </w:tc>
        <w:tc>
          <w:tcPr>
            <w:tcW w:w="727" w:type="pct"/>
          </w:tcPr>
          <w:p w14:paraId="0BF46C9C">
            <w:pPr>
              <w:wordWrap w:val="0"/>
              <w:topLinePunct/>
              <w:jc w:val="center"/>
              <w:rPr>
                <w:rFonts w:hint="eastAsia" w:ascii="宋体" w:hAnsi="宋体"/>
                <w:sz w:val="28"/>
                <w:szCs w:val="28"/>
              </w:rPr>
            </w:pPr>
          </w:p>
        </w:tc>
        <w:tc>
          <w:tcPr>
            <w:tcW w:w="661" w:type="pct"/>
          </w:tcPr>
          <w:p w14:paraId="69D4FD50">
            <w:pPr>
              <w:wordWrap w:val="0"/>
              <w:topLinePunct/>
              <w:jc w:val="center"/>
              <w:rPr>
                <w:rFonts w:hint="eastAsia" w:ascii="宋体" w:hAnsi="宋体"/>
                <w:sz w:val="28"/>
                <w:szCs w:val="28"/>
              </w:rPr>
            </w:pPr>
          </w:p>
        </w:tc>
        <w:tc>
          <w:tcPr>
            <w:tcW w:w="396" w:type="pct"/>
          </w:tcPr>
          <w:p w14:paraId="6E8B64FC">
            <w:pPr>
              <w:wordWrap w:val="0"/>
              <w:topLinePunct/>
              <w:jc w:val="center"/>
              <w:rPr>
                <w:rFonts w:hint="eastAsia" w:ascii="宋体" w:hAnsi="宋体"/>
                <w:sz w:val="28"/>
                <w:szCs w:val="28"/>
              </w:rPr>
            </w:pPr>
          </w:p>
        </w:tc>
        <w:tc>
          <w:tcPr>
            <w:tcW w:w="330" w:type="pct"/>
          </w:tcPr>
          <w:p w14:paraId="29B004A5">
            <w:pPr>
              <w:wordWrap w:val="0"/>
              <w:topLinePunct/>
              <w:jc w:val="center"/>
              <w:rPr>
                <w:rFonts w:hint="eastAsia" w:ascii="宋体" w:hAnsi="宋体"/>
                <w:sz w:val="28"/>
                <w:szCs w:val="28"/>
              </w:rPr>
            </w:pPr>
          </w:p>
        </w:tc>
        <w:tc>
          <w:tcPr>
            <w:tcW w:w="463" w:type="pct"/>
          </w:tcPr>
          <w:p w14:paraId="57F4A5D4">
            <w:pPr>
              <w:wordWrap w:val="0"/>
              <w:topLinePunct/>
              <w:jc w:val="center"/>
              <w:rPr>
                <w:rFonts w:hint="eastAsia" w:ascii="宋体" w:hAnsi="宋体"/>
                <w:sz w:val="28"/>
                <w:szCs w:val="28"/>
              </w:rPr>
            </w:pPr>
          </w:p>
        </w:tc>
        <w:tc>
          <w:tcPr>
            <w:tcW w:w="529" w:type="pct"/>
          </w:tcPr>
          <w:p w14:paraId="4264EF7A">
            <w:pPr>
              <w:wordWrap w:val="0"/>
              <w:topLinePunct/>
              <w:jc w:val="center"/>
              <w:rPr>
                <w:rFonts w:hint="eastAsia" w:ascii="宋体" w:hAnsi="宋体"/>
                <w:sz w:val="28"/>
                <w:szCs w:val="28"/>
              </w:rPr>
            </w:pPr>
          </w:p>
        </w:tc>
        <w:tc>
          <w:tcPr>
            <w:tcW w:w="529" w:type="pct"/>
          </w:tcPr>
          <w:p w14:paraId="389CAF83">
            <w:pPr>
              <w:wordWrap w:val="0"/>
              <w:topLinePunct/>
              <w:jc w:val="center"/>
              <w:rPr>
                <w:rFonts w:hint="eastAsia" w:ascii="宋体" w:hAnsi="宋体"/>
                <w:sz w:val="28"/>
                <w:szCs w:val="28"/>
              </w:rPr>
            </w:pPr>
          </w:p>
        </w:tc>
        <w:tc>
          <w:tcPr>
            <w:tcW w:w="463" w:type="pct"/>
          </w:tcPr>
          <w:p w14:paraId="3B6C4E3E">
            <w:pPr>
              <w:wordWrap w:val="0"/>
              <w:topLinePunct/>
              <w:jc w:val="center"/>
              <w:rPr>
                <w:rFonts w:hint="eastAsia" w:ascii="宋体" w:hAnsi="宋体"/>
                <w:sz w:val="28"/>
                <w:szCs w:val="28"/>
              </w:rPr>
            </w:pPr>
          </w:p>
        </w:tc>
        <w:tc>
          <w:tcPr>
            <w:tcW w:w="595" w:type="pct"/>
          </w:tcPr>
          <w:p w14:paraId="3CFB4DC0">
            <w:pPr>
              <w:wordWrap w:val="0"/>
              <w:topLinePunct/>
              <w:jc w:val="center"/>
              <w:rPr>
                <w:rFonts w:hint="eastAsia" w:ascii="宋体" w:hAnsi="宋体"/>
                <w:sz w:val="28"/>
                <w:szCs w:val="28"/>
              </w:rPr>
            </w:pPr>
          </w:p>
        </w:tc>
      </w:tr>
      <w:tr w14:paraId="1E64D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Pr>
          <w:p w14:paraId="152D527B">
            <w:pPr>
              <w:wordWrap w:val="0"/>
              <w:topLinePunct/>
              <w:jc w:val="center"/>
              <w:rPr>
                <w:rFonts w:hint="eastAsia" w:ascii="宋体" w:hAnsi="宋体"/>
                <w:sz w:val="28"/>
                <w:szCs w:val="28"/>
              </w:rPr>
            </w:pPr>
          </w:p>
        </w:tc>
        <w:tc>
          <w:tcPr>
            <w:tcW w:w="727" w:type="pct"/>
          </w:tcPr>
          <w:p w14:paraId="5509F4A3">
            <w:pPr>
              <w:wordWrap w:val="0"/>
              <w:topLinePunct/>
              <w:jc w:val="center"/>
              <w:rPr>
                <w:rFonts w:hint="eastAsia" w:ascii="宋体" w:hAnsi="宋体"/>
                <w:sz w:val="28"/>
                <w:szCs w:val="28"/>
              </w:rPr>
            </w:pPr>
          </w:p>
        </w:tc>
        <w:tc>
          <w:tcPr>
            <w:tcW w:w="661" w:type="pct"/>
          </w:tcPr>
          <w:p w14:paraId="46FDFE6C">
            <w:pPr>
              <w:wordWrap w:val="0"/>
              <w:topLinePunct/>
              <w:jc w:val="center"/>
              <w:rPr>
                <w:rFonts w:hint="eastAsia" w:ascii="宋体" w:hAnsi="宋体"/>
                <w:sz w:val="28"/>
                <w:szCs w:val="28"/>
              </w:rPr>
            </w:pPr>
          </w:p>
        </w:tc>
        <w:tc>
          <w:tcPr>
            <w:tcW w:w="396" w:type="pct"/>
          </w:tcPr>
          <w:p w14:paraId="62D0BFE8">
            <w:pPr>
              <w:wordWrap w:val="0"/>
              <w:topLinePunct/>
              <w:jc w:val="center"/>
              <w:rPr>
                <w:rFonts w:hint="eastAsia" w:ascii="宋体" w:hAnsi="宋体"/>
                <w:sz w:val="28"/>
                <w:szCs w:val="28"/>
              </w:rPr>
            </w:pPr>
          </w:p>
        </w:tc>
        <w:tc>
          <w:tcPr>
            <w:tcW w:w="330" w:type="pct"/>
          </w:tcPr>
          <w:p w14:paraId="53792228">
            <w:pPr>
              <w:wordWrap w:val="0"/>
              <w:topLinePunct/>
              <w:jc w:val="center"/>
              <w:rPr>
                <w:rFonts w:hint="eastAsia" w:ascii="宋体" w:hAnsi="宋体"/>
                <w:sz w:val="28"/>
                <w:szCs w:val="28"/>
              </w:rPr>
            </w:pPr>
          </w:p>
        </w:tc>
        <w:tc>
          <w:tcPr>
            <w:tcW w:w="463" w:type="pct"/>
          </w:tcPr>
          <w:p w14:paraId="39197472">
            <w:pPr>
              <w:wordWrap w:val="0"/>
              <w:topLinePunct/>
              <w:jc w:val="center"/>
              <w:rPr>
                <w:rFonts w:hint="eastAsia" w:ascii="宋体" w:hAnsi="宋体"/>
                <w:sz w:val="28"/>
                <w:szCs w:val="28"/>
              </w:rPr>
            </w:pPr>
          </w:p>
        </w:tc>
        <w:tc>
          <w:tcPr>
            <w:tcW w:w="529" w:type="pct"/>
          </w:tcPr>
          <w:p w14:paraId="4F444EDA">
            <w:pPr>
              <w:wordWrap w:val="0"/>
              <w:topLinePunct/>
              <w:jc w:val="center"/>
              <w:rPr>
                <w:rFonts w:hint="eastAsia" w:ascii="宋体" w:hAnsi="宋体"/>
                <w:sz w:val="28"/>
                <w:szCs w:val="28"/>
              </w:rPr>
            </w:pPr>
          </w:p>
        </w:tc>
        <w:tc>
          <w:tcPr>
            <w:tcW w:w="529" w:type="pct"/>
          </w:tcPr>
          <w:p w14:paraId="4B814252">
            <w:pPr>
              <w:wordWrap w:val="0"/>
              <w:topLinePunct/>
              <w:jc w:val="center"/>
              <w:rPr>
                <w:rFonts w:hint="eastAsia" w:ascii="宋体" w:hAnsi="宋体"/>
                <w:sz w:val="28"/>
                <w:szCs w:val="28"/>
              </w:rPr>
            </w:pPr>
          </w:p>
        </w:tc>
        <w:tc>
          <w:tcPr>
            <w:tcW w:w="463" w:type="pct"/>
          </w:tcPr>
          <w:p w14:paraId="65E32B64">
            <w:pPr>
              <w:wordWrap w:val="0"/>
              <w:topLinePunct/>
              <w:jc w:val="center"/>
              <w:rPr>
                <w:rFonts w:hint="eastAsia" w:ascii="宋体" w:hAnsi="宋体"/>
                <w:sz w:val="28"/>
                <w:szCs w:val="28"/>
              </w:rPr>
            </w:pPr>
          </w:p>
        </w:tc>
        <w:tc>
          <w:tcPr>
            <w:tcW w:w="595" w:type="pct"/>
          </w:tcPr>
          <w:p w14:paraId="4BD9FD3C">
            <w:pPr>
              <w:wordWrap w:val="0"/>
              <w:topLinePunct/>
              <w:jc w:val="center"/>
              <w:rPr>
                <w:rFonts w:hint="eastAsia" w:ascii="宋体" w:hAnsi="宋体"/>
                <w:sz w:val="28"/>
                <w:szCs w:val="28"/>
              </w:rPr>
            </w:pPr>
          </w:p>
        </w:tc>
      </w:tr>
      <w:tr w14:paraId="1757B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Pr>
          <w:p w14:paraId="3C2E4F79">
            <w:pPr>
              <w:wordWrap w:val="0"/>
              <w:topLinePunct/>
              <w:jc w:val="center"/>
              <w:rPr>
                <w:rFonts w:hint="eastAsia" w:ascii="宋体" w:hAnsi="宋体"/>
                <w:sz w:val="28"/>
                <w:szCs w:val="28"/>
              </w:rPr>
            </w:pPr>
          </w:p>
        </w:tc>
        <w:tc>
          <w:tcPr>
            <w:tcW w:w="727" w:type="pct"/>
          </w:tcPr>
          <w:p w14:paraId="6CFCEFE8">
            <w:pPr>
              <w:wordWrap w:val="0"/>
              <w:topLinePunct/>
              <w:jc w:val="center"/>
              <w:rPr>
                <w:rFonts w:hint="eastAsia" w:ascii="宋体" w:hAnsi="宋体"/>
                <w:sz w:val="28"/>
                <w:szCs w:val="28"/>
              </w:rPr>
            </w:pPr>
          </w:p>
        </w:tc>
        <w:tc>
          <w:tcPr>
            <w:tcW w:w="661" w:type="pct"/>
          </w:tcPr>
          <w:p w14:paraId="110B98C0">
            <w:pPr>
              <w:wordWrap w:val="0"/>
              <w:topLinePunct/>
              <w:jc w:val="center"/>
              <w:rPr>
                <w:rFonts w:hint="eastAsia" w:ascii="宋体" w:hAnsi="宋体"/>
                <w:sz w:val="28"/>
                <w:szCs w:val="28"/>
              </w:rPr>
            </w:pPr>
          </w:p>
        </w:tc>
        <w:tc>
          <w:tcPr>
            <w:tcW w:w="396" w:type="pct"/>
          </w:tcPr>
          <w:p w14:paraId="172A6FC6">
            <w:pPr>
              <w:wordWrap w:val="0"/>
              <w:topLinePunct/>
              <w:jc w:val="center"/>
              <w:rPr>
                <w:rFonts w:hint="eastAsia" w:ascii="宋体" w:hAnsi="宋体"/>
                <w:sz w:val="28"/>
                <w:szCs w:val="28"/>
              </w:rPr>
            </w:pPr>
          </w:p>
        </w:tc>
        <w:tc>
          <w:tcPr>
            <w:tcW w:w="330" w:type="pct"/>
          </w:tcPr>
          <w:p w14:paraId="045D8D18">
            <w:pPr>
              <w:wordWrap w:val="0"/>
              <w:topLinePunct/>
              <w:jc w:val="center"/>
              <w:rPr>
                <w:rFonts w:hint="eastAsia" w:ascii="宋体" w:hAnsi="宋体"/>
                <w:sz w:val="28"/>
                <w:szCs w:val="28"/>
              </w:rPr>
            </w:pPr>
          </w:p>
        </w:tc>
        <w:tc>
          <w:tcPr>
            <w:tcW w:w="463" w:type="pct"/>
          </w:tcPr>
          <w:p w14:paraId="42A55F38">
            <w:pPr>
              <w:wordWrap w:val="0"/>
              <w:topLinePunct/>
              <w:jc w:val="center"/>
              <w:rPr>
                <w:rFonts w:hint="eastAsia" w:ascii="宋体" w:hAnsi="宋体"/>
                <w:sz w:val="28"/>
                <w:szCs w:val="28"/>
              </w:rPr>
            </w:pPr>
          </w:p>
        </w:tc>
        <w:tc>
          <w:tcPr>
            <w:tcW w:w="529" w:type="pct"/>
          </w:tcPr>
          <w:p w14:paraId="1A25F919">
            <w:pPr>
              <w:wordWrap w:val="0"/>
              <w:topLinePunct/>
              <w:jc w:val="center"/>
              <w:rPr>
                <w:rFonts w:hint="eastAsia" w:ascii="宋体" w:hAnsi="宋体"/>
                <w:sz w:val="28"/>
                <w:szCs w:val="28"/>
              </w:rPr>
            </w:pPr>
          </w:p>
        </w:tc>
        <w:tc>
          <w:tcPr>
            <w:tcW w:w="529" w:type="pct"/>
          </w:tcPr>
          <w:p w14:paraId="32667C91">
            <w:pPr>
              <w:wordWrap w:val="0"/>
              <w:topLinePunct/>
              <w:jc w:val="center"/>
              <w:rPr>
                <w:rFonts w:hint="eastAsia" w:ascii="宋体" w:hAnsi="宋体"/>
                <w:sz w:val="28"/>
                <w:szCs w:val="28"/>
              </w:rPr>
            </w:pPr>
          </w:p>
        </w:tc>
        <w:tc>
          <w:tcPr>
            <w:tcW w:w="463" w:type="pct"/>
          </w:tcPr>
          <w:p w14:paraId="23FBEAD4">
            <w:pPr>
              <w:wordWrap w:val="0"/>
              <w:topLinePunct/>
              <w:jc w:val="center"/>
              <w:rPr>
                <w:rFonts w:hint="eastAsia" w:ascii="宋体" w:hAnsi="宋体"/>
                <w:sz w:val="28"/>
                <w:szCs w:val="28"/>
              </w:rPr>
            </w:pPr>
          </w:p>
        </w:tc>
        <w:tc>
          <w:tcPr>
            <w:tcW w:w="595" w:type="pct"/>
          </w:tcPr>
          <w:p w14:paraId="43AFDEF8">
            <w:pPr>
              <w:wordWrap w:val="0"/>
              <w:topLinePunct/>
              <w:jc w:val="center"/>
              <w:rPr>
                <w:rFonts w:hint="eastAsia" w:ascii="宋体" w:hAnsi="宋体"/>
                <w:sz w:val="28"/>
                <w:szCs w:val="28"/>
              </w:rPr>
            </w:pPr>
          </w:p>
        </w:tc>
      </w:tr>
      <w:tr w14:paraId="0322E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Pr>
          <w:p w14:paraId="4E4247AA">
            <w:pPr>
              <w:wordWrap w:val="0"/>
              <w:topLinePunct/>
              <w:jc w:val="center"/>
              <w:rPr>
                <w:rFonts w:hint="eastAsia" w:ascii="宋体" w:hAnsi="宋体"/>
                <w:sz w:val="28"/>
                <w:szCs w:val="28"/>
              </w:rPr>
            </w:pPr>
          </w:p>
        </w:tc>
        <w:tc>
          <w:tcPr>
            <w:tcW w:w="727" w:type="pct"/>
          </w:tcPr>
          <w:p w14:paraId="6500697C">
            <w:pPr>
              <w:wordWrap w:val="0"/>
              <w:topLinePunct/>
              <w:jc w:val="center"/>
              <w:rPr>
                <w:rFonts w:hint="eastAsia" w:ascii="宋体" w:hAnsi="宋体"/>
                <w:sz w:val="28"/>
                <w:szCs w:val="28"/>
              </w:rPr>
            </w:pPr>
          </w:p>
        </w:tc>
        <w:tc>
          <w:tcPr>
            <w:tcW w:w="661" w:type="pct"/>
          </w:tcPr>
          <w:p w14:paraId="618D1539">
            <w:pPr>
              <w:wordWrap w:val="0"/>
              <w:topLinePunct/>
              <w:jc w:val="center"/>
              <w:rPr>
                <w:rFonts w:hint="eastAsia" w:ascii="宋体" w:hAnsi="宋体"/>
                <w:sz w:val="28"/>
                <w:szCs w:val="28"/>
              </w:rPr>
            </w:pPr>
          </w:p>
        </w:tc>
        <w:tc>
          <w:tcPr>
            <w:tcW w:w="396" w:type="pct"/>
          </w:tcPr>
          <w:p w14:paraId="4120CDD8">
            <w:pPr>
              <w:wordWrap w:val="0"/>
              <w:topLinePunct/>
              <w:jc w:val="center"/>
              <w:rPr>
                <w:rFonts w:hint="eastAsia" w:ascii="宋体" w:hAnsi="宋体"/>
                <w:sz w:val="28"/>
                <w:szCs w:val="28"/>
              </w:rPr>
            </w:pPr>
          </w:p>
        </w:tc>
        <w:tc>
          <w:tcPr>
            <w:tcW w:w="330" w:type="pct"/>
          </w:tcPr>
          <w:p w14:paraId="6399AC02">
            <w:pPr>
              <w:wordWrap w:val="0"/>
              <w:topLinePunct/>
              <w:jc w:val="center"/>
              <w:rPr>
                <w:rFonts w:hint="eastAsia" w:ascii="宋体" w:hAnsi="宋体"/>
                <w:sz w:val="28"/>
                <w:szCs w:val="28"/>
              </w:rPr>
            </w:pPr>
          </w:p>
        </w:tc>
        <w:tc>
          <w:tcPr>
            <w:tcW w:w="463" w:type="pct"/>
          </w:tcPr>
          <w:p w14:paraId="535327C3">
            <w:pPr>
              <w:wordWrap w:val="0"/>
              <w:topLinePunct/>
              <w:jc w:val="center"/>
              <w:rPr>
                <w:rFonts w:hint="eastAsia" w:ascii="宋体" w:hAnsi="宋体"/>
                <w:sz w:val="28"/>
                <w:szCs w:val="28"/>
              </w:rPr>
            </w:pPr>
          </w:p>
        </w:tc>
        <w:tc>
          <w:tcPr>
            <w:tcW w:w="529" w:type="pct"/>
          </w:tcPr>
          <w:p w14:paraId="2817DF67">
            <w:pPr>
              <w:wordWrap w:val="0"/>
              <w:topLinePunct/>
              <w:jc w:val="center"/>
              <w:rPr>
                <w:rFonts w:hint="eastAsia" w:ascii="宋体" w:hAnsi="宋体"/>
                <w:sz w:val="28"/>
                <w:szCs w:val="28"/>
              </w:rPr>
            </w:pPr>
          </w:p>
        </w:tc>
        <w:tc>
          <w:tcPr>
            <w:tcW w:w="529" w:type="pct"/>
          </w:tcPr>
          <w:p w14:paraId="07946493">
            <w:pPr>
              <w:wordWrap w:val="0"/>
              <w:topLinePunct/>
              <w:jc w:val="center"/>
              <w:rPr>
                <w:rFonts w:hint="eastAsia" w:ascii="宋体" w:hAnsi="宋体"/>
                <w:sz w:val="28"/>
                <w:szCs w:val="28"/>
              </w:rPr>
            </w:pPr>
          </w:p>
        </w:tc>
        <w:tc>
          <w:tcPr>
            <w:tcW w:w="463" w:type="pct"/>
          </w:tcPr>
          <w:p w14:paraId="48105451">
            <w:pPr>
              <w:wordWrap w:val="0"/>
              <w:topLinePunct/>
              <w:jc w:val="center"/>
              <w:rPr>
                <w:rFonts w:hint="eastAsia" w:ascii="宋体" w:hAnsi="宋体"/>
                <w:sz w:val="28"/>
                <w:szCs w:val="28"/>
              </w:rPr>
            </w:pPr>
          </w:p>
        </w:tc>
        <w:tc>
          <w:tcPr>
            <w:tcW w:w="595" w:type="pct"/>
          </w:tcPr>
          <w:p w14:paraId="3424F322">
            <w:pPr>
              <w:wordWrap w:val="0"/>
              <w:topLinePunct/>
              <w:jc w:val="center"/>
              <w:rPr>
                <w:rFonts w:hint="eastAsia" w:ascii="宋体" w:hAnsi="宋体"/>
                <w:sz w:val="28"/>
                <w:szCs w:val="28"/>
              </w:rPr>
            </w:pPr>
          </w:p>
        </w:tc>
      </w:tr>
    </w:tbl>
    <w:p w14:paraId="3D26C42F">
      <w:pPr>
        <w:pStyle w:val="261"/>
        <w:tabs>
          <w:tab w:val="left" w:pos="720"/>
        </w:tabs>
        <w:outlineLvl w:val="9"/>
        <w:rPr>
          <w:rFonts w:hint="eastAsia" w:ascii="宋体" w:hAnsi="宋体"/>
          <w:bCs/>
          <w:sz w:val="28"/>
        </w:rPr>
      </w:pPr>
      <w:r>
        <w:br w:type="page"/>
      </w:r>
      <w:r>
        <w:rPr>
          <w:rFonts w:hint="eastAsia"/>
        </w:rPr>
        <w:t>附件二：甲方提供的材料和工程设备一览表</w:t>
      </w:r>
    </w:p>
    <w:p w14:paraId="4BDFC3DB"/>
    <w:tbl>
      <w:tblPr>
        <w:tblStyle w:val="4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4"/>
        <w:gridCol w:w="1240"/>
        <w:gridCol w:w="1127"/>
        <w:gridCol w:w="675"/>
        <w:gridCol w:w="563"/>
        <w:gridCol w:w="790"/>
        <w:gridCol w:w="902"/>
        <w:gridCol w:w="902"/>
        <w:gridCol w:w="790"/>
        <w:gridCol w:w="1015"/>
      </w:tblGrid>
      <w:tr w14:paraId="15F8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jc w:val="center"/>
        </w:trPr>
        <w:tc>
          <w:tcPr>
            <w:tcW w:w="302" w:type="pct"/>
            <w:vAlign w:val="center"/>
          </w:tcPr>
          <w:p w14:paraId="1311D41A">
            <w:pPr>
              <w:jc w:val="center"/>
              <w:rPr>
                <w:rFonts w:hint="eastAsia" w:ascii="宋体" w:hAnsi="宋体"/>
              </w:rPr>
            </w:pPr>
            <w:r>
              <w:rPr>
                <w:rFonts w:hint="eastAsia" w:ascii="宋体" w:hAnsi="宋体"/>
              </w:rPr>
              <w:t>序</w:t>
            </w:r>
          </w:p>
          <w:p w14:paraId="69F12AB5">
            <w:pPr>
              <w:jc w:val="center"/>
              <w:rPr>
                <w:rFonts w:hint="eastAsia" w:ascii="宋体" w:hAnsi="宋体"/>
              </w:rPr>
            </w:pPr>
            <w:r>
              <w:rPr>
                <w:rFonts w:hint="eastAsia" w:ascii="宋体" w:hAnsi="宋体"/>
              </w:rPr>
              <w:t>号</w:t>
            </w:r>
          </w:p>
        </w:tc>
        <w:tc>
          <w:tcPr>
            <w:tcW w:w="727" w:type="pct"/>
            <w:vAlign w:val="center"/>
          </w:tcPr>
          <w:p w14:paraId="19061417">
            <w:pPr>
              <w:jc w:val="center"/>
              <w:rPr>
                <w:rFonts w:hint="eastAsia" w:ascii="宋体" w:hAnsi="宋体"/>
              </w:rPr>
            </w:pPr>
            <w:r>
              <w:rPr>
                <w:rFonts w:hint="eastAsia" w:ascii="宋体" w:hAnsi="宋体"/>
              </w:rPr>
              <w:t>材料设备</w:t>
            </w:r>
          </w:p>
          <w:p w14:paraId="67D27FE7">
            <w:pPr>
              <w:jc w:val="center"/>
              <w:rPr>
                <w:rFonts w:hint="eastAsia" w:ascii="宋体" w:hAnsi="宋体"/>
              </w:rPr>
            </w:pPr>
            <w:r>
              <w:rPr>
                <w:rFonts w:hint="eastAsia" w:ascii="宋体" w:hAnsi="宋体"/>
              </w:rPr>
              <w:t>名    称</w:t>
            </w:r>
          </w:p>
        </w:tc>
        <w:tc>
          <w:tcPr>
            <w:tcW w:w="661" w:type="pct"/>
            <w:vAlign w:val="center"/>
          </w:tcPr>
          <w:p w14:paraId="3CCBD660">
            <w:pPr>
              <w:jc w:val="center"/>
              <w:rPr>
                <w:rFonts w:hint="eastAsia" w:ascii="宋体" w:hAnsi="宋体"/>
              </w:rPr>
            </w:pPr>
            <w:r>
              <w:rPr>
                <w:rFonts w:hint="eastAsia" w:ascii="宋体" w:hAnsi="宋体"/>
              </w:rPr>
              <w:t>规格</w:t>
            </w:r>
          </w:p>
          <w:p w14:paraId="717820B6">
            <w:pPr>
              <w:jc w:val="center"/>
              <w:rPr>
                <w:rFonts w:hint="eastAsia" w:ascii="宋体" w:hAnsi="宋体"/>
              </w:rPr>
            </w:pPr>
            <w:r>
              <w:rPr>
                <w:rFonts w:hint="eastAsia" w:ascii="宋体" w:hAnsi="宋体"/>
              </w:rPr>
              <w:t>型号</w:t>
            </w:r>
          </w:p>
        </w:tc>
        <w:tc>
          <w:tcPr>
            <w:tcW w:w="396" w:type="pct"/>
            <w:vAlign w:val="center"/>
          </w:tcPr>
          <w:p w14:paraId="7C746D1F">
            <w:pPr>
              <w:jc w:val="center"/>
              <w:rPr>
                <w:rFonts w:hint="eastAsia" w:ascii="宋体" w:hAnsi="宋体"/>
              </w:rPr>
            </w:pPr>
            <w:r>
              <w:rPr>
                <w:rFonts w:hint="eastAsia" w:ascii="宋体" w:hAnsi="宋体"/>
              </w:rPr>
              <w:t>单</w:t>
            </w:r>
          </w:p>
          <w:p w14:paraId="7EEB26E8">
            <w:pPr>
              <w:jc w:val="center"/>
              <w:rPr>
                <w:rFonts w:hint="eastAsia" w:ascii="宋体" w:hAnsi="宋体"/>
              </w:rPr>
            </w:pPr>
            <w:r>
              <w:rPr>
                <w:rFonts w:hint="eastAsia" w:ascii="宋体" w:hAnsi="宋体"/>
              </w:rPr>
              <w:t>位</w:t>
            </w:r>
          </w:p>
        </w:tc>
        <w:tc>
          <w:tcPr>
            <w:tcW w:w="330" w:type="pct"/>
            <w:vAlign w:val="center"/>
          </w:tcPr>
          <w:p w14:paraId="3B5B8E20">
            <w:pPr>
              <w:jc w:val="center"/>
              <w:rPr>
                <w:rFonts w:hint="eastAsia" w:ascii="宋体" w:hAnsi="宋体"/>
              </w:rPr>
            </w:pPr>
            <w:r>
              <w:rPr>
                <w:rFonts w:hint="eastAsia" w:ascii="宋体" w:hAnsi="宋体"/>
              </w:rPr>
              <w:t>数</w:t>
            </w:r>
          </w:p>
          <w:p w14:paraId="1BD25E7C">
            <w:pPr>
              <w:jc w:val="center"/>
              <w:rPr>
                <w:rFonts w:hint="eastAsia" w:ascii="宋体" w:hAnsi="宋体"/>
              </w:rPr>
            </w:pPr>
            <w:r>
              <w:rPr>
                <w:rFonts w:hint="eastAsia" w:ascii="宋体" w:hAnsi="宋体"/>
              </w:rPr>
              <w:t>量</w:t>
            </w:r>
          </w:p>
        </w:tc>
        <w:tc>
          <w:tcPr>
            <w:tcW w:w="463" w:type="pct"/>
            <w:vAlign w:val="center"/>
          </w:tcPr>
          <w:p w14:paraId="6861B033">
            <w:pPr>
              <w:jc w:val="center"/>
              <w:rPr>
                <w:rFonts w:hint="eastAsia" w:ascii="宋体" w:hAnsi="宋体"/>
              </w:rPr>
            </w:pPr>
            <w:r>
              <w:rPr>
                <w:rFonts w:hint="eastAsia" w:ascii="宋体" w:hAnsi="宋体"/>
              </w:rPr>
              <w:t>单</w:t>
            </w:r>
          </w:p>
          <w:p w14:paraId="1F02BA7D">
            <w:pPr>
              <w:jc w:val="center"/>
              <w:rPr>
                <w:rFonts w:hint="eastAsia" w:ascii="宋体" w:hAnsi="宋体"/>
              </w:rPr>
            </w:pPr>
            <w:r>
              <w:rPr>
                <w:rFonts w:hint="eastAsia" w:ascii="宋体" w:hAnsi="宋体"/>
              </w:rPr>
              <w:t>价</w:t>
            </w:r>
          </w:p>
        </w:tc>
        <w:tc>
          <w:tcPr>
            <w:tcW w:w="529" w:type="pct"/>
            <w:vAlign w:val="center"/>
          </w:tcPr>
          <w:p w14:paraId="02EA93C5">
            <w:pPr>
              <w:jc w:val="center"/>
              <w:rPr>
                <w:rFonts w:hint="eastAsia" w:ascii="宋体" w:hAnsi="宋体"/>
              </w:rPr>
            </w:pPr>
            <w:r>
              <w:rPr>
                <w:rFonts w:hint="eastAsia" w:ascii="宋体" w:hAnsi="宋体"/>
              </w:rPr>
              <w:t>交货</w:t>
            </w:r>
          </w:p>
          <w:p w14:paraId="02D0F7A2">
            <w:pPr>
              <w:jc w:val="center"/>
              <w:rPr>
                <w:rFonts w:hint="eastAsia" w:ascii="宋体" w:hAnsi="宋体"/>
              </w:rPr>
            </w:pPr>
            <w:r>
              <w:rPr>
                <w:rFonts w:hint="eastAsia" w:ascii="宋体" w:hAnsi="宋体"/>
              </w:rPr>
              <w:t>方式</w:t>
            </w:r>
          </w:p>
        </w:tc>
        <w:tc>
          <w:tcPr>
            <w:tcW w:w="529" w:type="pct"/>
            <w:vAlign w:val="center"/>
          </w:tcPr>
          <w:p w14:paraId="35915621">
            <w:pPr>
              <w:jc w:val="center"/>
              <w:rPr>
                <w:rFonts w:hint="eastAsia" w:ascii="宋体" w:hAnsi="宋体"/>
              </w:rPr>
            </w:pPr>
            <w:r>
              <w:rPr>
                <w:rFonts w:hint="eastAsia" w:ascii="宋体" w:hAnsi="宋体"/>
              </w:rPr>
              <w:t>交货</w:t>
            </w:r>
          </w:p>
          <w:p w14:paraId="0A96EC7A">
            <w:pPr>
              <w:jc w:val="center"/>
              <w:rPr>
                <w:rFonts w:hint="eastAsia" w:ascii="宋体" w:hAnsi="宋体"/>
              </w:rPr>
            </w:pPr>
            <w:r>
              <w:rPr>
                <w:rFonts w:hint="eastAsia" w:ascii="宋体" w:hAnsi="宋体"/>
              </w:rPr>
              <w:t>地点</w:t>
            </w:r>
          </w:p>
        </w:tc>
        <w:tc>
          <w:tcPr>
            <w:tcW w:w="463" w:type="pct"/>
            <w:vAlign w:val="center"/>
          </w:tcPr>
          <w:p w14:paraId="6A7AC994">
            <w:pPr>
              <w:jc w:val="center"/>
              <w:rPr>
                <w:rFonts w:hint="eastAsia" w:ascii="宋体" w:hAnsi="宋体"/>
              </w:rPr>
            </w:pPr>
            <w:r>
              <w:rPr>
                <w:rFonts w:hint="eastAsia" w:ascii="宋体" w:hAnsi="宋体"/>
              </w:rPr>
              <w:t>计划交货</w:t>
            </w:r>
          </w:p>
          <w:p w14:paraId="142CE9BB">
            <w:pPr>
              <w:jc w:val="center"/>
              <w:rPr>
                <w:rFonts w:hint="eastAsia" w:ascii="宋体" w:hAnsi="宋体"/>
              </w:rPr>
            </w:pPr>
            <w:r>
              <w:rPr>
                <w:rFonts w:hint="eastAsia" w:ascii="宋体" w:hAnsi="宋体"/>
              </w:rPr>
              <w:t>时间</w:t>
            </w:r>
          </w:p>
        </w:tc>
        <w:tc>
          <w:tcPr>
            <w:tcW w:w="595" w:type="pct"/>
            <w:vAlign w:val="center"/>
          </w:tcPr>
          <w:p w14:paraId="459DA04A">
            <w:pPr>
              <w:jc w:val="center"/>
              <w:rPr>
                <w:rFonts w:hint="eastAsia" w:ascii="宋体" w:hAnsi="宋体"/>
              </w:rPr>
            </w:pPr>
            <w:r>
              <w:rPr>
                <w:rFonts w:hint="eastAsia" w:ascii="宋体" w:hAnsi="宋体"/>
              </w:rPr>
              <w:t>备注</w:t>
            </w:r>
          </w:p>
        </w:tc>
      </w:tr>
      <w:tr w14:paraId="1EF15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Pr>
          <w:p w14:paraId="3A90A9B2">
            <w:pPr>
              <w:jc w:val="center"/>
              <w:rPr>
                <w:rFonts w:hint="eastAsia" w:ascii="宋体" w:hAnsi="宋体"/>
                <w:sz w:val="28"/>
                <w:szCs w:val="28"/>
              </w:rPr>
            </w:pPr>
          </w:p>
        </w:tc>
        <w:tc>
          <w:tcPr>
            <w:tcW w:w="727" w:type="pct"/>
          </w:tcPr>
          <w:p w14:paraId="4FEDE135">
            <w:pPr>
              <w:jc w:val="center"/>
              <w:rPr>
                <w:rFonts w:hint="eastAsia" w:ascii="宋体" w:hAnsi="宋体"/>
                <w:sz w:val="28"/>
                <w:szCs w:val="28"/>
              </w:rPr>
            </w:pPr>
          </w:p>
        </w:tc>
        <w:tc>
          <w:tcPr>
            <w:tcW w:w="661" w:type="pct"/>
          </w:tcPr>
          <w:p w14:paraId="11D6351C">
            <w:pPr>
              <w:jc w:val="center"/>
              <w:rPr>
                <w:rFonts w:hint="eastAsia" w:ascii="宋体" w:hAnsi="宋体"/>
                <w:sz w:val="28"/>
                <w:szCs w:val="28"/>
              </w:rPr>
            </w:pPr>
          </w:p>
        </w:tc>
        <w:tc>
          <w:tcPr>
            <w:tcW w:w="396" w:type="pct"/>
          </w:tcPr>
          <w:p w14:paraId="3639E812">
            <w:pPr>
              <w:jc w:val="center"/>
              <w:rPr>
                <w:rFonts w:hint="eastAsia" w:ascii="宋体" w:hAnsi="宋体"/>
                <w:sz w:val="28"/>
                <w:szCs w:val="28"/>
              </w:rPr>
            </w:pPr>
          </w:p>
        </w:tc>
        <w:tc>
          <w:tcPr>
            <w:tcW w:w="330" w:type="pct"/>
          </w:tcPr>
          <w:p w14:paraId="57EBFB03">
            <w:pPr>
              <w:jc w:val="center"/>
              <w:rPr>
                <w:rFonts w:hint="eastAsia" w:ascii="宋体" w:hAnsi="宋体"/>
                <w:sz w:val="28"/>
                <w:szCs w:val="28"/>
              </w:rPr>
            </w:pPr>
          </w:p>
        </w:tc>
        <w:tc>
          <w:tcPr>
            <w:tcW w:w="463" w:type="pct"/>
          </w:tcPr>
          <w:p w14:paraId="6459B93F">
            <w:pPr>
              <w:jc w:val="center"/>
              <w:rPr>
                <w:rFonts w:hint="eastAsia" w:ascii="宋体" w:hAnsi="宋体"/>
                <w:sz w:val="28"/>
                <w:szCs w:val="28"/>
              </w:rPr>
            </w:pPr>
          </w:p>
        </w:tc>
        <w:tc>
          <w:tcPr>
            <w:tcW w:w="529" w:type="pct"/>
          </w:tcPr>
          <w:p w14:paraId="01A33874">
            <w:pPr>
              <w:jc w:val="center"/>
              <w:rPr>
                <w:rFonts w:hint="eastAsia" w:ascii="宋体" w:hAnsi="宋体"/>
                <w:sz w:val="28"/>
                <w:szCs w:val="28"/>
              </w:rPr>
            </w:pPr>
          </w:p>
        </w:tc>
        <w:tc>
          <w:tcPr>
            <w:tcW w:w="529" w:type="pct"/>
          </w:tcPr>
          <w:p w14:paraId="7A235792">
            <w:pPr>
              <w:jc w:val="center"/>
              <w:rPr>
                <w:rFonts w:hint="eastAsia" w:ascii="宋体" w:hAnsi="宋体"/>
                <w:sz w:val="28"/>
                <w:szCs w:val="28"/>
              </w:rPr>
            </w:pPr>
          </w:p>
        </w:tc>
        <w:tc>
          <w:tcPr>
            <w:tcW w:w="463" w:type="pct"/>
          </w:tcPr>
          <w:p w14:paraId="4C489E95">
            <w:pPr>
              <w:jc w:val="center"/>
              <w:rPr>
                <w:rFonts w:hint="eastAsia" w:ascii="宋体" w:hAnsi="宋体"/>
                <w:sz w:val="28"/>
                <w:szCs w:val="28"/>
              </w:rPr>
            </w:pPr>
          </w:p>
        </w:tc>
        <w:tc>
          <w:tcPr>
            <w:tcW w:w="595" w:type="pct"/>
          </w:tcPr>
          <w:p w14:paraId="37E090E6">
            <w:pPr>
              <w:jc w:val="center"/>
              <w:rPr>
                <w:rFonts w:hint="eastAsia" w:ascii="宋体" w:hAnsi="宋体"/>
                <w:sz w:val="28"/>
                <w:szCs w:val="28"/>
              </w:rPr>
            </w:pPr>
          </w:p>
        </w:tc>
      </w:tr>
      <w:tr w14:paraId="4C0C6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Pr>
          <w:p w14:paraId="6CBB65F4">
            <w:pPr>
              <w:jc w:val="center"/>
              <w:rPr>
                <w:rFonts w:hint="eastAsia" w:ascii="宋体" w:hAnsi="宋体"/>
                <w:sz w:val="28"/>
                <w:szCs w:val="28"/>
              </w:rPr>
            </w:pPr>
          </w:p>
        </w:tc>
        <w:tc>
          <w:tcPr>
            <w:tcW w:w="727" w:type="pct"/>
          </w:tcPr>
          <w:p w14:paraId="3E4B0223">
            <w:pPr>
              <w:jc w:val="center"/>
              <w:rPr>
                <w:rFonts w:hint="eastAsia" w:ascii="宋体" w:hAnsi="宋体"/>
                <w:sz w:val="28"/>
                <w:szCs w:val="28"/>
              </w:rPr>
            </w:pPr>
          </w:p>
        </w:tc>
        <w:tc>
          <w:tcPr>
            <w:tcW w:w="661" w:type="pct"/>
          </w:tcPr>
          <w:p w14:paraId="4B258985">
            <w:pPr>
              <w:jc w:val="center"/>
              <w:rPr>
                <w:rFonts w:hint="eastAsia" w:ascii="宋体" w:hAnsi="宋体"/>
                <w:sz w:val="28"/>
                <w:szCs w:val="28"/>
              </w:rPr>
            </w:pPr>
          </w:p>
        </w:tc>
        <w:tc>
          <w:tcPr>
            <w:tcW w:w="396" w:type="pct"/>
          </w:tcPr>
          <w:p w14:paraId="6AF0C5D8">
            <w:pPr>
              <w:jc w:val="center"/>
              <w:rPr>
                <w:rFonts w:hint="eastAsia" w:ascii="宋体" w:hAnsi="宋体"/>
                <w:sz w:val="28"/>
                <w:szCs w:val="28"/>
              </w:rPr>
            </w:pPr>
          </w:p>
        </w:tc>
        <w:tc>
          <w:tcPr>
            <w:tcW w:w="330" w:type="pct"/>
          </w:tcPr>
          <w:p w14:paraId="0B201BFA">
            <w:pPr>
              <w:jc w:val="center"/>
              <w:rPr>
                <w:rFonts w:hint="eastAsia" w:ascii="宋体" w:hAnsi="宋体"/>
                <w:sz w:val="28"/>
                <w:szCs w:val="28"/>
              </w:rPr>
            </w:pPr>
          </w:p>
        </w:tc>
        <w:tc>
          <w:tcPr>
            <w:tcW w:w="463" w:type="pct"/>
          </w:tcPr>
          <w:p w14:paraId="29D078E3">
            <w:pPr>
              <w:jc w:val="center"/>
              <w:rPr>
                <w:rFonts w:hint="eastAsia" w:ascii="宋体" w:hAnsi="宋体"/>
                <w:sz w:val="28"/>
                <w:szCs w:val="28"/>
              </w:rPr>
            </w:pPr>
          </w:p>
        </w:tc>
        <w:tc>
          <w:tcPr>
            <w:tcW w:w="529" w:type="pct"/>
          </w:tcPr>
          <w:p w14:paraId="12706DAB">
            <w:pPr>
              <w:jc w:val="center"/>
              <w:rPr>
                <w:rFonts w:hint="eastAsia" w:ascii="宋体" w:hAnsi="宋体"/>
                <w:sz w:val="28"/>
                <w:szCs w:val="28"/>
              </w:rPr>
            </w:pPr>
          </w:p>
        </w:tc>
        <w:tc>
          <w:tcPr>
            <w:tcW w:w="529" w:type="pct"/>
          </w:tcPr>
          <w:p w14:paraId="325DD46C">
            <w:pPr>
              <w:jc w:val="center"/>
              <w:rPr>
                <w:rFonts w:hint="eastAsia" w:ascii="宋体" w:hAnsi="宋体"/>
                <w:sz w:val="28"/>
                <w:szCs w:val="28"/>
              </w:rPr>
            </w:pPr>
          </w:p>
        </w:tc>
        <w:tc>
          <w:tcPr>
            <w:tcW w:w="463" w:type="pct"/>
          </w:tcPr>
          <w:p w14:paraId="737B4AA3">
            <w:pPr>
              <w:jc w:val="center"/>
              <w:rPr>
                <w:rFonts w:hint="eastAsia" w:ascii="宋体" w:hAnsi="宋体"/>
                <w:sz w:val="28"/>
                <w:szCs w:val="28"/>
              </w:rPr>
            </w:pPr>
          </w:p>
        </w:tc>
        <w:tc>
          <w:tcPr>
            <w:tcW w:w="595" w:type="pct"/>
          </w:tcPr>
          <w:p w14:paraId="2E0323DF">
            <w:pPr>
              <w:jc w:val="center"/>
              <w:rPr>
                <w:rFonts w:hint="eastAsia" w:ascii="宋体" w:hAnsi="宋体"/>
                <w:sz w:val="28"/>
                <w:szCs w:val="28"/>
              </w:rPr>
            </w:pPr>
          </w:p>
        </w:tc>
      </w:tr>
      <w:tr w14:paraId="7AB24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Pr>
          <w:p w14:paraId="7F39C8D5">
            <w:pPr>
              <w:jc w:val="center"/>
              <w:rPr>
                <w:rFonts w:hint="eastAsia" w:ascii="宋体" w:hAnsi="宋体"/>
                <w:sz w:val="28"/>
                <w:szCs w:val="28"/>
              </w:rPr>
            </w:pPr>
          </w:p>
        </w:tc>
        <w:tc>
          <w:tcPr>
            <w:tcW w:w="727" w:type="pct"/>
          </w:tcPr>
          <w:p w14:paraId="4389DCBC">
            <w:pPr>
              <w:jc w:val="center"/>
              <w:rPr>
                <w:rFonts w:hint="eastAsia" w:ascii="宋体" w:hAnsi="宋体"/>
                <w:sz w:val="28"/>
                <w:szCs w:val="28"/>
              </w:rPr>
            </w:pPr>
          </w:p>
        </w:tc>
        <w:tc>
          <w:tcPr>
            <w:tcW w:w="661" w:type="pct"/>
          </w:tcPr>
          <w:p w14:paraId="3251C9AD">
            <w:pPr>
              <w:jc w:val="center"/>
              <w:rPr>
                <w:rFonts w:hint="eastAsia" w:ascii="宋体" w:hAnsi="宋体"/>
                <w:sz w:val="28"/>
                <w:szCs w:val="28"/>
              </w:rPr>
            </w:pPr>
          </w:p>
        </w:tc>
        <w:tc>
          <w:tcPr>
            <w:tcW w:w="396" w:type="pct"/>
          </w:tcPr>
          <w:p w14:paraId="777450EA">
            <w:pPr>
              <w:jc w:val="center"/>
              <w:rPr>
                <w:rFonts w:hint="eastAsia" w:ascii="宋体" w:hAnsi="宋体"/>
                <w:sz w:val="28"/>
                <w:szCs w:val="28"/>
              </w:rPr>
            </w:pPr>
          </w:p>
        </w:tc>
        <w:tc>
          <w:tcPr>
            <w:tcW w:w="330" w:type="pct"/>
          </w:tcPr>
          <w:p w14:paraId="0B0A607E">
            <w:pPr>
              <w:jc w:val="center"/>
              <w:rPr>
                <w:rFonts w:hint="eastAsia" w:ascii="宋体" w:hAnsi="宋体"/>
                <w:sz w:val="28"/>
                <w:szCs w:val="28"/>
              </w:rPr>
            </w:pPr>
          </w:p>
        </w:tc>
        <w:tc>
          <w:tcPr>
            <w:tcW w:w="463" w:type="pct"/>
          </w:tcPr>
          <w:p w14:paraId="7A55B4D5">
            <w:pPr>
              <w:jc w:val="center"/>
              <w:rPr>
                <w:rFonts w:hint="eastAsia" w:ascii="宋体" w:hAnsi="宋体"/>
                <w:sz w:val="28"/>
                <w:szCs w:val="28"/>
              </w:rPr>
            </w:pPr>
          </w:p>
        </w:tc>
        <w:tc>
          <w:tcPr>
            <w:tcW w:w="529" w:type="pct"/>
          </w:tcPr>
          <w:p w14:paraId="3FF70756">
            <w:pPr>
              <w:jc w:val="center"/>
              <w:rPr>
                <w:rFonts w:hint="eastAsia" w:ascii="宋体" w:hAnsi="宋体"/>
                <w:sz w:val="28"/>
                <w:szCs w:val="28"/>
              </w:rPr>
            </w:pPr>
          </w:p>
        </w:tc>
        <w:tc>
          <w:tcPr>
            <w:tcW w:w="529" w:type="pct"/>
          </w:tcPr>
          <w:p w14:paraId="0802428A">
            <w:pPr>
              <w:jc w:val="center"/>
              <w:rPr>
                <w:rFonts w:hint="eastAsia" w:ascii="宋体" w:hAnsi="宋体"/>
                <w:sz w:val="28"/>
                <w:szCs w:val="28"/>
              </w:rPr>
            </w:pPr>
          </w:p>
        </w:tc>
        <w:tc>
          <w:tcPr>
            <w:tcW w:w="463" w:type="pct"/>
          </w:tcPr>
          <w:p w14:paraId="341C1867">
            <w:pPr>
              <w:jc w:val="center"/>
              <w:rPr>
                <w:rFonts w:hint="eastAsia" w:ascii="宋体" w:hAnsi="宋体"/>
                <w:sz w:val="28"/>
                <w:szCs w:val="28"/>
              </w:rPr>
            </w:pPr>
          </w:p>
        </w:tc>
        <w:tc>
          <w:tcPr>
            <w:tcW w:w="595" w:type="pct"/>
          </w:tcPr>
          <w:p w14:paraId="34AFA7E1">
            <w:pPr>
              <w:jc w:val="center"/>
              <w:rPr>
                <w:rFonts w:hint="eastAsia" w:ascii="宋体" w:hAnsi="宋体"/>
                <w:sz w:val="28"/>
                <w:szCs w:val="28"/>
              </w:rPr>
            </w:pPr>
          </w:p>
        </w:tc>
      </w:tr>
      <w:tr w14:paraId="24E5E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Pr>
          <w:p w14:paraId="6F55ABAA">
            <w:pPr>
              <w:jc w:val="center"/>
              <w:rPr>
                <w:rFonts w:hint="eastAsia" w:ascii="宋体" w:hAnsi="宋体"/>
                <w:sz w:val="28"/>
                <w:szCs w:val="28"/>
              </w:rPr>
            </w:pPr>
          </w:p>
        </w:tc>
        <w:tc>
          <w:tcPr>
            <w:tcW w:w="727" w:type="pct"/>
          </w:tcPr>
          <w:p w14:paraId="0BFA7A3C">
            <w:pPr>
              <w:jc w:val="center"/>
              <w:rPr>
                <w:rFonts w:hint="eastAsia" w:ascii="宋体" w:hAnsi="宋体"/>
                <w:sz w:val="28"/>
                <w:szCs w:val="28"/>
              </w:rPr>
            </w:pPr>
          </w:p>
        </w:tc>
        <w:tc>
          <w:tcPr>
            <w:tcW w:w="661" w:type="pct"/>
          </w:tcPr>
          <w:p w14:paraId="424FA023">
            <w:pPr>
              <w:jc w:val="center"/>
              <w:rPr>
                <w:rFonts w:hint="eastAsia" w:ascii="宋体" w:hAnsi="宋体"/>
                <w:sz w:val="28"/>
                <w:szCs w:val="28"/>
              </w:rPr>
            </w:pPr>
          </w:p>
        </w:tc>
        <w:tc>
          <w:tcPr>
            <w:tcW w:w="396" w:type="pct"/>
          </w:tcPr>
          <w:p w14:paraId="633C6663">
            <w:pPr>
              <w:jc w:val="center"/>
              <w:rPr>
                <w:rFonts w:hint="eastAsia" w:ascii="宋体" w:hAnsi="宋体"/>
                <w:sz w:val="28"/>
                <w:szCs w:val="28"/>
              </w:rPr>
            </w:pPr>
          </w:p>
        </w:tc>
        <w:tc>
          <w:tcPr>
            <w:tcW w:w="330" w:type="pct"/>
          </w:tcPr>
          <w:p w14:paraId="27359A4D">
            <w:pPr>
              <w:jc w:val="center"/>
              <w:rPr>
                <w:rFonts w:hint="eastAsia" w:ascii="宋体" w:hAnsi="宋体"/>
                <w:sz w:val="28"/>
                <w:szCs w:val="28"/>
              </w:rPr>
            </w:pPr>
          </w:p>
        </w:tc>
        <w:tc>
          <w:tcPr>
            <w:tcW w:w="463" w:type="pct"/>
          </w:tcPr>
          <w:p w14:paraId="0B70F13F">
            <w:pPr>
              <w:jc w:val="center"/>
              <w:rPr>
                <w:rFonts w:hint="eastAsia" w:ascii="宋体" w:hAnsi="宋体"/>
                <w:sz w:val="28"/>
                <w:szCs w:val="28"/>
              </w:rPr>
            </w:pPr>
          </w:p>
        </w:tc>
        <w:tc>
          <w:tcPr>
            <w:tcW w:w="529" w:type="pct"/>
          </w:tcPr>
          <w:p w14:paraId="00D70E45">
            <w:pPr>
              <w:jc w:val="center"/>
              <w:rPr>
                <w:rFonts w:hint="eastAsia" w:ascii="宋体" w:hAnsi="宋体"/>
                <w:sz w:val="28"/>
                <w:szCs w:val="28"/>
              </w:rPr>
            </w:pPr>
          </w:p>
        </w:tc>
        <w:tc>
          <w:tcPr>
            <w:tcW w:w="529" w:type="pct"/>
          </w:tcPr>
          <w:p w14:paraId="142D0288">
            <w:pPr>
              <w:jc w:val="center"/>
              <w:rPr>
                <w:rFonts w:hint="eastAsia" w:ascii="宋体" w:hAnsi="宋体"/>
                <w:sz w:val="28"/>
                <w:szCs w:val="28"/>
              </w:rPr>
            </w:pPr>
          </w:p>
        </w:tc>
        <w:tc>
          <w:tcPr>
            <w:tcW w:w="463" w:type="pct"/>
          </w:tcPr>
          <w:p w14:paraId="5053DF58">
            <w:pPr>
              <w:jc w:val="center"/>
              <w:rPr>
                <w:rFonts w:hint="eastAsia" w:ascii="宋体" w:hAnsi="宋体"/>
                <w:sz w:val="28"/>
                <w:szCs w:val="28"/>
              </w:rPr>
            </w:pPr>
          </w:p>
        </w:tc>
        <w:tc>
          <w:tcPr>
            <w:tcW w:w="595" w:type="pct"/>
          </w:tcPr>
          <w:p w14:paraId="131200EE">
            <w:pPr>
              <w:jc w:val="center"/>
              <w:rPr>
                <w:rFonts w:hint="eastAsia" w:ascii="宋体" w:hAnsi="宋体"/>
                <w:sz w:val="28"/>
                <w:szCs w:val="28"/>
              </w:rPr>
            </w:pPr>
          </w:p>
        </w:tc>
      </w:tr>
      <w:tr w14:paraId="635C4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Pr>
          <w:p w14:paraId="7237D13D">
            <w:pPr>
              <w:jc w:val="center"/>
              <w:rPr>
                <w:rFonts w:hint="eastAsia" w:ascii="宋体" w:hAnsi="宋体"/>
                <w:sz w:val="28"/>
                <w:szCs w:val="28"/>
              </w:rPr>
            </w:pPr>
          </w:p>
        </w:tc>
        <w:tc>
          <w:tcPr>
            <w:tcW w:w="727" w:type="pct"/>
          </w:tcPr>
          <w:p w14:paraId="238A752C">
            <w:pPr>
              <w:jc w:val="center"/>
              <w:rPr>
                <w:rFonts w:hint="eastAsia" w:ascii="宋体" w:hAnsi="宋体"/>
                <w:sz w:val="28"/>
                <w:szCs w:val="28"/>
              </w:rPr>
            </w:pPr>
          </w:p>
        </w:tc>
        <w:tc>
          <w:tcPr>
            <w:tcW w:w="661" w:type="pct"/>
          </w:tcPr>
          <w:p w14:paraId="31B7DCE8">
            <w:pPr>
              <w:jc w:val="center"/>
              <w:rPr>
                <w:rFonts w:hint="eastAsia" w:ascii="宋体" w:hAnsi="宋体"/>
                <w:sz w:val="28"/>
                <w:szCs w:val="28"/>
              </w:rPr>
            </w:pPr>
          </w:p>
        </w:tc>
        <w:tc>
          <w:tcPr>
            <w:tcW w:w="396" w:type="pct"/>
          </w:tcPr>
          <w:p w14:paraId="4564F61B">
            <w:pPr>
              <w:jc w:val="center"/>
              <w:rPr>
                <w:rFonts w:hint="eastAsia" w:ascii="宋体" w:hAnsi="宋体"/>
                <w:sz w:val="28"/>
                <w:szCs w:val="28"/>
              </w:rPr>
            </w:pPr>
          </w:p>
        </w:tc>
        <w:tc>
          <w:tcPr>
            <w:tcW w:w="330" w:type="pct"/>
          </w:tcPr>
          <w:p w14:paraId="204BEBA0">
            <w:pPr>
              <w:jc w:val="center"/>
              <w:rPr>
                <w:rFonts w:hint="eastAsia" w:ascii="宋体" w:hAnsi="宋体"/>
                <w:sz w:val="28"/>
                <w:szCs w:val="28"/>
              </w:rPr>
            </w:pPr>
          </w:p>
        </w:tc>
        <w:tc>
          <w:tcPr>
            <w:tcW w:w="463" w:type="pct"/>
          </w:tcPr>
          <w:p w14:paraId="302EDAC3">
            <w:pPr>
              <w:jc w:val="center"/>
              <w:rPr>
                <w:rFonts w:hint="eastAsia" w:ascii="宋体" w:hAnsi="宋体"/>
                <w:sz w:val="28"/>
                <w:szCs w:val="28"/>
              </w:rPr>
            </w:pPr>
          </w:p>
        </w:tc>
        <w:tc>
          <w:tcPr>
            <w:tcW w:w="529" w:type="pct"/>
          </w:tcPr>
          <w:p w14:paraId="740E4352">
            <w:pPr>
              <w:jc w:val="center"/>
              <w:rPr>
                <w:rFonts w:hint="eastAsia" w:ascii="宋体" w:hAnsi="宋体"/>
                <w:sz w:val="28"/>
                <w:szCs w:val="28"/>
              </w:rPr>
            </w:pPr>
          </w:p>
        </w:tc>
        <w:tc>
          <w:tcPr>
            <w:tcW w:w="529" w:type="pct"/>
          </w:tcPr>
          <w:p w14:paraId="677C12B3">
            <w:pPr>
              <w:jc w:val="center"/>
              <w:rPr>
                <w:rFonts w:hint="eastAsia" w:ascii="宋体" w:hAnsi="宋体"/>
                <w:sz w:val="28"/>
                <w:szCs w:val="28"/>
              </w:rPr>
            </w:pPr>
          </w:p>
        </w:tc>
        <w:tc>
          <w:tcPr>
            <w:tcW w:w="463" w:type="pct"/>
          </w:tcPr>
          <w:p w14:paraId="79143D36">
            <w:pPr>
              <w:jc w:val="center"/>
              <w:rPr>
                <w:rFonts w:hint="eastAsia" w:ascii="宋体" w:hAnsi="宋体"/>
                <w:sz w:val="28"/>
                <w:szCs w:val="28"/>
              </w:rPr>
            </w:pPr>
          </w:p>
        </w:tc>
        <w:tc>
          <w:tcPr>
            <w:tcW w:w="595" w:type="pct"/>
          </w:tcPr>
          <w:p w14:paraId="4AA18D41">
            <w:pPr>
              <w:jc w:val="center"/>
              <w:rPr>
                <w:rFonts w:hint="eastAsia" w:ascii="宋体" w:hAnsi="宋体"/>
                <w:sz w:val="28"/>
                <w:szCs w:val="28"/>
              </w:rPr>
            </w:pPr>
          </w:p>
        </w:tc>
      </w:tr>
      <w:tr w14:paraId="2B06C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Pr>
          <w:p w14:paraId="5AB7E49C">
            <w:pPr>
              <w:jc w:val="center"/>
              <w:rPr>
                <w:rFonts w:hint="eastAsia" w:ascii="宋体" w:hAnsi="宋体"/>
                <w:sz w:val="28"/>
                <w:szCs w:val="28"/>
              </w:rPr>
            </w:pPr>
          </w:p>
        </w:tc>
        <w:tc>
          <w:tcPr>
            <w:tcW w:w="727" w:type="pct"/>
          </w:tcPr>
          <w:p w14:paraId="3FC7DA14">
            <w:pPr>
              <w:jc w:val="center"/>
              <w:rPr>
                <w:rFonts w:hint="eastAsia" w:ascii="宋体" w:hAnsi="宋体"/>
                <w:sz w:val="28"/>
                <w:szCs w:val="28"/>
              </w:rPr>
            </w:pPr>
          </w:p>
        </w:tc>
        <w:tc>
          <w:tcPr>
            <w:tcW w:w="661" w:type="pct"/>
          </w:tcPr>
          <w:p w14:paraId="33195D94">
            <w:pPr>
              <w:jc w:val="center"/>
              <w:rPr>
                <w:rFonts w:hint="eastAsia" w:ascii="宋体" w:hAnsi="宋体"/>
                <w:sz w:val="28"/>
                <w:szCs w:val="28"/>
              </w:rPr>
            </w:pPr>
          </w:p>
        </w:tc>
        <w:tc>
          <w:tcPr>
            <w:tcW w:w="396" w:type="pct"/>
          </w:tcPr>
          <w:p w14:paraId="7062A704">
            <w:pPr>
              <w:jc w:val="center"/>
              <w:rPr>
                <w:rFonts w:hint="eastAsia" w:ascii="宋体" w:hAnsi="宋体"/>
                <w:sz w:val="28"/>
                <w:szCs w:val="28"/>
              </w:rPr>
            </w:pPr>
          </w:p>
        </w:tc>
        <w:tc>
          <w:tcPr>
            <w:tcW w:w="330" w:type="pct"/>
          </w:tcPr>
          <w:p w14:paraId="2068B774">
            <w:pPr>
              <w:jc w:val="center"/>
              <w:rPr>
                <w:rFonts w:hint="eastAsia" w:ascii="宋体" w:hAnsi="宋体"/>
                <w:sz w:val="28"/>
                <w:szCs w:val="28"/>
              </w:rPr>
            </w:pPr>
          </w:p>
        </w:tc>
        <w:tc>
          <w:tcPr>
            <w:tcW w:w="463" w:type="pct"/>
          </w:tcPr>
          <w:p w14:paraId="27F1563F">
            <w:pPr>
              <w:jc w:val="center"/>
              <w:rPr>
                <w:rFonts w:hint="eastAsia" w:ascii="宋体" w:hAnsi="宋体"/>
                <w:sz w:val="28"/>
                <w:szCs w:val="28"/>
              </w:rPr>
            </w:pPr>
          </w:p>
        </w:tc>
        <w:tc>
          <w:tcPr>
            <w:tcW w:w="529" w:type="pct"/>
          </w:tcPr>
          <w:p w14:paraId="634322C0">
            <w:pPr>
              <w:jc w:val="center"/>
              <w:rPr>
                <w:rFonts w:hint="eastAsia" w:ascii="宋体" w:hAnsi="宋体"/>
                <w:sz w:val="28"/>
                <w:szCs w:val="28"/>
              </w:rPr>
            </w:pPr>
          </w:p>
        </w:tc>
        <w:tc>
          <w:tcPr>
            <w:tcW w:w="529" w:type="pct"/>
          </w:tcPr>
          <w:p w14:paraId="01091A14">
            <w:pPr>
              <w:jc w:val="center"/>
              <w:rPr>
                <w:rFonts w:hint="eastAsia" w:ascii="宋体" w:hAnsi="宋体"/>
                <w:sz w:val="28"/>
                <w:szCs w:val="28"/>
              </w:rPr>
            </w:pPr>
          </w:p>
        </w:tc>
        <w:tc>
          <w:tcPr>
            <w:tcW w:w="463" w:type="pct"/>
          </w:tcPr>
          <w:p w14:paraId="19B99366">
            <w:pPr>
              <w:jc w:val="center"/>
              <w:rPr>
                <w:rFonts w:hint="eastAsia" w:ascii="宋体" w:hAnsi="宋体"/>
                <w:sz w:val="28"/>
                <w:szCs w:val="28"/>
              </w:rPr>
            </w:pPr>
          </w:p>
        </w:tc>
        <w:tc>
          <w:tcPr>
            <w:tcW w:w="595" w:type="pct"/>
          </w:tcPr>
          <w:p w14:paraId="674B28D3">
            <w:pPr>
              <w:jc w:val="center"/>
              <w:rPr>
                <w:rFonts w:hint="eastAsia" w:ascii="宋体" w:hAnsi="宋体"/>
                <w:sz w:val="28"/>
                <w:szCs w:val="28"/>
              </w:rPr>
            </w:pPr>
          </w:p>
        </w:tc>
      </w:tr>
      <w:tr w14:paraId="37AD4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Pr>
          <w:p w14:paraId="752C7B0D">
            <w:pPr>
              <w:jc w:val="center"/>
              <w:rPr>
                <w:rFonts w:hint="eastAsia" w:ascii="宋体" w:hAnsi="宋体"/>
                <w:sz w:val="28"/>
                <w:szCs w:val="28"/>
              </w:rPr>
            </w:pPr>
          </w:p>
        </w:tc>
        <w:tc>
          <w:tcPr>
            <w:tcW w:w="727" w:type="pct"/>
          </w:tcPr>
          <w:p w14:paraId="7427683E">
            <w:pPr>
              <w:jc w:val="center"/>
              <w:rPr>
                <w:rFonts w:hint="eastAsia" w:ascii="宋体" w:hAnsi="宋体"/>
                <w:sz w:val="28"/>
                <w:szCs w:val="28"/>
              </w:rPr>
            </w:pPr>
          </w:p>
        </w:tc>
        <w:tc>
          <w:tcPr>
            <w:tcW w:w="661" w:type="pct"/>
          </w:tcPr>
          <w:p w14:paraId="1466C20D">
            <w:pPr>
              <w:jc w:val="center"/>
              <w:rPr>
                <w:rFonts w:hint="eastAsia" w:ascii="宋体" w:hAnsi="宋体"/>
                <w:sz w:val="28"/>
                <w:szCs w:val="28"/>
              </w:rPr>
            </w:pPr>
          </w:p>
        </w:tc>
        <w:tc>
          <w:tcPr>
            <w:tcW w:w="396" w:type="pct"/>
          </w:tcPr>
          <w:p w14:paraId="778A47CF">
            <w:pPr>
              <w:jc w:val="center"/>
              <w:rPr>
                <w:rFonts w:hint="eastAsia" w:ascii="宋体" w:hAnsi="宋体"/>
                <w:sz w:val="28"/>
                <w:szCs w:val="28"/>
              </w:rPr>
            </w:pPr>
          </w:p>
        </w:tc>
        <w:tc>
          <w:tcPr>
            <w:tcW w:w="330" w:type="pct"/>
          </w:tcPr>
          <w:p w14:paraId="1CB52F23">
            <w:pPr>
              <w:jc w:val="center"/>
              <w:rPr>
                <w:rFonts w:hint="eastAsia" w:ascii="宋体" w:hAnsi="宋体"/>
                <w:sz w:val="28"/>
                <w:szCs w:val="28"/>
              </w:rPr>
            </w:pPr>
          </w:p>
        </w:tc>
        <w:tc>
          <w:tcPr>
            <w:tcW w:w="463" w:type="pct"/>
          </w:tcPr>
          <w:p w14:paraId="5E30C607">
            <w:pPr>
              <w:jc w:val="center"/>
              <w:rPr>
                <w:rFonts w:hint="eastAsia" w:ascii="宋体" w:hAnsi="宋体"/>
                <w:sz w:val="28"/>
                <w:szCs w:val="28"/>
              </w:rPr>
            </w:pPr>
          </w:p>
        </w:tc>
        <w:tc>
          <w:tcPr>
            <w:tcW w:w="529" w:type="pct"/>
          </w:tcPr>
          <w:p w14:paraId="0A17208B">
            <w:pPr>
              <w:jc w:val="center"/>
              <w:rPr>
                <w:rFonts w:hint="eastAsia" w:ascii="宋体" w:hAnsi="宋体"/>
                <w:sz w:val="28"/>
                <w:szCs w:val="28"/>
              </w:rPr>
            </w:pPr>
          </w:p>
        </w:tc>
        <w:tc>
          <w:tcPr>
            <w:tcW w:w="529" w:type="pct"/>
          </w:tcPr>
          <w:p w14:paraId="18C8B8CA">
            <w:pPr>
              <w:jc w:val="center"/>
              <w:rPr>
                <w:rFonts w:hint="eastAsia" w:ascii="宋体" w:hAnsi="宋体"/>
                <w:sz w:val="28"/>
                <w:szCs w:val="28"/>
              </w:rPr>
            </w:pPr>
          </w:p>
        </w:tc>
        <w:tc>
          <w:tcPr>
            <w:tcW w:w="463" w:type="pct"/>
          </w:tcPr>
          <w:p w14:paraId="3AA90F0B">
            <w:pPr>
              <w:jc w:val="center"/>
              <w:rPr>
                <w:rFonts w:hint="eastAsia" w:ascii="宋体" w:hAnsi="宋体"/>
                <w:sz w:val="28"/>
                <w:szCs w:val="28"/>
              </w:rPr>
            </w:pPr>
          </w:p>
        </w:tc>
        <w:tc>
          <w:tcPr>
            <w:tcW w:w="595" w:type="pct"/>
          </w:tcPr>
          <w:p w14:paraId="16A284CE">
            <w:pPr>
              <w:jc w:val="center"/>
              <w:rPr>
                <w:rFonts w:hint="eastAsia" w:ascii="宋体" w:hAnsi="宋体"/>
                <w:sz w:val="28"/>
                <w:szCs w:val="28"/>
              </w:rPr>
            </w:pPr>
          </w:p>
        </w:tc>
      </w:tr>
      <w:tr w14:paraId="35401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Pr>
          <w:p w14:paraId="4182D72F">
            <w:pPr>
              <w:jc w:val="center"/>
              <w:rPr>
                <w:rFonts w:hint="eastAsia" w:ascii="宋体" w:hAnsi="宋体"/>
                <w:sz w:val="28"/>
                <w:szCs w:val="28"/>
              </w:rPr>
            </w:pPr>
          </w:p>
        </w:tc>
        <w:tc>
          <w:tcPr>
            <w:tcW w:w="727" w:type="pct"/>
          </w:tcPr>
          <w:p w14:paraId="3F1FE63C">
            <w:pPr>
              <w:jc w:val="center"/>
              <w:rPr>
                <w:rFonts w:hint="eastAsia" w:ascii="宋体" w:hAnsi="宋体"/>
                <w:sz w:val="28"/>
                <w:szCs w:val="28"/>
              </w:rPr>
            </w:pPr>
          </w:p>
        </w:tc>
        <w:tc>
          <w:tcPr>
            <w:tcW w:w="661" w:type="pct"/>
          </w:tcPr>
          <w:p w14:paraId="30146F06">
            <w:pPr>
              <w:jc w:val="center"/>
              <w:rPr>
                <w:rFonts w:hint="eastAsia" w:ascii="宋体" w:hAnsi="宋体"/>
                <w:sz w:val="28"/>
                <w:szCs w:val="28"/>
              </w:rPr>
            </w:pPr>
          </w:p>
        </w:tc>
        <w:tc>
          <w:tcPr>
            <w:tcW w:w="396" w:type="pct"/>
          </w:tcPr>
          <w:p w14:paraId="1FCBE009">
            <w:pPr>
              <w:jc w:val="center"/>
              <w:rPr>
                <w:rFonts w:hint="eastAsia" w:ascii="宋体" w:hAnsi="宋体"/>
                <w:sz w:val="28"/>
                <w:szCs w:val="28"/>
              </w:rPr>
            </w:pPr>
          </w:p>
        </w:tc>
        <w:tc>
          <w:tcPr>
            <w:tcW w:w="330" w:type="pct"/>
          </w:tcPr>
          <w:p w14:paraId="096957F0">
            <w:pPr>
              <w:jc w:val="center"/>
              <w:rPr>
                <w:rFonts w:hint="eastAsia" w:ascii="宋体" w:hAnsi="宋体"/>
                <w:sz w:val="28"/>
                <w:szCs w:val="28"/>
              </w:rPr>
            </w:pPr>
          </w:p>
        </w:tc>
        <w:tc>
          <w:tcPr>
            <w:tcW w:w="463" w:type="pct"/>
          </w:tcPr>
          <w:p w14:paraId="5A0BFCF0">
            <w:pPr>
              <w:jc w:val="center"/>
              <w:rPr>
                <w:rFonts w:hint="eastAsia" w:ascii="宋体" w:hAnsi="宋体"/>
                <w:sz w:val="28"/>
                <w:szCs w:val="28"/>
              </w:rPr>
            </w:pPr>
          </w:p>
        </w:tc>
        <w:tc>
          <w:tcPr>
            <w:tcW w:w="529" w:type="pct"/>
          </w:tcPr>
          <w:p w14:paraId="6C8D9D0E">
            <w:pPr>
              <w:jc w:val="center"/>
              <w:rPr>
                <w:rFonts w:hint="eastAsia" w:ascii="宋体" w:hAnsi="宋体"/>
                <w:sz w:val="28"/>
                <w:szCs w:val="28"/>
              </w:rPr>
            </w:pPr>
          </w:p>
        </w:tc>
        <w:tc>
          <w:tcPr>
            <w:tcW w:w="529" w:type="pct"/>
          </w:tcPr>
          <w:p w14:paraId="08369229">
            <w:pPr>
              <w:jc w:val="center"/>
              <w:rPr>
                <w:rFonts w:hint="eastAsia" w:ascii="宋体" w:hAnsi="宋体"/>
                <w:sz w:val="28"/>
                <w:szCs w:val="28"/>
              </w:rPr>
            </w:pPr>
          </w:p>
        </w:tc>
        <w:tc>
          <w:tcPr>
            <w:tcW w:w="463" w:type="pct"/>
          </w:tcPr>
          <w:p w14:paraId="2694BAAD">
            <w:pPr>
              <w:jc w:val="center"/>
              <w:rPr>
                <w:rFonts w:hint="eastAsia" w:ascii="宋体" w:hAnsi="宋体"/>
                <w:sz w:val="28"/>
                <w:szCs w:val="28"/>
              </w:rPr>
            </w:pPr>
          </w:p>
        </w:tc>
        <w:tc>
          <w:tcPr>
            <w:tcW w:w="595" w:type="pct"/>
          </w:tcPr>
          <w:p w14:paraId="3BFD2B30">
            <w:pPr>
              <w:jc w:val="center"/>
              <w:rPr>
                <w:rFonts w:hint="eastAsia" w:ascii="宋体" w:hAnsi="宋体"/>
                <w:sz w:val="28"/>
                <w:szCs w:val="28"/>
              </w:rPr>
            </w:pPr>
          </w:p>
        </w:tc>
      </w:tr>
      <w:tr w14:paraId="50738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Pr>
          <w:p w14:paraId="0AD87D43">
            <w:pPr>
              <w:jc w:val="center"/>
              <w:rPr>
                <w:rFonts w:hint="eastAsia" w:ascii="宋体" w:hAnsi="宋体"/>
                <w:sz w:val="28"/>
                <w:szCs w:val="28"/>
              </w:rPr>
            </w:pPr>
          </w:p>
        </w:tc>
        <w:tc>
          <w:tcPr>
            <w:tcW w:w="727" w:type="pct"/>
          </w:tcPr>
          <w:p w14:paraId="7820E80A">
            <w:pPr>
              <w:jc w:val="center"/>
              <w:rPr>
                <w:rFonts w:hint="eastAsia" w:ascii="宋体" w:hAnsi="宋体"/>
                <w:sz w:val="28"/>
                <w:szCs w:val="28"/>
              </w:rPr>
            </w:pPr>
          </w:p>
        </w:tc>
        <w:tc>
          <w:tcPr>
            <w:tcW w:w="661" w:type="pct"/>
          </w:tcPr>
          <w:p w14:paraId="69219889">
            <w:pPr>
              <w:jc w:val="center"/>
              <w:rPr>
                <w:rFonts w:hint="eastAsia" w:ascii="宋体" w:hAnsi="宋体"/>
                <w:sz w:val="28"/>
                <w:szCs w:val="28"/>
              </w:rPr>
            </w:pPr>
          </w:p>
        </w:tc>
        <w:tc>
          <w:tcPr>
            <w:tcW w:w="396" w:type="pct"/>
          </w:tcPr>
          <w:p w14:paraId="37DD4A19">
            <w:pPr>
              <w:jc w:val="center"/>
              <w:rPr>
                <w:rFonts w:hint="eastAsia" w:ascii="宋体" w:hAnsi="宋体"/>
                <w:sz w:val="28"/>
                <w:szCs w:val="28"/>
              </w:rPr>
            </w:pPr>
          </w:p>
        </w:tc>
        <w:tc>
          <w:tcPr>
            <w:tcW w:w="330" w:type="pct"/>
          </w:tcPr>
          <w:p w14:paraId="49F2ED86">
            <w:pPr>
              <w:jc w:val="center"/>
              <w:rPr>
                <w:rFonts w:hint="eastAsia" w:ascii="宋体" w:hAnsi="宋体"/>
                <w:sz w:val="28"/>
                <w:szCs w:val="28"/>
              </w:rPr>
            </w:pPr>
          </w:p>
        </w:tc>
        <w:tc>
          <w:tcPr>
            <w:tcW w:w="463" w:type="pct"/>
          </w:tcPr>
          <w:p w14:paraId="6CC4FDA6">
            <w:pPr>
              <w:jc w:val="center"/>
              <w:rPr>
                <w:rFonts w:hint="eastAsia" w:ascii="宋体" w:hAnsi="宋体"/>
                <w:sz w:val="28"/>
                <w:szCs w:val="28"/>
              </w:rPr>
            </w:pPr>
          </w:p>
        </w:tc>
        <w:tc>
          <w:tcPr>
            <w:tcW w:w="529" w:type="pct"/>
          </w:tcPr>
          <w:p w14:paraId="055F60C2">
            <w:pPr>
              <w:jc w:val="center"/>
              <w:rPr>
                <w:rFonts w:hint="eastAsia" w:ascii="宋体" w:hAnsi="宋体"/>
                <w:sz w:val="28"/>
                <w:szCs w:val="28"/>
              </w:rPr>
            </w:pPr>
          </w:p>
        </w:tc>
        <w:tc>
          <w:tcPr>
            <w:tcW w:w="529" w:type="pct"/>
          </w:tcPr>
          <w:p w14:paraId="52B1FC8F">
            <w:pPr>
              <w:jc w:val="center"/>
              <w:rPr>
                <w:rFonts w:hint="eastAsia" w:ascii="宋体" w:hAnsi="宋体"/>
                <w:sz w:val="28"/>
                <w:szCs w:val="28"/>
              </w:rPr>
            </w:pPr>
          </w:p>
        </w:tc>
        <w:tc>
          <w:tcPr>
            <w:tcW w:w="463" w:type="pct"/>
          </w:tcPr>
          <w:p w14:paraId="74F230D7">
            <w:pPr>
              <w:jc w:val="center"/>
              <w:rPr>
                <w:rFonts w:hint="eastAsia" w:ascii="宋体" w:hAnsi="宋体"/>
                <w:sz w:val="28"/>
                <w:szCs w:val="28"/>
              </w:rPr>
            </w:pPr>
          </w:p>
        </w:tc>
        <w:tc>
          <w:tcPr>
            <w:tcW w:w="595" w:type="pct"/>
          </w:tcPr>
          <w:p w14:paraId="519ADBC8">
            <w:pPr>
              <w:jc w:val="center"/>
              <w:rPr>
                <w:rFonts w:hint="eastAsia" w:ascii="宋体" w:hAnsi="宋体"/>
                <w:sz w:val="28"/>
                <w:szCs w:val="28"/>
              </w:rPr>
            </w:pPr>
          </w:p>
        </w:tc>
      </w:tr>
      <w:tr w14:paraId="55E31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Pr>
          <w:p w14:paraId="2BD5DA06">
            <w:pPr>
              <w:jc w:val="center"/>
              <w:rPr>
                <w:rFonts w:hint="eastAsia" w:ascii="宋体" w:hAnsi="宋体"/>
                <w:sz w:val="28"/>
                <w:szCs w:val="28"/>
              </w:rPr>
            </w:pPr>
          </w:p>
        </w:tc>
        <w:tc>
          <w:tcPr>
            <w:tcW w:w="727" w:type="pct"/>
          </w:tcPr>
          <w:p w14:paraId="43545101">
            <w:pPr>
              <w:jc w:val="center"/>
              <w:rPr>
                <w:rFonts w:hint="eastAsia" w:ascii="宋体" w:hAnsi="宋体"/>
                <w:sz w:val="28"/>
                <w:szCs w:val="28"/>
              </w:rPr>
            </w:pPr>
          </w:p>
        </w:tc>
        <w:tc>
          <w:tcPr>
            <w:tcW w:w="661" w:type="pct"/>
          </w:tcPr>
          <w:p w14:paraId="5E294770">
            <w:pPr>
              <w:jc w:val="center"/>
              <w:rPr>
                <w:rFonts w:hint="eastAsia" w:ascii="宋体" w:hAnsi="宋体"/>
                <w:sz w:val="28"/>
                <w:szCs w:val="28"/>
              </w:rPr>
            </w:pPr>
          </w:p>
        </w:tc>
        <w:tc>
          <w:tcPr>
            <w:tcW w:w="396" w:type="pct"/>
          </w:tcPr>
          <w:p w14:paraId="72A6B2D5">
            <w:pPr>
              <w:jc w:val="center"/>
              <w:rPr>
                <w:rFonts w:hint="eastAsia" w:ascii="宋体" w:hAnsi="宋体"/>
                <w:sz w:val="28"/>
                <w:szCs w:val="28"/>
              </w:rPr>
            </w:pPr>
          </w:p>
        </w:tc>
        <w:tc>
          <w:tcPr>
            <w:tcW w:w="330" w:type="pct"/>
          </w:tcPr>
          <w:p w14:paraId="744BAE8C">
            <w:pPr>
              <w:jc w:val="center"/>
              <w:rPr>
                <w:rFonts w:hint="eastAsia" w:ascii="宋体" w:hAnsi="宋体"/>
                <w:sz w:val="28"/>
                <w:szCs w:val="28"/>
              </w:rPr>
            </w:pPr>
          </w:p>
        </w:tc>
        <w:tc>
          <w:tcPr>
            <w:tcW w:w="463" w:type="pct"/>
          </w:tcPr>
          <w:p w14:paraId="6D9D6732">
            <w:pPr>
              <w:jc w:val="center"/>
              <w:rPr>
                <w:rFonts w:hint="eastAsia" w:ascii="宋体" w:hAnsi="宋体"/>
                <w:sz w:val="28"/>
                <w:szCs w:val="28"/>
              </w:rPr>
            </w:pPr>
          </w:p>
        </w:tc>
        <w:tc>
          <w:tcPr>
            <w:tcW w:w="529" w:type="pct"/>
          </w:tcPr>
          <w:p w14:paraId="2562CF05">
            <w:pPr>
              <w:jc w:val="center"/>
              <w:rPr>
                <w:rFonts w:hint="eastAsia" w:ascii="宋体" w:hAnsi="宋体"/>
                <w:sz w:val="28"/>
                <w:szCs w:val="28"/>
              </w:rPr>
            </w:pPr>
          </w:p>
        </w:tc>
        <w:tc>
          <w:tcPr>
            <w:tcW w:w="529" w:type="pct"/>
          </w:tcPr>
          <w:p w14:paraId="440F8EB9">
            <w:pPr>
              <w:jc w:val="center"/>
              <w:rPr>
                <w:rFonts w:hint="eastAsia" w:ascii="宋体" w:hAnsi="宋体"/>
                <w:sz w:val="28"/>
                <w:szCs w:val="28"/>
              </w:rPr>
            </w:pPr>
          </w:p>
        </w:tc>
        <w:tc>
          <w:tcPr>
            <w:tcW w:w="463" w:type="pct"/>
          </w:tcPr>
          <w:p w14:paraId="1E866CAC">
            <w:pPr>
              <w:jc w:val="center"/>
              <w:rPr>
                <w:rFonts w:hint="eastAsia" w:ascii="宋体" w:hAnsi="宋体"/>
                <w:sz w:val="28"/>
                <w:szCs w:val="28"/>
              </w:rPr>
            </w:pPr>
          </w:p>
        </w:tc>
        <w:tc>
          <w:tcPr>
            <w:tcW w:w="595" w:type="pct"/>
          </w:tcPr>
          <w:p w14:paraId="19145B2D">
            <w:pPr>
              <w:jc w:val="center"/>
              <w:rPr>
                <w:rFonts w:hint="eastAsia" w:ascii="宋体" w:hAnsi="宋体"/>
                <w:sz w:val="28"/>
                <w:szCs w:val="28"/>
              </w:rPr>
            </w:pPr>
          </w:p>
        </w:tc>
      </w:tr>
      <w:tr w14:paraId="6325D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Pr>
          <w:p w14:paraId="4C76A34D">
            <w:pPr>
              <w:jc w:val="center"/>
              <w:rPr>
                <w:rFonts w:hint="eastAsia" w:ascii="宋体" w:hAnsi="宋体"/>
                <w:sz w:val="28"/>
                <w:szCs w:val="28"/>
              </w:rPr>
            </w:pPr>
          </w:p>
        </w:tc>
        <w:tc>
          <w:tcPr>
            <w:tcW w:w="727" w:type="pct"/>
          </w:tcPr>
          <w:p w14:paraId="3A11FD00">
            <w:pPr>
              <w:jc w:val="center"/>
              <w:rPr>
                <w:rFonts w:hint="eastAsia" w:ascii="宋体" w:hAnsi="宋体"/>
                <w:sz w:val="28"/>
                <w:szCs w:val="28"/>
              </w:rPr>
            </w:pPr>
          </w:p>
        </w:tc>
        <w:tc>
          <w:tcPr>
            <w:tcW w:w="661" w:type="pct"/>
          </w:tcPr>
          <w:p w14:paraId="1DEEC2E7">
            <w:pPr>
              <w:jc w:val="center"/>
              <w:rPr>
                <w:rFonts w:hint="eastAsia" w:ascii="宋体" w:hAnsi="宋体"/>
                <w:sz w:val="28"/>
                <w:szCs w:val="28"/>
              </w:rPr>
            </w:pPr>
          </w:p>
        </w:tc>
        <w:tc>
          <w:tcPr>
            <w:tcW w:w="396" w:type="pct"/>
          </w:tcPr>
          <w:p w14:paraId="4CB024A3">
            <w:pPr>
              <w:jc w:val="center"/>
              <w:rPr>
                <w:rFonts w:hint="eastAsia" w:ascii="宋体" w:hAnsi="宋体"/>
                <w:sz w:val="28"/>
                <w:szCs w:val="28"/>
              </w:rPr>
            </w:pPr>
          </w:p>
        </w:tc>
        <w:tc>
          <w:tcPr>
            <w:tcW w:w="330" w:type="pct"/>
          </w:tcPr>
          <w:p w14:paraId="3C817B85">
            <w:pPr>
              <w:jc w:val="center"/>
              <w:rPr>
                <w:rFonts w:hint="eastAsia" w:ascii="宋体" w:hAnsi="宋体"/>
                <w:sz w:val="28"/>
                <w:szCs w:val="28"/>
              </w:rPr>
            </w:pPr>
          </w:p>
        </w:tc>
        <w:tc>
          <w:tcPr>
            <w:tcW w:w="463" w:type="pct"/>
          </w:tcPr>
          <w:p w14:paraId="10E89953">
            <w:pPr>
              <w:jc w:val="center"/>
              <w:rPr>
                <w:rFonts w:hint="eastAsia" w:ascii="宋体" w:hAnsi="宋体"/>
                <w:sz w:val="28"/>
                <w:szCs w:val="28"/>
              </w:rPr>
            </w:pPr>
          </w:p>
        </w:tc>
        <w:tc>
          <w:tcPr>
            <w:tcW w:w="529" w:type="pct"/>
          </w:tcPr>
          <w:p w14:paraId="1A91F0F5">
            <w:pPr>
              <w:jc w:val="center"/>
              <w:rPr>
                <w:rFonts w:hint="eastAsia" w:ascii="宋体" w:hAnsi="宋体"/>
                <w:sz w:val="28"/>
                <w:szCs w:val="28"/>
              </w:rPr>
            </w:pPr>
          </w:p>
        </w:tc>
        <w:tc>
          <w:tcPr>
            <w:tcW w:w="529" w:type="pct"/>
          </w:tcPr>
          <w:p w14:paraId="16E8BF9F">
            <w:pPr>
              <w:jc w:val="center"/>
              <w:rPr>
                <w:rFonts w:hint="eastAsia" w:ascii="宋体" w:hAnsi="宋体"/>
                <w:sz w:val="28"/>
                <w:szCs w:val="28"/>
              </w:rPr>
            </w:pPr>
          </w:p>
        </w:tc>
        <w:tc>
          <w:tcPr>
            <w:tcW w:w="463" w:type="pct"/>
          </w:tcPr>
          <w:p w14:paraId="6A93F312">
            <w:pPr>
              <w:jc w:val="center"/>
              <w:rPr>
                <w:rFonts w:hint="eastAsia" w:ascii="宋体" w:hAnsi="宋体"/>
                <w:sz w:val="28"/>
                <w:szCs w:val="28"/>
              </w:rPr>
            </w:pPr>
          </w:p>
        </w:tc>
        <w:tc>
          <w:tcPr>
            <w:tcW w:w="595" w:type="pct"/>
          </w:tcPr>
          <w:p w14:paraId="03B94976">
            <w:pPr>
              <w:jc w:val="center"/>
              <w:rPr>
                <w:rFonts w:hint="eastAsia" w:ascii="宋体" w:hAnsi="宋体"/>
                <w:sz w:val="28"/>
                <w:szCs w:val="28"/>
              </w:rPr>
            </w:pPr>
          </w:p>
        </w:tc>
      </w:tr>
      <w:tr w14:paraId="6E05C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Pr>
          <w:p w14:paraId="2C26E681">
            <w:pPr>
              <w:jc w:val="center"/>
              <w:rPr>
                <w:rFonts w:hint="eastAsia" w:ascii="宋体" w:hAnsi="宋体"/>
                <w:sz w:val="28"/>
                <w:szCs w:val="28"/>
              </w:rPr>
            </w:pPr>
          </w:p>
        </w:tc>
        <w:tc>
          <w:tcPr>
            <w:tcW w:w="727" w:type="pct"/>
          </w:tcPr>
          <w:p w14:paraId="5B27B376">
            <w:pPr>
              <w:jc w:val="center"/>
              <w:rPr>
                <w:rFonts w:hint="eastAsia" w:ascii="宋体" w:hAnsi="宋体"/>
                <w:sz w:val="28"/>
                <w:szCs w:val="28"/>
              </w:rPr>
            </w:pPr>
          </w:p>
        </w:tc>
        <w:tc>
          <w:tcPr>
            <w:tcW w:w="661" w:type="pct"/>
          </w:tcPr>
          <w:p w14:paraId="55F18E04">
            <w:pPr>
              <w:jc w:val="center"/>
              <w:rPr>
                <w:rFonts w:hint="eastAsia" w:ascii="宋体" w:hAnsi="宋体"/>
                <w:sz w:val="28"/>
                <w:szCs w:val="28"/>
              </w:rPr>
            </w:pPr>
          </w:p>
        </w:tc>
        <w:tc>
          <w:tcPr>
            <w:tcW w:w="396" w:type="pct"/>
          </w:tcPr>
          <w:p w14:paraId="189DF4DF">
            <w:pPr>
              <w:jc w:val="center"/>
              <w:rPr>
                <w:rFonts w:hint="eastAsia" w:ascii="宋体" w:hAnsi="宋体"/>
                <w:sz w:val="28"/>
                <w:szCs w:val="28"/>
              </w:rPr>
            </w:pPr>
          </w:p>
        </w:tc>
        <w:tc>
          <w:tcPr>
            <w:tcW w:w="330" w:type="pct"/>
          </w:tcPr>
          <w:p w14:paraId="5D0140A2">
            <w:pPr>
              <w:jc w:val="center"/>
              <w:rPr>
                <w:rFonts w:hint="eastAsia" w:ascii="宋体" w:hAnsi="宋体"/>
                <w:sz w:val="28"/>
                <w:szCs w:val="28"/>
              </w:rPr>
            </w:pPr>
          </w:p>
        </w:tc>
        <w:tc>
          <w:tcPr>
            <w:tcW w:w="463" w:type="pct"/>
          </w:tcPr>
          <w:p w14:paraId="57FD7E64">
            <w:pPr>
              <w:jc w:val="center"/>
              <w:rPr>
                <w:rFonts w:hint="eastAsia" w:ascii="宋体" w:hAnsi="宋体"/>
                <w:sz w:val="28"/>
                <w:szCs w:val="28"/>
              </w:rPr>
            </w:pPr>
          </w:p>
        </w:tc>
        <w:tc>
          <w:tcPr>
            <w:tcW w:w="529" w:type="pct"/>
          </w:tcPr>
          <w:p w14:paraId="16EA50AF">
            <w:pPr>
              <w:jc w:val="center"/>
              <w:rPr>
                <w:rFonts w:hint="eastAsia" w:ascii="宋体" w:hAnsi="宋体"/>
                <w:sz w:val="28"/>
                <w:szCs w:val="28"/>
              </w:rPr>
            </w:pPr>
          </w:p>
        </w:tc>
        <w:tc>
          <w:tcPr>
            <w:tcW w:w="529" w:type="pct"/>
          </w:tcPr>
          <w:p w14:paraId="0B466F35">
            <w:pPr>
              <w:jc w:val="center"/>
              <w:rPr>
                <w:rFonts w:hint="eastAsia" w:ascii="宋体" w:hAnsi="宋体"/>
                <w:sz w:val="28"/>
                <w:szCs w:val="28"/>
              </w:rPr>
            </w:pPr>
          </w:p>
        </w:tc>
        <w:tc>
          <w:tcPr>
            <w:tcW w:w="463" w:type="pct"/>
          </w:tcPr>
          <w:p w14:paraId="5D6B691A">
            <w:pPr>
              <w:jc w:val="center"/>
              <w:rPr>
                <w:rFonts w:hint="eastAsia" w:ascii="宋体" w:hAnsi="宋体"/>
                <w:sz w:val="28"/>
                <w:szCs w:val="28"/>
              </w:rPr>
            </w:pPr>
          </w:p>
        </w:tc>
        <w:tc>
          <w:tcPr>
            <w:tcW w:w="595" w:type="pct"/>
          </w:tcPr>
          <w:p w14:paraId="6701C3F0">
            <w:pPr>
              <w:jc w:val="center"/>
              <w:rPr>
                <w:rFonts w:hint="eastAsia" w:ascii="宋体" w:hAnsi="宋体"/>
                <w:sz w:val="28"/>
                <w:szCs w:val="28"/>
              </w:rPr>
            </w:pPr>
          </w:p>
        </w:tc>
      </w:tr>
      <w:tr w14:paraId="0F568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Pr>
          <w:p w14:paraId="7BB52DF2">
            <w:pPr>
              <w:jc w:val="center"/>
              <w:rPr>
                <w:rFonts w:hint="eastAsia" w:ascii="宋体" w:hAnsi="宋体"/>
                <w:sz w:val="28"/>
                <w:szCs w:val="28"/>
              </w:rPr>
            </w:pPr>
          </w:p>
        </w:tc>
        <w:tc>
          <w:tcPr>
            <w:tcW w:w="727" w:type="pct"/>
          </w:tcPr>
          <w:p w14:paraId="79A57A53">
            <w:pPr>
              <w:jc w:val="center"/>
              <w:rPr>
                <w:rFonts w:hint="eastAsia" w:ascii="宋体" w:hAnsi="宋体"/>
                <w:sz w:val="28"/>
                <w:szCs w:val="28"/>
              </w:rPr>
            </w:pPr>
          </w:p>
        </w:tc>
        <w:tc>
          <w:tcPr>
            <w:tcW w:w="661" w:type="pct"/>
          </w:tcPr>
          <w:p w14:paraId="36DF067D">
            <w:pPr>
              <w:jc w:val="center"/>
              <w:rPr>
                <w:rFonts w:hint="eastAsia" w:ascii="宋体" w:hAnsi="宋体"/>
                <w:sz w:val="28"/>
                <w:szCs w:val="28"/>
              </w:rPr>
            </w:pPr>
          </w:p>
        </w:tc>
        <w:tc>
          <w:tcPr>
            <w:tcW w:w="396" w:type="pct"/>
          </w:tcPr>
          <w:p w14:paraId="28975D25">
            <w:pPr>
              <w:jc w:val="center"/>
              <w:rPr>
                <w:rFonts w:hint="eastAsia" w:ascii="宋体" w:hAnsi="宋体"/>
                <w:sz w:val="28"/>
                <w:szCs w:val="28"/>
              </w:rPr>
            </w:pPr>
          </w:p>
        </w:tc>
        <w:tc>
          <w:tcPr>
            <w:tcW w:w="330" w:type="pct"/>
          </w:tcPr>
          <w:p w14:paraId="6BB8868D">
            <w:pPr>
              <w:jc w:val="center"/>
              <w:rPr>
                <w:rFonts w:hint="eastAsia" w:ascii="宋体" w:hAnsi="宋体"/>
                <w:sz w:val="28"/>
                <w:szCs w:val="28"/>
              </w:rPr>
            </w:pPr>
          </w:p>
        </w:tc>
        <w:tc>
          <w:tcPr>
            <w:tcW w:w="463" w:type="pct"/>
          </w:tcPr>
          <w:p w14:paraId="10C90CB2">
            <w:pPr>
              <w:jc w:val="center"/>
              <w:rPr>
                <w:rFonts w:hint="eastAsia" w:ascii="宋体" w:hAnsi="宋体"/>
                <w:sz w:val="28"/>
                <w:szCs w:val="28"/>
              </w:rPr>
            </w:pPr>
          </w:p>
        </w:tc>
        <w:tc>
          <w:tcPr>
            <w:tcW w:w="529" w:type="pct"/>
          </w:tcPr>
          <w:p w14:paraId="3A64C3C0">
            <w:pPr>
              <w:jc w:val="center"/>
              <w:rPr>
                <w:rFonts w:hint="eastAsia" w:ascii="宋体" w:hAnsi="宋体"/>
                <w:sz w:val="28"/>
                <w:szCs w:val="28"/>
              </w:rPr>
            </w:pPr>
          </w:p>
        </w:tc>
        <w:tc>
          <w:tcPr>
            <w:tcW w:w="529" w:type="pct"/>
          </w:tcPr>
          <w:p w14:paraId="2DDE0CC1">
            <w:pPr>
              <w:jc w:val="center"/>
              <w:rPr>
                <w:rFonts w:hint="eastAsia" w:ascii="宋体" w:hAnsi="宋体"/>
                <w:sz w:val="28"/>
                <w:szCs w:val="28"/>
              </w:rPr>
            </w:pPr>
          </w:p>
        </w:tc>
        <w:tc>
          <w:tcPr>
            <w:tcW w:w="463" w:type="pct"/>
          </w:tcPr>
          <w:p w14:paraId="7EEBD705">
            <w:pPr>
              <w:jc w:val="center"/>
              <w:rPr>
                <w:rFonts w:hint="eastAsia" w:ascii="宋体" w:hAnsi="宋体"/>
                <w:sz w:val="28"/>
                <w:szCs w:val="28"/>
              </w:rPr>
            </w:pPr>
          </w:p>
        </w:tc>
        <w:tc>
          <w:tcPr>
            <w:tcW w:w="595" w:type="pct"/>
          </w:tcPr>
          <w:p w14:paraId="73CCF7B1">
            <w:pPr>
              <w:jc w:val="center"/>
              <w:rPr>
                <w:rFonts w:hint="eastAsia" w:ascii="宋体" w:hAnsi="宋体"/>
                <w:sz w:val="28"/>
                <w:szCs w:val="28"/>
              </w:rPr>
            </w:pPr>
          </w:p>
        </w:tc>
      </w:tr>
      <w:tr w14:paraId="6994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Pr>
          <w:p w14:paraId="0A97D30A">
            <w:pPr>
              <w:jc w:val="center"/>
              <w:rPr>
                <w:rFonts w:hint="eastAsia" w:ascii="宋体" w:hAnsi="宋体"/>
                <w:sz w:val="28"/>
                <w:szCs w:val="28"/>
              </w:rPr>
            </w:pPr>
          </w:p>
        </w:tc>
        <w:tc>
          <w:tcPr>
            <w:tcW w:w="727" w:type="pct"/>
          </w:tcPr>
          <w:p w14:paraId="71AC507E">
            <w:pPr>
              <w:jc w:val="center"/>
              <w:rPr>
                <w:rFonts w:hint="eastAsia" w:ascii="宋体" w:hAnsi="宋体"/>
                <w:sz w:val="28"/>
                <w:szCs w:val="28"/>
              </w:rPr>
            </w:pPr>
          </w:p>
        </w:tc>
        <w:tc>
          <w:tcPr>
            <w:tcW w:w="661" w:type="pct"/>
          </w:tcPr>
          <w:p w14:paraId="1BD551CC">
            <w:pPr>
              <w:jc w:val="center"/>
              <w:rPr>
                <w:rFonts w:hint="eastAsia" w:ascii="宋体" w:hAnsi="宋体"/>
                <w:sz w:val="28"/>
                <w:szCs w:val="28"/>
              </w:rPr>
            </w:pPr>
          </w:p>
        </w:tc>
        <w:tc>
          <w:tcPr>
            <w:tcW w:w="396" w:type="pct"/>
          </w:tcPr>
          <w:p w14:paraId="68CFBD41">
            <w:pPr>
              <w:jc w:val="center"/>
              <w:rPr>
                <w:rFonts w:hint="eastAsia" w:ascii="宋体" w:hAnsi="宋体"/>
                <w:sz w:val="28"/>
                <w:szCs w:val="28"/>
              </w:rPr>
            </w:pPr>
          </w:p>
        </w:tc>
        <w:tc>
          <w:tcPr>
            <w:tcW w:w="330" w:type="pct"/>
          </w:tcPr>
          <w:p w14:paraId="2F3B31BA">
            <w:pPr>
              <w:jc w:val="center"/>
              <w:rPr>
                <w:rFonts w:hint="eastAsia" w:ascii="宋体" w:hAnsi="宋体"/>
                <w:sz w:val="28"/>
                <w:szCs w:val="28"/>
              </w:rPr>
            </w:pPr>
          </w:p>
        </w:tc>
        <w:tc>
          <w:tcPr>
            <w:tcW w:w="463" w:type="pct"/>
          </w:tcPr>
          <w:p w14:paraId="4C431171">
            <w:pPr>
              <w:jc w:val="center"/>
              <w:rPr>
                <w:rFonts w:hint="eastAsia" w:ascii="宋体" w:hAnsi="宋体"/>
                <w:sz w:val="28"/>
                <w:szCs w:val="28"/>
              </w:rPr>
            </w:pPr>
          </w:p>
        </w:tc>
        <w:tc>
          <w:tcPr>
            <w:tcW w:w="529" w:type="pct"/>
          </w:tcPr>
          <w:p w14:paraId="02946FC0">
            <w:pPr>
              <w:jc w:val="center"/>
              <w:rPr>
                <w:rFonts w:hint="eastAsia" w:ascii="宋体" w:hAnsi="宋体"/>
                <w:sz w:val="28"/>
                <w:szCs w:val="28"/>
              </w:rPr>
            </w:pPr>
          </w:p>
        </w:tc>
        <w:tc>
          <w:tcPr>
            <w:tcW w:w="529" w:type="pct"/>
          </w:tcPr>
          <w:p w14:paraId="0CE7CE5B">
            <w:pPr>
              <w:jc w:val="center"/>
              <w:rPr>
                <w:rFonts w:hint="eastAsia" w:ascii="宋体" w:hAnsi="宋体"/>
                <w:sz w:val="28"/>
                <w:szCs w:val="28"/>
              </w:rPr>
            </w:pPr>
          </w:p>
        </w:tc>
        <w:tc>
          <w:tcPr>
            <w:tcW w:w="463" w:type="pct"/>
          </w:tcPr>
          <w:p w14:paraId="5863BDE3">
            <w:pPr>
              <w:jc w:val="center"/>
              <w:rPr>
                <w:rFonts w:hint="eastAsia" w:ascii="宋体" w:hAnsi="宋体"/>
                <w:sz w:val="28"/>
                <w:szCs w:val="28"/>
              </w:rPr>
            </w:pPr>
          </w:p>
        </w:tc>
        <w:tc>
          <w:tcPr>
            <w:tcW w:w="595" w:type="pct"/>
          </w:tcPr>
          <w:p w14:paraId="5F915A01">
            <w:pPr>
              <w:jc w:val="center"/>
              <w:rPr>
                <w:rFonts w:hint="eastAsia" w:ascii="宋体" w:hAnsi="宋体"/>
                <w:sz w:val="28"/>
                <w:szCs w:val="28"/>
              </w:rPr>
            </w:pPr>
          </w:p>
        </w:tc>
      </w:tr>
      <w:tr w14:paraId="1B76F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Pr>
          <w:p w14:paraId="6EEFEAF9">
            <w:pPr>
              <w:jc w:val="center"/>
              <w:rPr>
                <w:rFonts w:hint="eastAsia" w:ascii="宋体" w:hAnsi="宋体"/>
                <w:sz w:val="28"/>
                <w:szCs w:val="28"/>
              </w:rPr>
            </w:pPr>
          </w:p>
        </w:tc>
        <w:tc>
          <w:tcPr>
            <w:tcW w:w="727" w:type="pct"/>
          </w:tcPr>
          <w:p w14:paraId="66C99036">
            <w:pPr>
              <w:jc w:val="center"/>
              <w:rPr>
                <w:rFonts w:hint="eastAsia" w:ascii="宋体" w:hAnsi="宋体"/>
                <w:sz w:val="28"/>
                <w:szCs w:val="28"/>
              </w:rPr>
            </w:pPr>
          </w:p>
        </w:tc>
        <w:tc>
          <w:tcPr>
            <w:tcW w:w="661" w:type="pct"/>
          </w:tcPr>
          <w:p w14:paraId="51F89EF1">
            <w:pPr>
              <w:jc w:val="center"/>
              <w:rPr>
                <w:rFonts w:hint="eastAsia" w:ascii="宋体" w:hAnsi="宋体"/>
                <w:sz w:val="28"/>
                <w:szCs w:val="28"/>
              </w:rPr>
            </w:pPr>
          </w:p>
        </w:tc>
        <w:tc>
          <w:tcPr>
            <w:tcW w:w="396" w:type="pct"/>
          </w:tcPr>
          <w:p w14:paraId="70D5D3D4">
            <w:pPr>
              <w:jc w:val="center"/>
              <w:rPr>
                <w:rFonts w:hint="eastAsia" w:ascii="宋体" w:hAnsi="宋体"/>
                <w:sz w:val="28"/>
                <w:szCs w:val="28"/>
              </w:rPr>
            </w:pPr>
          </w:p>
        </w:tc>
        <w:tc>
          <w:tcPr>
            <w:tcW w:w="330" w:type="pct"/>
          </w:tcPr>
          <w:p w14:paraId="0AFE41FF">
            <w:pPr>
              <w:jc w:val="center"/>
              <w:rPr>
                <w:rFonts w:hint="eastAsia" w:ascii="宋体" w:hAnsi="宋体"/>
                <w:sz w:val="28"/>
                <w:szCs w:val="28"/>
              </w:rPr>
            </w:pPr>
          </w:p>
        </w:tc>
        <w:tc>
          <w:tcPr>
            <w:tcW w:w="463" w:type="pct"/>
          </w:tcPr>
          <w:p w14:paraId="0813633B">
            <w:pPr>
              <w:jc w:val="center"/>
              <w:rPr>
                <w:rFonts w:hint="eastAsia" w:ascii="宋体" w:hAnsi="宋体"/>
                <w:sz w:val="28"/>
                <w:szCs w:val="28"/>
              </w:rPr>
            </w:pPr>
          </w:p>
        </w:tc>
        <w:tc>
          <w:tcPr>
            <w:tcW w:w="529" w:type="pct"/>
          </w:tcPr>
          <w:p w14:paraId="6F13747A">
            <w:pPr>
              <w:jc w:val="center"/>
              <w:rPr>
                <w:rFonts w:hint="eastAsia" w:ascii="宋体" w:hAnsi="宋体"/>
                <w:sz w:val="28"/>
                <w:szCs w:val="28"/>
              </w:rPr>
            </w:pPr>
          </w:p>
        </w:tc>
        <w:tc>
          <w:tcPr>
            <w:tcW w:w="529" w:type="pct"/>
          </w:tcPr>
          <w:p w14:paraId="3F735EA7">
            <w:pPr>
              <w:jc w:val="center"/>
              <w:rPr>
                <w:rFonts w:hint="eastAsia" w:ascii="宋体" w:hAnsi="宋体"/>
                <w:sz w:val="28"/>
                <w:szCs w:val="28"/>
              </w:rPr>
            </w:pPr>
          </w:p>
        </w:tc>
        <w:tc>
          <w:tcPr>
            <w:tcW w:w="463" w:type="pct"/>
          </w:tcPr>
          <w:p w14:paraId="30AE7FDB">
            <w:pPr>
              <w:jc w:val="center"/>
              <w:rPr>
                <w:rFonts w:hint="eastAsia" w:ascii="宋体" w:hAnsi="宋体"/>
                <w:sz w:val="28"/>
                <w:szCs w:val="28"/>
              </w:rPr>
            </w:pPr>
          </w:p>
        </w:tc>
        <w:tc>
          <w:tcPr>
            <w:tcW w:w="595" w:type="pct"/>
          </w:tcPr>
          <w:p w14:paraId="7D389829">
            <w:pPr>
              <w:jc w:val="center"/>
              <w:rPr>
                <w:rFonts w:hint="eastAsia" w:ascii="宋体" w:hAnsi="宋体"/>
                <w:sz w:val="28"/>
                <w:szCs w:val="28"/>
              </w:rPr>
            </w:pPr>
          </w:p>
        </w:tc>
      </w:tr>
      <w:tr w14:paraId="06CB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 w:type="pct"/>
          </w:tcPr>
          <w:p w14:paraId="457D6478">
            <w:pPr>
              <w:jc w:val="center"/>
              <w:rPr>
                <w:rFonts w:hint="eastAsia" w:ascii="宋体" w:hAnsi="宋体"/>
                <w:sz w:val="28"/>
                <w:szCs w:val="28"/>
              </w:rPr>
            </w:pPr>
          </w:p>
        </w:tc>
        <w:tc>
          <w:tcPr>
            <w:tcW w:w="727" w:type="pct"/>
          </w:tcPr>
          <w:p w14:paraId="682FB836">
            <w:pPr>
              <w:jc w:val="center"/>
              <w:rPr>
                <w:rFonts w:hint="eastAsia" w:ascii="宋体" w:hAnsi="宋体"/>
                <w:sz w:val="28"/>
                <w:szCs w:val="28"/>
              </w:rPr>
            </w:pPr>
          </w:p>
        </w:tc>
        <w:tc>
          <w:tcPr>
            <w:tcW w:w="661" w:type="pct"/>
          </w:tcPr>
          <w:p w14:paraId="3C1E4409">
            <w:pPr>
              <w:jc w:val="center"/>
              <w:rPr>
                <w:rFonts w:hint="eastAsia" w:ascii="宋体" w:hAnsi="宋体"/>
                <w:sz w:val="28"/>
                <w:szCs w:val="28"/>
              </w:rPr>
            </w:pPr>
          </w:p>
        </w:tc>
        <w:tc>
          <w:tcPr>
            <w:tcW w:w="396" w:type="pct"/>
          </w:tcPr>
          <w:p w14:paraId="6CB48B94">
            <w:pPr>
              <w:jc w:val="center"/>
              <w:rPr>
                <w:rFonts w:hint="eastAsia" w:ascii="宋体" w:hAnsi="宋体"/>
                <w:sz w:val="28"/>
                <w:szCs w:val="28"/>
              </w:rPr>
            </w:pPr>
          </w:p>
        </w:tc>
        <w:tc>
          <w:tcPr>
            <w:tcW w:w="330" w:type="pct"/>
          </w:tcPr>
          <w:p w14:paraId="23F29D77">
            <w:pPr>
              <w:jc w:val="center"/>
              <w:rPr>
                <w:rFonts w:hint="eastAsia" w:ascii="宋体" w:hAnsi="宋体"/>
                <w:sz w:val="28"/>
                <w:szCs w:val="28"/>
              </w:rPr>
            </w:pPr>
          </w:p>
        </w:tc>
        <w:tc>
          <w:tcPr>
            <w:tcW w:w="463" w:type="pct"/>
          </w:tcPr>
          <w:p w14:paraId="1C8AAE27">
            <w:pPr>
              <w:jc w:val="center"/>
              <w:rPr>
                <w:rFonts w:hint="eastAsia" w:ascii="宋体" w:hAnsi="宋体"/>
                <w:sz w:val="28"/>
                <w:szCs w:val="28"/>
              </w:rPr>
            </w:pPr>
          </w:p>
        </w:tc>
        <w:tc>
          <w:tcPr>
            <w:tcW w:w="529" w:type="pct"/>
          </w:tcPr>
          <w:p w14:paraId="0B8E3A4A">
            <w:pPr>
              <w:jc w:val="center"/>
              <w:rPr>
                <w:rFonts w:hint="eastAsia" w:ascii="宋体" w:hAnsi="宋体"/>
                <w:sz w:val="28"/>
                <w:szCs w:val="28"/>
              </w:rPr>
            </w:pPr>
          </w:p>
        </w:tc>
        <w:tc>
          <w:tcPr>
            <w:tcW w:w="529" w:type="pct"/>
          </w:tcPr>
          <w:p w14:paraId="0B2F32DD">
            <w:pPr>
              <w:jc w:val="center"/>
              <w:rPr>
                <w:rFonts w:hint="eastAsia" w:ascii="宋体" w:hAnsi="宋体"/>
                <w:sz w:val="28"/>
                <w:szCs w:val="28"/>
              </w:rPr>
            </w:pPr>
          </w:p>
        </w:tc>
        <w:tc>
          <w:tcPr>
            <w:tcW w:w="463" w:type="pct"/>
          </w:tcPr>
          <w:p w14:paraId="64A3DE3E">
            <w:pPr>
              <w:jc w:val="center"/>
              <w:rPr>
                <w:rFonts w:hint="eastAsia" w:ascii="宋体" w:hAnsi="宋体"/>
                <w:sz w:val="28"/>
                <w:szCs w:val="28"/>
              </w:rPr>
            </w:pPr>
          </w:p>
        </w:tc>
        <w:tc>
          <w:tcPr>
            <w:tcW w:w="595" w:type="pct"/>
          </w:tcPr>
          <w:p w14:paraId="59CD8EBD">
            <w:pPr>
              <w:jc w:val="center"/>
              <w:rPr>
                <w:rFonts w:hint="eastAsia" w:ascii="宋体" w:hAnsi="宋体"/>
                <w:sz w:val="28"/>
                <w:szCs w:val="28"/>
              </w:rPr>
            </w:pPr>
          </w:p>
        </w:tc>
      </w:tr>
    </w:tbl>
    <w:p w14:paraId="348EAF78">
      <w:pPr>
        <w:tabs>
          <w:tab w:val="left" w:pos="1440"/>
        </w:tabs>
        <w:rPr>
          <w:rFonts w:hint="eastAsia" w:ascii="宋体" w:hAnsi="宋体"/>
          <w:szCs w:val="21"/>
        </w:rPr>
      </w:pPr>
      <w:r>
        <w:rPr>
          <w:rFonts w:hint="eastAsia" w:ascii="宋体" w:hAnsi="宋体"/>
          <w:szCs w:val="21"/>
        </w:rPr>
        <w:t>备注：除合同另有约定外，本表所列甲方供应材料和工程设备的数量不考虑施工损耗，施工损耗被认为已经包括在乙方的投标价格中。</w:t>
      </w:r>
    </w:p>
    <w:p w14:paraId="4178D11B">
      <w:pPr>
        <w:jc w:val="center"/>
        <w:outlineLvl w:val="1"/>
        <w:rPr>
          <w:rFonts w:ascii="Arial" w:hAnsi="Arial" w:cs="Arial"/>
        </w:rPr>
      </w:pPr>
      <w:r>
        <w:br w:type="page"/>
      </w:r>
      <w:r>
        <w:rPr>
          <w:rFonts w:hint="eastAsia" w:ascii="黑体" w:eastAsia="黑体"/>
          <w:sz w:val="28"/>
          <w:szCs w:val="28"/>
        </w:rPr>
        <w:t>通用合同条款</w:t>
      </w:r>
    </w:p>
    <w:p w14:paraId="3D97D4BE">
      <w:pPr>
        <w:spacing w:line="400" w:lineRule="exact"/>
      </w:pPr>
    </w:p>
    <w:p w14:paraId="49AAE055">
      <w:pPr>
        <w:pStyle w:val="260"/>
        <w:spacing w:before="0"/>
        <w:outlineLvl w:val="9"/>
      </w:pPr>
      <w:r>
        <w:rPr>
          <w:rFonts w:hint="eastAsia"/>
        </w:rPr>
        <w:t>1. 一般约定</w:t>
      </w:r>
    </w:p>
    <w:p w14:paraId="672EC25D">
      <w:pPr>
        <w:pStyle w:val="261"/>
        <w:tabs>
          <w:tab w:val="left" w:pos="720"/>
        </w:tabs>
        <w:outlineLvl w:val="9"/>
      </w:pPr>
      <w:r>
        <w:rPr>
          <w:rFonts w:hint="eastAsia"/>
        </w:rPr>
        <w:t>1.1 词语定义</w:t>
      </w:r>
    </w:p>
    <w:p w14:paraId="66B69215">
      <w:pPr>
        <w:spacing w:line="400" w:lineRule="exact"/>
        <w:ind w:firstLine="420" w:firstLineChars="200"/>
      </w:pPr>
      <w:r>
        <w:rPr>
          <w:rFonts w:hint="eastAsia"/>
        </w:rPr>
        <w:t>通用合同条款、专用合同条款中的下列词语应具有本款所赋予的含义。</w:t>
      </w:r>
    </w:p>
    <w:p w14:paraId="1AA80675">
      <w:pPr>
        <w:spacing w:line="400" w:lineRule="exact"/>
        <w:ind w:firstLine="420" w:firstLineChars="200"/>
      </w:pPr>
      <w:r>
        <w:rPr>
          <w:rFonts w:hint="eastAsia"/>
        </w:rPr>
        <w:t xml:space="preserve">1.1.1 </w:t>
      </w:r>
      <w:r>
        <w:rPr>
          <w:rFonts w:hint="eastAsia" w:ascii="黑体" w:eastAsia="黑体"/>
        </w:rPr>
        <w:t>合同</w:t>
      </w:r>
    </w:p>
    <w:p w14:paraId="3E101E68">
      <w:pPr>
        <w:spacing w:line="400" w:lineRule="exact"/>
        <w:ind w:firstLine="718" w:firstLineChars="342"/>
      </w:pPr>
      <w:r>
        <w:rPr>
          <w:rFonts w:hint="eastAsia"/>
        </w:rPr>
        <w:t>1.1.1.1 合同文件（或称合同）：指合同协议书、中标通知书、投标函及投标函附录、专用合同条款、通用合同条款、技术标准和要求、图纸、已标价工程量清单，以及其他合同文件。</w:t>
      </w:r>
    </w:p>
    <w:p w14:paraId="45C5BC93">
      <w:pPr>
        <w:spacing w:line="400" w:lineRule="exact"/>
        <w:ind w:firstLine="718" w:firstLineChars="342"/>
      </w:pPr>
      <w:r>
        <w:rPr>
          <w:rFonts w:hint="eastAsia"/>
        </w:rPr>
        <w:t>1.1.1.2 合同协议书：指第1.5款所指的合同协议书。</w:t>
      </w:r>
    </w:p>
    <w:p w14:paraId="65265759">
      <w:pPr>
        <w:spacing w:line="400" w:lineRule="exact"/>
        <w:ind w:firstLine="718" w:firstLineChars="342"/>
      </w:pPr>
      <w:r>
        <w:rPr>
          <w:rFonts w:hint="eastAsia"/>
        </w:rPr>
        <w:t>1.1.1.3 中标通知书：指甲方通知乙方中标的函件。</w:t>
      </w:r>
    </w:p>
    <w:p w14:paraId="07CA0003">
      <w:pPr>
        <w:spacing w:line="400" w:lineRule="exact"/>
        <w:ind w:firstLine="718" w:firstLineChars="342"/>
        <w:rPr>
          <w:dstrike/>
          <w:szCs w:val="21"/>
        </w:rPr>
      </w:pPr>
      <w:r>
        <w:rPr>
          <w:rFonts w:hint="eastAsia"/>
        </w:rPr>
        <w:t>1.1.1.4 投标函：指构成合同文件组成部分的由乙方填写并签署的投标函。</w:t>
      </w:r>
    </w:p>
    <w:p w14:paraId="62D48272">
      <w:pPr>
        <w:spacing w:line="400" w:lineRule="exact"/>
        <w:ind w:firstLine="718" w:firstLineChars="342"/>
      </w:pPr>
      <w:r>
        <w:rPr>
          <w:rFonts w:hint="eastAsia"/>
        </w:rPr>
        <w:t>1.1.1.5 投标函附录：指附在投标函后构成合同文件的投标函附录。</w:t>
      </w:r>
    </w:p>
    <w:p w14:paraId="2C7E468E">
      <w:pPr>
        <w:spacing w:line="400" w:lineRule="exact"/>
        <w:ind w:firstLine="718" w:firstLineChars="342"/>
      </w:pPr>
      <w:r>
        <w:rPr>
          <w:rFonts w:hint="eastAsia"/>
        </w:rPr>
        <w:t>1.1.1.6 技术标准和要求：指构成合同文件组成部分的名为技术标准和要求的文件，包括合同双方当事人约定对其所作的修改或补充。</w:t>
      </w:r>
    </w:p>
    <w:p w14:paraId="324751D2">
      <w:pPr>
        <w:spacing w:line="400" w:lineRule="exact"/>
        <w:ind w:firstLine="718" w:firstLineChars="342"/>
      </w:pPr>
      <w:r>
        <w:rPr>
          <w:rFonts w:hint="eastAsia"/>
        </w:rPr>
        <w:t>1.1.1.7图纸：指包含在合同中的工程图纸，以及由甲方按合同约定提供的任何补充和修改的图纸，包括配套的说明。</w:t>
      </w:r>
    </w:p>
    <w:p w14:paraId="0F37107B">
      <w:pPr>
        <w:spacing w:line="400" w:lineRule="exact"/>
        <w:ind w:firstLine="718" w:firstLineChars="342"/>
      </w:pPr>
      <w:r>
        <w:rPr>
          <w:rFonts w:hint="eastAsia"/>
        </w:rPr>
        <w:t>1.1.1.8 已标价工程量清单：指构成合同文件组成部分的由乙方按照规定的格式和要求填写并标明价格的工程量清单。</w:t>
      </w:r>
    </w:p>
    <w:p w14:paraId="0B234423">
      <w:pPr>
        <w:spacing w:line="400" w:lineRule="exact"/>
        <w:ind w:firstLine="718" w:firstLineChars="342"/>
      </w:pPr>
      <w:r>
        <w:rPr>
          <w:rFonts w:hint="eastAsia"/>
        </w:rPr>
        <w:t>1.1.1.9 其他合同文件：指经合同双方当事人确认构成合同文件的其他文件。</w:t>
      </w:r>
    </w:p>
    <w:p w14:paraId="663C3C37">
      <w:pPr>
        <w:spacing w:line="400" w:lineRule="exact"/>
        <w:ind w:firstLine="420" w:firstLineChars="200"/>
      </w:pPr>
      <w:r>
        <w:rPr>
          <w:rFonts w:hint="eastAsia"/>
        </w:rPr>
        <w:t xml:space="preserve">1.1.2 </w:t>
      </w:r>
      <w:r>
        <w:rPr>
          <w:rFonts w:hint="eastAsia" w:ascii="黑体" w:eastAsia="黑体"/>
        </w:rPr>
        <w:t>合同当事人和人员</w:t>
      </w:r>
    </w:p>
    <w:p w14:paraId="06236CEB">
      <w:pPr>
        <w:spacing w:line="400" w:lineRule="exact"/>
        <w:ind w:firstLine="718" w:firstLineChars="342"/>
      </w:pPr>
      <w:r>
        <w:rPr>
          <w:rFonts w:hint="eastAsia"/>
        </w:rPr>
        <w:t>1.1.2.1 合同当事人:指甲方和（或）乙方。</w:t>
      </w:r>
    </w:p>
    <w:p w14:paraId="1727AE20">
      <w:pPr>
        <w:spacing w:line="400" w:lineRule="exact"/>
        <w:ind w:firstLine="718" w:firstLineChars="342"/>
      </w:pPr>
      <w:r>
        <w:rPr>
          <w:rFonts w:hint="eastAsia"/>
        </w:rPr>
        <w:t>1.1.2.2 甲方：指专用合同条款中指明并与乙方在合同协议书中签字的当事人。</w:t>
      </w:r>
    </w:p>
    <w:p w14:paraId="06362612">
      <w:pPr>
        <w:spacing w:line="400" w:lineRule="exact"/>
        <w:ind w:firstLine="718" w:firstLineChars="342"/>
      </w:pPr>
      <w:r>
        <w:rPr>
          <w:rFonts w:hint="eastAsia"/>
        </w:rPr>
        <w:t>1.1.2.3 乙方：指与甲方签订合同协议书的当事人。</w:t>
      </w:r>
    </w:p>
    <w:p w14:paraId="07F8787C">
      <w:pPr>
        <w:spacing w:line="400" w:lineRule="exact"/>
        <w:ind w:firstLine="718" w:firstLineChars="342"/>
      </w:pPr>
      <w:r>
        <w:rPr>
          <w:rFonts w:hint="eastAsia"/>
        </w:rPr>
        <w:t>1.1.2.4 乙方项目经理：指乙方派驻施工场地的全权负责人。</w:t>
      </w:r>
    </w:p>
    <w:p w14:paraId="1CE83B0A">
      <w:pPr>
        <w:spacing w:line="400" w:lineRule="exact"/>
        <w:ind w:firstLine="718" w:firstLineChars="342"/>
      </w:pPr>
      <w:r>
        <w:rPr>
          <w:rFonts w:hint="eastAsia"/>
        </w:rPr>
        <w:t>1.1.2.5 分包人：指从乙方处分包合同中某一部分工程，并与其签订分包合同的分包人。</w:t>
      </w:r>
    </w:p>
    <w:p w14:paraId="75D397D9">
      <w:pPr>
        <w:spacing w:line="400" w:lineRule="exact"/>
        <w:ind w:firstLine="718" w:firstLineChars="342"/>
      </w:pPr>
      <w:r>
        <w:rPr>
          <w:rFonts w:hint="eastAsia"/>
        </w:rPr>
        <w:t>1.1.2.6 监理人：指在专用合同条款中指明的，受甲方委托对合同履行实施管理的法人或其他组织。</w:t>
      </w:r>
    </w:p>
    <w:p w14:paraId="622510B9">
      <w:pPr>
        <w:spacing w:line="400" w:lineRule="exact"/>
        <w:ind w:firstLine="718" w:firstLineChars="342"/>
      </w:pPr>
      <w:r>
        <w:rPr>
          <w:rFonts w:hint="eastAsia"/>
        </w:rPr>
        <w:t>1.1.2.7 总监理工程师（总监）：指由监理人委派常驻施工场地对合同履行实施管理的全权负责人。</w:t>
      </w:r>
    </w:p>
    <w:p w14:paraId="062E185F">
      <w:pPr>
        <w:spacing w:line="400" w:lineRule="exact"/>
        <w:ind w:firstLine="420" w:firstLineChars="200"/>
      </w:pPr>
      <w:r>
        <w:rPr>
          <w:rFonts w:hint="eastAsia"/>
        </w:rPr>
        <w:t xml:space="preserve">1.1.3 </w:t>
      </w:r>
      <w:r>
        <w:rPr>
          <w:rFonts w:hint="eastAsia" w:ascii="黑体" w:eastAsia="黑体"/>
        </w:rPr>
        <w:t>工程和设备</w:t>
      </w:r>
    </w:p>
    <w:p w14:paraId="46F9944E">
      <w:pPr>
        <w:spacing w:line="400" w:lineRule="exact"/>
        <w:ind w:firstLine="718" w:firstLineChars="342"/>
      </w:pPr>
      <w:r>
        <w:rPr>
          <w:rFonts w:hint="eastAsia"/>
        </w:rPr>
        <w:t>1.1.3.1 工程：指永久工程和（或）临时工程。</w:t>
      </w:r>
    </w:p>
    <w:p w14:paraId="29B16617">
      <w:pPr>
        <w:spacing w:line="400" w:lineRule="exact"/>
        <w:ind w:firstLine="718" w:firstLineChars="342"/>
      </w:pPr>
      <w:r>
        <w:rPr>
          <w:rFonts w:hint="eastAsia"/>
        </w:rPr>
        <w:t>1.1.3.2 永久工程：指按合同约定建造并移交给甲方的工程，包括工程设备。</w:t>
      </w:r>
    </w:p>
    <w:p w14:paraId="66EFCB46">
      <w:pPr>
        <w:spacing w:line="400" w:lineRule="exact"/>
        <w:ind w:firstLine="718" w:firstLineChars="342"/>
      </w:pPr>
      <w:r>
        <w:rPr>
          <w:rFonts w:hint="eastAsia"/>
        </w:rPr>
        <w:t>1.1.3.3 临时工程：指为完成合同约定的永久工程所修建的各类临时性工程，不包括施工设备。</w:t>
      </w:r>
    </w:p>
    <w:p w14:paraId="12D55A73">
      <w:pPr>
        <w:spacing w:line="400" w:lineRule="exact"/>
        <w:ind w:firstLine="718" w:firstLineChars="342"/>
      </w:pPr>
      <w:r>
        <w:rPr>
          <w:rFonts w:hint="eastAsia"/>
        </w:rPr>
        <w:t>1.1.3.4 单位工程：指专用合同条款中指明特定范围的永久工程。</w:t>
      </w:r>
    </w:p>
    <w:p w14:paraId="611F5373">
      <w:pPr>
        <w:spacing w:line="400" w:lineRule="exact"/>
        <w:ind w:firstLine="718" w:firstLineChars="342"/>
      </w:pPr>
      <w:r>
        <w:rPr>
          <w:rFonts w:hint="eastAsia"/>
        </w:rPr>
        <w:t>1.1.3.5 工程设备：指构成或计划构成永久工程一部分的机电设备、金属结构设备、仪器装置及其他类似的设备和装置。</w:t>
      </w:r>
    </w:p>
    <w:p w14:paraId="4E4393EA">
      <w:pPr>
        <w:spacing w:line="400" w:lineRule="exact"/>
        <w:ind w:firstLine="718" w:firstLineChars="342"/>
      </w:pPr>
      <w:r>
        <w:rPr>
          <w:rFonts w:hint="eastAsia"/>
        </w:rPr>
        <w:t>1.1.3.6 施工设备：指为完成合同约定的各项工作所需的设备、器具和其他物品，不包括临时工程和材料。</w:t>
      </w:r>
    </w:p>
    <w:p w14:paraId="3301C0F4">
      <w:pPr>
        <w:spacing w:line="400" w:lineRule="exact"/>
        <w:ind w:firstLine="718" w:firstLineChars="342"/>
      </w:pPr>
      <w:r>
        <w:rPr>
          <w:rFonts w:hint="eastAsia"/>
        </w:rPr>
        <w:t>1.1.3.7 临时设施：指为完成合同约定的各项工作所服务的临时性生产和生活设施。</w:t>
      </w:r>
    </w:p>
    <w:p w14:paraId="10D410A2">
      <w:pPr>
        <w:spacing w:line="400" w:lineRule="exact"/>
        <w:ind w:firstLine="718" w:firstLineChars="342"/>
      </w:pPr>
      <w:r>
        <w:rPr>
          <w:rFonts w:hint="eastAsia"/>
        </w:rPr>
        <w:t>1.1.3.8 乙方设备：指乙方自带的施工设备。</w:t>
      </w:r>
    </w:p>
    <w:p w14:paraId="0EF49C9E">
      <w:pPr>
        <w:spacing w:line="400" w:lineRule="exact"/>
        <w:ind w:firstLine="718" w:firstLineChars="342"/>
      </w:pPr>
      <w:r>
        <w:rPr>
          <w:rFonts w:hint="eastAsia"/>
        </w:rPr>
        <w:t>1.1.3.9 施工场地（或称工地、现场）：指用于合同工程施工的场所，以及在合同中指定作为施工场地组成部分的其他场所，包括永久占地和临时占地。</w:t>
      </w:r>
    </w:p>
    <w:p w14:paraId="02A50D29">
      <w:pPr>
        <w:spacing w:line="400" w:lineRule="exact"/>
        <w:ind w:firstLine="718" w:firstLineChars="342"/>
      </w:pPr>
      <w:r>
        <w:rPr>
          <w:rFonts w:hint="eastAsia"/>
        </w:rPr>
        <w:t>1.1.3.10 永久占地：指专用合同条款中指明为实施合同工程需永久占用的土地。</w:t>
      </w:r>
    </w:p>
    <w:p w14:paraId="77037C41">
      <w:pPr>
        <w:spacing w:line="400" w:lineRule="exact"/>
        <w:ind w:firstLine="718" w:firstLineChars="342"/>
      </w:pPr>
      <w:r>
        <w:rPr>
          <w:rFonts w:hint="eastAsia"/>
        </w:rPr>
        <w:t>1.1.3.11 临时占地：指专用合同条款中指明为实施合同工程需临时占用的土地。</w:t>
      </w:r>
    </w:p>
    <w:p w14:paraId="7E9D7C21">
      <w:pPr>
        <w:spacing w:line="400" w:lineRule="exact"/>
        <w:ind w:firstLine="420" w:firstLineChars="200"/>
      </w:pPr>
      <w:r>
        <w:rPr>
          <w:rFonts w:hint="eastAsia"/>
        </w:rPr>
        <w:t xml:space="preserve">1.1.4 </w:t>
      </w:r>
      <w:r>
        <w:rPr>
          <w:rFonts w:hint="eastAsia" w:ascii="黑体" w:eastAsia="黑体"/>
        </w:rPr>
        <w:t>日期</w:t>
      </w:r>
    </w:p>
    <w:p w14:paraId="27BCAEEF">
      <w:pPr>
        <w:spacing w:line="400" w:lineRule="exact"/>
        <w:ind w:firstLine="718" w:firstLineChars="342"/>
      </w:pPr>
      <w:r>
        <w:rPr>
          <w:rFonts w:hint="eastAsia"/>
        </w:rPr>
        <w:t>1.1.4.1 开工通知：指监理人按第11.1款通知乙方开工的函件。</w:t>
      </w:r>
    </w:p>
    <w:p w14:paraId="4A38FFF6">
      <w:pPr>
        <w:spacing w:line="400" w:lineRule="exact"/>
        <w:ind w:firstLine="718" w:firstLineChars="342"/>
      </w:pPr>
      <w:r>
        <w:rPr>
          <w:rFonts w:hint="eastAsia"/>
        </w:rPr>
        <w:t>1.1.4.2 开工日期：指监理人按第11.1款发出的开工通知中写明的开工日期。</w:t>
      </w:r>
    </w:p>
    <w:p w14:paraId="41EF061F">
      <w:pPr>
        <w:spacing w:line="400" w:lineRule="exact"/>
        <w:ind w:firstLine="718" w:firstLineChars="342"/>
      </w:pPr>
      <w:r>
        <w:rPr>
          <w:rFonts w:hint="eastAsia"/>
        </w:rPr>
        <w:t>1.1.4.3工期：指乙方在投标函中承诺的完成合同工程所需的期限，包括按第11.3款、第11.4款和第11.6款约定所作的变更。</w:t>
      </w:r>
    </w:p>
    <w:p w14:paraId="263F2A94">
      <w:pPr>
        <w:spacing w:line="400" w:lineRule="exact"/>
        <w:ind w:firstLine="718" w:firstLineChars="342"/>
      </w:pPr>
      <w:r>
        <w:rPr>
          <w:rFonts w:hint="eastAsia"/>
        </w:rPr>
        <w:t>1.1.4.4 竣工日期：指第1.1.4.3目约定工期届满时的日期。实际竣工日期以工程接收证书中写明的日期为准。</w:t>
      </w:r>
    </w:p>
    <w:p w14:paraId="4E39E6B1">
      <w:pPr>
        <w:spacing w:line="400" w:lineRule="exact"/>
        <w:ind w:firstLine="718" w:firstLineChars="342"/>
      </w:pPr>
      <w:r>
        <w:rPr>
          <w:rFonts w:hint="eastAsia"/>
        </w:rPr>
        <w:t>1.1.4.5 缺陷责任期：指履行第19.2款约定的缺陷责任的期限，具体期限由专用合同条款约定，包括根据第19.3款约定所作的延长。</w:t>
      </w:r>
    </w:p>
    <w:p w14:paraId="759F50D7">
      <w:pPr>
        <w:spacing w:line="400" w:lineRule="exact"/>
        <w:ind w:firstLine="718" w:firstLineChars="342"/>
      </w:pPr>
      <w:r>
        <w:rPr>
          <w:rFonts w:hint="eastAsia"/>
        </w:rPr>
        <w:t>1.1.4.6 基准日期：指投标截止时间前28天的日期。</w:t>
      </w:r>
    </w:p>
    <w:p w14:paraId="669FD875">
      <w:pPr>
        <w:spacing w:line="400" w:lineRule="exact"/>
        <w:ind w:firstLine="718" w:firstLineChars="342"/>
      </w:pPr>
      <w:r>
        <w:rPr>
          <w:rFonts w:hint="eastAsia"/>
        </w:rPr>
        <w:t>1.1.4.7 天：除特别指明外，指日历天。合同中按天计算时间的，开始当天不计入，从次日开始计算。期限最后一天的截止时间为当天24:00。</w:t>
      </w:r>
    </w:p>
    <w:p w14:paraId="3DC3C510">
      <w:pPr>
        <w:spacing w:line="400" w:lineRule="exact"/>
        <w:ind w:firstLine="420" w:firstLineChars="200"/>
      </w:pPr>
      <w:r>
        <w:rPr>
          <w:rFonts w:hint="eastAsia"/>
        </w:rPr>
        <w:t xml:space="preserve">1.1.5 </w:t>
      </w:r>
      <w:r>
        <w:rPr>
          <w:rFonts w:hint="eastAsia" w:ascii="黑体" w:eastAsia="黑体"/>
        </w:rPr>
        <w:t>合同价格和费用</w:t>
      </w:r>
    </w:p>
    <w:p w14:paraId="643494C9">
      <w:pPr>
        <w:spacing w:line="400" w:lineRule="exact"/>
        <w:ind w:firstLine="718" w:firstLineChars="342"/>
      </w:pPr>
      <w:r>
        <w:rPr>
          <w:rFonts w:hint="eastAsia"/>
        </w:rPr>
        <w:t>1.1.5.1 签约合同价：指签定合同时合同协议书中写明的，包括了暂列金额、暂估价的合同总金额。</w:t>
      </w:r>
    </w:p>
    <w:p w14:paraId="79F9082C">
      <w:pPr>
        <w:spacing w:line="400" w:lineRule="exact"/>
        <w:ind w:firstLine="718" w:firstLineChars="342"/>
      </w:pPr>
      <w:r>
        <w:rPr>
          <w:rFonts w:hint="eastAsia"/>
        </w:rPr>
        <w:t>1.1.5.2 合同价格：指乙方按合同约定完成了包括缺陷责任期内的全部承包工作后，甲方应付给乙方的金额，包括在履行合同过程中按合同约定进行的变更和调整。</w:t>
      </w:r>
    </w:p>
    <w:p w14:paraId="7E6BC3CA">
      <w:pPr>
        <w:spacing w:line="400" w:lineRule="exact"/>
        <w:ind w:firstLine="718" w:firstLineChars="342"/>
      </w:pPr>
      <w:r>
        <w:rPr>
          <w:rFonts w:hint="eastAsia"/>
        </w:rPr>
        <w:t>1.1.5.3 费用：指为履行合同所发生的或将要发生的所有合理开支，包括管理费和应分摊的其他费用，但不包括利润。</w:t>
      </w:r>
    </w:p>
    <w:p w14:paraId="234377DA">
      <w:pPr>
        <w:spacing w:line="400" w:lineRule="exact"/>
        <w:ind w:firstLine="718" w:firstLineChars="342"/>
      </w:pPr>
      <w:r>
        <w:rPr>
          <w:rFonts w:hint="eastAsia"/>
        </w:rPr>
        <w:t>1.1.5.4 暂列金额：指已标价工程量清单中所列的暂列金额，用于在签订协议书时尚未确定或不可预见变更的施工及其所需材料、工程设备、服务等的金额，包括以计日工方式支付的金额。</w:t>
      </w:r>
    </w:p>
    <w:p w14:paraId="70C3579C">
      <w:pPr>
        <w:spacing w:line="400" w:lineRule="exact"/>
        <w:ind w:firstLine="718" w:firstLineChars="342"/>
      </w:pPr>
      <w:r>
        <w:rPr>
          <w:rFonts w:hint="eastAsia"/>
        </w:rPr>
        <w:t>1.1.5.5暂估价：指甲方在工程量清单中给定的用于支付必然发生但暂时不能确定价格的材料、设备以及专业工程的金额。</w:t>
      </w:r>
    </w:p>
    <w:p w14:paraId="03CF30B3">
      <w:pPr>
        <w:spacing w:line="400" w:lineRule="exact"/>
        <w:ind w:firstLine="718" w:firstLineChars="342"/>
      </w:pPr>
      <w:r>
        <w:rPr>
          <w:rFonts w:hint="eastAsia"/>
        </w:rPr>
        <w:t>1.1.5.6 计日工：指对零星工作采取的一种计价方式，按合同中的计日工子目及其单价计价付款。</w:t>
      </w:r>
    </w:p>
    <w:p w14:paraId="3684A9AF">
      <w:pPr>
        <w:spacing w:line="400" w:lineRule="exact"/>
        <w:ind w:firstLine="718" w:firstLineChars="342"/>
      </w:pPr>
      <w:r>
        <w:rPr>
          <w:rFonts w:hint="eastAsia"/>
        </w:rPr>
        <w:t>1.1.5.7 质量保证金（或称保留金）：指按第17.4.1项约定用于保证在缺陷责任期内履行缺陷修复义务的金额。</w:t>
      </w:r>
    </w:p>
    <w:p w14:paraId="50425286">
      <w:pPr>
        <w:spacing w:line="400" w:lineRule="exact"/>
        <w:ind w:firstLine="420" w:firstLineChars="200"/>
      </w:pPr>
      <w:r>
        <w:rPr>
          <w:rFonts w:hint="eastAsia"/>
        </w:rPr>
        <w:t xml:space="preserve">1.1.6 </w:t>
      </w:r>
      <w:r>
        <w:rPr>
          <w:rFonts w:hint="eastAsia" w:ascii="黑体" w:eastAsia="黑体"/>
        </w:rPr>
        <w:t>其他</w:t>
      </w:r>
    </w:p>
    <w:p w14:paraId="29AB2988">
      <w:pPr>
        <w:spacing w:line="400" w:lineRule="exact"/>
        <w:ind w:firstLine="718" w:firstLineChars="342"/>
      </w:pPr>
      <w:r>
        <w:rPr>
          <w:rFonts w:hint="eastAsia"/>
        </w:rPr>
        <w:t>1.1.6.1 书面形式：指合同文件、信函、电报、传真等可以有形地表现所载内容的形式。</w:t>
      </w:r>
    </w:p>
    <w:p w14:paraId="6D0E8F03">
      <w:pPr>
        <w:pStyle w:val="261"/>
        <w:tabs>
          <w:tab w:val="left" w:pos="720"/>
        </w:tabs>
        <w:outlineLvl w:val="9"/>
      </w:pPr>
      <w:r>
        <w:rPr>
          <w:rFonts w:hint="eastAsia"/>
        </w:rPr>
        <w:t>1.2 语言文字</w:t>
      </w:r>
    </w:p>
    <w:p w14:paraId="1D2FCD49">
      <w:pPr>
        <w:spacing w:line="400" w:lineRule="exact"/>
        <w:ind w:firstLine="420" w:firstLineChars="200"/>
      </w:pPr>
      <w:r>
        <w:rPr>
          <w:rFonts w:hint="eastAsia"/>
        </w:rPr>
        <w:t>除专用术语外，合同使用的语言文字为中文。必要时专用术语应附有中文注释。</w:t>
      </w:r>
    </w:p>
    <w:p w14:paraId="5A6C5946">
      <w:pPr>
        <w:pStyle w:val="261"/>
        <w:tabs>
          <w:tab w:val="left" w:pos="720"/>
        </w:tabs>
        <w:outlineLvl w:val="9"/>
      </w:pPr>
      <w:r>
        <w:rPr>
          <w:rFonts w:hint="eastAsia"/>
        </w:rPr>
        <w:t>1.3 法律</w:t>
      </w:r>
    </w:p>
    <w:p w14:paraId="238B1B47">
      <w:pPr>
        <w:spacing w:line="400" w:lineRule="exact"/>
        <w:ind w:firstLine="420" w:firstLineChars="200"/>
      </w:pPr>
      <w:r>
        <w:rPr>
          <w:rFonts w:hint="eastAsia"/>
        </w:rPr>
        <w:t>适用于合同的法律包括中华人民共和国法律、行政法规、部门规章，以及工程所在地的地方法规、自治条例、单行条例和地方政府规章。</w:t>
      </w:r>
    </w:p>
    <w:p w14:paraId="44105527">
      <w:pPr>
        <w:pStyle w:val="261"/>
        <w:tabs>
          <w:tab w:val="left" w:pos="720"/>
        </w:tabs>
        <w:outlineLvl w:val="9"/>
      </w:pPr>
      <w:r>
        <w:rPr>
          <w:rFonts w:hint="eastAsia"/>
        </w:rPr>
        <w:t>1.4 合同文件的优先顺序</w:t>
      </w:r>
    </w:p>
    <w:p w14:paraId="6504627D">
      <w:pPr>
        <w:spacing w:line="400" w:lineRule="exact"/>
        <w:ind w:firstLine="420" w:firstLineChars="200"/>
      </w:pPr>
      <w:r>
        <w:rPr>
          <w:rFonts w:hint="eastAsia"/>
        </w:rPr>
        <w:t>组成合同的各项文件应互相解释，互为说明。除专用合同条款另有约定外，解释合同文件的优先顺序如下：</w:t>
      </w:r>
    </w:p>
    <w:p w14:paraId="7C441776">
      <w:pPr>
        <w:spacing w:line="400" w:lineRule="exact"/>
        <w:ind w:firstLine="359" w:firstLineChars="171"/>
      </w:pPr>
      <w:r>
        <w:rPr>
          <w:rFonts w:hint="eastAsia"/>
        </w:rPr>
        <w:t>（1）合同协议书；</w:t>
      </w:r>
    </w:p>
    <w:p w14:paraId="2927A6E7">
      <w:pPr>
        <w:spacing w:line="400" w:lineRule="exact"/>
        <w:ind w:firstLine="359" w:firstLineChars="171"/>
      </w:pPr>
      <w:r>
        <w:rPr>
          <w:rFonts w:hint="eastAsia"/>
        </w:rPr>
        <w:t>（2）中标通知书；</w:t>
      </w:r>
    </w:p>
    <w:p w14:paraId="43BD4A8F">
      <w:pPr>
        <w:spacing w:line="400" w:lineRule="exact"/>
        <w:ind w:firstLine="359" w:firstLineChars="171"/>
      </w:pPr>
      <w:r>
        <w:rPr>
          <w:rFonts w:hint="eastAsia"/>
        </w:rPr>
        <w:t>（3）投标函及投标函附录；</w:t>
      </w:r>
    </w:p>
    <w:p w14:paraId="6FDF0DEA">
      <w:pPr>
        <w:spacing w:line="400" w:lineRule="exact"/>
        <w:ind w:firstLine="359" w:firstLineChars="171"/>
      </w:pPr>
      <w:r>
        <w:rPr>
          <w:rFonts w:hint="eastAsia"/>
        </w:rPr>
        <w:t>（4）专用合同条款；</w:t>
      </w:r>
    </w:p>
    <w:p w14:paraId="6E4FBF3E">
      <w:pPr>
        <w:spacing w:line="400" w:lineRule="exact"/>
        <w:ind w:firstLine="359" w:firstLineChars="171"/>
      </w:pPr>
      <w:r>
        <w:rPr>
          <w:rFonts w:hint="eastAsia"/>
        </w:rPr>
        <w:t>（5）通用合同条款；</w:t>
      </w:r>
    </w:p>
    <w:p w14:paraId="3EC80C50">
      <w:pPr>
        <w:spacing w:line="400" w:lineRule="exact"/>
        <w:ind w:firstLine="359" w:firstLineChars="171"/>
      </w:pPr>
      <w:r>
        <w:rPr>
          <w:rFonts w:hint="eastAsia"/>
        </w:rPr>
        <w:t>（6）技术标准和要求；</w:t>
      </w:r>
    </w:p>
    <w:p w14:paraId="589CDB09">
      <w:pPr>
        <w:spacing w:line="400" w:lineRule="exact"/>
        <w:ind w:firstLine="359" w:firstLineChars="171"/>
      </w:pPr>
      <w:r>
        <w:rPr>
          <w:rFonts w:hint="eastAsia"/>
        </w:rPr>
        <w:t>（7）图纸；</w:t>
      </w:r>
    </w:p>
    <w:p w14:paraId="22762F4E">
      <w:pPr>
        <w:spacing w:line="400" w:lineRule="exact"/>
        <w:ind w:firstLine="359" w:firstLineChars="171"/>
      </w:pPr>
      <w:r>
        <w:rPr>
          <w:rFonts w:hint="eastAsia"/>
        </w:rPr>
        <w:t>（8）已标价工程量清单；</w:t>
      </w:r>
    </w:p>
    <w:p w14:paraId="45F12B2F">
      <w:pPr>
        <w:spacing w:line="400" w:lineRule="exact"/>
        <w:ind w:firstLine="359" w:firstLineChars="171"/>
      </w:pPr>
      <w:r>
        <w:rPr>
          <w:rFonts w:hint="eastAsia"/>
        </w:rPr>
        <w:t>（9）其他合同文件。</w:t>
      </w:r>
    </w:p>
    <w:p w14:paraId="65AA79D4">
      <w:pPr>
        <w:pStyle w:val="261"/>
        <w:tabs>
          <w:tab w:val="left" w:pos="720"/>
        </w:tabs>
        <w:outlineLvl w:val="9"/>
      </w:pPr>
      <w:r>
        <w:rPr>
          <w:rFonts w:hint="eastAsia"/>
        </w:rPr>
        <w:t>1.5 合同协议书</w:t>
      </w:r>
    </w:p>
    <w:p w14:paraId="569B8DE5">
      <w:pPr>
        <w:spacing w:line="400" w:lineRule="exact"/>
        <w:ind w:firstLine="420" w:firstLineChars="200"/>
      </w:pPr>
      <w:r>
        <w:rPr>
          <w:rFonts w:hint="eastAsia"/>
        </w:rPr>
        <w:t>乙方按中标通知书规定的时间与甲方签订合同协议书。除法律另有规定或合同另有约定外，甲方和乙方的法定代表人或其委托代理人在合同协议书上签字并盖单位章后，合同生效。</w:t>
      </w:r>
    </w:p>
    <w:p w14:paraId="04A18533">
      <w:pPr>
        <w:pStyle w:val="261"/>
        <w:tabs>
          <w:tab w:val="left" w:pos="720"/>
        </w:tabs>
        <w:outlineLvl w:val="9"/>
      </w:pPr>
      <w:r>
        <w:rPr>
          <w:rFonts w:hint="eastAsia"/>
        </w:rPr>
        <w:t>1.6 图纸和乙方文件</w:t>
      </w:r>
    </w:p>
    <w:p w14:paraId="3E8432DD">
      <w:pPr>
        <w:spacing w:line="400" w:lineRule="exact"/>
        <w:ind w:firstLine="420" w:firstLineChars="200"/>
      </w:pPr>
      <w:r>
        <w:rPr>
          <w:rFonts w:hint="eastAsia"/>
        </w:rPr>
        <w:t>1.6.1</w:t>
      </w:r>
      <w:r>
        <w:rPr>
          <w:rFonts w:hint="eastAsia" w:ascii="黑体" w:eastAsia="黑体"/>
        </w:rPr>
        <w:t>图纸的提供</w:t>
      </w:r>
    </w:p>
    <w:p w14:paraId="5DA1BCA6">
      <w:pPr>
        <w:spacing w:line="400" w:lineRule="exact"/>
        <w:ind w:firstLine="420" w:firstLineChars="200"/>
      </w:pPr>
      <w:r>
        <w:rPr>
          <w:rFonts w:hint="eastAsia"/>
        </w:rPr>
        <w:t>除专用合同条款另有约定外，图纸应在合理的期限内按照合同约定的数量提供给乙方。由于甲方未按时提供图纸造成工期延误的，按第11.3款的约定办理。</w:t>
      </w:r>
    </w:p>
    <w:p w14:paraId="6C17FEDB">
      <w:pPr>
        <w:spacing w:line="400" w:lineRule="exact"/>
        <w:ind w:firstLine="420" w:firstLineChars="200"/>
      </w:pPr>
      <w:r>
        <w:rPr>
          <w:rFonts w:hint="eastAsia"/>
        </w:rPr>
        <w:t xml:space="preserve">1.6.2 </w:t>
      </w:r>
      <w:r>
        <w:rPr>
          <w:rFonts w:hint="eastAsia" w:ascii="黑体" w:eastAsia="黑体"/>
        </w:rPr>
        <w:t>乙方提供的文件</w:t>
      </w:r>
    </w:p>
    <w:p w14:paraId="632A62CF">
      <w:pPr>
        <w:spacing w:line="400" w:lineRule="exact"/>
      </w:pPr>
      <w:r>
        <w:rPr>
          <w:rFonts w:hint="eastAsia"/>
        </w:rPr>
        <w:t>　　按专用合同条款约定由乙方提供的文件，包括部分工程的大样图、加工图等，乙方应按约定的数量和期限报送监理人。监理人应在专用合同条款约定的期限内批复。</w:t>
      </w:r>
    </w:p>
    <w:p w14:paraId="42DB1D86">
      <w:pPr>
        <w:spacing w:line="400" w:lineRule="exact"/>
        <w:ind w:firstLine="420" w:firstLineChars="200"/>
      </w:pPr>
      <w:r>
        <w:rPr>
          <w:rFonts w:hint="eastAsia"/>
        </w:rPr>
        <w:t xml:space="preserve">1.6.3 </w:t>
      </w:r>
      <w:r>
        <w:rPr>
          <w:rFonts w:hint="eastAsia" w:ascii="黑体" w:eastAsia="黑体"/>
        </w:rPr>
        <w:t>图纸的修改</w:t>
      </w:r>
    </w:p>
    <w:p w14:paraId="6B4D240A">
      <w:pPr>
        <w:spacing w:line="400" w:lineRule="exact"/>
        <w:ind w:firstLine="420" w:firstLineChars="200"/>
      </w:pPr>
      <w:r>
        <w:rPr>
          <w:rFonts w:hint="eastAsia"/>
        </w:rPr>
        <w:t>图纸需要修改和补充的，应由监理人取得甲方同意后，在该工程或工程相应部位施工前的合理期限内签发图纸修改图给乙方，具体签发期限在专用合同条款中约定。乙方应按修改后的图纸施工。</w:t>
      </w:r>
    </w:p>
    <w:p w14:paraId="0AB43440">
      <w:pPr>
        <w:spacing w:line="400" w:lineRule="exact"/>
        <w:ind w:firstLine="420" w:firstLineChars="200"/>
      </w:pPr>
      <w:r>
        <w:rPr>
          <w:rFonts w:hint="eastAsia"/>
        </w:rPr>
        <w:t xml:space="preserve">1.6.4 </w:t>
      </w:r>
      <w:r>
        <w:rPr>
          <w:rFonts w:hint="eastAsia" w:ascii="黑体" w:eastAsia="黑体"/>
        </w:rPr>
        <w:t>图纸的错误</w:t>
      </w:r>
    </w:p>
    <w:p w14:paraId="00CFC5D2">
      <w:pPr>
        <w:spacing w:line="400" w:lineRule="exact"/>
        <w:ind w:firstLine="420" w:firstLineChars="200"/>
      </w:pPr>
      <w:r>
        <w:rPr>
          <w:rFonts w:hint="eastAsia"/>
        </w:rPr>
        <w:t>乙方发现甲方提供的图纸存在明显错误或疏忽，应及时通知监理人。</w:t>
      </w:r>
    </w:p>
    <w:p w14:paraId="19EC709A">
      <w:pPr>
        <w:spacing w:line="400" w:lineRule="exact"/>
        <w:ind w:firstLine="420" w:firstLineChars="200"/>
      </w:pPr>
      <w:r>
        <w:rPr>
          <w:rFonts w:hint="eastAsia"/>
        </w:rPr>
        <w:t xml:space="preserve">1.6.5 </w:t>
      </w:r>
      <w:r>
        <w:rPr>
          <w:rFonts w:hint="eastAsia" w:ascii="黑体" w:eastAsia="黑体"/>
        </w:rPr>
        <w:t>图纸和乙方文件的保管</w:t>
      </w:r>
    </w:p>
    <w:p w14:paraId="191CF106">
      <w:pPr>
        <w:spacing w:line="400" w:lineRule="exact"/>
        <w:ind w:firstLine="420" w:firstLineChars="200"/>
      </w:pPr>
      <w:r>
        <w:rPr>
          <w:rFonts w:hint="eastAsia"/>
        </w:rPr>
        <w:t>监理人和乙方均应在施工场地各保存一套完整的包含第1.6.1项、第1.6.2项、第1.6.3项约定内容的图纸和乙方文件。</w:t>
      </w:r>
    </w:p>
    <w:p w14:paraId="39D60D7A">
      <w:pPr>
        <w:pStyle w:val="261"/>
        <w:tabs>
          <w:tab w:val="left" w:pos="720"/>
        </w:tabs>
        <w:outlineLvl w:val="9"/>
      </w:pPr>
      <w:r>
        <w:rPr>
          <w:rFonts w:hint="eastAsia"/>
        </w:rPr>
        <w:t>1.7 联络</w:t>
      </w:r>
    </w:p>
    <w:p w14:paraId="73AE7A3E">
      <w:pPr>
        <w:spacing w:line="400" w:lineRule="exact"/>
        <w:ind w:firstLine="420" w:firstLineChars="200"/>
      </w:pPr>
      <w:r>
        <w:rPr>
          <w:rFonts w:hint="eastAsia"/>
        </w:rPr>
        <w:t>1.7.1 与合同有关的通知、批准、证明、证书、指示、要求、请求、同意、意见、确定和决定等，均应采用书面形式。</w:t>
      </w:r>
    </w:p>
    <w:p w14:paraId="0743AF8E">
      <w:pPr>
        <w:spacing w:line="400" w:lineRule="exact"/>
        <w:ind w:firstLine="420" w:firstLineChars="200"/>
      </w:pPr>
      <w:r>
        <w:rPr>
          <w:rFonts w:hint="eastAsia"/>
        </w:rPr>
        <w:t>1.7.2 第1.7.1项中的通知、批准、证明、证书、指示、要求、请求、同意、意见、确定和决定等来往函件，均应在合同约定的期限内送达指定地点和接收人，并办理签收手续。</w:t>
      </w:r>
    </w:p>
    <w:p w14:paraId="075DD1D6">
      <w:pPr>
        <w:pStyle w:val="261"/>
        <w:tabs>
          <w:tab w:val="left" w:pos="720"/>
        </w:tabs>
        <w:outlineLvl w:val="9"/>
      </w:pPr>
      <w:r>
        <w:rPr>
          <w:rFonts w:hint="eastAsia"/>
        </w:rPr>
        <w:t>1.8 转让</w:t>
      </w:r>
    </w:p>
    <w:p w14:paraId="668C0781">
      <w:pPr>
        <w:spacing w:line="400" w:lineRule="exact"/>
        <w:ind w:firstLine="420" w:firstLineChars="200"/>
      </w:pPr>
      <w:r>
        <w:rPr>
          <w:rFonts w:hint="eastAsia"/>
        </w:rPr>
        <w:t>除合同另有约定外，未经对方当事人同意，一方当事人不得将合同权利全部或部分转让给第三人，也不得全部或部分转移合同义务。</w:t>
      </w:r>
    </w:p>
    <w:p w14:paraId="2085E5BA">
      <w:pPr>
        <w:pStyle w:val="261"/>
        <w:tabs>
          <w:tab w:val="left" w:pos="720"/>
        </w:tabs>
        <w:outlineLvl w:val="9"/>
      </w:pPr>
      <w:r>
        <w:rPr>
          <w:rFonts w:hint="eastAsia"/>
        </w:rPr>
        <w:t>1.9 严禁贿赂</w:t>
      </w:r>
    </w:p>
    <w:p w14:paraId="36F27966">
      <w:pPr>
        <w:spacing w:line="400" w:lineRule="exact"/>
        <w:ind w:firstLine="420" w:firstLineChars="200"/>
      </w:pPr>
      <w:r>
        <w:rPr>
          <w:rFonts w:hint="eastAsia"/>
        </w:rPr>
        <w:t>合同双方当事人不得以贿赂或变相贿赂的方式，谋取不当利益或损害对方权益。因贿赂造成对方损失的，行为人应赔偿损失，并承担相应的法律责任。</w:t>
      </w:r>
    </w:p>
    <w:p w14:paraId="37006797">
      <w:pPr>
        <w:pStyle w:val="261"/>
        <w:tabs>
          <w:tab w:val="left" w:pos="720"/>
        </w:tabs>
        <w:outlineLvl w:val="9"/>
      </w:pPr>
      <w:r>
        <w:rPr>
          <w:rFonts w:hint="eastAsia"/>
        </w:rPr>
        <w:t>1.10 化石、文物</w:t>
      </w:r>
    </w:p>
    <w:p w14:paraId="594CB201">
      <w:pPr>
        <w:spacing w:line="400" w:lineRule="exact"/>
        <w:ind w:firstLine="420" w:firstLineChars="200"/>
      </w:pPr>
      <w:r>
        <w:rPr>
          <w:rFonts w:hint="eastAsia"/>
        </w:rPr>
        <w:t>1.10.1 在施工场地发掘的所有文物、古迹以及具有地质研究或考古价值的其他遗迹、化石、钱币或物品属于国家所有。一旦发现上述文物，乙方应采取有效合理的保护措施，防止任何人员移动或损坏上述物品，并立即报告当地文物行政部门，同时通知监理人。甲方、监理人和乙方应按文物行政部门要求采取妥善保护措施，由此导致费用增加和（或）工期延误由甲方承担。</w:t>
      </w:r>
    </w:p>
    <w:p w14:paraId="554A4F40">
      <w:pPr>
        <w:spacing w:line="400" w:lineRule="exact"/>
        <w:ind w:firstLine="420" w:firstLineChars="200"/>
      </w:pPr>
      <w:r>
        <w:rPr>
          <w:rFonts w:hint="eastAsia"/>
        </w:rPr>
        <w:t>1.10.2 乙方发现文物后不及时报告或隐瞒不报，致使文物丢失或损坏的，应赔偿损失，并承担相应的法律责任。</w:t>
      </w:r>
    </w:p>
    <w:p w14:paraId="16DE6082">
      <w:pPr>
        <w:pStyle w:val="261"/>
        <w:tabs>
          <w:tab w:val="left" w:pos="720"/>
        </w:tabs>
        <w:outlineLvl w:val="9"/>
      </w:pPr>
      <w:r>
        <w:rPr>
          <w:rFonts w:hint="eastAsia"/>
        </w:rPr>
        <w:t>1.11 专利技术</w:t>
      </w:r>
    </w:p>
    <w:p w14:paraId="2745F697">
      <w:pPr>
        <w:spacing w:line="400" w:lineRule="exact"/>
        <w:ind w:firstLine="420" w:firstLineChars="200"/>
      </w:pPr>
      <w:r>
        <w:rPr>
          <w:rFonts w:hint="eastAsia"/>
        </w:rPr>
        <w:t>1.11.1 乙方在使用任何材料、乙方设备、工程设备或采用施工工艺时，因侵犯专利权或其他知识产权所引起的责任，由乙方承担，但由于遵照甲方提供的设计或技术标准和要求引起的除外。</w:t>
      </w:r>
    </w:p>
    <w:p w14:paraId="4BF03DB7">
      <w:pPr>
        <w:spacing w:line="400" w:lineRule="exact"/>
        <w:ind w:firstLine="420" w:firstLineChars="200"/>
      </w:pPr>
      <w:r>
        <w:rPr>
          <w:rFonts w:hint="eastAsia"/>
        </w:rPr>
        <w:t>1.11.2 乙方在投标文件中采用专利技术的，专利技术的使用费包含在投标报价内。</w:t>
      </w:r>
    </w:p>
    <w:p w14:paraId="2634AF9C">
      <w:pPr>
        <w:spacing w:line="400" w:lineRule="exact"/>
        <w:ind w:firstLine="420" w:firstLineChars="200"/>
      </w:pPr>
      <w:r>
        <w:rPr>
          <w:rFonts w:hint="eastAsia"/>
        </w:rPr>
        <w:t>1.11.3 乙方的技术秘密和声明需要保密的资料和信息，甲方和监理人不得为合同以外的目的泄露给他人。</w:t>
      </w:r>
    </w:p>
    <w:p w14:paraId="3559BE3A">
      <w:pPr>
        <w:pStyle w:val="261"/>
        <w:tabs>
          <w:tab w:val="left" w:pos="720"/>
        </w:tabs>
        <w:outlineLvl w:val="9"/>
      </w:pPr>
      <w:r>
        <w:rPr>
          <w:rFonts w:hint="eastAsia"/>
        </w:rPr>
        <w:t>1.12 图纸和文件的保密</w:t>
      </w:r>
    </w:p>
    <w:p w14:paraId="6C5F679F">
      <w:pPr>
        <w:spacing w:line="400" w:lineRule="exact"/>
        <w:ind w:firstLine="420" w:firstLineChars="200"/>
      </w:pPr>
      <w:r>
        <w:rPr>
          <w:rFonts w:hint="eastAsia"/>
        </w:rPr>
        <w:t>1.12.1 甲方提供的图纸和文件，未经甲方同意，乙方不得为合同以外的目的泄露给他人或公开发表与引用。</w:t>
      </w:r>
    </w:p>
    <w:p w14:paraId="67C6DEDB">
      <w:pPr>
        <w:spacing w:line="400" w:lineRule="exact"/>
        <w:ind w:firstLine="420" w:firstLineChars="200"/>
      </w:pPr>
      <w:r>
        <w:rPr>
          <w:rFonts w:hint="eastAsia"/>
        </w:rPr>
        <w:t>1.12.2 乙方提供的文件，未经乙方同意，甲方和监理人不得为合同以外的目的泄露给他人或公开发表与引用。</w:t>
      </w:r>
    </w:p>
    <w:p w14:paraId="741EB7F7">
      <w:pPr>
        <w:pStyle w:val="260"/>
        <w:spacing w:before="0"/>
        <w:outlineLvl w:val="9"/>
      </w:pPr>
      <w:r>
        <w:rPr>
          <w:rFonts w:hint="eastAsia"/>
        </w:rPr>
        <w:t>2. 甲方义务</w:t>
      </w:r>
    </w:p>
    <w:p w14:paraId="78FBDB30">
      <w:pPr>
        <w:pStyle w:val="261"/>
        <w:tabs>
          <w:tab w:val="left" w:pos="720"/>
        </w:tabs>
        <w:outlineLvl w:val="9"/>
      </w:pPr>
      <w:r>
        <w:rPr>
          <w:rFonts w:hint="eastAsia"/>
        </w:rPr>
        <w:t>2.1 遵守法律</w:t>
      </w:r>
    </w:p>
    <w:p w14:paraId="0696B252">
      <w:pPr>
        <w:spacing w:line="400" w:lineRule="exact"/>
        <w:ind w:firstLine="420" w:firstLineChars="200"/>
      </w:pPr>
      <w:r>
        <w:rPr>
          <w:rFonts w:hint="eastAsia"/>
        </w:rPr>
        <w:t>甲方在履行合同过程中应遵守法律，并保证乙方免于承担因甲方违反法律而引起的任何责任。</w:t>
      </w:r>
    </w:p>
    <w:p w14:paraId="6908262E">
      <w:pPr>
        <w:pStyle w:val="261"/>
        <w:tabs>
          <w:tab w:val="left" w:pos="720"/>
        </w:tabs>
        <w:outlineLvl w:val="9"/>
      </w:pPr>
      <w:r>
        <w:rPr>
          <w:rFonts w:hint="eastAsia"/>
        </w:rPr>
        <w:t>2.2 发出开工通知</w:t>
      </w:r>
    </w:p>
    <w:p w14:paraId="7CC5774D">
      <w:pPr>
        <w:spacing w:line="400" w:lineRule="exact"/>
        <w:ind w:firstLine="420" w:firstLineChars="200"/>
      </w:pPr>
      <w:r>
        <w:rPr>
          <w:rFonts w:hint="eastAsia"/>
        </w:rPr>
        <w:t>甲方应委托监理人按第11.1款的约定向乙方发出开工通知。</w:t>
      </w:r>
    </w:p>
    <w:p w14:paraId="47D27421">
      <w:pPr>
        <w:pStyle w:val="261"/>
        <w:tabs>
          <w:tab w:val="left" w:pos="720"/>
        </w:tabs>
        <w:outlineLvl w:val="9"/>
      </w:pPr>
      <w:r>
        <w:rPr>
          <w:rFonts w:hint="eastAsia"/>
        </w:rPr>
        <w:t>2.3 提供施工场地</w:t>
      </w:r>
    </w:p>
    <w:p w14:paraId="45D09B72">
      <w:pPr>
        <w:spacing w:line="400" w:lineRule="exact"/>
        <w:ind w:firstLine="420" w:firstLineChars="200"/>
      </w:pPr>
      <w:r>
        <w:rPr>
          <w:rFonts w:hint="eastAsia"/>
        </w:rPr>
        <w:t>甲方应按专用合同条款约定向乙方提供施工场地，以及施工场地内地下管线和地下设施等有关资料，并保证资料的真实、准确、完整。</w:t>
      </w:r>
    </w:p>
    <w:p w14:paraId="7139E184">
      <w:pPr>
        <w:pStyle w:val="261"/>
        <w:tabs>
          <w:tab w:val="left" w:pos="720"/>
        </w:tabs>
        <w:outlineLvl w:val="9"/>
      </w:pPr>
      <w:r>
        <w:rPr>
          <w:rFonts w:hint="eastAsia"/>
        </w:rPr>
        <w:t>2.4 协助乙方办理证件和批件</w:t>
      </w:r>
    </w:p>
    <w:p w14:paraId="1F413270">
      <w:pPr>
        <w:spacing w:line="400" w:lineRule="exact"/>
        <w:ind w:firstLine="420" w:firstLineChars="200"/>
      </w:pPr>
      <w:r>
        <w:rPr>
          <w:rFonts w:hint="eastAsia"/>
        </w:rPr>
        <w:t>甲方应协助乙方办理法律规定的有关施工证件和批件。</w:t>
      </w:r>
    </w:p>
    <w:p w14:paraId="65C7D064">
      <w:pPr>
        <w:pStyle w:val="261"/>
        <w:tabs>
          <w:tab w:val="left" w:pos="720"/>
        </w:tabs>
        <w:outlineLvl w:val="9"/>
      </w:pPr>
      <w:r>
        <w:rPr>
          <w:rFonts w:hint="eastAsia"/>
        </w:rPr>
        <w:t>2.5 组织设计交底</w:t>
      </w:r>
    </w:p>
    <w:p w14:paraId="16035B6A">
      <w:pPr>
        <w:spacing w:line="400" w:lineRule="exact"/>
        <w:ind w:firstLine="420" w:firstLineChars="200"/>
      </w:pPr>
      <w:r>
        <w:rPr>
          <w:rFonts w:hint="eastAsia"/>
        </w:rPr>
        <w:t>甲方应根据合同进度计划，组织设计单位向乙方进行设计交底。</w:t>
      </w:r>
    </w:p>
    <w:p w14:paraId="77C903B6">
      <w:pPr>
        <w:pStyle w:val="261"/>
        <w:tabs>
          <w:tab w:val="left" w:pos="720"/>
        </w:tabs>
        <w:outlineLvl w:val="9"/>
      </w:pPr>
      <w:r>
        <w:rPr>
          <w:rFonts w:hint="eastAsia"/>
        </w:rPr>
        <w:t>2.6 支付合同价款</w:t>
      </w:r>
    </w:p>
    <w:p w14:paraId="760EED1E">
      <w:pPr>
        <w:spacing w:line="400" w:lineRule="exact"/>
        <w:ind w:firstLine="420" w:firstLineChars="200"/>
      </w:pPr>
      <w:r>
        <w:rPr>
          <w:rFonts w:hint="eastAsia"/>
        </w:rPr>
        <w:t>甲方应按合同约定向乙方及时支付合同价款。</w:t>
      </w:r>
    </w:p>
    <w:p w14:paraId="2858CE8F">
      <w:pPr>
        <w:pStyle w:val="261"/>
        <w:tabs>
          <w:tab w:val="left" w:pos="720"/>
        </w:tabs>
        <w:outlineLvl w:val="9"/>
      </w:pPr>
      <w:r>
        <w:rPr>
          <w:rFonts w:hint="eastAsia"/>
        </w:rPr>
        <w:t>2.7 组织竣工验收</w:t>
      </w:r>
    </w:p>
    <w:p w14:paraId="3B33D35F">
      <w:pPr>
        <w:spacing w:line="400" w:lineRule="exact"/>
        <w:ind w:firstLine="420" w:firstLineChars="200"/>
      </w:pPr>
      <w:r>
        <w:rPr>
          <w:rFonts w:hint="eastAsia"/>
        </w:rPr>
        <w:t>甲方应按合同约定及时组织竣工验收。</w:t>
      </w:r>
    </w:p>
    <w:p w14:paraId="64BCAB90">
      <w:pPr>
        <w:pStyle w:val="261"/>
        <w:tabs>
          <w:tab w:val="left" w:pos="720"/>
        </w:tabs>
        <w:outlineLvl w:val="9"/>
      </w:pPr>
      <w:r>
        <w:rPr>
          <w:rFonts w:hint="eastAsia"/>
        </w:rPr>
        <w:t>2.8 其他义务</w:t>
      </w:r>
    </w:p>
    <w:p w14:paraId="64ABD7F2">
      <w:pPr>
        <w:spacing w:line="400" w:lineRule="exact"/>
        <w:ind w:firstLine="420" w:firstLineChars="200"/>
      </w:pPr>
      <w:r>
        <w:rPr>
          <w:rFonts w:hint="eastAsia"/>
        </w:rPr>
        <w:t>甲方应履行合同约定的其他义务。</w:t>
      </w:r>
    </w:p>
    <w:p w14:paraId="580BC625">
      <w:pPr>
        <w:pStyle w:val="260"/>
        <w:spacing w:before="0"/>
        <w:outlineLvl w:val="9"/>
      </w:pPr>
      <w:r>
        <w:rPr>
          <w:rFonts w:hint="eastAsia"/>
        </w:rPr>
        <w:t>3. 监理人</w:t>
      </w:r>
    </w:p>
    <w:p w14:paraId="1AD0AC06">
      <w:pPr>
        <w:pStyle w:val="261"/>
        <w:tabs>
          <w:tab w:val="left" w:pos="720"/>
        </w:tabs>
        <w:outlineLvl w:val="9"/>
      </w:pPr>
      <w:r>
        <w:rPr>
          <w:rFonts w:hint="eastAsia"/>
        </w:rPr>
        <w:t>3.1 监理人的职责和权力</w:t>
      </w:r>
    </w:p>
    <w:p w14:paraId="5626B8DE">
      <w:pPr>
        <w:spacing w:line="400" w:lineRule="exact"/>
        <w:ind w:firstLine="420" w:firstLineChars="200"/>
      </w:pPr>
      <w:r>
        <w:rPr>
          <w:rFonts w:hint="eastAsia"/>
        </w:rPr>
        <w:t>3.1.1 监理人受甲方委托，享有合同约定的权力。监理人在行使某项权力前需要经甲方事先批准而通用合同条款没有指明的，应在专用合同条款中指明。</w:t>
      </w:r>
    </w:p>
    <w:p w14:paraId="48E61328">
      <w:pPr>
        <w:spacing w:line="400" w:lineRule="exact"/>
        <w:ind w:firstLine="420" w:firstLineChars="200"/>
      </w:pPr>
      <w:r>
        <w:rPr>
          <w:rFonts w:hint="eastAsia"/>
        </w:rPr>
        <w:t>3.1.2 监理人发出的任何指示应视为已得到甲方的批准，但监理人无权免除或变更合同约定的甲方和乙方的权利、义务和责任。</w:t>
      </w:r>
    </w:p>
    <w:p w14:paraId="7D3CDA35">
      <w:pPr>
        <w:spacing w:line="400" w:lineRule="exact"/>
        <w:ind w:firstLine="420" w:firstLineChars="200"/>
      </w:pPr>
      <w:r>
        <w:rPr>
          <w:rFonts w:hint="eastAsia"/>
        </w:rPr>
        <w:t>3.1.3 合同约定应由乙方承担的义务和责任，不因监理人对乙方提交文件的审查或批准，对工程、材料和设备的检查和检验，以及为实施监理作出的指示等职务行为而减轻或解除。</w:t>
      </w:r>
    </w:p>
    <w:p w14:paraId="4CEAE025">
      <w:pPr>
        <w:pStyle w:val="261"/>
        <w:tabs>
          <w:tab w:val="left" w:pos="720"/>
        </w:tabs>
        <w:outlineLvl w:val="9"/>
      </w:pPr>
      <w:r>
        <w:rPr>
          <w:rFonts w:hint="eastAsia"/>
        </w:rPr>
        <w:t>3.2 总监理工程师</w:t>
      </w:r>
    </w:p>
    <w:p w14:paraId="379F4825">
      <w:pPr>
        <w:spacing w:line="400" w:lineRule="exact"/>
        <w:ind w:firstLine="420" w:firstLineChars="200"/>
      </w:pPr>
      <w:r>
        <w:rPr>
          <w:rFonts w:hint="eastAsia"/>
        </w:rPr>
        <w:t>甲方应在发出开工通知前将总监理工程师的任命通知乙方。总监理工程师更换时，应在调离14天前通知乙方。总监理工程师短期离开施工场地的，应委派代表代行其职责，并通知乙方。</w:t>
      </w:r>
    </w:p>
    <w:p w14:paraId="34FACDDD">
      <w:pPr>
        <w:pStyle w:val="261"/>
        <w:tabs>
          <w:tab w:val="left" w:pos="720"/>
        </w:tabs>
        <w:outlineLvl w:val="9"/>
      </w:pPr>
      <w:r>
        <w:rPr>
          <w:rFonts w:hint="eastAsia"/>
        </w:rPr>
        <w:t>3.3 监理人员</w:t>
      </w:r>
    </w:p>
    <w:p w14:paraId="6DD6D604">
      <w:pPr>
        <w:spacing w:line="400" w:lineRule="exact"/>
        <w:ind w:firstLine="420" w:firstLineChars="200"/>
      </w:pPr>
      <w:r>
        <w:rPr>
          <w:rFonts w:hint="eastAsia"/>
        </w:rPr>
        <w:t>3.3.1 总监理工程师可以授权其他监理人员负责执行其指派的一项或多项监理工作。总监理工程师应将被授权监理人员的姓名及其授权范围通知乙方。被授权的监理人员在授权范围内发出的指示视为已得到总监理工程师的同意，与总监理工程师发出的指示具有同等效力。总监理工程师撤销某项授权时，应将撤销授权的决定及时通知乙方。</w:t>
      </w:r>
    </w:p>
    <w:p w14:paraId="6C56B790">
      <w:pPr>
        <w:spacing w:line="400" w:lineRule="exact"/>
        <w:ind w:firstLine="420" w:firstLineChars="200"/>
      </w:pPr>
      <w:r>
        <w:rPr>
          <w:rFonts w:hint="eastAsia"/>
        </w:rPr>
        <w:t>3.3.2 监理人员对乙方的任何工作、工程或其采用的材料和工程设备未在约定的或合理的期限内提出否定意见的，视为已获批准，但不影响监理人在以后拒绝该项工作、工程、材料或工程设备的权利。</w:t>
      </w:r>
    </w:p>
    <w:p w14:paraId="485FBFD8">
      <w:pPr>
        <w:spacing w:line="400" w:lineRule="exact"/>
        <w:ind w:firstLine="420" w:firstLineChars="200"/>
      </w:pPr>
      <w:r>
        <w:rPr>
          <w:rFonts w:hint="eastAsia"/>
        </w:rPr>
        <w:t>3.3.3 乙方对总监理工程师授权的监理人员发出的指示有疑问的，可向总监理工程师提出书面异议，总监理工程师应在48小时内对该指示予以确认、更改或撤销。</w:t>
      </w:r>
    </w:p>
    <w:p w14:paraId="104FE848">
      <w:pPr>
        <w:spacing w:line="400" w:lineRule="exact"/>
        <w:ind w:firstLine="420" w:firstLineChars="200"/>
      </w:pPr>
      <w:r>
        <w:rPr>
          <w:rFonts w:hint="eastAsia"/>
        </w:rPr>
        <w:t>3.3.4 除专用合同条款另有约定外，总监理工程师不应将第3.5款约定应由总监理工程师作出确定的权力授权或委托给其他监理人员。</w:t>
      </w:r>
    </w:p>
    <w:p w14:paraId="5DB793D3">
      <w:pPr>
        <w:pStyle w:val="261"/>
        <w:tabs>
          <w:tab w:val="left" w:pos="720"/>
        </w:tabs>
        <w:outlineLvl w:val="9"/>
      </w:pPr>
      <w:r>
        <w:rPr>
          <w:rFonts w:hint="eastAsia"/>
        </w:rPr>
        <w:t>3.4 监理人的指示</w:t>
      </w:r>
    </w:p>
    <w:p w14:paraId="6B6B9C19">
      <w:pPr>
        <w:spacing w:line="400" w:lineRule="exact"/>
        <w:ind w:firstLine="420" w:firstLineChars="200"/>
      </w:pPr>
      <w:r>
        <w:rPr>
          <w:rFonts w:hint="eastAsia"/>
        </w:rPr>
        <w:t>3.4.1 监理人应按第3.1款的约定向乙方发出指示，监理人的指示应盖有监理人授权的施工场地机构章，并由总监理工程师或总监理工程师按第3.3.1项约定授权的监理人员签字。</w:t>
      </w:r>
    </w:p>
    <w:p w14:paraId="2E9FDF75">
      <w:pPr>
        <w:spacing w:line="400" w:lineRule="exact"/>
        <w:ind w:firstLine="420" w:firstLineChars="200"/>
      </w:pPr>
      <w:r>
        <w:rPr>
          <w:rFonts w:hint="eastAsia"/>
        </w:rPr>
        <w:t>3.4.2 乙方收到监理人按第3.4.1项作出的指示后应遵照执行。指示构成变更的，应按第15条处理。</w:t>
      </w:r>
    </w:p>
    <w:p w14:paraId="4BE5EDAA">
      <w:pPr>
        <w:spacing w:line="400" w:lineRule="exact"/>
        <w:ind w:firstLine="420" w:firstLineChars="200"/>
      </w:pPr>
      <w:r>
        <w:rPr>
          <w:rFonts w:hint="eastAsia"/>
        </w:rPr>
        <w:t>3.4.3 在紧急情况下，总监理工程师或被授权的监理人员可以当场签发临时书面指示，乙方应遵照执行。乙方应在收到上述临时书面指示后24小时内，向监理人发出书面确认函。监理人在收到书面确认函后24小时内未予答复的，该书面确认函应被视为监理人的正式指示。</w:t>
      </w:r>
    </w:p>
    <w:p w14:paraId="67854E31">
      <w:pPr>
        <w:spacing w:line="400" w:lineRule="exact"/>
        <w:ind w:firstLine="420" w:firstLineChars="200"/>
      </w:pPr>
      <w:r>
        <w:rPr>
          <w:rFonts w:hint="eastAsia"/>
        </w:rPr>
        <w:t>3.4.4 除合同另有约定外，乙方只从总监理工程师或按第3.3.1项被授权的监理人员处取得指示。</w:t>
      </w:r>
    </w:p>
    <w:p w14:paraId="3642C7EF">
      <w:pPr>
        <w:spacing w:line="400" w:lineRule="exact"/>
        <w:ind w:firstLine="420" w:firstLineChars="200"/>
      </w:pPr>
      <w:r>
        <w:rPr>
          <w:rFonts w:hint="eastAsia"/>
        </w:rPr>
        <w:t>3.4.5 由于监理人未能按合同约定发出指示、指示延误或指示错误而导致乙方费用增加和（或）工期延误的，由甲方承担赔偿责任。</w:t>
      </w:r>
    </w:p>
    <w:p w14:paraId="7BCC5338">
      <w:pPr>
        <w:pStyle w:val="261"/>
        <w:tabs>
          <w:tab w:val="left" w:pos="720"/>
        </w:tabs>
        <w:outlineLvl w:val="9"/>
      </w:pPr>
      <w:r>
        <w:rPr>
          <w:rFonts w:hint="eastAsia"/>
        </w:rPr>
        <w:t>3.5 商定或确定</w:t>
      </w:r>
    </w:p>
    <w:p w14:paraId="5140C36E">
      <w:pPr>
        <w:spacing w:line="400" w:lineRule="exact"/>
        <w:ind w:firstLine="420" w:firstLineChars="200"/>
      </w:pPr>
      <w:r>
        <w:rPr>
          <w:rFonts w:hint="eastAsia"/>
        </w:rPr>
        <w:t>3.5.1合同约定总监理工程师应按照本款对任何事项进行商定或确定时，总监理工程师应与合同当事人协商，尽量达成一致。不能达成一致的，总监理工程师应认真研究后审慎确定。</w:t>
      </w:r>
    </w:p>
    <w:p w14:paraId="35F876A3">
      <w:pPr>
        <w:spacing w:line="400" w:lineRule="exact"/>
        <w:ind w:firstLine="420" w:firstLineChars="200"/>
      </w:pPr>
      <w:r>
        <w:rPr>
          <w:rFonts w:hint="eastAsia"/>
        </w:rPr>
        <w:t>3.5.2 总监理工程师应将商定或确定的事项通知合同当事人，并附详细依据。对总监理工程师的确定有异议的，构成争议，按照第24条的约定处理。在争议解决前，双方应暂按总监理工程师的确定执行，按照第24条的约定对总监理工程师的确定作出修改的，按修改后的结果执行。</w:t>
      </w:r>
    </w:p>
    <w:p w14:paraId="66E250EF">
      <w:pPr>
        <w:pStyle w:val="260"/>
        <w:spacing w:before="0"/>
        <w:outlineLvl w:val="9"/>
      </w:pPr>
      <w:r>
        <w:rPr>
          <w:rFonts w:hint="eastAsia"/>
        </w:rPr>
        <w:t>4. 乙方</w:t>
      </w:r>
    </w:p>
    <w:p w14:paraId="4BEF4B22">
      <w:pPr>
        <w:pStyle w:val="261"/>
        <w:tabs>
          <w:tab w:val="left" w:pos="720"/>
        </w:tabs>
        <w:outlineLvl w:val="9"/>
      </w:pPr>
      <w:r>
        <w:rPr>
          <w:rFonts w:hint="eastAsia"/>
        </w:rPr>
        <w:t>4.1 乙方的一般义务</w:t>
      </w:r>
    </w:p>
    <w:p w14:paraId="369C266C">
      <w:pPr>
        <w:spacing w:line="400" w:lineRule="exact"/>
        <w:ind w:firstLine="420" w:firstLineChars="200"/>
      </w:pPr>
      <w:r>
        <w:rPr>
          <w:rFonts w:hint="eastAsia"/>
        </w:rPr>
        <w:t xml:space="preserve">4.1.1 </w:t>
      </w:r>
      <w:r>
        <w:rPr>
          <w:rFonts w:hint="eastAsia" w:ascii="黑体" w:eastAsia="黑体"/>
        </w:rPr>
        <w:t>遵守法律</w:t>
      </w:r>
    </w:p>
    <w:p w14:paraId="42A090FC">
      <w:pPr>
        <w:spacing w:line="400" w:lineRule="exact"/>
        <w:ind w:firstLine="420" w:firstLineChars="200"/>
      </w:pPr>
      <w:r>
        <w:rPr>
          <w:rFonts w:hint="eastAsia"/>
        </w:rPr>
        <w:t>乙方在履行合同过程中应遵守法律，并保证甲方免于承担因乙方违反法律而引起的任何责任。</w:t>
      </w:r>
    </w:p>
    <w:p w14:paraId="41D752B8">
      <w:pPr>
        <w:spacing w:line="400" w:lineRule="exact"/>
        <w:ind w:firstLine="420" w:firstLineChars="200"/>
      </w:pPr>
      <w:r>
        <w:rPr>
          <w:rFonts w:hint="eastAsia"/>
        </w:rPr>
        <w:t xml:space="preserve">4.1.2 </w:t>
      </w:r>
      <w:r>
        <w:rPr>
          <w:rFonts w:hint="eastAsia" w:ascii="黑体" w:eastAsia="黑体"/>
        </w:rPr>
        <w:t>依法纳税</w:t>
      </w:r>
    </w:p>
    <w:p w14:paraId="3C375784">
      <w:pPr>
        <w:spacing w:line="400" w:lineRule="exact"/>
        <w:ind w:firstLine="420" w:firstLineChars="200"/>
      </w:pPr>
      <w:r>
        <w:rPr>
          <w:rFonts w:hint="eastAsia"/>
        </w:rPr>
        <w:t>乙方应按有关法律规定纳税，应缴纳的税金包括在合同价格内。</w:t>
      </w:r>
    </w:p>
    <w:p w14:paraId="745A3990">
      <w:pPr>
        <w:spacing w:line="400" w:lineRule="exact"/>
        <w:ind w:firstLine="420" w:firstLineChars="200"/>
      </w:pPr>
      <w:r>
        <w:rPr>
          <w:rFonts w:hint="eastAsia"/>
        </w:rPr>
        <w:t xml:space="preserve">4.1.3 </w:t>
      </w:r>
      <w:r>
        <w:rPr>
          <w:rFonts w:hint="eastAsia" w:ascii="黑体" w:eastAsia="黑体"/>
        </w:rPr>
        <w:t>完成各项承包工作</w:t>
      </w:r>
    </w:p>
    <w:p w14:paraId="1130731E">
      <w:pPr>
        <w:spacing w:line="400" w:lineRule="exact"/>
        <w:ind w:firstLine="420" w:firstLineChars="200"/>
      </w:pPr>
      <w:r>
        <w:rPr>
          <w:rFonts w:hint="eastAsia"/>
        </w:rPr>
        <w:t>乙方应按合同约定以及监理人根据第3.4款作出的指示，实施、完成全部工程，并修补工程中的任何缺陷。除专用合同条款另有约定外，乙方应提供为完成合同工作所需的劳务、材料、施工设备、工程设备和其他物品，并按合同约定负责临时设施的设计、建造、运行、维护、管理和拆除。</w:t>
      </w:r>
    </w:p>
    <w:p w14:paraId="16B4E707">
      <w:pPr>
        <w:spacing w:line="400" w:lineRule="exact"/>
        <w:ind w:firstLine="420" w:firstLineChars="200"/>
      </w:pPr>
      <w:r>
        <w:rPr>
          <w:rFonts w:hint="eastAsia"/>
        </w:rPr>
        <w:t xml:space="preserve">4.1.4 </w:t>
      </w:r>
      <w:r>
        <w:rPr>
          <w:rFonts w:hint="eastAsia" w:ascii="黑体" w:eastAsia="黑体"/>
        </w:rPr>
        <w:t>对施工作业和施工方法的完备性负责</w:t>
      </w:r>
    </w:p>
    <w:p w14:paraId="1E2FB04C">
      <w:pPr>
        <w:spacing w:line="400" w:lineRule="exact"/>
        <w:ind w:firstLine="420" w:firstLineChars="200"/>
      </w:pPr>
      <w:r>
        <w:rPr>
          <w:rFonts w:hint="eastAsia"/>
        </w:rPr>
        <w:t>乙方应按合同约定的工作内容和施工进度要求，编制施工组织设计和施工措施计划，并对所有施工作业和施工方法的完备性和安全可靠性负责。</w:t>
      </w:r>
    </w:p>
    <w:p w14:paraId="0F6B39C2">
      <w:pPr>
        <w:spacing w:line="400" w:lineRule="exact"/>
        <w:ind w:firstLine="420" w:firstLineChars="200"/>
      </w:pPr>
      <w:r>
        <w:rPr>
          <w:rFonts w:hint="eastAsia"/>
        </w:rPr>
        <w:t xml:space="preserve">4.1.5 </w:t>
      </w:r>
      <w:r>
        <w:rPr>
          <w:rFonts w:hint="eastAsia" w:ascii="黑体" w:eastAsia="黑体"/>
        </w:rPr>
        <w:t>保证工程施工和人员的安全</w:t>
      </w:r>
    </w:p>
    <w:p w14:paraId="69EEE718">
      <w:pPr>
        <w:spacing w:line="400" w:lineRule="exact"/>
        <w:ind w:firstLine="420" w:firstLineChars="200"/>
      </w:pPr>
      <w:r>
        <w:rPr>
          <w:rFonts w:hint="eastAsia"/>
        </w:rPr>
        <w:t>乙方应按第9.2款约定采取施工安全措施，确保工程及其人员、材料、设备和设施的安全，防止因工程施工造成的人身伤害和财产损失。</w:t>
      </w:r>
    </w:p>
    <w:p w14:paraId="27FD19A6">
      <w:pPr>
        <w:spacing w:line="400" w:lineRule="exact"/>
        <w:ind w:firstLine="420" w:firstLineChars="200"/>
      </w:pPr>
      <w:r>
        <w:rPr>
          <w:rFonts w:hint="eastAsia"/>
        </w:rPr>
        <w:t xml:space="preserve">4.1.6 </w:t>
      </w:r>
      <w:r>
        <w:rPr>
          <w:rFonts w:hint="eastAsia" w:ascii="黑体" w:eastAsia="黑体"/>
        </w:rPr>
        <w:t>负责施工场地及其周边环境与生态的保护工作</w:t>
      </w:r>
    </w:p>
    <w:p w14:paraId="69CBDEB0">
      <w:pPr>
        <w:spacing w:line="400" w:lineRule="exact"/>
        <w:ind w:firstLine="420" w:firstLineChars="200"/>
      </w:pPr>
      <w:r>
        <w:rPr>
          <w:rFonts w:hint="eastAsia"/>
        </w:rPr>
        <w:t>乙方应按照第9.4款约定负责施工场地及其周边环境与生态的保护工作。</w:t>
      </w:r>
    </w:p>
    <w:p w14:paraId="4A061E29">
      <w:pPr>
        <w:spacing w:line="400" w:lineRule="exact"/>
        <w:ind w:firstLine="420" w:firstLineChars="200"/>
      </w:pPr>
      <w:r>
        <w:rPr>
          <w:rFonts w:hint="eastAsia"/>
        </w:rPr>
        <w:t xml:space="preserve">4.1.7 </w:t>
      </w:r>
      <w:r>
        <w:rPr>
          <w:rFonts w:hint="eastAsia" w:ascii="黑体" w:eastAsia="黑体"/>
        </w:rPr>
        <w:t>避免施工对公众与他人的利益造成损害</w:t>
      </w:r>
    </w:p>
    <w:p w14:paraId="18750713">
      <w:pPr>
        <w:spacing w:line="400" w:lineRule="exact"/>
        <w:ind w:firstLine="420" w:firstLineChars="200"/>
      </w:pPr>
      <w:r>
        <w:rPr>
          <w:rFonts w:hint="eastAsia"/>
        </w:rPr>
        <w:t>乙方在进行合同约定的各项工作时，不得侵害甲方与他人使用公用道路、水源、市政管网等公共设施的权利，避免对邻近的公共设施产生干扰。乙方占用或使用他人的施工场地，影响他人作业或生活的，应承担相应责任。</w:t>
      </w:r>
    </w:p>
    <w:p w14:paraId="7F4DAB8A">
      <w:pPr>
        <w:spacing w:line="400" w:lineRule="exact"/>
        <w:ind w:firstLine="420" w:firstLineChars="200"/>
      </w:pPr>
      <w:r>
        <w:rPr>
          <w:rFonts w:hint="eastAsia"/>
        </w:rPr>
        <w:t xml:space="preserve">4.1.8 </w:t>
      </w:r>
      <w:r>
        <w:rPr>
          <w:rFonts w:hint="eastAsia" w:ascii="黑体" w:eastAsia="黑体"/>
        </w:rPr>
        <w:t>为他人提供方便</w:t>
      </w:r>
    </w:p>
    <w:p w14:paraId="31BF4C2F">
      <w:pPr>
        <w:spacing w:line="400" w:lineRule="exact"/>
        <w:ind w:firstLine="420" w:firstLineChars="200"/>
      </w:pPr>
      <w:r>
        <w:rPr>
          <w:rFonts w:hint="eastAsia"/>
        </w:rPr>
        <w:t>乙方应按监理人的指示为他人在施工场地或附近实施与工程有关的其他各项工作提供可能的条件。除合同另有约定外，提供有关条件的内容和可能发生的费用，由监理人按第3.5款商定或确定。</w:t>
      </w:r>
    </w:p>
    <w:p w14:paraId="5CF94DB0">
      <w:pPr>
        <w:spacing w:line="400" w:lineRule="exact"/>
        <w:ind w:firstLine="420" w:firstLineChars="200"/>
      </w:pPr>
      <w:r>
        <w:rPr>
          <w:rFonts w:hint="eastAsia"/>
        </w:rPr>
        <w:t xml:space="preserve">4.1.9 </w:t>
      </w:r>
      <w:r>
        <w:rPr>
          <w:rFonts w:hint="eastAsia" w:ascii="黑体" w:eastAsia="黑体"/>
        </w:rPr>
        <w:t>工程的维护和照管</w:t>
      </w:r>
    </w:p>
    <w:p w14:paraId="4BF345D5">
      <w:pPr>
        <w:spacing w:line="400" w:lineRule="exact"/>
        <w:ind w:firstLine="420" w:firstLineChars="200"/>
      </w:pPr>
      <w:r>
        <w:rPr>
          <w:rFonts w:hint="eastAsia"/>
        </w:rPr>
        <w:t>工程接收证书颁发前，乙方应负责照管和维护工程。工程接收证书颁发时尚有部分未竣工工程的，乙方还应负责该未竣工工程的照管和维护工作，直至竣工后移交给甲方为止。</w:t>
      </w:r>
    </w:p>
    <w:p w14:paraId="70329DB6">
      <w:pPr>
        <w:spacing w:line="400" w:lineRule="exact"/>
        <w:ind w:firstLine="420" w:firstLineChars="200"/>
      </w:pPr>
      <w:r>
        <w:rPr>
          <w:rFonts w:hint="eastAsia"/>
        </w:rPr>
        <w:t xml:space="preserve">4.1.10 </w:t>
      </w:r>
      <w:r>
        <w:rPr>
          <w:rFonts w:hint="eastAsia" w:ascii="黑体" w:eastAsia="黑体"/>
        </w:rPr>
        <w:t>其他义务</w:t>
      </w:r>
    </w:p>
    <w:p w14:paraId="56704841">
      <w:pPr>
        <w:spacing w:line="400" w:lineRule="exact"/>
        <w:ind w:firstLine="420" w:firstLineChars="200"/>
      </w:pPr>
      <w:r>
        <w:rPr>
          <w:rFonts w:hint="eastAsia"/>
        </w:rPr>
        <w:t>乙方应履行合同约定的其他义务。</w:t>
      </w:r>
    </w:p>
    <w:p w14:paraId="619F109F">
      <w:pPr>
        <w:pStyle w:val="261"/>
        <w:tabs>
          <w:tab w:val="left" w:pos="720"/>
        </w:tabs>
        <w:outlineLvl w:val="9"/>
      </w:pPr>
      <w:r>
        <w:rPr>
          <w:rFonts w:hint="eastAsia"/>
        </w:rPr>
        <w:t>4.2 履约担保</w:t>
      </w:r>
    </w:p>
    <w:p w14:paraId="629EEFA0">
      <w:pPr>
        <w:spacing w:line="400" w:lineRule="exact"/>
        <w:ind w:firstLine="420" w:firstLineChars="200"/>
      </w:pPr>
      <w:r>
        <w:rPr>
          <w:rFonts w:hint="eastAsia"/>
        </w:rPr>
        <w:t>乙方应保证其履约担保在甲方颁发工程接收证书前一直有效。甲方应在工程接收证书颁发后28天内把履约担保退还给乙方。</w:t>
      </w:r>
    </w:p>
    <w:p w14:paraId="3A5CE423">
      <w:pPr>
        <w:pStyle w:val="261"/>
        <w:tabs>
          <w:tab w:val="left" w:pos="720"/>
        </w:tabs>
        <w:outlineLvl w:val="9"/>
      </w:pPr>
      <w:r>
        <w:rPr>
          <w:rFonts w:hint="eastAsia"/>
        </w:rPr>
        <w:t>4.3 分包</w:t>
      </w:r>
    </w:p>
    <w:p w14:paraId="3C471561">
      <w:pPr>
        <w:spacing w:line="400" w:lineRule="exact"/>
        <w:ind w:firstLine="420" w:firstLineChars="200"/>
      </w:pPr>
      <w:r>
        <w:rPr>
          <w:rFonts w:hint="eastAsia"/>
        </w:rPr>
        <w:t>4.3.1 乙方不得将其承包的全部工程转包给第三人，或将其承包的全部工程肢解后以分包的名义转包给第三人。</w:t>
      </w:r>
    </w:p>
    <w:p w14:paraId="14D8BA53">
      <w:pPr>
        <w:spacing w:line="400" w:lineRule="exact"/>
        <w:ind w:firstLine="420" w:firstLineChars="200"/>
      </w:pPr>
      <w:r>
        <w:rPr>
          <w:rFonts w:hint="eastAsia"/>
        </w:rPr>
        <w:t>4.3.2 乙方不得将工程主体、关键性工作分包给第三人。除专用合同条款另有约定外，未经甲方同意，乙方不得将工程的其他部分或工作分包给第三人。</w:t>
      </w:r>
    </w:p>
    <w:p w14:paraId="1ECB9DD1">
      <w:pPr>
        <w:spacing w:line="400" w:lineRule="exact"/>
        <w:ind w:firstLine="420" w:firstLineChars="200"/>
      </w:pPr>
      <w:r>
        <w:rPr>
          <w:rFonts w:hint="eastAsia"/>
        </w:rPr>
        <w:t>4.3.3 分包人的资格能力应与其分包工程的标准和规模相适应。</w:t>
      </w:r>
    </w:p>
    <w:p w14:paraId="10FCA856">
      <w:pPr>
        <w:spacing w:line="400" w:lineRule="exact"/>
        <w:ind w:firstLine="420" w:firstLineChars="200"/>
      </w:pPr>
      <w:r>
        <w:rPr>
          <w:rFonts w:hint="eastAsia"/>
        </w:rPr>
        <w:t>4.3.4 按投标函附录约定分包工程的，乙方应向甲方和监理人提交分包合同副本。</w:t>
      </w:r>
    </w:p>
    <w:p w14:paraId="3C671ED6">
      <w:pPr>
        <w:spacing w:line="400" w:lineRule="exact"/>
        <w:ind w:firstLine="420" w:firstLineChars="200"/>
      </w:pPr>
      <w:r>
        <w:rPr>
          <w:rFonts w:hint="eastAsia"/>
        </w:rPr>
        <w:t>4.3.5 乙方应与分包人就分包工程向甲方承担连带责任。</w:t>
      </w:r>
    </w:p>
    <w:p w14:paraId="28F5F83D">
      <w:pPr>
        <w:pStyle w:val="261"/>
        <w:tabs>
          <w:tab w:val="left" w:pos="720"/>
        </w:tabs>
        <w:outlineLvl w:val="9"/>
      </w:pPr>
      <w:r>
        <w:rPr>
          <w:rFonts w:hint="eastAsia"/>
        </w:rPr>
        <w:t>4.4 联合体</w:t>
      </w:r>
    </w:p>
    <w:p w14:paraId="3F5770B6">
      <w:pPr>
        <w:spacing w:line="400" w:lineRule="exact"/>
        <w:ind w:firstLine="420" w:firstLineChars="200"/>
      </w:pPr>
      <w:r>
        <w:rPr>
          <w:rFonts w:hint="eastAsia"/>
        </w:rPr>
        <w:t>4.4.1 联合体各方应共同与甲方签订合同协议书。联合体各方应为履行合同承担连带责任。</w:t>
      </w:r>
    </w:p>
    <w:p w14:paraId="1A6AEE47">
      <w:pPr>
        <w:spacing w:line="400" w:lineRule="exact"/>
        <w:ind w:firstLine="420" w:firstLineChars="200"/>
      </w:pPr>
      <w:r>
        <w:rPr>
          <w:rFonts w:hint="eastAsia"/>
        </w:rPr>
        <w:t>4.4.2 联合体协议经甲方确认后作为合同附件。在履行合同过程中，未经甲方同意，不得修改联合体协议。</w:t>
      </w:r>
    </w:p>
    <w:p w14:paraId="05DD1332">
      <w:pPr>
        <w:spacing w:line="400" w:lineRule="exact"/>
        <w:ind w:firstLine="420" w:firstLineChars="200"/>
      </w:pPr>
      <w:r>
        <w:rPr>
          <w:rFonts w:hint="eastAsia"/>
        </w:rPr>
        <w:t>4.4.3 联合体牵头人负责与甲方和监理人联系，并接受指示，负责组织联合体各成员全面履行合同。</w:t>
      </w:r>
    </w:p>
    <w:p w14:paraId="0D5F4005">
      <w:pPr>
        <w:pStyle w:val="261"/>
        <w:tabs>
          <w:tab w:val="left" w:pos="720"/>
        </w:tabs>
        <w:outlineLvl w:val="9"/>
      </w:pPr>
      <w:r>
        <w:rPr>
          <w:rFonts w:hint="eastAsia"/>
        </w:rPr>
        <w:t>4.5 乙方项目经理</w:t>
      </w:r>
    </w:p>
    <w:p w14:paraId="788B0F1F">
      <w:pPr>
        <w:spacing w:line="400" w:lineRule="exact"/>
        <w:ind w:firstLine="420" w:firstLineChars="200"/>
      </w:pPr>
      <w:r>
        <w:rPr>
          <w:rFonts w:hint="eastAsia"/>
        </w:rPr>
        <w:t>4.5.1乙方应按合同约定指派项目经理，并在约定的期限内到职。乙方更换项目经理应事先征得甲方同意，并应在更换14天前通知甲方和监理人。乙方项目经理短期离开施工场地，应事先征得监理人同意，并委派代表代行其职责。</w:t>
      </w:r>
    </w:p>
    <w:p w14:paraId="4DD8FFE0">
      <w:pPr>
        <w:spacing w:line="400" w:lineRule="exact"/>
        <w:ind w:firstLine="420" w:firstLineChars="200"/>
      </w:pPr>
      <w:r>
        <w:rPr>
          <w:rFonts w:hint="eastAsia"/>
        </w:rPr>
        <w:t>4.5.2 乙方项目经理应按合同约定以及监理人按第3.4款作出的指示，负责组织合同工程的实施。在情况紧急且无法与监理人取得联系时，可采取保证工程和人员生命财产安全的紧急措施，并在采取措施后24小时内向监理人提交书面报告。</w:t>
      </w:r>
    </w:p>
    <w:p w14:paraId="4311E833">
      <w:pPr>
        <w:spacing w:line="400" w:lineRule="exact"/>
        <w:ind w:firstLine="420" w:firstLineChars="200"/>
      </w:pPr>
      <w:r>
        <w:rPr>
          <w:rFonts w:hint="eastAsia"/>
        </w:rPr>
        <w:t>4.5.3乙方为履行合同发出的一切函件均应盖有乙方授权的施工场地管理机构章，并由乙方项目经理或其授权代表签字。</w:t>
      </w:r>
    </w:p>
    <w:p w14:paraId="77336591">
      <w:pPr>
        <w:spacing w:line="400" w:lineRule="exact"/>
        <w:ind w:firstLine="420" w:firstLineChars="200"/>
      </w:pPr>
      <w:r>
        <w:rPr>
          <w:rFonts w:hint="eastAsia"/>
        </w:rPr>
        <w:t>4.5.4 乙方项目经理可以授权其下属人员履行其某项职责，但事先应将这些人员的姓名和授权范围通知监理人。</w:t>
      </w:r>
    </w:p>
    <w:p w14:paraId="4104AD78">
      <w:pPr>
        <w:pStyle w:val="261"/>
        <w:tabs>
          <w:tab w:val="left" w:pos="720"/>
        </w:tabs>
        <w:outlineLvl w:val="9"/>
      </w:pPr>
      <w:r>
        <w:rPr>
          <w:rFonts w:hint="eastAsia"/>
        </w:rPr>
        <w:t>4.6 乙方人员的管理</w:t>
      </w:r>
    </w:p>
    <w:p w14:paraId="46E4A211">
      <w:pPr>
        <w:spacing w:line="400" w:lineRule="exact"/>
        <w:ind w:firstLine="420" w:firstLineChars="200"/>
      </w:pPr>
      <w:r>
        <w:rPr>
          <w:rFonts w:hint="eastAsia"/>
        </w:rPr>
        <w:t>4.6.1 乙方应在接到开工通知后28天内，向监理人提交乙方在施工场地的管理机构以及人员安排的报告，其内容应包括管理机构的设置、各主要岗位的技术和管理人员名单及其资格，以及各工种技术工人的安排状况。乙方应向监理人提交施工场地人员变动情况的报告。</w:t>
      </w:r>
    </w:p>
    <w:p w14:paraId="1B35E103">
      <w:pPr>
        <w:spacing w:line="400" w:lineRule="exact"/>
        <w:ind w:firstLine="420" w:firstLineChars="200"/>
      </w:pPr>
      <w:r>
        <w:rPr>
          <w:rFonts w:hint="eastAsia"/>
        </w:rPr>
        <w:t>4.6.2 为完成合同约定的各项工作，乙方应向施工场地派遣或雇佣足够数量的下列人员：</w:t>
      </w:r>
    </w:p>
    <w:p w14:paraId="3F49A252">
      <w:pPr>
        <w:spacing w:line="400" w:lineRule="exact"/>
        <w:ind w:firstLine="718" w:firstLineChars="342"/>
      </w:pPr>
      <w:r>
        <w:rPr>
          <w:rFonts w:hint="eastAsia"/>
        </w:rPr>
        <w:t>（1）具有相应资格的专业技工和合格的普工；</w:t>
      </w:r>
    </w:p>
    <w:p w14:paraId="1C96FEA7">
      <w:pPr>
        <w:spacing w:line="400" w:lineRule="exact"/>
        <w:ind w:firstLine="718" w:firstLineChars="342"/>
      </w:pPr>
      <w:r>
        <w:rPr>
          <w:rFonts w:hint="eastAsia"/>
        </w:rPr>
        <w:t>（2）具有相应施工经验的技术人员；</w:t>
      </w:r>
    </w:p>
    <w:p w14:paraId="30E12D29">
      <w:pPr>
        <w:spacing w:line="400" w:lineRule="exact"/>
        <w:ind w:firstLine="718" w:firstLineChars="342"/>
      </w:pPr>
      <w:r>
        <w:rPr>
          <w:rFonts w:hint="eastAsia"/>
        </w:rPr>
        <w:t>（3）具有相应岗位资格的各级管理人员。</w:t>
      </w:r>
    </w:p>
    <w:p w14:paraId="31AC7CA5">
      <w:pPr>
        <w:spacing w:line="400" w:lineRule="exact"/>
        <w:ind w:firstLine="420" w:firstLineChars="200"/>
      </w:pPr>
      <w:r>
        <w:rPr>
          <w:rFonts w:hint="eastAsia"/>
        </w:rPr>
        <w:t>4.6.3 乙方安排在施工场地的主要管理人员和技术骨干应相对稳定。乙方更换主要管理人员和技术骨干时，应取得监理人的同意。</w:t>
      </w:r>
    </w:p>
    <w:p w14:paraId="2ABECF14">
      <w:pPr>
        <w:spacing w:line="400" w:lineRule="exact"/>
        <w:ind w:firstLine="420" w:firstLineChars="200"/>
      </w:pPr>
      <w:r>
        <w:rPr>
          <w:rFonts w:hint="eastAsia"/>
        </w:rPr>
        <w:t>4.6.4 特殊岗位的工作人员均应持有相应的资格证明，监理人有权随时检查。监理人认为有必要时，可进行现场考核。</w:t>
      </w:r>
    </w:p>
    <w:p w14:paraId="6F4D2C1D">
      <w:pPr>
        <w:pStyle w:val="261"/>
        <w:tabs>
          <w:tab w:val="left" w:pos="720"/>
        </w:tabs>
        <w:outlineLvl w:val="9"/>
      </w:pPr>
      <w:r>
        <w:rPr>
          <w:rFonts w:hint="eastAsia"/>
        </w:rPr>
        <w:t>4.7 撤换乙方项目经理和其他人员</w:t>
      </w:r>
    </w:p>
    <w:p w14:paraId="2950125E">
      <w:pPr>
        <w:spacing w:line="400" w:lineRule="exact"/>
        <w:ind w:firstLine="420" w:firstLineChars="200"/>
      </w:pPr>
      <w:r>
        <w:rPr>
          <w:rFonts w:hint="eastAsia"/>
        </w:rPr>
        <w:t>乙方应对其项目经理和其他人员进行有效管理。监理人要求撤换不能胜任本职工作、行为不端或玩忽职守的乙方项目经理和其他人员的，乙方应予以撤换。</w:t>
      </w:r>
    </w:p>
    <w:p w14:paraId="7AF5CD45">
      <w:pPr>
        <w:pStyle w:val="261"/>
        <w:tabs>
          <w:tab w:val="left" w:pos="720"/>
        </w:tabs>
        <w:outlineLvl w:val="9"/>
      </w:pPr>
      <w:r>
        <w:rPr>
          <w:rFonts w:hint="eastAsia"/>
        </w:rPr>
        <w:t>4.8 保障乙方人员的合法权益</w:t>
      </w:r>
    </w:p>
    <w:p w14:paraId="0C5F9256">
      <w:pPr>
        <w:spacing w:line="400" w:lineRule="exact"/>
        <w:ind w:firstLine="420" w:firstLineChars="200"/>
      </w:pPr>
      <w:r>
        <w:rPr>
          <w:rFonts w:hint="eastAsia"/>
        </w:rPr>
        <w:t>4.8.1 乙方应与其雇佣的人员签订劳动合同，并按时发放工资。</w:t>
      </w:r>
    </w:p>
    <w:p w14:paraId="37A047EF">
      <w:pPr>
        <w:spacing w:line="400" w:lineRule="exact"/>
        <w:ind w:firstLine="420" w:firstLineChars="200"/>
      </w:pPr>
      <w:r>
        <w:rPr>
          <w:rFonts w:hint="eastAsia"/>
        </w:rPr>
        <w:t>4.8.2 乙方应按劳动法的规定安排工作时间，保证其雇佣人员享有休息和休假的权利。因工程施工的特殊需要占用休假日或延长工作时间的，应不超过法律规定的限度，并按法律规定给予补休或付酬。</w:t>
      </w:r>
    </w:p>
    <w:p w14:paraId="013A55DA">
      <w:pPr>
        <w:spacing w:line="400" w:lineRule="exact"/>
        <w:ind w:firstLine="420" w:firstLineChars="200"/>
      </w:pPr>
      <w:r>
        <w:rPr>
          <w:rFonts w:hint="eastAsia"/>
        </w:rPr>
        <w:t>4.8.3 乙方应为其雇佣人员提供必要的食宿条件，以及符合环境保护和卫生要求的生活环境，在远离城镇的施工场地，还应配备必要的伤病防治和急救的医务人员与医疗设施。</w:t>
      </w:r>
    </w:p>
    <w:p w14:paraId="3648457A">
      <w:pPr>
        <w:spacing w:line="400" w:lineRule="exact"/>
        <w:ind w:firstLine="420" w:firstLineChars="200"/>
      </w:pPr>
      <w:r>
        <w:rPr>
          <w:rFonts w:hint="eastAsia"/>
        </w:rPr>
        <w:t>4.8.4 乙方应按国家有关劳动保护的规定，采取有效的防止粉尘、降低噪声、控制有害气体和保障高温、高寒、高空作业安全等劳动保护措施。其雇佣人员在施工中受到伤害的，乙方应立即采取有效措施进行抢救和治疗。</w:t>
      </w:r>
    </w:p>
    <w:p w14:paraId="1604917D">
      <w:pPr>
        <w:spacing w:line="400" w:lineRule="exact"/>
        <w:ind w:firstLine="420" w:firstLineChars="200"/>
      </w:pPr>
      <w:r>
        <w:rPr>
          <w:rFonts w:hint="eastAsia"/>
        </w:rPr>
        <w:t>4.8.5 乙方应按有关法律规定和合同约定，为其雇佣人员办理保险。</w:t>
      </w:r>
    </w:p>
    <w:p w14:paraId="58DED5D9">
      <w:pPr>
        <w:spacing w:line="400" w:lineRule="exact"/>
        <w:ind w:firstLine="420" w:firstLineChars="200"/>
      </w:pPr>
      <w:r>
        <w:rPr>
          <w:rFonts w:hint="eastAsia"/>
        </w:rPr>
        <w:t>4.8.6 乙方应负责处理其雇佣人员因工伤亡事故的善后事宜。</w:t>
      </w:r>
    </w:p>
    <w:p w14:paraId="0DC96DA4">
      <w:pPr>
        <w:pStyle w:val="261"/>
        <w:tabs>
          <w:tab w:val="left" w:pos="720"/>
        </w:tabs>
        <w:outlineLvl w:val="9"/>
      </w:pPr>
      <w:r>
        <w:rPr>
          <w:rFonts w:hint="eastAsia"/>
        </w:rPr>
        <w:t>4.9 工程价款应专款专用</w:t>
      </w:r>
    </w:p>
    <w:p w14:paraId="49E36BEF">
      <w:pPr>
        <w:spacing w:line="400" w:lineRule="exact"/>
        <w:ind w:firstLine="420" w:firstLineChars="200"/>
      </w:pPr>
      <w:r>
        <w:rPr>
          <w:rFonts w:hint="eastAsia"/>
        </w:rPr>
        <w:t>甲方按合同约定支付给乙方的各项价款应专用于合同工程。</w:t>
      </w:r>
    </w:p>
    <w:p w14:paraId="0F585ED9">
      <w:pPr>
        <w:pStyle w:val="261"/>
        <w:tabs>
          <w:tab w:val="left" w:pos="720"/>
        </w:tabs>
        <w:outlineLvl w:val="9"/>
      </w:pPr>
      <w:r>
        <w:rPr>
          <w:rFonts w:hint="eastAsia"/>
        </w:rPr>
        <w:t>4.10 乙方现场查勘</w:t>
      </w:r>
    </w:p>
    <w:p w14:paraId="2E16FF57">
      <w:pPr>
        <w:spacing w:line="400" w:lineRule="exact"/>
        <w:ind w:firstLine="420" w:firstLineChars="200"/>
      </w:pPr>
      <w:r>
        <w:rPr>
          <w:rFonts w:hint="eastAsia"/>
        </w:rPr>
        <w:t>4.10.1 甲方应将其持有的现场地质勘探资料、水文气象资料提供给乙方，并对其准确性负责。但乙方应对其阅读上述有关资料后所作出的解释和推断负责。</w:t>
      </w:r>
    </w:p>
    <w:p w14:paraId="4D72910E">
      <w:pPr>
        <w:spacing w:line="400" w:lineRule="exact"/>
        <w:ind w:firstLine="420" w:firstLineChars="200"/>
      </w:pPr>
      <w:r>
        <w:rPr>
          <w:rFonts w:hint="eastAsia"/>
        </w:rPr>
        <w:t>4.10.2 乙方应对施工场地和周围环境进行查勘，并收集有关地质、水文、气象条件、交通条件、风俗习惯以及其他为完成合同工作有关的当地资料。在全部合同工作中，应视为乙方已充分估计了应承担的责任和风险。</w:t>
      </w:r>
    </w:p>
    <w:p w14:paraId="6B2CA6D0">
      <w:pPr>
        <w:pStyle w:val="261"/>
        <w:tabs>
          <w:tab w:val="left" w:pos="720"/>
        </w:tabs>
        <w:outlineLvl w:val="9"/>
      </w:pPr>
      <w:r>
        <w:rPr>
          <w:rFonts w:hint="eastAsia"/>
        </w:rPr>
        <w:t>4.11 不利物质条件</w:t>
      </w:r>
    </w:p>
    <w:p w14:paraId="3D42A9EA">
      <w:pPr>
        <w:spacing w:line="400" w:lineRule="exact"/>
        <w:ind w:firstLine="420" w:firstLineChars="200"/>
      </w:pPr>
      <w:r>
        <w:rPr>
          <w:rFonts w:hint="eastAsia"/>
        </w:rPr>
        <w:t>4.11.1 不利物质条件，除专用合同条款另有约定外，是指乙方在施工场地遇到的不可预见的自然物质条件、非自然的物质障碍和污染物，包括地下和水文条件，但不包括气候条件。</w:t>
      </w:r>
    </w:p>
    <w:p w14:paraId="3DBB7C43">
      <w:pPr>
        <w:spacing w:line="400" w:lineRule="exact"/>
        <w:ind w:firstLine="420" w:firstLineChars="200"/>
      </w:pPr>
      <w:r>
        <w:rPr>
          <w:rFonts w:hint="eastAsia"/>
        </w:rPr>
        <w:t>4.11.2 乙方遇到不利物质条件时，应采取适应不利物质条件的合理措施继续施工，并及时通知监理人。监理人应当及时发出指示，指示构成变更的，按第15条约定办理。监理人没有发出指示的，乙方因采取合理措施而增加的费用和（或）工期延误，由甲方承担。</w:t>
      </w:r>
    </w:p>
    <w:p w14:paraId="139B429B">
      <w:pPr>
        <w:pStyle w:val="260"/>
        <w:spacing w:before="0"/>
        <w:outlineLvl w:val="9"/>
      </w:pPr>
      <w:r>
        <w:rPr>
          <w:rFonts w:hint="eastAsia"/>
        </w:rPr>
        <w:t>5. 材料和工程设备</w:t>
      </w:r>
    </w:p>
    <w:p w14:paraId="27DE4F3F">
      <w:pPr>
        <w:pStyle w:val="261"/>
        <w:tabs>
          <w:tab w:val="left" w:pos="720"/>
        </w:tabs>
        <w:outlineLvl w:val="9"/>
      </w:pPr>
      <w:r>
        <w:rPr>
          <w:rFonts w:hint="eastAsia"/>
        </w:rPr>
        <w:t>5.1 乙方提供的材料和工程设备</w:t>
      </w:r>
    </w:p>
    <w:p w14:paraId="33FFE3BA">
      <w:pPr>
        <w:spacing w:line="400" w:lineRule="exact"/>
        <w:ind w:firstLine="420" w:firstLineChars="200"/>
      </w:pPr>
      <w:r>
        <w:rPr>
          <w:rFonts w:hint="eastAsia"/>
        </w:rPr>
        <w:t>5.1.1 除专用合同条款另有约定外，乙方提供的材料和工程设备均由乙方负责采购、运输和保管。乙方应对其采购的材料和工程设备负责。</w:t>
      </w:r>
    </w:p>
    <w:p w14:paraId="50D6BC65">
      <w:pPr>
        <w:spacing w:line="400" w:lineRule="exact"/>
        <w:ind w:firstLine="420" w:firstLineChars="200"/>
      </w:pPr>
      <w:r>
        <w:rPr>
          <w:rFonts w:hint="eastAsia"/>
        </w:rPr>
        <w:t>5.1.2 乙方应按专用合同条款的约定，将各项材料和工程设备的供货人及品种、规格、数量和供货时间等报送监理人审批。乙方应向监理人提交其负责提供的材料和工程设备的质量证明文件，并满足合同约定的质量标准。</w:t>
      </w:r>
    </w:p>
    <w:p w14:paraId="0268D41A">
      <w:pPr>
        <w:spacing w:line="400" w:lineRule="exact"/>
        <w:ind w:firstLine="420" w:firstLineChars="200"/>
      </w:pPr>
      <w:r>
        <w:rPr>
          <w:rFonts w:hint="eastAsia"/>
        </w:rPr>
        <w:t>5.1.3对乙方提供的材料和工程设备，乙方应会同监理人进行检验和交货验收，查验材料合格证明和产品合格证书，并按合同约定和监理人指示，进行材料的抽样检验和工程设备的检验测试，检验和测试结果应提交监理人，所需费用由乙方承担。</w:t>
      </w:r>
    </w:p>
    <w:p w14:paraId="665CECC4">
      <w:pPr>
        <w:pStyle w:val="261"/>
        <w:tabs>
          <w:tab w:val="left" w:pos="720"/>
        </w:tabs>
        <w:outlineLvl w:val="9"/>
      </w:pPr>
      <w:r>
        <w:rPr>
          <w:rFonts w:hint="eastAsia"/>
        </w:rPr>
        <w:t>5.2 甲方提供的材料和工程设备</w:t>
      </w:r>
    </w:p>
    <w:p w14:paraId="72DDC0BC">
      <w:pPr>
        <w:spacing w:line="400" w:lineRule="exact"/>
        <w:ind w:firstLine="420" w:firstLineChars="200"/>
      </w:pPr>
      <w:r>
        <w:rPr>
          <w:rFonts w:hint="eastAsia"/>
        </w:rPr>
        <w:t>5.2.1 甲方提供的材料和工程设备，应在专用合同条款中写明材料和工程设备的名称、规格、数量、价格、交货方式、交货地点和计划交货日期等。</w:t>
      </w:r>
    </w:p>
    <w:p w14:paraId="567FF759">
      <w:pPr>
        <w:spacing w:line="400" w:lineRule="exact"/>
        <w:ind w:firstLine="420" w:firstLineChars="200"/>
      </w:pPr>
      <w:r>
        <w:rPr>
          <w:rFonts w:hint="eastAsia"/>
        </w:rPr>
        <w:t>5.2.2 乙方应根据合同进度计划的安排，向监理人报送要求甲方交货的日期计划。甲方应按照监理人与合同双方当事人商定的交货日期，向乙方提交材料和工程设备。</w:t>
      </w:r>
    </w:p>
    <w:p w14:paraId="1AEE9611">
      <w:pPr>
        <w:spacing w:line="400" w:lineRule="exact"/>
        <w:ind w:firstLine="420" w:firstLineChars="200"/>
      </w:pPr>
      <w:r>
        <w:rPr>
          <w:rFonts w:hint="eastAsia"/>
        </w:rPr>
        <w:t>5.2.3 甲方应在材料和工程设备到货7天前通知乙方，乙方应会同监理人在约定的时间内，赴交货地点共同进行验收。除专用合同条款另有约定外，甲方提供的材料和工程设备验收后，由乙方负责接收、运输和保管。</w:t>
      </w:r>
    </w:p>
    <w:p w14:paraId="7E60B25F">
      <w:pPr>
        <w:spacing w:line="400" w:lineRule="exact"/>
        <w:ind w:firstLine="420" w:firstLineChars="200"/>
      </w:pPr>
      <w:r>
        <w:rPr>
          <w:rFonts w:hint="eastAsia"/>
        </w:rPr>
        <w:t>5.2.4 甲方要求向乙方提前交货的，乙方不得拒绝，但甲方应承担乙方由此增加的费用。</w:t>
      </w:r>
    </w:p>
    <w:p w14:paraId="01FE5567">
      <w:pPr>
        <w:spacing w:line="400" w:lineRule="exact"/>
        <w:ind w:firstLine="420" w:firstLineChars="200"/>
      </w:pPr>
      <w:r>
        <w:rPr>
          <w:rFonts w:hint="eastAsia"/>
        </w:rPr>
        <w:t>5.2.5 乙方要求更改交货日期或地点的，应事先报请监理人批准。由于乙方要求更改交货时间或地点所增加的费用和（或）工期延误由乙方承担。</w:t>
      </w:r>
    </w:p>
    <w:p w14:paraId="2B552FFC">
      <w:pPr>
        <w:spacing w:line="400" w:lineRule="exact"/>
        <w:ind w:firstLine="420" w:firstLineChars="200"/>
      </w:pPr>
      <w:r>
        <w:rPr>
          <w:rFonts w:hint="eastAsia"/>
        </w:rPr>
        <w:t>5.2.6 甲方提供的材料和工程设备的规格、数量或质量不符合合同要求，或由于甲方原因发生交货日期延误及交货地点变更等情况的，甲方应承担由此增加的费用和（或）工期延误，并向乙方支付合理利润。</w:t>
      </w:r>
    </w:p>
    <w:p w14:paraId="30232CC4">
      <w:pPr>
        <w:pStyle w:val="261"/>
        <w:tabs>
          <w:tab w:val="left" w:pos="720"/>
        </w:tabs>
        <w:outlineLvl w:val="9"/>
      </w:pPr>
      <w:r>
        <w:rPr>
          <w:rFonts w:hint="eastAsia"/>
        </w:rPr>
        <w:t>5.3 材料和工程设备专用于合同工程</w:t>
      </w:r>
    </w:p>
    <w:p w14:paraId="02ED19E5">
      <w:pPr>
        <w:spacing w:line="400" w:lineRule="exact"/>
        <w:ind w:firstLine="420" w:firstLineChars="200"/>
      </w:pPr>
      <w:r>
        <w:rPr>
          <w:rFonts w:hint="eastAsia"/>
        </w:rPr>
        <w:t>5.3.1运入施工场地的材料、工程设备，包括备品备件、安装专用工器具与随机资料，必须专用于合同工程，未经监理人同意，乙方不得运出施工场地或挪作他用。</w:t>
      </w:r>
    </w:p>
    <w:p w14:paraId="43A95852">
      <w:pPr>
        <w:spacing w:line="400" w:lineRule="exact"/>
        <w:ind w:firstLine="420" w:firstLineChars="200"/>
      </w:pPr>
      <w:r>
        <w:rPr>
          <w:rFonts w:hint="eastAsia"/>
        </w:rPr>
        <w:t>5.3.2 随同工程设备运入施工场地的备品备件、专用工器具与随机资料，应由乙方会同监理人按供货人的装箱单清点后共同封存，未经监理人同意不得启用。乙方因合同工作需要使用上述物品时，应向监理人提出申请。</w:t>
      </w:r>
    </w:p>
    <w:p w14:paraId="1BB58453">
      <w:pPr>
        <w:pStyle w:val="261"/>
        <w:tabs>
          <w:tab w:val="left" w:pos="720"/>
        </w:tabs>
        <w:outlineLvl w:val="9"/>
      </w:pPr>
      <w:r>
        <w:rPr>
          <w:rFonts w:hint="eastAsia"/>
        </w:rPr>
        <w:t>5.4 禁止使用不合格的材料和工程设备</w:t>
      </w:r>
    </w:p>
    <w:p w14:paraId="4A927A85">
      <w:pPr>
        <w:spacing w:line="400" w:lineRule="exact"/>
        <w:ind w:firstLine="420" w:firstLineChars="200"/>
      </w:pPr>
      <w:r>
        <w:rPr>
          <w:rFonts w:hint="eastAsia"/>
        </w:rPr>
        <w:t>5.4.1 监理人有权拒绝乙方提供的不合格材料或工程设备，并要求乙方立即进行更换。监理人应在更换后再次进行检查和检验，由此增加的费用和（或）工期延误由乙方承担。</w:t>
      </w:r>
    </w:p>
    <w:p w14:paraId="62418B65">
      <w:pPr>
        <w:spacing w:line="400" w:lineRule="exact"/>
        <w:ind w:firstLine="420" w:firstLineChars="200"/>
      </w:pPr>
      <w:r>
        <w:rPr>
          <w:rFonts w:hint="eastAsia"/>
        </w:rPr>
        <w:t>5.4.2 监理人发现乙方使用了不合格的材料和工程设备，应即时发出指示要求乙方立即改正，并禁止在工程中继续使用不合格的材料和工程设备。</w:t>
      </w:r>
    </w:p>
    <w:p w14:paraId="2847F0DA">
      <w:pPr>
        <w:spacing w:line="400" w:lineRule="exact"/>
        <w:ind w:firstLine="420" w:firstLineChars="200"/>
      </w:pPr>
      <w:r>
        <w:rPr>
          <w:rFonts w:hint="eastAsia"/>
        </w:rPr>
        <w:t>5.4.3 甲方提供的材料或工程设备不符合合同要求的，乙方有权拒绝，并可要求甲方更换，由此增加的费用和（或）工期延误由甲方承担。</w:t>
      </w:r>
    </w:p>
    <w:p w14:paraId="330518B3">
      <w:pPr>
        <w:pStyle w:val="260"/>
        <w:spacing w:before="0"/>
        <w:outlineLvl w:val="9"/>
      </w:pPr>
      <w:r>
        <w:rPr>
          <w:rFonts w:hint="eastAsia"/>
        </w:rPr>
        <w:t>6. 施工设备和临时设施</w:t>
      </w:r>
    </w:p>
    <w:p w14:paraId="0E0ACCAB">
      <w:pPr>
        <w:pStyle w:val="261"/>
        <w:tabs>
          <w:tab w:val="left" w:pos="720"/>
        </w:tabs>
        <w:outlineLvl w:val="9"/>
      </w:pPr>
      <w:r>
        <w:rPr>
          <w:rFonts w:hint="eastAsia"/>
        </w:rPr>
        <w:t>6.1 乙方提供的施工设备和临时设施</w:t>
      </w:r>
    </w:p>
    <w:p w14:paraId="1FA10DCD">
      <w:pPr>
        <w:spacing w:line="400" w:lineRule="exact"/>
        <w:ind w:firstLine="420" w:firstLineChars="200"/>
      </w:pPr>
      <w:r>
        <w:rPr>
          <w:rFonts w:hint="eastAsia"/>
        </w:rPr>
        <w:t>6.1.1 乙方应按合同进度计划的要求，及时配置施工设备和修建临时设施。进入施工场地的乙方设备需经监理人核查后才能投入使用。乙方更换合同约定的乙方设备的，应报监理人批准。</w:t>
      </w:r>
    </w:p>
    <w:p w14:paraId="2994015C">
      <w:pPr>
        <w:spacing w:line="400" w:lineRule="exact"/>
        <w:ind w:firstLine="420" w:firstLineChars="200"/>
      </w:pPr>
      <w:r>
        <w:rPr>
          <w:rFonts w:hint="eastAsia"/>
        </w:rPr>
        <w:t>6.1.2除专用合同条款另有约定外，乙方应自行承担修建临时设施的费用，需要临时占地的，应由甲方办理申请手续并承担相应费用。</w:t>
      </w:r>
    </w:p>
    <w:p w14:paraId="158EC8FB">
      <w:pPr>
        <w:pStyle w:val="261"/>
        <w:tabs>
          <w:tab w:val="left" w:pos="720"/>
        </w:tabs>
        <w:outlineLvl w:val="9"/>
      </w:pPr>
      <w:r>
        <w:rPr>
          <w:rFonts w:hint="eastAsia"/>
        </w:rPr>
        <w:t>6.2 甲方提供的施工设备和临时设施</w:t>
      </w:r>
    </w:p>
    <w:p w14:paraId="0BBBFFE3">
      <w:pPr>
        <w:spacing w:line="400" w:lineRule="exact"/>
        <w:ind w:firstLine="420" w:firstLineChars="200"/>
      </w:pPr>
      <w:r>
        <w:rPr>
          <w:rFonts w:hint="eastAsia"/>
        </w:rPr>
        <w:t>甲方提供的施工设备或临时设施在专用合同条款中约定。</w:t>
      </w:r>
    </w:p>
    <w:p w14:paraId="18CCF300">
      <w:pPr>
        <w:pStyle w:val="261"/>
        <w:tabs>
          <w:tab w:val="left" w:pos="720"/>
        </w:tabs>
        <w:outlineLvl w:val="9"/>
      </w:pPr>
      <w:r>
        <w:rPr>
          <w:rFonts w:hint="eastAsia"/>
        </w:rPr>
        <w:t>6.3 要求乙方增加或更换施工设备</w:t>
      </w:r>
    </w:p>
    <w:p w14:paraId="38DA468B">
      <w:pPr>
        <w:spacing w:line="400" w:lineRule="exact"/>
        <w:ind w:firstLine="420" w:firstLineChars="200"/>
      </w:pPr>
      <w:r>
        <w:rPr>
          <w:rFonts w:hint="eastAsia"/>
        </w:rPr>
        <w:t>乙方使用的施工设备不能满足合同进度计划和（或）质量要求时，监理人有权要求乙方增加或更换施工设备，乙方应及时增加或更换，由此增加的费用和（或）工期延误由乙方承担。</w:t>
      </w:r>
    </w:p>
    <w:p w14:paraId="184BFCC8">
      <w:pPr>
        <w:pStyle w:val="261"/>
        <w:tabs>
          <w:tab w:val="left" w:pos="720"/>
        </w:tabs>
        <w:outlineLvl w:val="9"/>
      </w:pPr>
      <w:r>
        <w:rPr>
          <w:rFonts w:hint="eastAsia"/>
        </w:rPr>
        <w:t>6.4 施工设备和临时设施专用于合同工程</w:t>
      </w:r>
    </w:p>
    <w:p w14:paraId="4E680C9F">
      <w:pPr>
        <w:spacing w:line="400" w:lineRule="exact"/>
        <w:ind w:firstLine="420" w:firstLineChars="200"/>
      </w:pPr>
      <w:r>
        <w:rPr>
          <w:rFonts w:hint="eastAsia"/>
        </w:rPr>
        <w:t>6.4.1除合同另有约定外，运入施工场地的所有施工设备以及在施工场地建设的临时设施应专用于合同工程。未经监理人同意，不得将上述施工设备和临时设施中的任何部分运出施工场地或挪作他用。</w:t>
      </w:r>
    </w:p>
    <w:p w14:paraId="7C2E6249">
      <w:pPr>
        <w:spacing w:line="400" w:lineRule="exact"/>
        <w:ind w:firstLine="420" w:firstLineChars="200"/>
      </w:pPr>
      <w:r>
        <w:rPr>
          <w:rFonts w:hint="eastAsia"/>
        </w:rPr>
        <w:t>6.4.2 经监理人同意，乙方可根据合同进度计划撤走闲置的施工设备。</w:t>
      </w:r>
    </w:p>
    <w:p w14:paraId="3FD226CE">
      <w:pPr>
        <w:pStyle w:val="260"/>
        <w:spacing w:before="0"/>
        <w:outlineLvl w:val="9"/>
      </w:pPr>
      <w:r>
        <w:rPr>
          <w:rFonts w:hint="eastAsia"/>
        </w:rPr>
        <w:t>7. 交通运输</w:t>
      </w:r>
    </w:p>
    <w:p w14:paraId="72124FB1">
      <w:pPr>
        <w:pStyle w:val="261"/>
        <w:tabs>
          <w:tab w:val="left" w:pos="720"/>
        </w:tabs>
        <w:outlineLvl w:val="9"/>
      </w:pPr>
      <w:r>
        <w:rPr>
          <w:rFonts w:hint="eastAsia"/>
        </w:rPr>
        <w:t>7.1 道路通行权和场外设施</w:t>
      </w:r>
    </w:p>
    <w:p w14:paraId="0844EFD6">
      <w:pPr>
        <w:spacing w:line="400" w:lineRule="exact"/>
        <w:ind w:firstLine="420" w:firstLineChars="200"/>
      </w:pPr>
      <w:r>
        <w:rPr>
          <w:rFonts w:hint="eastAsia"/>
        </w:rPr>
        <w:t>除专用合同条款另有约定外，甲方应根据合同工程的施工需要，负责办理取得出入施工场地的专用和临时道路的通行权，以及取得为工程建设所需修建场外设施的权利，并承担有关费用。乙方应协助甲方办理上述手续。</w:t>
      </w:r>
    </w:p>
    <w:p w14:paraId="57E0EECE">
      <w:pPr>
        <w:pStyle w:val="261"/>
        <w:tabs>
          <w:tab w:val="left" w:pos="720"/>
        </w:tabs>
        <w:outlineLvl w:val="9"/>
      </w:pPr>
      <w:r>
        <w:rPr>
          <w:rFonts w:hint="eastAsia"/>
        </w:rPr>
        <w:t>7.2 场内施工道路</w:t>
      </w:r>
    </w:p>
    <w:p w14:paraId="1BD2CEDD">
      <w:pPr>
        <w:spacing w:line="400" w:lineRule="exact"/>
        <w:ind w:firstLine="420" w:firstLineChars="200"/>
      </w:pPr>
      <w:r>
        <w:rPr>
          <w:rFonts w:hint="eastAsia"/>
        </w:rPr>
        <w:t>7.2.1 除专用合同条款另有约定外，乙方应负责修建、维修、养护和管理施工所需的临时道路和交通设施，包括维修、养护和管理甲方提供的道路和交通设施，并承担相应费用。</w:t>
      </w:r>
    </w:p>
    <w:p w14:paraId="795618DC">
      <w:pPr>
        <w:spacing w:line="400" w:lineRule="exact"/>
        <w:ind w:firstLine="420" w:firstLineChars="200"/>
      </w:pPr>
      <w:r>
        <w:rPr>
          <w:rFonts w:hint="eastAsia"/>
        </w:rPr>
        <w:t>7.2.2 除专用合同条款另有约定外，乙方修建的临时道路和交通设施应免费提供甲方和监理人使用。</w:t>
      </w:r>
    </w:p>
    <w:p w14:paraId="2301D8C6">
      <w:pPr>
        <w:pStyle w:val="261"/>
        <w:tabs>
          <w:tab w:val="left" w:pos="720"/>
        </w:tabs>
        <w:outlineLvl w:val="9"/>
      </w:pPr>
      <w:r>
        <w:rPr>
          <w:rFonts w:hint="eastAsia"/>
        </w:rPr>
        <w:t>7.3 场外交通</w:t>
      </w:r>
    </w:p>
    <w:p w14:paraId="662DDABF">
      <w:pPr>
        <w:spacing w:line="400" w:lineRule="exact"/>
        <w:ind w:firstLine="420" w:firstLineChars="200"/>
      </w:pPr>
      <w:r>
        <w:rPr>
          <w:rFonts w:hint="eastAsia"/>
        </w:rPr>
        <w:t>7.3.1 乙方车辆外出行驶所需的场外公共道路的通行费、养路费和税款等由乙方承担。</w:t>
      </w:r>
    </w:p>
    <w:p w14:paraId="68C58E9A">
      <w:pPr>
        <w:spacing w:line="400" w:lineRule="exact"/>
        <w:ind w:firstLine="420" w:firstLineChars="200"/>
      </w:pPr>
      <w:r>
        <w:rPr>
          <w:rFonts w:hint="eastAsia"/>
        </w:rPr>
        <w:t>7.3.2 乙方应遵守有关交通法规，严格按照道路和桥梁的限制荷重安全行驶，并服从交通管理部门的检查和监督。</w:t>
      </w:r>
    </w:p>
    <w:p w14:paraId="52A13F6B">
      <w:pPr>
        <w:pStyle w:val="261"/>
        <w:tabs>
          <w:tab w:val="left" w:pos="720"/>
        </w:tabs>
        <w:outlineLvl w:val="9"/>
      </w:pPr>
      <w:r>
        <w:rPr>
          <w:rFonts w:hint="eastAsia"/>
        </w:rPr>
        <w:t>7.4 超大件和超重件的运输</w:t>
      </w:r>
    </w:p>
    <w:p w14:paraId="4CE85852">
      <w:pPr>
        <w:spacing w:line="400" w:lineRule="exact"/>
        <w:ind w:firstLine="420" w:firstLineChars="200"/>
      </w:pPr>
      <w:r>
        <w:rPr>
          <w:rFonts w:hint="eastAsia"/>
        </w:rPr>
        <w:t>由乙方负责运输的超大件或超重件，应由乙方负责向交通管理部门办理申请手续，甲方给予协助。运输超大件或超重件所需的道路和桥梁临时加固改造费用和其他有关费用，由乙方承担，但专用合同条款另有约定除外。</w:t>
      </w:r>
    </w:p>
    <w:p w14:paraId="7F965207">
      <w:pPr>
        <w:pStyle w:val="261"/>
        <w:tabs>
          <w:tab w:val="left" w:pos="720"/>
        </w:tabs>
        <w:outlineLvl w:val="9"/>
      </w:pPr>
      <w:r>
        <w:rPr>
          <w:rFonts w:hint="eastAsia"/>
        </w:rPr>
        <w:t>7.5 道路和桥梁的损坏责任</w:t>
      </w:r>
    </w:p>
    <w:p w14:paraId="01D38B8A">
      <w:pPr>
        <w:spacing w:line="400" w:lineRule="exact"/>
        <w:ind w:firstLine="420" w:firstLineChars="200"/>
      </w:pPr>
      <w:r>
        <w:rPr>
          <w:rFonts w:hint="eastAsia"/>
        </w:rPr>
        <w:t>因乙方运输造成施工场地内外公共道路和桥梁损坏的，由乙方承担修复损坏的全部费用和可能引起的赔偿。</w:t>
      </w:r>
    </w:p>
    <w:p w14:paraId="540F08DE">
      <w:pPr>
        <w:pStyle w:val="261"/>
        <w:tabs>
          <w:tab w:val="left" w:pos="720"/>
        </w:tabs>
        <w:outlineLvl w:val="9"/>
      </w:pPr>
      <w:r>
        <w:rPr>
          <w:rFonts w:hint="eastAsia"/>
        </w:rPr>
        <w:t>7.6 水路和航空运输</w:t>
      </w:r>
    </w:p>
    <w:p w14:paraId="22D8EC7A">
      <w:pPr>
        <w:spacing w:line="400" w:lineRule="exact"/>
        <w:ind w:firstLine="420" w:firstLineChars="200"/>
      </w:pPr>
      <w:r>
        <w:rPr>
          <w:rFonts w:hint="eastAsia"/>
        </w:rPr>
        <w:t>本条上述各款的内容适用于水路运输和航空运输，其中“道路”一词的涵义包括河道、航线、船闸、机场、码头、堤防以及水路或航空运输中其他相似结构物；“车辆”一词的涵义包括船舶和飞机等。</w:t>
      </w:r>
    </w:p>
    <w:p w14:paraId="3C29DDF4">
      <w:pPr>
        <w:pStyle w:val="260"/>
        <w:spacing w:before="0"/>
        <w:outlineLvl w:val="9"/>
      </w:pPr>
      <w:r>
        <w:rPr>
          <w:rFonts w:hint="eastAsia"/>
        </w:rPr>
        <w:t>8. 测量放线</w:t>
      </w:r>
    </w:p>
    <w:p w14:paraId="6F639EE7">
      <w:pPr>
        <w:pStyle w:val="261"/>
        <w:tabs>
          <w:tab w:val="left" w:pos="720"/>
        </w:tabs>
        <w:outlineLvl w:val="9"/>
      </w:pPr>
      <w:r>
        <w:rPr>
          <w:rFonts w:hint="eastAsia"/>
        </w:rPr>
        <w:t>8.1 施工控制网</w:t>
      </w:r>
    </w:p>
    <w:p w14:paraId="5C7BF389">
      <w:pPr>
        <w:spacing w:line="400" w:lineRule="exact"/>
        <w:ind w:firstLine="420" w:firstLineChars="200"/>
      </w:pPr>
      <w:r>
        <w:rPr>
          <w:rFonts w:hint="eastAsia"/>
        </w:rPr>
        <w:t>8.1.1甲方应在专用合同条款约定的期限内，通过监理人向乙方提供测量基准点、基准线和水准点及其书面资料。除专用合同条款另有约定外，乙方应根据国家测绘基准、测绘系统和工程测量技术规范，按上述基准点（线）以及合同工程精度要求，测设施工控制网，并在专用合同条款约定的期限内，将施工控制网资料报送监理人审批。</w:t>
      </w:r>
    </w:p>
    <w:p w14:paraId="70D64C35">
      <w:pPr>
        <w:spacing w:line="400" w:lineRule="exact"/>
        <w:ind w:firstLine="420" w:firstLineChars="200"/>
      </w:pPr>
      <w:r>
        <w:rPr>
          <w:rFonts w:hint="eastAsia"/>
        </w:rPr>
        <w:t>8.1.2乙方应负责管理施工控制网点。施工控制网点丢失或损坏的，乙方应及时修复。乙方应承担施工控制网点的管理与修复费用，并在工程竣工后将施工控制网点移交甲方。</w:t>
      </w:r>
    </w:p>
    <w:p w14:paraId="52DA19FC">
      <w:pPr>
        <w:pStyle w:val="261"/>
        <w:tabs>
          <w:tab w:val="left" w:pos="720"/>
        </w:tabs>
        <w:outlineLvl w:val="9"/>
      </w:pPr>
      <w:r>
        <w:rPr>
          <w:rFonts w:hint="eastAsia"/>
        </w:rPr>
        <w:t>8.2 施工测量</w:t>
      </w:r>
    </w:p>
    <w:p w14:paraId="7C641206">
      <w:pPr>
        <w:spacing w:line="400" w:lineRule="exact"/>
        <w:ind w:firstLine="420" w:firstLineChars="200"/>
      </w:pPr>
      <w:r>
        <w:rPr>
          <w:rFonts w:hint="eastAsia"/>
        </w:rPr>
        <w:t>8.2.1乙方应负责施工过程中的全部施工测量放线工作，并配置合格的人员、仪器、设备和其他物品。</w:t>
      </w:r>
    </w:p>
    <w:p w14:paraId="2D6CE594">
      <w:pPr>
        <w:spacing w:line="400" w:lineRule="exact"/>
        <w:ind w:firstLine="420" w:firstLineChars="200"/>
      </w:pPr>
      <w:r>
        <w:rPr>
          <w:rFonts w:hint="eastAsia"/>
        </w:rPr>
        <w:t>8.2.2监理人可以指示乙方进行抽样复测，当复测中发现错误或出现超过合同约定的误差时，乙方应按监理人指示进行修正或补测，并承担相应的复测费用。</w:t>
      </w:r>
    </w:p>
    <w:p w14:paraId="693A3EBB">
      <w:pPr>
        <w:pStyle w:val="261"/>
        <w:tabs>
          <w:tab w:val="left" w:pos="720"/>
        </w:tabs>
        <w:outlineLvl w:val="9"/>
      </w:pPr>
      <w:r>
        <w:rPr>
          <w:rFonts w:hint="eastAsia"/>
        </w:rPr>
        <w:t>8.3 基准资料错误的责任</w:t>
      </w:r>
    </w:p>
    <w:p w14:paraId="5341A15C">
      <w:pPr>
        <w:spacing w:line="400" w:lineRule="exact"/>
        <w:ind w:firstLine="420" w:firstLineChars="200"/>
      </w:pPr>
      <w:r>
        <w:rPr>
          <w:rFonts w:hint="eastAsia"/>
        </w:rPr>
        <w:t>甲方应对其提供的测量基准点、基准线和水准点及其书面资料的真实性、准确性和完整性负责。甲方提供上述基准资料错误导致乙方测量放线工作的返工或造成工程损失的，甲方应当承担由此增加的费用和（或）工期延误，并向乙方支付合理利润。乙方发现甲方提供的上述基准资料存在明显错误或疏忽的，应及时通知监理人。</w:t>
      </w:r>
    </w:p>
    <w:p w14:paraId="205D61BF">
      <w:pPr>
        <w:pStyle w:val="261"/>
        <w:tabs>
          <w:tab w:val="left" w:pos="720"/>
        </w:tabs>
        <w:outlineLvl w:val="9"/>
      </w:pPr>
      <w:r>
        <w:rPr>
          <w:rFonts w:hint="eastAsia"/>
        </w:rPr>
        <w:t>8.4 监理人使用施工控制网</w:t>
      </w:r>
    </w:p>
    <w:p w14:paraId="3CE6BE93">
      <w:pPr>
        <w:spacing w:line="400" w:lineRule="exact"/>
        <w:ind w:firstLine="420" w:firstLineChars="200"/>
        <w:rPr>
          <w:dstrike/>
          <w:szCs w:val="21"/>
        </w:rPr>
      </w:pPr>
      <w:r>
        <w:rPr>
          <w:rFonts w:hint="eastAsia"/>
        </w:rPr>
        <w:t>监理人需要使用施工控制网的，乙方应提供必要的协助，甲方不再为此支付费用。</w:t>
      </w:r>
    </w:p>
    <w:p w14:paraId="3349F6C8">
      <w:pPr>
        <w:pStyle w:val="260"/>
        <w:spacing w:before="0"/>
        <w:outlineLvl w:val="9"/>
      </w:pPr>
      <w:r>
        <w:rPr>
          <w:rFonts w:hint="eastAsia"/>
        </w:rPr>
        <w:t>9. 施工安全、治安保卫和环境保护</w:t>
      </w:r>
    </w:p>
    <w:p w14:paraId="2B034827">
      <w:pPr>
        <w:pStyle w:val="261"/>
        <w:tabs>
          <w:tab w:val="left" w:pos="720"/>
        </w:tabs>
        <w:outlineLvl w:val="9"/>
      </w:pPr>
      <w:r>
        <w:rPr>
          <w:rFonts w:hint="eastAsia"/>
        </w:rPr>
        <w:t>9.1 甲方的施工安全责任</w:t>
      </w:r>
    </w:p>
    <w:p w14:paraId="0DD1FE96">
      <w:pPr>
        <w:spacing w:line="400" w:lineRule="exact"/>
        <w:ind w:firstLine="420" w:firstLineChars="200"/>
      </w:pPr>
      <w:r>
        <w:rPr>
          <w:rFonts w:hint="eastAsia"/>
        </w:rPr>
        <w:t>9.1.1 甲方应按合同约定履行安全职责，授权监理人按合同约定的安全工作内容监督、检查乙方安全工作的实施，组织乙方和有关单位进行安全检查。</w:t>
      </w:r>
    </w:p>
    <w:p w14:paraId="62EC1C9A">
      <w:pPr>
        <w:spacing w:line="400" w:lineRule="exact"/>
        <w:ind w:firstLine="420" w:firstLineChars="200"/>
      </w:pPr>
      <w:r>
        <w:rPr>
          <w:rFonts w:hint="eastAsia"/>
        </w:rPr>
        <w:t>9.1.2 甲方应对其现场机构雇佣的全部人员的工伤事故承担责任，但由于乙方原因造成甲方人员工伤的，应由乙方承担责任。</w:t>
      </w:r>
    </w:p>
    <w:p w14:paraId="4F887F17">
      <w:pPr>
        <w:spacing w:line="400" w:lineRule="exact"/>
        <w:ind w:firstLine="420" w:firstLineChars="200"/>
      </w:pPr>
      <w:r>
        <w:rPr>
          <w:rFonts w:hint="eastAsia"/>
        </w:rPr>
        <w:t>9.1.3 甲方应负责赔偿以下各种情况造成的第三者人身伤亡和财产损失：</w:t>
      </w:r>
    </w:p>
    <w:p w14:paraId="756B141F">
      <w:pPr>
        <w:spacing w:line="400" w:lineRule="exact"/>
        <w:ind w:firstLine="420" w:firstLineChars="200"/>
      </w:pPr>
      <w:r>
        <w:rPr>
          <w:rFonts w:hint="eastAsia"/>
        </w:rPr>
        <w:t>（1）工程或工程的任何部分对土地的占用所造成的第三者财产损失；</w:t>
      </w:r>
    </w:p>
    <w:p w14:paraId="52583989">
      <w:pPr>
        <w:spacing w:line="400" w:lineRule="exact"/>
        <w:ind w:firstLine="420" w:firstLineChars="200"/>
      </w:pPr>
      <w:r>
        <w:rPr>
          <w:rFonts w:hint="eastAsia"/>
        </w:rPr>
        <w:t>（2）由于甲方原因在施工场地及其毗邻地带造成的第三者人身伤亡和财产损失。</w:t>
      </w:r>
    </w:p>
    <w:p w14:paraId="09E293AA">
      <w:pPr>
        <w:pStyle w:val="261"/>
        <w:tabs>
          <w:tab w:val="left" w:pos="720"/>
        </w:tabs>
        <w:outlineLvl w:val="9"/>
      </w:pPr>
      <w:r>
        <w:rPr>
          <w:rFonts w:hint="eastAsia"/>
        </w:rPr>
        <w:t>9.2 乙方的施工安全责任</w:t>
      </w:r>
    </w:p>
    <w:p w14:paraId="4E648263">
      <w:pPr>
        <w:spacing w:line="400" w:lineRule="exact"/>
        <w:ind w:firstLine="420" w:firstLineChars="200"/>
      </w:pPr>
      <w:r>
        <w:rPr>
          <w:rFonts w:hint="eastAsia"/>
        </w:rPr>
        <w:t>9.2.1 乙方应按合同约定履行安全职责,执行监理人有关安全工作的指示,并在专用合同条款约定的期限内，按合同约定的安全工作内容，编制施工安全措施计划报送监理人审批。</w:t>
      </w:r>
    </w:p>
    <w:p w14:paraId="46F815E2">
      <w:pPr>
        <w:spacing w:line="400" w:lineRule="exact"/>
        <w:ind w:firstLine="420" w:firstLineChars="200"/>
      </w:pPr>
      <w:r>
        <w:rPr>
          <w:rFonts w:hint="eastAsia"/>
        </w:rPr>
        <w:t>9.2.2 乙方应加强施工作业安全管理，特别应加强易燃、易爆材料、火工器材、有毒与腐蚀性材料和其他危险品的管理，以及对爆破作业和地下工程施工等危险作业的管理。</w:t>
      </w:r>
    </w:p>
    <w:p w14:paraId="7F6ACC20">
      <w:pPr>
        <w:spacing w:line="400" w:lineRule="exact"/>
        <w:ind w:firstLine="420" w:firstLineChars="200"/>
      </w:pPr>
      <w:r>
        <w:rPr>
          <w:rFonts w:hint="eastAsia"/>
        </w:rPr>
        <w:t>9.2.3 乙方应严格按照国家安全标准制定施工安全操作规程，配备必要的安全生产和劳动保护设施，加强对乙方人员的安全教育，并发放安全工作手册和劳动保护用具。</w:t>
      </w:r>
    </w:p>
    <w:p w14:paraId="07074A05">
      <w:pPr>
        <w:spacing w:line="400" w:lineRule="exact"/>
        <w:ind w:firstLine="420" w:firstLineChars="200"/>
      </w:pPr>
      <w:r>
        <w:rPr>
          <w:rFonts w:hint="eastAsia"/>
        </w:rPr>
        <w:t>9.2.4 乙方应按监理人的指示制定应对灾害的紧急预案，报送监理人审批。乙方还应按预案做好安全检查，配置必要的救助物资和器材，切实保护好有关人员的人身和财产安全。</w:t>
      </w:r>
    </w:p>
    <w:p w14:paraId="7F7C9D3A">
      <w:pPr>
        <w:spacing w:line="400" w:lineRule="exact"/>
        <w:ind w:firstLine="420" w:firstLineChars="200"/>
      </w:pPr>
      <w:r>
        <w:rPr>
          <w:rFonts w:hint="eastAsia"/>
        </w:rPr>
        <w:t>9.2.5 合同约定的安全作业环境及安全施工措施所需费用应遵守有关规定，并包括在相关工作的合同价格中。因采取合同未约定的安全作业环境及安全施工措施增加的费用，由监理人按第3.5款商定或确定。</w:t>
      </w:r>
    </w:p>
    <w:p w14:paraId="270E5402">
      <w:pPr>
        <w:spacing w:line="400" w:lineRule="exact"/>
        <w:ind w:firstLine="420" w:firstLineChars="200"/>
      </w:pPr>
      <w:r>
        <w:rPr>
          <w:rFonts w:hint="eastAsia"/>
        </w:rPr>
        <w:t>9.2.6 乙方应对其履行合同所雇佣的全部人员，包括分包人人员的工伤事故承担责任，但由于甲方原因造成乙方人员工伤事故的，应由甲方承担责任。</w:t>
      </w:r>
    </w:p>
    <w:p w14:paraId="2482EE57">
      <w:pPr>
        <w:spacing w:line="400" w:lineRule="exact"/>
        <w:ind w:firstLine="420" w:firstLineChars="200"/>
      </w:pPr>
      <w:r>
        <w:rPr>
          <w:rFonts w:hint="eastAsia"/>
        </w:rPr>
        <w:t>9.2.7 由于乙方原因在施工场地内及其毗邻地带造成的第三者人员伤亡和财产损失，由乙方负责赔偿。</w:t>
      </w:r>
    </w:p>
    <w:p w14:paraId="2316D927">
      <w:pPr>
        <w:pStyle w:val="261"/>
        <w:tabs>
          <w:tab w:val="left" w:pos="720"/>
        </w:tabs>
        <w:outlineLvl w:val="9"/>
      </w:pPr>
      <w:r>
        <w:rPr>
          <w:rFonts w:hint="eastAsia"/>
        </w:rPr>
        <w:t>9.3 治安保卫</w:t>
      </w:r>
    </w:p>
    <w:p w14:paraId="4BB851E3">
      <w:pPr>
        <w:spacing w:line="400" w:lineRule="exact"/>
        <w:ind w:firstLine="420" w:firstLineChars="200"/>
      </w:pPr>
      <w:r>
        <w:rPr>
          <w:rFonts w:hint="eastAsia"/>
        </w:rPr>
        <w:t>9.3.1 除合同另有约定外，甲方应与当地公安部门协商，在现场建立治安管理机构或联防组织，统一管理施工场地的治安保卫事项，履行合同工程的治安保卫职责。</w:t>
      </w:r>
    </w:p>
    <w:p w14:paraId="6357EE6E">
      <w:pPr>
        <w:spacing w:line="400" w:lineRule="exact"/>
        <w:ind w:firstLine="420" w:firstLineChars="200"/>
      </w:pPr>
      <w:r>
        <w:rPr>
          <w:rFonts w:hint="eastAsia"/>
        </w:rPr>
        <w:t>9.3.2 甲方和乙方除应协助现场治安管理机构或联防组织维护施工场地的社会治安外，还应做好包括生活区在内的各自管辖区的治安保卫工作。</w:t>
      </w:r>
    </w:p>
    <w:p w14:paraId="05C63AF5">
      <w:pPr>
        <w:spacing w:line="400" w:lineRule="exact"/>
        <w:ind w:firstLine="420" w:firstLineChars="200"/>
      </w:pPr>
      <w:r>
        <w:rPr>
          <w:rFonts w:hint="eastAsia"/>
        </w:rPr>
        <w:t>9.3.3 除合同另有约定外，甲方和乙方应在工程开工后，共同编制施工场地治安管理计划，并制定应对突发治安事件的紧急预案。在工程施工过程中，发生暴乱、爆炸等恐怖事件，以及群殴、械斗等群体性突发治安事件的，甲方和乙方应立即向当地政府报告。甲方和乙方应积极协助当地有关部门采取措施平息事态，防止事态扩大，尽量减少财产损失和避免人员伤亡。</w:t>
      </w:r>
    </w:p>
    <w:p w14:paraId="032F97EF">
      <w:pPr>
        <w:pStyle w:val="261"/>
        <w:tabs>
          <w:tab w:val="left" w:pos="720"/>
        </w:tabs>
        <w:outlineLvl w:val="9"/>
      </w:pPr>
      <w:r>
        <w:rPr>
          <w:rFonts w:hint="eastAsia"/>
        </w:rPr>
        <w:t>9.4 环境保护</w:t>
      </w:r>
    </w:p>
    <w:p w14:paraId="3E4D8EAF">
      <w:pPr>
        <w:spacing w:line="400" w:lineRule="exact"/>
        <w:ind w:firstLine="420" w:firstLineChars="200"/>
      </w:pPr>
      <w:r>
        <w:rPr>
          <w:rFonts w:hint="eastAsia"/>
        </w:rPr>
        <w:t>9.4.1 乙方在施工过程中，应遵守有关环境保护的法律，履行合同约定的环境保护义务，并对违反法律和合同约定义务所造成的环境破坏、人身伤害和财产损失负责。</w:t>
      </w:r>
    </w:p>
    <w:p w14:paraId="1C4D1719">
      <w:pPr>
        <w:spacing w:line="400" w:lineRule="exact"/>
        <w:ind w:firstLine="420" w:firstLineChars="200"/>
      </w:pPr>
      <w:r>
        <w:rPr>
          <w:rFonts w:hint="eastAsia"/>
        </w:rPr>
        <w:t>9.4.2 乙方应按合同约定的环保工作内容，编制施工环保措施计划，报送监理人审批。</w:t>
      </w:r>
    </w:p>
    <w:p w14:paraId="29F99214">
      <w:pPr>
        <w:spacing w:line="400" w:lineRule="exact"/>
        <w:ind w:firstLine="420" w:firstLineChars="200"/>
      </w:pPr>
      <w:r>
        <w:rPr>
          <w:rFonts w:hint="eastAsia"/>
        </w:rPr>
        <w:t>9.4.3 乙方应按照批准的施工环保措施计划有序地堆放和处理施工废弃物，避免对环境造成破坏。因乙方任意堆放或弃置施工废弃物造成妨碍公共交通、影响城镇居民生活、降低河流行洪能力、危及居民安全、破坏周边环境，或者影响其他乙方施工等后果的，乙方应承担责任。</w:t>
      </w:r>
    </w:p>
    <w:p w14:paraId="3E152863">
      <w:pPr>
        <w:spacing w:line="400" w:lineRule="exact"/>
        <w:ind w:firstLine="420" w:firstLineChars="200"/>
      </w:pPr>
      <w:r>
        <w:rPr>
          <w:rFonts w:hint="eastAsia"/>
        </w:rPr>
        <w:t>9.4.4 乙方应按合同约定采取有效措施，对施工开挖的边坡及时进行支护,维护排水设施，并进行水土保护，避免因施工造成的地质灾害。</w:t>
      </w:r>
    </w:p>
    <w:p w14:paraId="3E3B7EEC">
      <w:pPr>
        <w:spacing w:line="400" w:lineRule="exact"/>
        <w:ind w:firstLine="420" w:firstLineChars="200"/>
      </w:pPr>
      <w:r>
        <w:rPr>
          <w:rFonts w:hint="eastAsia"/>
        </w:rPr>
        <w:t>9.4.5 乙方应按国家饮用水管理标准定期对饮用水源进行监测，防止施工活动污染饮用水源。</w:t>
      </w:r>
    </w:p>
    <w:p w14:paraId="55FAF30C">
      <w:pPr>
        <w:spacing w:line="400" w:lineRule="exact"/>
        <w:ind w:firstLine="420" w:firstLineChars="200"/>
      </w:pPr>
      <w:r>
        <w:rPr>
          <w:rFonts w:hint="eastAsia"/>
        </w:rPr>
        <w:t>9.4.6 乙方应按合同约定，加强对噪声、粉尘、废气、废水和废油的控制，努力降低噪声，控制粉尘和废气浓度，做好废水和废油的治理和排放。</w:t>
      </w:r>
    </w:p>
    <w:p w14:paraId="53CF189F">
      <w:pPr>
        <w:pStyle w:val="261"/>
        <w:tabs>
          <w:tab w:val="left" w:pos="720"/>
        </w:tabs>
        <w:outlineLvl w:val="9"/>
      </w:pPr>
      <w:r>
        <w:rPr>
          <w:rFonts w:hint="eastAsia"/>
        </w:rPr>
        <w:t>9.5 事故处理</w:t>
      </w:r>
    </w:p>
    <w:p w14:paraId="5EB8294C">
      <w:pPr>
        <w:spacing w:line="400" w:lineRule="exact"/>
        <w:ind w:firstLine="420" w:firstLineChars="200"/>
      </w:pPr>
      <w:r>
        <w:rPr>
          <w:rFonts w:hint="eastAsia"/>
        </w:rPr>
        <w:t>工程施工过程中发生事故的，乙方应立即通知监理人，监理人应立即通知甲方。甲方和乙方应立即组织人员和设备进行紧急抢救和抢修，减少人员伤亡和财产损失，防止事故扩大，并保护事故现场。需要移动现场物品时，应作出标记和书面记录，妥善保管有关证据。甲方和乙方应按国家有关规定，及时如实地向有关部门报告事故发生的情况，以及正在采取的紧急措施等。</w:t>
      </w:r>
    </w:p>
    <w:p w14:paraId="21902368">
      <w:pPr>
        <w:pStyle w:val="260"/>
        <w:spacing w:before="0"/>
        <w:outlineLvl w:val="9"/>
      </w:pPr>
      <w:r>
        <w:rPr>
          <w:rFonts w:hint="eastAsia"/>
        </w:rPr>
        <w:t>10. 进度计划</w:t>
      </w:r>
    </w:p>
    <w:p w14:paraId="596B92B8">
      <w:pPr>
        <w:pStyle w:val="261"/>
        <w:tabs>
          <w:tab w:val="left" w:pos="720"/>
        </w:tabs>
        <w:outlineLvl w:val="9"/>
      </w:pPr>
      <w:r>
        <w:rPr>
          <w:rFonts w:hint="eastAsia"/>
        </w:rPr>
        <w:t>10.1 合同进度计划</w:t>
      </w:r>
    </w:p>
    <w:p w14:paraId="14EA5A62">
      <w:pPr>
        <w:spacing w:line="400" w:lineRule="exact"/>
        <w:ind w:firstLine="420" w:firstLineChars="200"/>
      </w:pPr>
      <w:r>
        <w:rPr>
          <w:rFonts w:hint="eastAsia"/>
        </w:rPr>
        <w:t>乙方应按专用合同条款约定的内容和期限，编制详细的施工进度计划和施工方案说明报送监理人。监理人应在专用合同条款约定的期限内批复或提出修改意见，否则该进度计划视为已得到批准。经监理人批准的施工进度计划称合同进度计划，是控制合同工程进度的依据。乙方还应根据合同进度计划，编制更为详细的分阶段或分项进度计划，报监理人审批。</w:t>
      </w:r>
    </w:p>
    <w:p w14:paraId="3CCA5FE5">
      <w:pPr>
        <w:pStyle w:val="261"/>
        <w:tabs>
          <w:tab w:val="left" w:pos="720"/>
        </w:tabs>
        <w:outlineLvl w:val="9"/>
      </w:pPr>
      <w:r>
        <w:rPr>
          <w:rFonts w:hint="eastAsia"/>
        </w:rPr>
        <w:t>10.2 合同进度计划的修订</w:t>
      </w:r>
    </w:p>
    <w:p w14:paraId="730C439D">
      <w:pPr>
        <w:spacing w:line="400" w:lineRule="exact"/>
        <w:ind w:firstLine="420" w:firstLineChars="200"/>
      </w:pPr>
      <w:r>
        <w:rPr>
          <w:rFonts w:hint="eastAsia"/>
        </w:rPr>
        <w:t>不论何种原因造成工程的实际进度与第10.1款的合同进度计划不符时，乙方可以在专用合同条款约定的期限内向监理人提交修订合同进度计划的申请报告，并附有关措施和相关资料，报监理人审批；监理人也可以直接向乙方作出修订合同进度计划的指示，乙方应按该指示修订合同进度计划，报监理人审批。监理人应在专用合同条款约定的期限内批复。监理人在批复前应获得甲方同意。</w:t>
      </w:r>
    </w:p>
    <w:p w14:paraId="1000460D">
      <w:pPr>
        <w:pStyle w:val="260"/>
        <w:spacing w:before="0"/>
        <w:outlineLvl w:val="9"/>
      </w:pPr>
      <w:r>
        <w:rPr>
          <w:rFonts w:hint="eastAsia"/>
        </w:rPr>
        <w:t>11. 开工和竣工</w:t>
      </w:r>
    </w:p>
    <w:p w14:paraId="4D7D6635">
      <w:pPr>
        <w:pStyle w:val="261"/>
        <w:tabs>
          <w:tab w:val="left" w:pos="720"/>
        </w:tabs>
        <w:outlineLvl w:val="9"/>
      </w:pPr>
      <w:r>
        <w:rPr>
          <w:rFonts w:hint="eastAsia"/>
        </w:rPr>
        <w:t>11.1 开工</w:t>
      </w:r>
    </w:p>
    <w:p w14:paraId="5F884CB2">
      <w:pPr>
        <w:spacing w:line="400" w:lineRule="exact"/>
        <w:ind w:firstLine="420" w:firstLineChars="200"/>
      </w:pPr>
      <w:r>
        <w:rPr>
          <w:rFonts w:hint="eastAsia"/>
        </w:rPr>
        <w:t>11.1.1 监理人应在开工日期7天前向乙方发出开工通知。监理人在发出开工通知前应获得甲方同意。工期自监理人发出的开工通知中载明的开工日期起计算。乙方应在开工日期后尽快施工。</w:t>
      </w:r>
    </w:p>
    <w:p w14:paraId="0F767154">
      <w:pPr>
        <w:spacing w:line="400" w:lineRule="exact"/>
        <w:ind w:firstLine="420" w:firstLineChars="200"/>
        <w:rPr>
          <w:shd w:val="pct10" w:color="auto" w:fill="FFFFFF"/>
        </w:rPr>
      </w:pPr>
      <w:r>
        <w:rPr>
          <w:rFonts w:hint="eastAsia"/>
        </w:rPr>
        <w:t>11.1.2 乙方应按第10.1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14:paraId="1765A8F5">
      <w:pPr>
        <w:pStyle w:val="261"/>
        <w:tabs>
          <w:tab w:val="left" w:pos="720"/>
        </w:tabs>
        <w:outlineLvl w:val="9"/>
      </w:pPr>
      <w:r>
        <w:rPr>
          <w:rFonts w:hint="eastAsia"/>
        </w:rPr>
        <w:t>11.2 竣工</w:t>
      </w:r>
    </w:p>
    <w:p w14:paraId="330044E8">
      <w:pPr>
        <w:spacing w:line="400" w:lineRule="exact"/>
        <w:ind w:firstLine="420" w:firstLineChars="200"/>
      </w:pPr>
      <w:r>
        <w:rPr>
          <w:rFonts w:hint="eastAsia"/>
        </w:rPr>
        <w:t>乙方应在第1.1.4.3目约定的期限内完成合同工程。实际竣工日期在接收证书中写明。</w:t>
      </w:r>
    </w:p>
    <w:p w14:paraId="57018959">
      <w:pPr>
        <w:pStyle w:val="261"/>
        <w:tabs>
          <w:tab w:val="left" w:pos="720"/>
        </w:tabs>
        <w:outlineLvl w:val="9"/>
      </w:pPr>
      <w:r>
        <w:rPr>
          <w:rFonts w:hint="eastAsia"/>
        </w:rPr>
        <w:t>11.3 甲方的工期延误</w:t>
      </w:r>
    </w:p>
    <w:p w14:paraId="557A1735">
      <w:pPr>
        <w:spacing w:line="400" w:lineRule="exact"/>
        <w:ind w:firstLine="420" w:firstLineChars="200"/>
      </w:pPr>
      <w:r>
        <w:rPr>
          <w:rFonts w:hint="eastAsia"/>
        </w:rPr>
        <w:t>在履行合同过程中，由于甲方的下列原因造成工期延误的，乙方有权要求甲方延长工期和（或）增加费用，并支付合理利润。需要修订合同进度计划的，按照第10.2款的约定办理。</w:t>
      </w:r>
    </w:p>
    <w:p w14:paraId="5890279A">
      <w:pPr>
        <w:spacing w:line="400" w:lineRule="exact"/>
        <w:ind w:firstLine="359" w:firstLineChars="171"/>
      </w:pPr>
      <w:r>
        <w:rPr>
          <w:rFonts w:hint="eastAsia"/>
        </w:rPr>
        <w:t>（1）增加合同工作内容；</w:t>
      </w:r>
    </w:p>
    <w:p w14:paraId="59E1F0CE">
      <w:pPr>
        <w:spacing w:line="400" w:lineRule="exact"/>
        <w:ind w:firstLine="359" w:firstLineChars="171"/>
      </w:pPr>
      <w:r>
        <w:rPr>
          <w:rFonts w:hint="eastAsia"/>
        </w:rPr>
        <w:t>（2）改变合同中任何一项工作的质量要求或其他特性；</w:t>
      </w:r>
    </w:p>
    <w:p w14:paraId="6824BF96">
      <w:pPr>
        <w:spacing w:line="400" w:lineRule="exact"/>
        <w:ind w:firstLine="359" w:firstLineChars="171"/>
      </w:pPr>
      <w:r>
        <w:rPr>
          <w:rFonts w:hint="eastAsia"/>
        </w:rPr>
        <w:t>（3）甲方迟延提供材料、工程设备或变更交货地点的；</w:t>
      </w:r>
    </w:p>
    <w:p w14:paraId="786EA0DB">
      <w:pPr>
        <w:spacing w:line="400" w:lineRule="exact"/>
        <w:ind w:firstLine="359" w:firstLineChars="171"/>
      </w:pPr>
      <w:r>
        <w:rPr>
          <w:rFonts w:hint="eastAsia"/>
        </w:rPr>
        <w:t>（4）因甲方原因导致的暂停施工；</w:t>
      </w:r>
    </w:p>
    <w:p w14:paraId="7A32F30B">
      <w:pPr>
        <w:spacing w:line="400" w:lineRule="exact"/>
        <w:ind w:firstLine="359" w:firstLineChars="171"/>
      </w:pPr>
      <w:r>
        <w:rPr>
          <w:rFonts w:hint="eastAsia"/>
        </w:rPr>
        <w:t>（5）提供图纸延误；</w:t>
      </w:r>
    </w:p>
    <w:p w14:paraId="0A15B6FA">
      <w:pPr>
        <w:spacing w:line="400" w:lineRule="exact"/>
        <w:ind w:firstLine="359" w:firstLineChars="171"/>
      </w:pPr>
      <w:r>
        <w:rPr>
          <w:rFonts w:hint="eastAsia"/>
        </w:rPr>
        <w:t>（6）未按合同约定及时支付预付款、进度款；</w:t>
      </w:r>
    </w:p>
    <w:p w14:paraId="5D78C758">
      <w:pPr>
        <w:spacing w:line="400" w:lineRule="exact"/>
        <w:ind w:firstLine="359" w:firstLineChars="171"/>
      </w:pPr>
      <w:r>
        <w:rPr>
          <w:rFonts w:hint="eastAsia"/>
        </w:rPr>
        <w:t>（7）甲方造成工期延误的其他原因。</w:t>
      </w:r>
    </w:p>
    <w:p w14:paraId="209FE054">
      <w:pPr>
        <w:pStyle w:val="261"/>
        <w:tabs>
          <w:tab w:val="left" w:pos="720"/>
        </w:tabs>
        <w:outlineLvl w:val="9"/>
      </w:pPr>
      <w:r>
        <w:rPr>
          <w:rFonts w:hint="eastAsia"/>
        </w:rPr>
        <w:t>11.4 异常恶劣的气候条件</w:t>
      </w:r>
    </w:p>
    <w:p w14:paraId="432F8251">
      <w:pPr>
        <w:spacing w:line="400" w:lineRule="exact"/>
        <w:ind w:firstLine="359" w:firstLineChars="171"/>
      </w:pPr>
      <w:r>
        <w:rPr>
          <w:rFonts w:hint="eastAsia"/>
        </w:rPr>
        <w:t>由于出现专用合同条款规定的异常恶劣气候的条件导致工期延误的，乙方有权要求甲方延长工期。</w:t>
      </w:r>
    </w:p>
    <w:p w14:paraId="77650D4C">
      <w:pPr>
        <w:pStyle w:val="261"/>
        <w:tabs>
          <w:tab w:val="left" w:pos="720"/>
        </w:tabs>
        <w:outlineLvl w:val="9"/>
      </w:pPr>
      <w:r>
        <w:rPr>
          <w:rFonts w:hint="eastAsia"/>
        </w:rPr>
        <w:t>11.5 乙方的工期延误</w:t>
      </w:r>
    </w:p>
    <w:p w14:paraId="04255C63">
      <w:pPr>
        <w:spacing w:line="400" w:lineRule="exact"/>
        <w:ind w:firstLine="420" w:firstLineChars="200"/>
      </w:pPr>
      <w:r>
        <w:rPr>
          <w:rFonts w:hint="eastAsia"/>
        </w:rPr>
        <w:t>由于乙方原因，未能按合同进度计划完成工作，或监理人认为乙方施工进度不能满足合同工期要求的，乙方应采取措施加快进度，并承担加快进度所增加的费用。由于乙方原因造成工期延误，乙方应支付逾期竣工违约金。逾期竣工违约金的计算方法在专用合同条款中约定。乙方支付逾期竣工违约金，不免除乙方完成工程及修补缺陷的义务。</w:t>
      </w:r>
    </w:p>
    <w:p w14:paraId="4BB8D7B4">
      <w:pPr>
        <w:spacing w:line="400" w:lineRule="exact"/>
        <w:ind w:firstLine="420" w:firstLineChars="200"/>
      </w:pPr>
      <w:r>
        <w:rPr>
          <w:rFonts w:hint="eastAsia"/>
        </w:rPr>
        <w:t>11.5.2逾期峻工违约金的计算标准和计算方法</w:t>
      </w:r>
    </w:p>
    <w:p w14:paraId="11C1AB23">
      <w:pPr>
        <w:spacing w:line="400" w:lineRule="exact"/>
        <w:ind w:firstLine="420" w:firstLineChars="200"/>
      </w:pPr>
      <w:r>
        <w:rPr>
          <w:rFonts w:hint="eastAsia"/>
        </w:rPr>
        <w:t>乙方如果逾期完工应按照签约合同价的0.5‰/天向甲方支付违约金，即:逾期天数逾期天数X 0.5‰/天，其中：逾期天数=实际工期-合同工期-承包人同意延长的工期,按天计算,不足一天按一天计。</w:t>
      </w:r>
    </w:p>
    <w:p w14:paraId="42D795A8">
      <w:pPr>
        <w:pStyle w:val="27"/>
        <w:spacing w:line="400" w:lineRule="exact"/>
        <w:ind w:firstLineChars="0"/>
        <w:jc w:val="left"/>
        <w:rPr>
          <w:rFonts w:hint="eastAsia" w:ascii="宋体" w:hAnsi="宋体" w:eastAsia="宋体"/>
          <w:sz w:val="21"/>
          <w:szCs w:val="21"/>
        </w:rPr>
      </w:pPr>
      <w:r>
        <w:rPr>
          <w:rFonts w:hint="eastAsia" w:ascii="宋体" w:hAnsi="宋体" w:eastAsia="宋体"/>
          <w:sz w:val="21"/>
          <w:szCs w:val="21"/>
        </w:rPr>
        <w:t>逾期竣工</w:t>
      </w:r>
      <w:r>
        <w:rPr>
          <w:rFonts w:ascii="宋体" w:hAnsi="宋体" w:eastAsia="宋体"/>
          <w:sz w:val="21"/>
          <w:szCs w:val="21"/>
        </w:rPr>
        <w:t>违约</w:t>
      </w:r>
      <w:r>
        <w:rPr>
          <w:rFonts w:hint="eastAsia" w:ascii="宋体" w:hAnsi="宋体" w:eastAsia="宋体"/>
          <w:sz w:val="21"/>
          <w:szCs w:val="21"/>
        </w:rPr>
        <w:t>金</w:t>
      </w:r>
      <w:r>
        <w:rPr>
          <w:rFonts w:ascii="宋体" w:hAnsi="宋体" w:eastAsia="宋体"/>
          <w:sz w:val="21"/>
          <w:szCs w:val="21"/>
        </w:rPr>
        <w:t>最高限额</w:t>
      </w:r>
      <w:r>
        <w:rPr>
          <w:rFonts w:hint="eastAsia" w:ascii="宋体" w:hAnsi="宋体" w:eastAsia="宋体"/>
          <w:sz w:val="21"/>
          <w:szCs w:val="21"/>
        </w:rPr>
        <w:t>：</w:t>
      </w:r>
      <w:r>
        <w:rPr>
          <w:rFonts w:hint="eastAsia" w:ascii="宋体" w:hAnsi="宋体" w:eastAsia="宋体"/>
          <w:sz w:val="21"/>
          <w:szCs w:val="21"/>
          <w:u w:val="single"/>
        </w:rPr>
        <w:t>合同额的</w:t>
      </w:r>
      <w:r>
        <w:rPr>
          <w:rFonts w:ascii="宋体" w:hAnsi="宋体" w:eastAsia="宋体"/>
          <w:sz w:val="21"/>
          <w:szCs w:val="21"/>
          <w:u w:val="single"/>
        </w:rPr>
        <w:t>30%</w:t>
      </w:r>
      <w:r>
        <w:rPr>
          <w:rFonts w:hint="eastAsia" w:ascii="宋体" w:hAnsi="宋体" w:eastAsia="宋体"/>
          <w:sz w:val="21"/>
          <w:szCs w:val="21"/>
        </w:rPr>
        <w:t>。若因施工方原因延误工期导致发包方政府财政资金被收回，则施工方需承担发包方被政府收回的财政资金及孳息。</w:t>
      </w:r>
    </w:p>
    <w:p w14:paraId="552760C3">
      <w:pPr>
        <w:pStyle w:val="261"/>
        <w:tabs>
          <w:tab w:val="left" w:pos="720"/>
        </w:tabs>
        <w:outlineLvl w:val="9"/>
      </w:pPr>
      <w:r>
        <w:rPr>
          <w:rFonts w:hint="eastAsia"/>
        </w:rPr>
        <w:t>11.6 工期提前</w:t>
      </w:r>
    </w:p>
    <w:p w14:paraId="366D7B91">
      <w:pPr>
        <w:spacing w:line="400" w:lineRule="exact"/>
        <w:ind w:firstLine="420" w:firstLineChars="200"/>
      </w:pPr>
      <w:r>
        <w:rPr>
          <w:rFonts w:hint="eastAsia"/>
        </w:rPr>
        <w:t>甲方要求乙方提前竣工，或乙方提出提前竣工的建议能够给甲方带来效益的，应由监理人与乙方共同协商采取加快工程进度的措施和修订合同进度计划。甲方应承担乙方由此增加的费用，并向乙方支付专用合同条款约定的相应奖金。</w:t>
      </w:r>
    </w:p>
    <w:p w14:paraId="6F21A435">
      <w:pPr>
        <w:pStyle w:val="260"/>
        <w:spacing w:before="0"/>
        <w:outlineLvl w:val="9"/>
      </w:pPr>
      <w:r>
        <w:rPr>
          <w:rFonts w:hint="eastAsia"/>
        </w:rPr>
        <w:t>12. 暂停施工</w:t>
      </w:r>
    </w:p>
    <w:p w14:paraId="00AAFA44">
      <w:pPr>
        <w:pStyle w:val="261"/>
        <w:tabs>
          <w:tab w:val="left" w:pos="720"/>
        </w:tabs>
        <w:outlineLvl w:val="9"/>
      </w:pPr>
      <w:r>
        <w:rPr>
          <w:rFonts w:hint="eastAsia"/>
        </w:rPr>
        <w:t>12.1 乙方暂停施工的责任</w:t>
      </w:r>
    </w:p>
    <w:p w14:paraId="6EC228EE">
      <w:pPr>
        <w:spacing w:line="400" w:lineRule="exact"/>
        <w:ind w:firstLine="420" w:firstLineChars="200"/>
      </w:pPr>
      <w:r>
        <w:rPr>
          <w:rFonts w:hint="eastAsia"/>
        </w:rPr>
        <w:t>因下列暂停施工增加的费用和（或）工期延误由乙方承担：</w:t>
      </w:r>
    </w:p>
    <w:p w14:paraId="38534E32">
      <w:pPr>
        <w:spacing w:line="400" w:lineRule="exact"/>
        <w:ind w:firstLine="359" w:firstLineChars="171"/>
      </w:pPr>
      <w:r>
        <w:rPr>
          <w:rFonts w:hint="eastAsia"/>
        </w:rPr>
        <w:t>（1）乙方违约引起的暂停施工；</w:t>
      </w:r>
    </w:p>
    <w:p w14:paraId="18E36ABF">
      <w:pPr>
        <w:spacing w:line="400" w:lineRule="exact"/>
        <w:ind w:firstLine="359" w:firstLineChars="171"/>
      </w:pPr>
      <w:r>
        <w:rPr>
          <w:rFonts w:hint="eastAsia"/>
        </w:rPr>
        <w:t>（2）由于乙方原因为工程合理施工和安全保障所必需的暂停施工；</w:t>
      </w:r>
    </w:p>
    <w:p w14:paraId="056FDA96">
      <w:pPr>
        <w:spacing w:line="400" w:lineRule="exact"/>
        <w:ind w:firstLine="359" w:firstLineChars="171"/>
      </w:pPr>
      <w:r>
        <w:rPr>
          <w:rFonts w:hint="eastAsia"/>
        </w:rPr>
        <w:t>（3）乙方擅自暂停施工；</w:t>
      </w:r>
    </w:p>
    <w:p w14:paraId="6F602F59">
      <w:pPr>
        <w:spacing w:line="400" w:lineRule="exact"/>
        <w:ind w:firstLine="359" w:firstLineChars="171"/>
      </w:pPr>
      <w:r>
        <w:rPr>
          <w:rFonts w:hint="eastAsia"/>
        </w:rPr>
        <w:t>（4）乙方其他原因引起的暂停施工；</w:t>
      </w:r>
    </w:p>
    <w:p w14:paraId="13536187">
      <w:pPr>
        <w:spacing w:line="400" w:lineRule="exact"/>
        <w:ind w:firstLine="359" w:firstLineChars="171"/>
      </w:pPr>
      <w:r>
        <w:rPr>
          <w:rFonts w:hint="eastAsia"/>
        </w:rPr>
        <w:t>（5）专用合同条款约定由乙方承担的其他暂停施工。</w:t>
      </w:r>
    </w:p>
    <w:p w14:paraId="7F8D2870">
      <w:pPr>
        <w:pStyle w:val="261"/>
        <w:tabs>
          <w:tab w:val="left" w:pos="720"/>
        </w:tabs>
        <w:outlineLvl w:val="9"/>
      </w:pPr>
      <w:r>
        <w:rPr>
          <w:rFonts w:hint="eastAsia"/>
        </w:rPr>
        <w:t>12.2 甲方暂停施工的责任</w:t>
      </w:r>
    </w:p>
    <w:p w14:paraId="1350C815">
      <w:pPr>
        <w:spacing w:line="400" w:lineRule="exact"/>
        <w:ind w:firstLine="420" w:firstLineChars="200"/>
      </w:pPr>
      <w:r>
        <w:rPr>
          <w:rFonts w:hint="eastAsia"/>
        </w:rPr>
        <w:t>由于甲方原因引起的暂停施工造成工期延误的，乙方有权要求甲方延长工期和（或）增加费用，并支付合理利润。</w:t>
      </w:r>
    </w:p>
    <w:p w14:paraId="7D2C5F79">
      <w:pPr>
        <w:pStyle w:val="261"/>
        <w:tabs>
          <w:tab w:val="left" w:pos="720"/>
        </w:tabs>
        <w:outlineLvl w:val="9"/>
      </w:pPr>
      <w:r>
        <w:rPr>
          <w:rFonts w:hint="eastAsia"/>
        </w:rPr>
        <w:t>12.3 监理人暂停施工指示</w:t>
      </w:r>
    </w:p>
    <w:p w14:paraId="7582D5EF">
      <w:pPr>
        <w:spacing w:line="400" w:lineRule="exact"/>
        <w:ind w:firstLine="420" w:firstLineChars="200"/>
      </w:pPr>
      <w:r>
        <w:rPr>
          <w:rFonts w:hint="eastAsia"/>
        </w:rPr>
        <w:t>12.3.1 监理人认为有必要时，可向乙方作出暂停施工的指示，乙方应按监理人指示暂停施工。不论由于何种原因引起的暂停施工，暂停施工期间乙方应负责妥善保护工程并提供安全保障。</w:t>
      </w:r>
    </w:p>
    <w:p w14:paraId="7965C021">
      <w:pPr>
        <w:spacing w:line="400" w:lineRule="exact"/>
        <w:ind w:firstLine="420" w:firstLineChars="200"/>
      </w:pPr>
      <w:r>
        <w:rPr>
          <w:rFonts w:hint="eastAsia"/>
        </w:rPr>
        <w:t>12.3.2 由于甲方的原因发生暂停施工的紧急情况，且监理人未及时下达暂停施工指示的，乙方可先暂停施工，并及时向监理人提出暂停施工的书面请求。监理人应在接到书面请求后的24小时内予以答复，逾期未答复的，视为同意乙方的暂停施工请求。</w:t>
      </w:r>
    </w:p>
    <w:p w14:paraId="0F17C46B">
      <w:pPr>
        <w:pStyle w:val="261"/>
        <w:tabs>
          <w:tab w:val="left" w:pos="720"/>
        </w:tabs>
        <w:outlineLvl w:val="9"/>
      </w:pPr>
      <w:r>
        <w:rPr>
          <w:rFonts w:hint="eastAsia"/>
        </w:rPr>
        <w:t>12.4 暂停施工后的复工</w:t>
      </w:r>
    </w:p>
    <w:p w14:paraId="293278AB">
      <w:pPr>
        <w:spacing w:line="400" w:lineRule="exact"/>
        <w:ind w:firstLine="420" w:firstLineChars="200"/>
      </w:pPr>
      <w:r>
        <w:rPr>
          <w:rFonts w:hint="eastAsia"/>
        </w:rPr>
        <w:t>12.4.1 暂停施工后，监理人应与甲方和乙方协商，采取有效措施积极消除暂停施工的影响。当工程具备复工条件时，监理人应立即向乙方发出复工通知。乙方收到复工通知后，应在监理人指定的期限内复工。</w:t>
      </w:r>
    </w:p>
    <w:p w14:paraId="5DD53806">
      <w:pPr>
        <w:spacing w:line="400" w:lineRule="exact"/>
        <w:ind w:firstLine="420" w:firstLineChars="200"/>
      </w:pPr>
      <w:r>
        <w:rPr>
          <w:rFonts w:hint="eastAsia"/>
        </w:rPr>
        <w:t>12.4.2 乙方无故拖延和拒绝复工的，由此增加的费用和工期延误由乙方承担；因甲方原因无法按时复工的，乙方有权要求甲方延长工期和（或）增加费用，并支付合理利润。</w:t>
      </w:r>
    </w:p>
    <w:p w14:paraId="792BC771">
      <w:pPr>
        <w:pStyle w:val="261"/>
        <w:tabs>
          <w:tab w:val="left" w:pos="720"/>
        </w:tabs>
        <w:outlineLvl w:val="9"/>
      </w:pPr>
      <w:r>
        <w:rPr>
          <w:rFonts w:hint="eastAsia"/>
        </w:rPr>
        <w:t xml:space="preserve">12.5 </w:t>
      </w:r>
      <w:r>
        <w:t>暂停施工</w:t>
      </w:r>
      <w:r>
        <w:rPr>
          <w:rFonts w:hint="eastAsia"/>
        </w:rPr>
        <w:t>持续56天以上</w:t>
      </w:r>
    </w:p>
    <w:p w14:paraId="3F928CF7">
      <w:pPr>
        <w:spacing w:line="400" w:lineRule="exact"/>
        <w:ind w:firstLine="411" w:firstLineChars="196"/>
      </w:pPr>
      <w:r>
        <w:rPr>
          <w:rFonts w:hint="eastAsia"/>
        </w:rPr>
        <w:t xml:space="preserve">12.5.1 </w:t>
      </w:r>
      <w:r>
        <w:t>监理人</w:t>
      </w:r>
      <w:r>
        <w:rPr>
          <w:rFonts w:hint="eastAsia"/>
        </w:rPr>
        <w:t>发出</w:t>
      </w:r>
      <w:r>
        <w:t>暂停施工指示</w:t>
      </w:r>
      <w:r>
        <w:rPr>
          <w:rFonts w:hint="eastAsia"/>
        </w:rPr>
        <w:t>后56天内未向</w:t>
      </w:r>
      <w:r>
        <w:t>乙方</w:t>
      </w:r>
      <w:r>
        <w:rPr>
          <w:rFonts w:hint="eastAsia"/>
        </w:rPr>
        <w:t>发出复工通知，除了该项停工属于第12.1款的情况外，</w:t>
      </w:r>
      <w:r>
        <w:t>乙方</w:t>
      </w:r>
      <w:r>
        <w:rPr>
          <w:rFonts w:hint="eastAsia"/>
        </w:rPr>
        <w:t>可向</w:t>
      </w:r>
      <w:r>
        <w:t>监理人</w:t>
      </w:r>
      <w:r>
        <w:rPr>
          <w:rFonts w:hint="eastAsia"/>
        </w:rPr>
        <w:t>提交书面通知，要求</w:t>
      </w:r>
      <w:r>
        <w:t>监理人</w:t>
      </w:r>
      <w:r>
        <w:rPr>
          <w:rFonts w:hint="eastAsia"/>
        </w:rPr>
        <w:t>在收到书面通知后28天内准许已</w:t>
      </w:r>
      <w:r>
        <w:t>暂停施工</w:t>
      </w:r>
      <w:r>
        <w:rPr>
          <w:rFonts w:hint="eastAsia"/>
        </w:rPr>
        <w:t>的工程或其中一部分工程继续施工。如</w:t>
      </w:r>
      <w:r>
        <w:t>监理人</w:t>
      </w:r>
      <w:r>
        <w:rPr>
          <w:rFonts w:hint="eastAsia"/>
        </w:rPr>
        <w:t>逾期不予批准，则乙方可以通知</w:t>
      </w:r>
      <w:r>
        <w:t>监理人</w:t>
      </w:r>
      <w:r>
        <w:rPr>
          <w:rFonts w:hint="eastAsia"/>
        </w:rPr>
        <w:t>，将工程受影响的部分视为按第15.1（1）项的可取消工作。如</w:t>
      </w:r>
      <w:r>
        <w:t>暂停施工</w:t>
      </w:r>
      <w:r>
        <w:rPr>
          <w:rFonts w:hint="eastAsia"/>
        </w:rPr>
        <w:t>影响到整个工程，可视为甲方违约，应按第22.2款的规定办理。</w:t>
      </w:r>
    </w:p>
    <w:p w14:paraId="3EB78E44">
      <w:pPr>
        <w:spacing w:line="400" w:lineRule="exact"/>
        <w:ind w:firstLine="420" w:firstLineChars="200"/>
      </w:pPr>
      <w:r>
        <w:rPr>
          <w:rFonts w:hint="eastAsia"/>
        </w:rPr>
        <w:t>12.5.2 由于</w:t>
      </w:r>
      <w:r>
        <w:t>乙方</w:t>
      </w:r>
      <w:r>
        <w:rPr>
          <w:rFonts w:hint="eastAsia"/>
        </w:rPr>
        <w:t>责任引起的</w:t>
      </w:r>
      <w:r>
        <w:t>暂停施工</w:t>
      </w:r>
      <w:r>
        <w:rPr>
          <w:rFonts w:hint="eastAsia"/>
        </w:rPr>
        <w:t>，如</w:t>
      </w:r>
      <w:r>
        <w:t>乙方</w:t>
      </w:r>
      <w:r>
        <w:rPr>
          <w:rFonts w:hint="eastAsia"/>
        </w:rPr>
        <w:t>在收到</w:t>
      </w:r>
      <w:r>
        <w:t>监理人暂停施工指示</w:t>
      </w:r>
      <w:r>
        <w:rPr>
          <w:rFonts w:hint="eastAsia"/>
        </w:rPr>
        <w:t>后56天内不认真采取有效的复工措施，造成工期延误，可视为</w:t>
      </w:r>
      <w:r>
        <w:t>乙方</w:t>
      </w:r>
      <w:r>
        <w:rPr>
          <w:rFonts w:hint="eastAsia"/>
        </w:rPr>
        <w:t>违约，应按第22.1款的规定办理。</w:t>
      </w:r>
    </w:p>
    <w:p w14:paraId="51AD2FD0">
      <w:pPr>
        <w:pStyle w:val="260"/>
        <w:spacing w:before="0"/>
        <w:outlineLvl w:val="9"/>
      </w:pPr>
      <w:r>
        <w:rPr>
          <w:rFonts w:hint="eastAsia"/>
        </w:rPr>
        <w:t>13. 工程质量</w:t>
      </w:r>
    </w:p>
    <w:p w14:paraId="697BFA01">
      <w:pPr>
        <w:pStyle w:val="261"/>
        <w:tabs>
          <w:tab w:val="left" w:pos="720"/>
        </w:tabs>
        <w:outlineLvl w:val="9"/>
      </w:pPr>
      <w:r>
        <w:rPr>
          <w:rFonts w:hint="eastAsia"/>
        </w:rPr>
        <w:t>13.1 工程质量要求</w:t>
      </w:r>
    </w:p>
    <w:p w14:paraId="10FCC0FA">
      <w:pPr>
        <w:spacing w:line="400" w:lineRule="exact"/>
        <w:ind w:firstLine="420" w:firstLineChars="200"/>
      </w:pPr>
      <w:r>
        <w:rPr>
          <w:rFonts w:hint="eastAsia"/>
        </w:rPr>
        <w:t>13.1.1 工程质量验收按合同约定验收标准执行。</w:t>
      </w:r>
    </w:p>
    <w:p w14:paraId="66F74205">
      <w:pPr>
        <w:spacing w:line="400" w:lineRule="exact"/>
        <w:ind w:firstLine="420" w:firstLineChars="200"/>
      </w:pPr>
      <w:r>
        <w:rPr>
          <w:rFonts w:hint="eastAsia"/>
        </w:rPr>
        <w:t>13.1.2 因乙方原因造成工程质量达不到合同约定验收标准的，监理人有权要求乙方返工直至符合合同要求为止，由此造成的费用增加和（或）工期延误由乙方承担。</w:t>
      </w:r>
    </w:p>
    <w:p w14:paraId="7F797D87">
      <w:pPr>
        <w:spacing w:line="400" w:lineRule="exact"/>
        <w:ind w:firstLine="420" w:firstLineChars="200"/>
      </w:pPr>
      <w:r>
        <w:rPr>
          <w:rFonts w:hint="eastAsia"/>
        </w:rPr>
        <w:t>13.1.3 因甲方原因造成工程质量达不到合同约定验收标准的，甲方应承担由于乙方返工造成的费用增加和（或）工期延误，并支付乙方合理利润。</w:t>
      </w:r>
    </w:p>
    <w:p w14:paraId="71728C05">
      <w:pPr>
        <w:pStyle w:val="261"/>
        <w:tabs>
          <w:tab w:val="left" w:pos="720"/>
        </w:tabs>
        <w:outlineLvl w:val="9"/>
      </w:pPr>
      <w:r>
        <w:rPr>
          <w:rFonts w:hint="eastAsia"/>
        </w:rPr>
        <w:t>13.2 乙方的质量管理</w:t>
      </w:r>
    </w:p>
    <w:p w14:paraId="28CAB60E">
      <w:pPr>
        <w:spacing w:line="400" w:lineRule="exact"/>
        <w:ind w:firstLine="420" w:firstLineChars="200"/>
      </w:pPr>
      <w:r>
        <w:rPr>
          <w:rFonts w:hint="eastAsia"/>
        </w:rPr>
        <w:t>13.2.1 乙方应在施工场地设置专门的质量检查机构，配备专职质量检查人员，建立完善的质量检查制度。乙方应在合同约定的期限内，提交工程质量保证措施文件，包括质量检查机构的组织和岗位责任、质检人员的组成、质量检查程序和实施细则等，报送监理人审批。</w:t>
      </w:r>
    </w:p>
    <w:p w14:paraId="70B429A0">
      <w:pPr>
        <w:spacing w:line="400" w:lineRule="exact"/>
        <w:ind w:firstLine="420" w:firstLineChars="200"/>
      </w:pPr>
      <w:r>
        <w:rPr>
          <w:rFonts w:hint="eastAsia"/>
        </w:rPr>
        <w:t>13.2.2 乙方应加强对施工人员的质量教育和技术培训，定期考核施工人员的劳动技能，严格执行规范和操作规程。</w:t>
      </w:r>
    </w:p>
    <w:p w14:paraId="6D32D0AB">
      <w:pPr>
        <w:pStyle w:val="261"/>
        <w:tabs>
          <w:tab w:val="left" w:pos="720"/>
        </w:tabs>
        <w:outlineLvl w:val="9"/>
      </w:pPr>
      <w:r>
        <w:rPr>
          <w:rFonts w:hint="eastAsia"/>
        </w:rPr>
        <w:t>13.3 乙方的质量检查</w:t>
      </w:r>
    </w:p>
    <w:p w14:paraId="59F05E61">
      <w:pPr>
        <w:spacing w:line="400" w:lineRule="exact"/>
        <w:ind w:firstLine="420" w:firstLineChars="200"/>
      </w:pPr>
      <w:r>
        <w:rPr>
          <w:rFonts w:hint="eastAsia"/>
        </w:rPr>
        <w:t>乙方应按合同约定对材料、工程设备以及工程的所有部位及其施工工艺进行全过程的质量检查和检验，并作详细记录，编制工程质量报表，报送监理人审查。</w:t>
      </w:r>
    </w:p>
    <w:p w14:paraId="32AFABDD">
      <w:pPr>
        <w:pStyle w:val="261"/>
        <w:tabs>
          <w:tab w:val="left" w:pos="720"/>
        </w:tabs>
        <w:outlineLvl w:val="9"/>
      </w:pPr>
      <w:r>
        <w:rPr>
          <w:rFonts w:hint="eastAsia"/>
        </w:rPr>
        <w:t>13.4 监理人的质量检查</w:t>
      </w:r>
    </w:p>
    <w:p w14:paraId="482B0352">
      <w:pPr>
        <w:spacing w:line="400" w:lineRule="exact"/>
        <w:ind w:firstLine="420" w:firstLineChars="200"/>
      </w:pPr>
      <w:r>
        <w:rPr>
          <w:rFonts w:hint="eastAsia"/>
        </w:rPr>
        <w:t>监理人有权对工程的所有部位及其施工工艺、材料和工程设备进行检查和检验。乙方应为监理人的检查和检验提供方便，包括监理人到施工场地，或制造、加工地点，或合同约定的其他地方进行察看和查阅施工原始记录。乙方还应按监理人指示，进行施工场地取样试验、工程复核测量和设备性能检测，提供试验样品、提交试验报告和测量成果以及监理人要求进行的其他工作。监理人的检查和检验，不免除乙方按合同约定应负的责任。</w:t>
      </w:r>
    </w:p>
    <w:p w14:paraId="28ACEB05">
      <w:pPr>
        <w:pStyle w:val="261"/>
        <w:tabs>
          <w:tab w:val="left" w:pos="720"/>
        </w:tabs>
        <w:outlineLvl w:val="9"/>
      </w:pPr>
      <w:r>
        <w:rPr>
          <w:rFonts w:hint="eastAsia"/>
        </w:rPr>
        <w:t>13.5 工程隐蔽部位覆盖前的检查</w:t>
      </w:r>
    </w:p>
    <w:p w14:paraId="23FC42DC">
      <w:pPr>
        <w:spacing w:line="400" w:lineRule="exact"/>
        <w:ind w:firstLine="420" w:firstLineChars="200"/>
      </w:pPr>
      <w:r>
        <w:rPr>
          <w:rFonts w:hint="eastAsia"/>
        </w:rPr>
        <w:t xml:space="preserve">13.5.1 </w:t>
      </w:r>
      <w:r>
        <w:rPr>
          <w:rFonts w:hint="eastAsia" w:ascii="黑体" w:eastAsia="黑体"/>
        </w:rPr>
        <w:t>通知监理人检查</w:t>
      </w:r>
    </w:p>
    <w:p w14:paraId="24355AA5">
      <w:pPr>
        <w:spacing w:line="400" w:lineRule="exact"/>
        <w:ind w:firstLine="420" w:firstLineChars="200"/>
      </w:pPr>
      <w:r>
        <w:rPr>
          <w:rFonts w:hint="eastAsia"/>
        </w:rPr>
        <w:t>经乙方自检确认的工程隐蔽部位具备覆盖条件后，乙方应通知监理人在约定的期限内检查。乙方的通知应附有自检记录和必要的检查资料。监理人应按时到场检查。经监理人检查确认质量符合隐蔽要求，并在检查记录上签字后，乙方才能进行覆盖。监理人检查确认质量不合格的，乙方应在监理人指示的时间内修整返工后，由监理人重新检查。</w:t>
      </w:r>
    </w:p>
    <w:p w14:paraId="06538ADE">
      <w:pPr>
        <w:spacing w:line="400" w:lineRule="exact"/>
        <w:ind w:firstLine="420" w:firstLineChars="200"/>
      </w:pPr>
      <w:r>
        <w:rPr>
          <w:rFonts w:hint="eastAsia"/>
        </w:rPr>
        <w:t xml:space="preserve">13.5.2 </w:t>
      </w:r>
      <w:r>
        <w:rPr>
          <w:rFonts w:hint="eastAsia" w:ascii="黑体" w:eastAsia="黑体"/>
        </w:rPr>
        <w:t>监理人未到场检查</w:t>
      </w:r>
    </w:p>
    <w:p w14:paraId="5EBDFE99">
      <w:pPr>
        <w:spacing w:line="400" w:lineRule="exact"/>
        <w:ind w:firstLine="420" w:firstLineChars="200"/>
      </w:pPr>
      <w:r>
        <w:rPr>
          <w:rFonts w:hint="eastAsia"/>
        </w:rPr>
        <w:t>监理人未按第13.5.1项约定的时间进行检查的，除监理人另有指示外，乙方可自行完成覆盖工作，并作相应记录报送监理人，监理人应签字确认。监理人事后对检查记录有疑问的，可按第13.5.3项的约定重新检查。</w:t>
      </w:r>
    </w:p>
    <w:p w14:paraId="0D3B1845">
      <w:pPr>
        <w:spacing w:line="400" w:lineRule="exact"/>
        <w:ind w:firstLine="420" w:firstLineChars="200"/>
      </w:pPr>
      <w:r>
        <w:rPr>
          <w:rFonts w:hint="eastAsia"/>
        </w:rPr>
        <w:t xml:space="preserve">13.5.3 </w:t>
      </w:r>
      <w:r>
        <w:rPr>
          <w:rFonts w:hint="eastAsia" w:ascii="黑体" w:eastAsia="黑体"/>
        </w:rPr>
        <w:t>监理人重新检查</w:t>
      </w:r>
    </w:p>
    <w:p w14:paraId="584C5B21">
      <w:pPr>
        <w:spacing w:line="400" w:lineRule="exact"/>
        <w:ind w:firstLine="420" w:firstLineChars="200"/>
      </w:pPr>
      <w:r>
        <w:rPr>
          <w:rFonts w:hint="eastAsia"/>
        </w:rPr>
        <w:t>乙方按第13.5.1项或第13.5.2项覆盖工程隐蔽部位后，监理人对质量有疑问的，可要求乙方对已覆盖的部位进行钻孔探测或揭开重新检验，乙方应遵照执行，并在检验后重新覆盖恢复原状。经检验证明工程质量符合合同要求的，由甲方承担由此增加的费用和（或）工期延误，并支付乙方合理利润；经检验证明工程质量不符合合同要求的，由此增加的费用和（或）工期延误由乙方承担。</w:t>
      </w:r>
    </w:p>
    <w:p w14:paraId="1388B0D7">
      <w:pPr>
        <w:spacing w:line="400" w:lineRule="exact"/>
        <w:ind w:firstLine="420" w:firstLineChars="200"/>
      </w:pPr>
      <w:r>
        <w:rPr>
          <w:rFonts w:hint="eastAsia"/>
        </w:rPr>
        <w:t xml:space="preserve">13.5.4 </w:t>
      </w:r>
      <w:r>
        <w:rPr>
          <w:rFonts w:hint="eastAsia" w:ascii="黑体" w:eastAsia="黑体"/>
        </w:rPr>
        <w:t>乙方私自覆盖</w:t>
      </w:r>
    </w:p>
    <w:p w14:paraId="0ABAA561">
      <w:pPr>
        <w:spacing w:line="400" w:lineRule="exact"/>
        <w:ind w:firstLine="420" w:firstLineChars="200"/>
      </w:pPr>
      <w:r>
        <w:rPr>
          <w:rFonts w:hint="eastAsia"/>
        </w:rPr>
        <w:t>乙方未通知监理人到场检查，私自将工程隐蔽部位覆盖的，监理人有权指示乙方钻孔探测或揭开检查，由此增加的费用和（或）工期延误由乙方承担。</w:t>
      </w:r>
    </w:p>
    <w:p w14:paraId="4DDAFEDB">
      <w:pPr>
        <w:pStyle w:val="261"/>
        <w:tabs>
          <w:tab w:val="left" w:pos="720"/>
        </w:tabs>
        <w:outlineLvl w:val="9"/>
      </w:pPr>
      <w:r>
        <w:rPr>
          <w:rFonts w:hint="eastAsia"/>
        </w:rPr>
        <w:t>13.6 清除不合格工程</w:t>
      </w:r>
    </w:p>
    <w:p w14:paraId="602A05F8">
      <w:pPr>
        <w:spacing w:line="400" w:lineRule="exact"/>
        <w:ind w:firstLine="420" w:firstLineChars="200"/>
      </w:pPr>
      <w:r>
        <w:rPr>
          <w:rFonts w:hint="eastAsia"/>
        </w:rPr>
        <w:t>13.6.1 乙方使用不合格材料、工程设备，或采用不适当的施工工艺，或施工不当，造成工程不合格的，监理人可以随时发出指示，要求乙方立即采取措施进行补救，直至达到合同要求的质量标准，由此增加的费用和（或）工期延误由乙方承担。</w:t>
      </w:r>
    </w:p>
    <w:p w14:paraId="72E26624">
      <w:pPr>
        <w:spacing w:line="400" w:lineRule="exact"/>
        <w:ind w:firstLine="420" w:firstLineChars="200"/>
      </w:pPr>
      <w:r>
        <w:rPr>
          <w:rFonts w:hint="eastAsia"/>
        </w:rPr>
        <w:t>13.6.2 由于甲方提供的材料或工程设备不合格造成的工程不合格，需要乙方采取措施补救的，甲方应承担由此增加的费用和（或）工期延误，并支付乙方合理利润。</w:t>
      </w:r>
    </w:p>
    <w:p w14:paraId="749BE03A">
      <w:pPr>
        <w:pStyle w:val="260"/>
        <w:spacing w:before="0"/>
        <w:outlineLvl w:val="9"/>
      </w:pPr>
      <w:r>
        <w:rPr>
          <w:rFonts w:hint="eastAsia"/>
        </w:rPr>
        <w:t>14. 试验和检验</w:t>
      </w:r>
    </w:p>
    <w:p w14:paraId="6CC49543">
      <w:pPr>
        <w:pStyle w:val="261"/>
        <w:tabs>
          <w:tab w:val="left" w:pos="720"/>
        </w:tabs>
        <w:outlineLvl w:val="9"/>
      </w:pPr>
      <w:r>
        <w:rPr>
          <w:rFonts w:hint="eastAsia"/>
        </w:rPr>
        <w:t>14.1 材料、工程设备和工程的试验和检验</w:t>
      </w:r>
    </w:p>
    <w:p w14:paraId="248C01F3">
      <w:pPr>
        <w:spacing w:line="400" w:lineRule="exact"/>
        <w:ind w:firstLine="420" w:firstLineChars="200"/>
      </w:pPr>
      <w:r>
        <w:rPr>
          <w:rFonts w:hint="eastAsia"/>
        </w:rPr>
        <w:t>14.1.1 乙方应按合同约定进行材料、工程设备和工程的试验和检验，并为监理人对上述材料、工程设备和工程的质量检查提供必要的试验资料和原始记录。按合同约定应由监理人与乙方共同进行试验和检验的，由乙方负责提供必要的试验资料和原始记录。</w:t>
      </w:r>
    </w:p>
    <w:p w14:paraId="79F0C2A9">
      <w:pPr>
        <w:spacing w:line="400" w:lineRule="exact"/>
        <w:ind w:firstLine="420" w:firstLineChars="200"/>
      </w:pPr>
      <w:r>
        <w:rPr>
          <w:rFonts w:hint="eastAsia"/>
        </w:rPr>
        <w:t>14.1.2 监理人未按合同约定派员参加试验和检验的，除监理人另有指示外，乙方可自行试验和检验，并应立即将试验和检验结果报送监理人，监理人应签字确认。</w:t>
      </w:r>
    </w:p>
    <w:p w14:paraId="645678E8">
      <w:pPr>
        <w:spacing w:line="400" w:lineRule="exact"/>
        <w:ind w:firstLine="420" w:firstLineChars="200"/>
      </w:pPr>
      <w:r>
        <w:rPr>
          <w:rFonts w:hint="eastAsia"/>
        </w:rPr>
        <w:t>14.1.3 监理人对乙方的试验和检验结果有疑问的，或为查清乙方试验和检验成果的可靠性要求乙方重新试验和检验的，可按合同约定由监理人与乙方共同进行。重新试验和检验的结果证明该项材料、工程设备或工程的质量不符合合同要求的，由此增加的费用和（或）工期延误由乙方承担；重新试验和检验结果证明该项材料、工程设备和工程符合合同要求，由甲方承担由此增加的费用和（或）工期延误，并支付乙方合理利润。</w:t>
      </w:r>
    </w:p>
    <w:p w14:paraId="1010A376">
      <w:pPr>
        <w:pStyle w:val="261"/>
        <w:tabs>
          <w:tab w:val="left" w:pos="720"/>
        </w:tabs>
        <w:outlineLvl w:val="9"/>
      </w:pPr>
      <w:r>
        <w:rPr>
          <w:rFonts w:hint="eastAsia"/>
        </w:rPr>
        <w:t>14.2 现场材料试验</w:t>
      </w:r>
    </w:p>
    <w:p w14:paraId="66486F41">
      <w:pPr>
        <w:spacing w:line="400" w:lineRule="exact"/>
        <w:ind w:firstLine="420" w:firstLineChars="200"/>
      </w:pPr>
      <w:r>
        <w:rPr>
          <w:rFonts w:hint="eastAsia"/>
        </w:rPr>
        <w:t>14.2.1 乙方根据合同约定或监理人指示进行的现场材料试验，应由乙方提供试验场所、试验人员、试验设备器材以及其他必要的试验条件。</w:t>
      </w:r>
    </w:p>
    <w:p w14:paraId="26B3BFD0">
      <w:pPr>
        <w:spacing w:line="400" w:lineRule="exact"/>
        <w:ind w:firstLine="420" w:firstLineChars="200"/>
      </w:pPr>
      <w:r>
        <w:rPr>
          <w:rFonts w:hint="eastAsia"/>
        </w:rPr>
        <w:t>14.2.2 监理人在必要时可以使用乙方的试验场所、试验设备器材以及其他试验条件，进行以工程质量检查为目的的复核性材料试验，乙方应予以协助。</w:t>
      </w:r>
    </w:p>
    <w:p w14:paraId="3B8F55FC">
      <w:pPr>
        <w:pStyle w:val="261"/>
        <w:tabs>
          <w:tab w:val="left" w:pos="720"/>
        </w:tabs>
        <w:outlineLvl w:val="9"/>
      </w:pPr>
      <w:r>
        <w:rPr>
          <w:rFonts w:hint="eastAsia"/>
        </w:rPr>
        <w:t>14.3 现场工艺试验</w:t>
      </w:r>
    </w:p>
    <w:p w14:paraId="5BCC6A62">
      <w:pPr>
        <w:spacing w:line="400" w:lineRule="exact"/>
        <w:ind w:firstLine="420" w:firstLineChars="200"/>
      </w:pPr>
      <w:r>
        <w:rPr>
          <w:rFonts w:hint="eastAsia"/>
        </w:rPr>
        <w:t>乙方应按合同约定或监理人指示进行现场工艺试验。对大型的现场工艺试验，监理人认为必要时，应由乙方根据监理人提出的工艺试验要求，编制工艺试验措施计划，报送监理人审批。</w:t>
      </w:r>
    </w:p>
    <w:p w14:paraId="112B7D51">
      <w:pPr>
        <w:pStyle w:val="260"/>
        <w:spacing w:before="0"/>
        <w:outlineLvl w:val="9"/>
      </w:pPr>
      <w:r>
        <w:rPr>
          <w:rFonts w:hint="eastAsia"/>
        </w:rPr>
        <w:t>15. 变更</w:t>
      </w:r>
    </w:p>
    <w:p w14:paraId="0FB0F23D">
      <w:pPr>
        <w:pStyle w:val="261"/>
        <w:tabs>
          <w:tab w:val="left" w:pos="720"/>
        </w:tabs>
        <w:outlineLvl w:val="9"/>
      </w:pPr>
      <w:r>
        <w:rPr>
          <w:rFonts w:hint="eastAsia"/>
        </w:rPr>
        <w:t>15.1 变更的范围和内容</w:t>
      </w:r>
    </w:p>
    <w:p w14:paraId="7388D144">
      <w:pPr>
        <w:spacing w:line="400" w:lineRule="exact"/>
        <w:ind w:firstLine="420" w:firstLineChars="200"/>
      </w:pPr>
      <w:r>
        <w:rPr>
          <w:rFonts w:hint="eastAsia"/>
        </w:rPr>
        <w:t>除专用合同条款另有约定外，在履行合同中发生以下情形之一，应按照本条规定进行变更。</w:t>
      </w:r>
    </w:p>
    <w:p w14:paraId="4CD3AA0C">
      <w:pPr>
        <w:spacing w:line="400" w:lineRule="exact"/>
        <w:ind w:firstLine="359" w:firstLineChars="171"/>
      </w:pPr>
      <w:r>
        <w:rPr>
          <w:rFonts w:hint="eastAsia"/>
        </w:rPr>
        <w:t>（1）取消合同中任何一项工作，但被取消的工作不能转由甲方或其他人实施；</w:t>
      </w:r>
    </w:p>
    <w:p w14:paraId="5FE62C4A">
      <w:pPr>
        <w:spacing w:line="400" w:lineRule="exact"/>
        <w:ind w:firstLine="359" w:firstLineChars="171"/>
      </w:pPr>
      <w:r>
        <w:rPr>
          <w:rFonts w:hint="eastAsia"/>
        </w:rPr>
        <w:t>（2）改变合同中任何一项工作的质量或其他特性；</w:t>
      </w:r>
    </w:p>
    <w:p w14:paraId="274B4633">
      <w:pPr>
        <w:spacing w:line="400" w:lineRule="exact"/>
        <w:ind w:firstLine="359" w:firstLineChars="171"/>
      </w:pPr>
      <w:r>
        <w:rPr>
          <w:rFonts w:hint="eastAsia"/>
        </w:rPr>
        <w:t>（3）改变合同工程的基线、标高、位置或尺寸；</w:t>
      </w:r>
    </w:p>
    <w:p w14:paraId="536EB914">
      <w:pPr>
        <w:spacing w:line="400" w:lineRule="exact"/>
        <w:ind w:firstLine="359" w:firstLineChars="171"/>
      </w:pPr>
      <w:r>
        <w:rPr>
          <w:rFonts w:hint="eastAsia"/>
        </w:rPr>
        <w:t>（4）改变合同中任何一项工作的施工时间或改变已批准的施工工艺或顺序；</w:t>
      </w:r>
    </w:p>
    <w:p w14:paraId="3A911336">
      <w:pPr>
        <w:spacing w:line="400" w:lineRule="exact"/>
        <w:ind w:firstLine="359" w:firstLineChars="171"/>
      </w:pPr>
      <w:r>
        <w:rPr>
          <w:rFonts w:hint="eastAsia"/>
        </w:rPr>
        <w:t>（5）为完成工程需要追加的额外工作。</w:t>
      </w:r>
    </w:p>
    <w:p w14:paraId="4B480ECE">
      <w:pPr>
        <w:pStyle w:val="261"/>
        <w:tabs>
          <w:tab w:val="left" w:pos="720"/>
        </w:tabs>
        <w:outlineLvl w:val="9"/>
      </w:pPr>
      <w:r>
        <w:rPr>
          <w:rFonts w:hint="eastAsia"/>
        </w:rPr>
        <w:t>15.2 变更权</w:t>
      </w:r>
    </w:p>
    <w:p w14:paraId="2A59BE42">
      <w:pPr>
        <w:spacing w:line="400" w:lineRule="exact"/>
        <w:ind w:firstLine="420" w:firstLineChars="200"/>
      </w:pPr>
      <w:r>
        <w:rPr>
          <w:rFonts w:hint="eastAsia"/>
        </w:rPr>
        <w:t>在履行合同过程中，经甲方同意，监理人可按第15.3款约定的变更程序向乙方作出变更指示，乙方应遵照执行。没有监理人的变更指示，乙方不得擅自变更。</w:t>
      </w:r>
    </w:p>
    <w:p w14:paraId="61C0F7EF">
      <w:pPr>
        <w:pStyle w:val="261"/>
        <w:tabs>
          <w:tab w:val="left" w:pos="720"/>
        </w:tabs>
        <w:outlineLvl w:val="9"/>
      </w:pPr>
      <w:r>
        <w:rPr>
          <w:rFonts w:hint="eastAsia"/>
        </w:rPr>
        <w:t>15.3 变更程序</w:t>
      </w:r>
    </w:p>
    <w:p w14:paraId="31B56DFE">
      <w:pPr>
        <w:spacing w:line="400" w:lineRule="exact"/>
        <w:ind w:firstLine="420" w:firstLineChars="200"/>
      </w:pPr>
      <w:r>
        <w:rPr>
          <w:rFonts w:hint="eastAsia"/>
        </w:rPr>
        <w:t xml:space="preserve">15.3.1 </w:t>
      </w:r>
      <w:r>
        <w:rPr>
          <w:rFonts w:hint="eastAsia" w:ascii="黑体" w:eastAsia="黑体"/>
        </w:rPr>
        <w:t>变更的提出</w:t>
      </w:r>
    </w:p>
    <w:p w14:paraId="757635FE">
      <w:pPr>
        <w:spacing w:line="400" w:lineRule="exact"/>
        <w:ind w:firstLine="420" w:firstLineChars="200"/>
      </w:pPr>
      <w:r>
        <w:rPr>
          <w:rFonts w:hint="eastAsia"/>
        </w:rPr>
        <w:t>（1）在合同履行过程中，可能发生第15.1款约定情形的，监理人可向乙方发出变更意向书。变更意向书应说明变更的具体内容和甲方对变更的时间要求，并附必要的图纸和相关资料。变更意向书应要求乙方提交包括拟实施变更工作的计划、措施和竣工时间等内容的实施方案。甲方同意乙方根据变更意向书要求提交的变更实施方案的，由监理人按第15.3.3项约定发出变更指示。</w:t>
      </w:r>
    </w:p>
    <w:p w14:paraId="292C40F3">
      <w:pPr>
        <w:spacing w:line="400" w:lineRule="exact"/>
        <w:ind w:firstLine="420" w:firstLineChars="200"/>
      </w:pPr>
      <w:r>
        <w:rPr>
          <w:rFonts w:hint="eastAsia"/>
        </w:rPr>
        <w:t>（2）在合同履行过程中，发生第15.1款约定情形的，监理人应按照第15.3.3项约定向乙方发出变更指示。</w:t>
      </w:r>
    </w:p>
    <w:p w14:paraId="63CE0C6C">
      <w:pPr>
        <w:spacing w:line="400" w:lineRule="exact"/>
        <w:ind w:firstLine="420" w:firstLineChars="200"/>
      </w:pPr>
      <w:r>
        <w:rPr>
          <w:rFonts w:hint="eastAsia"/>
        </w:rPr>
        <w:t>（3）乙方收到监理人按合同约定发出的图纸和文件，经检查认为其中存在第15.1款约定情形的，可向监理人提出书面变更建议。变更建议应阐明要求变更的依据，并附必要的图纸和说明。监理人收到乙方书面建议后，应与甲方共同研究，确认存在变更的，应在收到乙方书面建议后的14天内作出变更指示。经研究后不同意作为变更的，应由监理人书面答复乙方。</w:t>
      </w:r>
    </w:p>
    <w:p w14:paraId="25F52F74">
      <w:pPr>
        <w:spacing w:line="400" w:lineRule="exact"/>
        <w:ind w:firstLine="420" w:firstLineChars="200"/>
      </w:pPr>
      <w:r>
        <w:rPr>
          <w:rFonts w:hint="eastAsia"/>
        </w:rPr>
        <w:t>（4）若乙方收到监理人的变更意向书后认为难以实施此项变更，应立即通知监理人，说明原因并附详细依据。监理人与乙方和甲方协商后确定撤销</w:t>
      </w:r>
      <w:r>
        <w:rPr>
          <w:rFonts w:hint="eastAsia" w:ascii="宋体" w:hAnsi="宋体"/>
        </w:rPr>
        <w:t>、</w:t>
      </w:r>
      <w:r>
        <w:rPr>
          <w:rFonts w:hint="eastAsia"/>
        </w:rPr>
        <w:t>改变或不改变原变更意向书。</w:t>
      </w:r>
    </w:p>
    <w:p w14:paraId="6D3AEF75">
      <w:pPr>
        <w:spacing w:line="400" w:lineRule="exact"/>
        <w:ind w:firstLine="420" w:firstLineChars="200"/>
      </w:pPr>
      <w:r>
        <w:rPr>
          <w:rFonts w:hint="eastAsia"/>
        </w:rPr>
        <w:t xml:space="preserve">15.3.2 </w:t>
      </w:r>
      <w:r>
        <w:rPr>
          <w:rFonts w:hint="eastAsia" w:ascii="黑体" w:eastAsia="黑体"/>
        </w:rPr>
        <w:t>变更估价</w:t>
      </w:r>
    </w:p>
    <w:p w14:paraId="6201B1C6">
      <w:pPr>
        <w:spacing w:line="400" w:lineRule="exact"/>
        <w:ind w:firstLine="420" w:firstLineChars="200"/>
      </w:pPr>
      <w:r>
        <w:rPr>
          <w:rFonts w:hint="eastAsia"/>
        </w:rPr>
        <w:t>（1）除专用合同条款对期限另有约定外，乙方应在收到变更指示或变更意向书后的14天内，向监理人提交变更报价书，报价内容应根据第15.4款约定的估价原则，详细开列变更工作的价格组成及其依据，并附必要的施工方法说明和有关图纸。</w:t>
      </w:r>
    </w:p>
    <w:p w14:paraId="5F036F68">
      <w:pPr>
        <w:spacing w:line="400" w:lineRule="exact"/>
        <w:ind w:firstLine="420" w:firstLineChars="200"/>
      </w:pPr>
      <w:r>
        <w:rPr>
          <w:rFonts w:hint="eastAsia"/>
        </w:rPr>
        <w:t>（2）变更工作影响工期的，乙方应提出调整工期的具体细节。监理人认为有必要时，可要求乙方提交要求提前或延长工期的施工进度计划及相应施工措施等详细资料。</w:t>
      </w:r>
    </w:p>
    <w:p w14:paraId="16F77CFB">
      <w:pPr>
        <w:spacing w:line="400" w:lineRule="exact"/>
        <w:ind w:firstLine="420" w:firstLineChars="200"/>
      </w:pPr>
      <w:r>
        <w:rPr>
          <w:rFonts w:hint="eastAsia"/>
        </w:rPr>
        <w:t>（3）除专用合同条款对期限另有约定外，监理人收到乙方变更报价书后的14天内，根据第15.4款约定的估价原则，按照第3.5款商定或确定变更价格。</w:t>
      </w:r>
    </w:p>
    <w:p w14:paraId="05B2E8D6">
      <w:pPr>
        <w:spacing w:line="400" w:lineRule="exact"/>
        <w:ind w:firstLine="420" w:firstLineChars="200"/>
      </w:pPr>
      <w:r>
        <w:rPr>
          <w:rFonts w:hint="eastAsia"/>
        </w:rPr>
        <w:t xml:space="preserve">15.3.3 </w:t>
      </w:r>
      <w:r>
        <w:rPr>
          <w:rFonts w:hint="eastAsia" w:ascii="黑体" w:eastAsia="黑体"/>
        </w:rPr>
        <w:t>变更指示</w:t>
      </w:r>
    </w:p>
    <w:p w14:paraId="3567BAFE">
      <w:pPr>
        <w:spacing w:line="400" w:lineRule="exact"/>
        <w:ind w:firstLine="420" w:firstLineChars="200"/>
      </w:pPr>
      <w:r>
        <w:rPr>
          <w:rFonts w:hint="eastAsia"/>
        </w:rPr>
        <w:t>（1）变更指示只能由监理人发出。</w:t>
      </w:r>
    </w:p>
    <w:p w14:paraId="37BB71E9">
      <w:pPr>
        <w:spacing w:line="400" w:lineRule="exact"/>
        <w:ind w:firstLine="420" w:firstLineChars="200"/>
      </w:pPr>
      <w:r>
        <w:rPr>
          <w:rFonts w:hint="eastAsia"/>
        </w:rPr>
        <w:t>（2）变更指示应说明变更的目的、范围、变更内容以及变更的工程量及其进度和技术要求，并附有关图纸和文件。乙方收到变更指示后，应按变更指示进行变更工作。</w:t>
      </w:r>
    </w:p>
    <w:p w14:paraId="3C8AA9BA">
      <w:pPr>
        <w:pStyle w:val="261"/>
        <w:tabs>
          <w:tab w:val="left" w:pos="720"/>
        </w:tabs>
        <w:outlineLvl w:val="9"/>
      </w:pPr>
      <w:r>
        <w:rPr>
          <w:rFonts w:hint="eastAsia"/>
        </w:rPr>
        <w:t>15.4 变更的估价原则</w:t>
      </w:r>
    </w:p>
    <w:p w14:paraId="22778D58">
      <w:pPr>
        <w:spacing w:line="400" w:lineRule="exact"/>
        <w:ind w:firstLine="420" w:firstLineChars="200"/>
      </w:pPr>
      <w:r>
        <w:rPr>
          <w:rFonts w:hint="eastAsia"/>
        </w:rPr>
        <w:t>除专用合同条款另有约定外，因变更引起的价格调整按照本款约定处理。</w:t>
      </w:r>
    </w:p>
    <w:p w14:paraId="20A825A4">
      <w:pPr>
        <w:spacing w:line="400" w:lineRule="exact"/>
        <w:ind w:firstLine="420" w:firstLineChars="200"/>
      </w:pPr>
      <w:r>
        <w:rPr>
          <w:rFonts w:hint="eastAsia"/>
        </w:rPr>
        <w:t>15.4.1 已标价工程量清单中有适用于变更工作的子目的，采用该子目的单价。</w:t>
      </w:r>
    </w:p>
    <w:p w14:paraId="3A128FE6">
      <w:pPr>
        <w:spacing w:line="400" w:lineRule="exact"/>
        <w:ind w:firstLine="420" w:firstLineChars="200"/>
      </w:pPr>
      <w:r>
        <w:rPr>
          <w:rFonts w:hint="eastAsia"/>
        </w:rPr>
        <w:t>15.4.2 已标价工程量清单中无适用于变更工作的子目，但有类似子目的，可在合理范围内参照类似子目的单价，由监理人按第3.5款商定或确定变更工作的单价。</w:t>
      </w:r>
    </w:p>
    <w:p w14:paraId="19D473F4">
      <w:pPr>
        <w:spacing w:line="400" w:lineRule="exact"/>
        <w:ind w:firstLine="420" w:firstLineChars="200"/>
      </w:pPr>
      <w:r>
        <w:rPr>
          <w:rFonts w:hint="eastAsia"/>
        </w:rPr>
        <w:t>15.4.3 已标价工程量清单中无适用或类似子目的单价，可按照成本加利润的原则，由监理人按第3.5款商定或确定变更工作的单价。</w:t>
      </w:r>
    </w:p>
    <w:p w14:paraId="46CD3914">
      <w:pPr>
        <w:pStyle w:val="261"/>
        <w:tabs>
          <w:tab w:val="left" w:pos="720"/>
        </w:tabs>
        <w:outlineLvl w:val="9"/>
      </w:pPr>
      <w:r>
        <w:rPr>
          <w:rFonts w:hint="eastAsia"/>
        </w:rPr>
        <w:t>15.5 乙方的合理化建议</w:t>
      </w:r>
    </w:p>
    <w:p w14:paraId="41B0CD64">
      <w:pPr>
        <w:spacing w:line="400" w:lineRule="exact"/>
        <w:ind w:firstLine="420" w:firstLineChars="200"/>
      </w:pPr>
      <w:r>
        <w:rPr>
          <w:rFonts w:hint="eastAsia"/>
        </w:rPr>
        <w:t>15.5.1 在履行合同过程中，乙方对甲方提供的图纸、技术要求以及其他方面提出的合理化建议，均应以书面形式提交监理人。合理化建议书的内容应包括建议工作的详细说明、进度计划和效益以及与其他工作的协调等，并附必要的设计文件。监理人应与甲方协商是否采纳建议。建议被采纳并构成变更的，应按第15.3.3项约定向乙方发出变更指示。</w:t>
      </w:r>
    </w:p>
    <w:p w14:paraId="07E379B5">
      <w:pPr>
        <w:spacing w:line="400" w:lineRule="exact"/>
        <w:ind w:firstLine="420" w:firstLineChars="200"/>
      </w:pPr>
      <w:r>
        <w:rPr>
          <w:rFonts w:hint="eastAsia"/>
        </w:rPr>
        <w:t>15.5.2 乙方提出的合理化建议降低了合同价格、缩短了工期或者提高了工程经济效益的，甲方可按国家有关规定在专用合同条款中约定给予奖励。</w:t>
      </w:r>
    </w:p>
    <w:p w14:paraId="69AD4E10">
      <w:pPr>
        <w:pStyle w:val="261"/>
        <w:tabs>
          <w:tab w:val="left" w:pos="720"/>
        </w:tabs>
        <w:outlineLvl w:val="9"/>
      </w:pPr>
      <w:r>
        <w:rPr>
          <w:rFonts w:hint="eastAsia"/>
        </w:rPr>
        <w:t>15.6 暂列金额</w:t>
      </w:r>
    </w:p>
    <w:p w14:paraId="767B0D32">
      <w:pPr>
        <w:spacing w:line="400" w:lineRule="exact"/>
        <w:ind w:firstLine="420" w:firstLineChars="200"/>
      </w:pPr>
      <w:r>
        <w:rPr>
          <w:rFonts w:hint="eastAsia"/>
        </w:rPr>
        <w:t>暂列金额只能按照监理人的指示使用，并对合同价格进行相应调整。</w:t>
      </w:r>
    </w:p>
    <w:p w14:paraId="0715FCDB">
      <w:pPr>
        <w:pStyle w:val="261"/>
        <w:tabs>
          <w:tab w:val="left" w:pos="720"/>
        </w:tabs>
        <w:outlineLvl w:val="9"/>
      </w:pPr>
      <w:r>
        <w:rPr>
          <w:rFonts w:hint="eastAsia"/>
        </w:rPr>
        <w:t>15.7 计日工</w:t>
      </w:r>
    </w:p>
    <w:p w14:paraId="126F2124">
      <w:pPr>
        <w:spacing w:line="400" w:lineRule="exact"/>
        <w:ind w:firstLine="420" w:firstLineChars="200"/>
        <w:rPr>
          <w:shd w:val="pct10" w:color="auto" w:fill="FFFFFF"/>
        </w:rPr>
      </w:pPr>
      <w:r>
        <w:rPr>
          <w:rFonts w:hint="eastAsia"/>
        </w:rPr>
        <w:t>15.7.1 甲方认为有必要时，</w:t>
      </w:r>
      <w:r>
        <w:rPr>
          <w:rFonts w:hint="eastAsia"/>
          <w:szCs w:val="21"/>
        </w:rPr>
        <w:t>由</w:t>
      </w:r>
      <w:r>
        <w:rPr>
          <w:rFonts w:hint="eastAsia"/>
        </w:rPr>
        <w:t>监理人通知乙方以计日工方式实施变更的零星工作。其价款按列入已标价工程量清单中的计日工计价子目及其单价进行计算。</w:t>
      </w:r>
    </w:p>
    <w:p w14:paraId="639B1420">
      <w:pPr>
        <w:spacing w:line="400" w:lineRule="exact"/>
        <w:ind w:firstLine="420" w:firstLineChars="200"/>
      </w:pPr>
      <w:r>
        <w:rPr>
          <w:rFonts w:hint="eastAsia"/>
        </w:rPr>
        <w:t>15.7.2 采用计日工计价的任何一项变更工作，应从暂列金额中支付，乙方应在该项变更的实施过程中，每天提交以下报表和有关凭证报送监理人审批：</w:t>
      </w:r>
    </w:p>
    <w:p w14:paraId="0413DFD4">
      <w:pPr>
        <w:spacing w:line="400" w:lineRule="exact"/>
        <w:ind w:firstLine="718" w:firstLineChars="342"/>
      </w:pPr>
      <w:r>
        <w:rPr>
          <w:rFonts w:hint="eastAsia"/>
        </w:rPr>
        <w:t>（1）工作名称、内容和数量；</w:t>
      </w:r>
    </w:p>
    <w:p w14:paraId="30218326">
      <w:pPr>
        <w:spacing w:line="400" w:lineRule="exact"/>
        <w:ind w:firstLine="718" w:firstLineChars="342"/>
      </w:pPr>
      <w:r>
        <w:rPr>
          <w:rFonts w:hint="eastAsia"/>
        </w:rPr>
        <w:t>（2）投入该工作所有人员的姓名、工种、级别和耗用工时；</w:t>
      </w:r>
    </w:p>
    <w:p w14:paraId="082DF45D">
      <w:pPr>
        <w:spacing w:line="400" w:lineRule="exact"/>
        <w:ind w:firstLine="718" w:firstLineChars="342"/>
      </w:pPr>
      <w:r>
        <w:rPr>
          <w:rFonts w:hint="eastAsia"/>
        </w:rPr>
        <w:t>（3）投入该工作的材料类别和数量；</w:t>
      </w:r>
    </w:p>
    <w:p w14:paraId="4618FE7E">
      <w:pPr>
        <w:spacing w:line="400" w:lineRule="exact"/>
        <w:ind w:firstLine="718" w:firstLineChars="342"/>
      </w:pPr>
      <w:r>
        <w:rPr>
          <w:rFonts w:hint="eastAsia"/>
        </w:rPr>
        <w:t>（4）投入该工作的施工设备型号、台数和耗用台时；</w:t>
      </w:r>
    </w:p>
    <w:p w14:paraId="771FF1AB">
      <w:pPr>
        <w:spacing w:line="400" w:lineRule="exact"/>
        <w:ind w:firstLine="718" w:firstLineChars="342"/>
      </w:pPr>
      <w:r>
        <w:rPr>
          <w:rFonts w:hint="eastAsia"/>
        </w:rPr>
        <w:t>（5）监理人要求提交的其他资料和凭证。</w:t>
      </w:r>
    </w:p>
    <w:p w14:paraId="54630477">
      <w:pPr>
        <w:spacing w:line="400" w:lineRule="exact"/>
        <w:ind w:firstLine="420" w:firstLineChars="200"/>
      </w:pPr>
      <w:r>
        <w:rPr>
          <w:rFonts w:hint="eastAsia"/>
        </w:rPr>
        <w:t>15.7.3 计日工由乙方汇总后，按第17.3.2项的约定列入进度付款申请单，由监理人复核并经甲方同意后列入进度付款。</w:t>
      </w:r>
    </w:p>
    <w:p w14:paraId="44FE5B49">
      <w:pPr>
        <w:pStyle w:val="261"/>
        <w:tabs>
          <w:tab w:val="left" w:pos="720"/>
        </w:tabs>
        <w:outlineLvl w:val="9"/>
      </w:pPr>
      <w:r>
        <w:rPr>
          <w:rFonts w:hint="eastAsia"/>
        </w:rPr>
        <w:t>15.8 暂估价</w:t>
      </w:r>
    </w:p>
    <w:p w14:paraId="1D2F8466">
      <w:pPr>
        <w:spacing w:line="400" w:lineRule="exact"/>
      </w:pPr>
      <w:r>
        <w:rPr>
          <w:rFonts w:hint="eastAsia"/>
        </w:rPr>
        <w:t xml:space="preserve">    15.8.1 甲方在工程量清单中给定暂估价的材料、工程设备和专业工程属于依法必须招标的范围并达到规定的规模标准的，由甲方和乙方以招标的方式选择供应商或分包人。甲方和乙方的权利义务关系在专用合同条款中约定。中标金额与工程量清单中所列的暂估价的金额差以及相应的税金等其他费用列入合同价格。</w:t>
      </w:r>
    </w:p>
    <w:p w14:paraId="7C7EA6DB">
      <w:pPr>
        <w:spacing w:line="400" w:lineRule="exact"/>
        <w:ind w:firstLine="420" w:firstLineChars="200"/>
      </w:pPr>
      <w:r>
        <w:rPr>
          <w:rFonts w:hint="eastAsia"/>
        </w:rPr>
        <w:t>15.8.2 甲方在工程量清单中给定暂估价的材料和工程设备不属于依法必须招标的范围或未达到规定的规模标准的，应由乙方按第5.1款的约定提供。经监理人确认的材料、工程设备的价格与工程量清单中所列的暂估价的金额差以及相应的税金等其他费用列入合同价格。</w:t>
      </w:r>
    </w:p>
    <w:p w14:paraId="74DD7A7E">
      <w:pPr>
        <w:spacing w:line="400" w:lineRule="exact"/>
        <w:ind w:firstLine="420" w:firstLineChars="200"/>
      </w:pPr>
      <w:r>
        <w:rPr>
          <w:rFonts w:hint="eastAsia"/>
        </w:rPr>
        <w:t>15.8.3 甲方在工程量清单中给定暂估价的专业工程不属于依法必须招标的范围或未达到规定的规模标准的，由监理人按照第15.4款进行估价，但专用合同条款另有约定的除外。经估价的专业工程与工程量清单中所列的暂估价的金额差以及相应的税金等其他费用列入合同价格。</w:t>
      </w:r>
    </w:p>
    <w:p w14:paraId="0699E6D0">
      <w:pPr>
        <w:pStyle w:val="260"/>
        <w:spacing w:before="0"/>
        <w:outlineLvl w:val="9"/>
      </w:pPr>
      <w:r>
        <w:rPr>
          <w:rFonts w:hint="eastAsia"/>
        </w:rPr>
        <w:t>16. 价格调整</w:t>
      </w:r>
    </w:p>
    <w:p w14:paraId="3CEF89CA">
      <w:pPr>
        <w:pStyle w:val="261"/>
        <w:tabs>
          <w:tab w:val="left" w:pos="720"/>
        </w:tabs>
        <w:outlineLvl w:val="9"/>
      </w:pPr>
      <w:r>
        <w:rPr>
          <w:rFonts w:hint="eastAsia"/>
        </w:rPr>
        <w:t>16.1 物价波动引起的价格调整</w:t>
      </w:r>
    </w:p>
    <w:p w14:paraId="0C4C32DE">
      <w:pPr>
        <w:spacing w:line="400" w:lineRule="exact"/>
        <w:ind w:firstLine="420" w:firstLineChars="200"/>
      </w:pPr>
      <w:r>
        <w:rPr>
          <w:rFonts w:hint="eastAsia"/>
        </w:rPr>
        <w:t>除专用合同条款另有约定外，因物价波动引起的价格调整按照本款约定处理。</w:t>
      </w:r>
    </w:p>
    <w:p w14:paraId="6452A346">
      <w:pPr>
        <w:spacing w:line="400" w:lineRule="exact"/>
        <w:ind w:firstLine="420" w:firstLineChars="200"/>
      </w:pPr>
      <w:r>
        <w:rPr>
          <w:rFonts w:hint="eastAsia"/>
        </w:rPr>
        <w:t xml:space="preserve">16.1.1 </w:t>
      </w:r>
      <w:r>
        <w:rPr>
          <w:rFonts w:hint="eastAsia" w:ascii="黑体" w:eastAsia="黑体"/>
        </w:rPr>
        <w:t>采用价格指数调整价格差额</w:t>
      </w:r>
    </w:p>
    <w:p w14:paraId="12BE3048">
      <w:pPr>
        <w:spacing w:line="400" w:lineRule="exact"/>
        <w:ind w:firstLine="420" w:firstLineChars="200"/>
      </w:pPr>
      <w:r>
        <w:rPr>
          <w:rFonts w:hint="eastAsia"/>
        </w:rPr>
        <w:t>16.1.1.1 价格调整公式</w:t>
      </w:r>
    </w:p>
    <w:p w14:paraId="3E5DA2E3">
      <w:pPr>
        <w:spacing w:line="400" w:lineRule="exact"/>
        <w:ind w:firstLine="420" w:firstLineChars="200"/>
      </w:pPr>
      <w:r>
        <w:rPr>
          <w:rFonts w:hint="eastAsia"/>
        </w:rPr>
        <w:t>因人工、材料和设备等价格波动影响合同价格时，根据投标函附录中的价格指数和权重表约定的数据，按以下公式计算差额并调整合同价格。</w:t>
      </w:r>
    </w:p>
    <w:p w14:paraId="5F63EC9E">
      <w:pPr>
        <w:autoSpaceDE w:val="0"/>
        <w:autoSpaceDN w:val="0"/>
        <w:adjustRightInd w:val="0"/>
        <w:spacing w:line="1200" w:lineRule="exact"/>
        <w:ind w:right="248" w:firstLine="835" w:firstLineChars="398"/>
      </w:pPr>
      <w:r>
        <w:rPr>
          <w:position w:val="-34"/>
        </w:rPr>
        <w:object>
          <v:shape id="_x0000_i1025" o:spt="75" type="#_x0000_t75" style="height:39.75pt;width:306.75pt;" o:ole="t" filled="f" o:preferrelative="t" stroked="f" coordsize="21600,21600">
            <v:path/>
            <v:fill on="f" focussize="0,0"/>
            <v:stroke on="f" joinstyle="miter"/>
            <v:imagedata r:id="rId28" o:title=""/>
            <o:lock v:ext="edit" aspectratio="t"/>
            <w10:wrap type="none"/>
            <w10:anchorlock/>
          </v:shape>
          <o:OLEObject Type="Embed" ProgID="Equation.3" ShapeID="_x0000_i1025" DrawAspect="Content" ObjectID="_1468075725" r:id="rId27">
            <o:LockedField>false</o:LockedField>
          </o:OLEObject>
        </w:object>
      </w:r>
    </w:p>
    <w:p w14:paraId="767878F8">
      <w:pPr>
        <w:tabs>
          <w:tab w:val="left" w:pos="1260"/>
        </w:tabs>
        <w:spacing w:line="400" w:lineRule="exact"/>
        <w:ind w:firstLine="420" w:firstLineChars="200"/>
      </w:pPr>
    </w:p>
    <w:p w14:paraId="6286FB62">
      <w:pPr>
        <w:tabs>
          <w:tab w:val="left" w:pos="1260"/>
        </w:tabs>
        <w:spacing w:line="400" w:lineRule="exact"/>
        <w:ind w:firstLine="420" w:firstLineChars="200"/>
      </w:pPr>
      <w:r>
        <w:rPr>
          <w:rFonts w:hint="eastAsia"/>
        </w:rPr>
        <w:t>式中：△P -- 需调整的价格差额；</w:t>
      </w:r>
    </w:p>
    <w:p w14:paraId="0B413BD0">
      <w:pPr>
        <w:tabs>
          <w:tab w:val="left" w:pos="1260"/>
        </w:tabs>
        <w:spacing w:line="400" w:lineRule="exact"/>
      </w:pPr>
      <w:r>
        <w:rPr>
          <w:rFonts w:hint="eastAsia"/>
        </w:rPr>
        <w:tab/>
      </w:r>
      <w:r>
        <w:rPr>
          <w:rFonts w:hint="eastAsia"/>
        </w:rPr>
        <w:t>P</w:t>
      </w:r>
      <w:r>
        <w:rPr>
          <w:rFonts w:hint="eastAsia"/>
          <w:szCs w:val="21"/>
          <w:vertAlign w:val="subscript"/>
        </w:rPr>
        <w:t>0</w:t>
      </w:r>
      <w:r>
        <w:rPr>
          <w:rFonts w:hint="eastAsia"/>
        </w:rPr>
        <w:t xml:space="preserve"> -- 第17.3.3项、第17.5.2项和第17.6.2项约定的付款证书中乙方应得到的已完成工程量的金额。此项金额应不包括价格调整、不计质量保证金的扣留和支付、预付款的支付和扣回。第15条约定的变更及其他金额已按现行价格计价的，也不计在内；</w:t>
      </w:r>
    </w:p>
    <w:p w14:paraId="751A1681">
      <w:pPr>
        <w:tabs>
          <w:tab w:val="left" w:pos="1260"/>
        </w:tabs>
        <w:spacing w:line="400" w:lineRule="exact"/>
      </w:pPr>
      <w:r>
        <w:rPr>
          <w:rFonts w:hint="eastAsia"/>
        </w:rPr>
        <w:tab/>
      </w:r>
      <w:r>
        <w:rPr>
          <w:rFonts w:hint="eastAsia"/>
        </w:rPr>
        <w:t>A -- 定值权重(即不调部分的权重)；</w:t>
      </w:r>
    </w:p>
    <w:p w14:paraId="6FDD793C">
      <w:pPr>
        <w:tabs>
          <w:tab w:val="left" w:pos="1260"/>
        </w:tabs>
        <w:spacing w:line="400" w:lineRule="exact"/>
      </w:pPr>
      <w:r>
        <w:rPr>
          <w:rFonts w:hint="eastAsia"/>
        </w:rPr>
        <w:tab/>
      </w:r>
      <w:r>
        <w:rPr>
          <w:rFonts w:hint="eastAsia"/>
        </w:rPr>
        <w:t>B</w:t>
      </w:r>
      <w:r>
        <w:rPr>
          <w:rFonts w:hint="eastAsia"/>
          <w:szCs w:val="21"/>
          <w:vertAlign w:val="subscript"/>
        </w:rPr>
        <w:t>1</w:t>
      </w:r>
      <w:r>
        <w:rPr>
          <w:rFonts w:hint="eastAsia"/>
          <w:sz w:val="15"/>
          <w:szCs w:val="15"/>
        </w:rPr>
        <w:t>;</w:t>
      </w:r>
      <w:r>
        <w:rPr>
          <w:rFonts w:hint="eastAsia"/>
        </w:rPr>
        <w:t xml:space="preserve"> B</w:t>
      </w:r>
      <w:r>
        <w:rPr>
          <w:rFonts w:hint="eastAsia"/>
          <w:szCs w:val="21"/>
          <w:vertAlign w:val="subscript"/>
        </w:rPr>
        <w:t>2</w:t>
      </w:r>
      <w:r>
        <w:rPr>
          <w:rFonts w:hint="eastAsia"/>
        </w:rPr>
        <w:t xml:space="preserve"> ;B</w:t>
      </w:r>
      <w:r>
        <w:rPr>
          <w:rFonts w:hint="eastAsia"/>
          <w:szCs w:val="21"/>
          <w:vertAlign w:val="subscript"/>
        </w:rPr>
        <w:t>3</w:t>
      </w:r>
      <w:r>
        <w:rPr>
          <w:rFonts w:hint="eastAsia" w:ascii="宋体" w:hAnsi="宋体"/>
          <w:sz w:val="15"/>
          <w:szCs w:val="15"/>
        </w:rPr>
        <w:t>·····</w:t>
      </w:r>
      <w:r>
        <w:rPr>
          <w:rFonts w:hint="eastAsia"/>
        </w:rPr>
        <w:t>B</w:t>
      </w:r>
      <w:r>
        <w:rPr>
          <w:rFonts w:hint="eastAsia"/>
          <w:szCs w:val="21"/>
          <w:vertAlign w:val="subscript"/>
        </w:rPr>
        <w:t>n</w:t>
      </w:r>
      <w:r>
        <w:rPr>
          <w:rFonts w:hint="eastAsia"/>
        </w:rPr>
        <w:t xml:space="preserve"> -- 各可调因子的变值权重(即可调部分的权重)为各可调因子在投标函投标总报价中所占的比例；</w:t>
      </w:r>
    </w:p>
    <w:p w14:paraId="57399780">
      <w:pPr>
        <w:tabs>
          <w:tab w:val="left" w:pos="1260"/>
        </w:tabs>
        <w:spacing w:line="400" w:lineRule="exact"/>
      </w:pPr>
      <w:r>
        <w:rPr>
          <w:rFonts w:hint="eastAsia"/>
        </w:rPr>
        <w:tab/>
      </w:r>
      <w:r>
        <w:rPr>
          <w:rFonts w:hint="eastAsia"/>
        </w:rPr>
        <w:t>F</w:t>
      </w:r>
      <w:r>
        <w:rPr>
          <w:rFonts w:hint="eastAsia"/>
          <w:szCs w:val="21"/>
          <w:vertAlign w:val="subscript"/>
        </w:rPr>
        <w:t>t1</w:t>
      </w:r>
      <w:r>
        <w:rPr>
          <w:rFonts w:hint="eastAsia"/>
        </w:rPr>
        <w:t xml:space="preserve"> ;F</w:t>
      </w:r>
      <w:r>
        <w:rPr>
          <w:rFonts w:hint="eastAsia"/>
          <w:szCs w:val="21"/>
          <w:vertAlign w:val="subscript"/>
        </w:rPr>
        <w:t>t2</w:t>
      </w:r>
      <w:r>
        <w:rPr>
          <w:rFonts w:hint="eastAsia"/>
        </w:rPr>
        <w:t xml:space="preserve"> ;F</w:t>
      </w:r>
      <w:r>
        <w:rPr>
          <w:rFonts w:hint="eastAsia"/>
          <w:szCs w:val="21"/>
          <w:vertAlign w:val="subscript"/>
        </w:rPr>
        <w:t>t3</w:t>
      </w:r>
      <w:r>
        <w:rPr>
          <w:rFonts w:hint="eastAsia" w:ascii="宋体" w:hAnsi="宋体"/>
          <w:sz w:val="15"/>
          <w:szCs w:val="15"/>
        </w:rPr>
        <w:t>·····</w:t>
      </w:r>
      <w:r>
        <w:rPr>
          <w:rFonts w:hint="eastAsia"/>
        </w:rPr>
        <w:t>F</w:t>
      </w:r>
      <w:r>
        <w:rPr>
          <w:rFonts w:hint="eastAsia"/>
          <w:szCs w:val="21"/>
          <w:vertAlign w:val="subscript"/>
        </w:rPr>
        <w:t>tn</w:t>
      </w:r>
      <w:r>
        <w:rPr>
          <w:rFonts w:hint="eastAsia"/>
        </w:rPr>
        <w:t xml:space="preserve"> -- 各可调因子的现行价格指数，指第17.3.3项、第17.5.2项和第17.6.2项约定的付款证书相关周期最后一天的前42天的各可调因子的价格指数；</w:t>
      </w:r>
    </w:p>
    <w:p w14:paraId="3841C586">
      <w:pPr>
        <w:tabs>
          <w:tab w:val="left" w:pos="1260"/>
        </w:tabs>
        <w:spacing w:line="400" w:lineRule="exact"/>
      </w:pPr>
      <w:r>
        <w:rPr>
          <w:rFonts w:hint="eastAsia"/>
        </w:rPr>
        <w:tab/>
      </w:r>
      <w:r>
        <w:rPr>
          <w:rFonts w:hint="eastAsia"/>
        </w:rPr>
        <w:t>F</w:t>
      </w:r>
      <w:r>
        <w:rPr>
          <w:rFonts w:hint="eastAsia"/>
          <w:szCs w:val="21"/>
          <w:vertAlign w:val="subscript"/>
        </w:rPr>
        <w:t>o1</w:t>
      </w:r>
      <w:r>
        <w:rPr>
          <w:rFonts w:hint="eastAsia"/>
        </w:rPr>
        <w:t>; F</w:t>
      </w:r>
      <w:r>
        <w:rPr>
          <w:rFonts w:hint="eastAsia"/>
          <w:szCs w:val="21"/>
          <w:vertAlign w:val="subscript"/>
        </w:rPr>
        <w:t>o2</w:t>
      </w:r>
      <w:r>
        <w:rPr>
          <w:rFonts w:hint="eastAsia"/>
          <w:sz w:val="15"/>
          <w:szCs w:val="15"/>
        </w:rPr>
        <w:t>;</w:t>
      </w:r>
      <w:r>
        <w:rPr>
          <w:rFonts w:hint="eastAsia"/>
        </w:rPr>
        <w:t xml:space="preserve"> F</w:t>
      </w:r>
      <w:r>
        <w:rPr>
          <w:rFonts w:hint="eastAsia"/>
          <w:szCs w:val="21"/>
          <w:vertAlign w:val="subscript"/>
        </w:rPr>
        <w:t>o3</w:t>
      </w:r>
      <w:r>
        <w:rPr>
          <w:rFonts w:hint="eastAsia" w:ascii="宋体" w:hAnsi="宋体"/>
          <w:sz w:val="15"/>
          <w:szCs w:val="15"/>
        </w:rPr>
        <w:t>·····</w:t>
      </w:r>
      <w:r>
        <w:rPr>
          <w:rFonts w:hint="eastAsia"/>
        </w:rPr>
        <w:t>F</w:t>
      </w:r>
      <w:r>
        <w:rPr>
          <w:rFonts w:hint="eastAsia"/>
          <w:szCs w:val="21"/>
          <w:vertAlign w:val="subscript"/>
        </w:rPr>
        <w:t>on</w:t>
      </w:r>
      <w:r>
        <w:rPr>
          <w:rFonts w:hint="eastAsia"/>
        </w:rPr>
        <w:t xml:space="preserve"> -- 各可调因子的基本价格指数，指基准日期的各可调因子的价格指数。</w:t>
      </w:r>
    </w:p>
    <w:p w14:paraId="35C05EFA">
      <w:pPr>
        <w:spacing w:line="400" w:lineRule="exact"/>
        <w:ind w:firstLine="420" w:firstLineChars="200"/>
      </w:pPr>
      <w:r>
        <w:rPr>
          <w:rFonts w:hint="eastAsia"/>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14:paraId="726FA9CC">
      <w:pPr>
        <w:spacing w:line="400" w:lineRule="exact"/>
        <w:ind w:firstLine="420" w:firstLineChars="200"/>
      </w:pPr>
      <w:r>
        <w:rPr>
          <w:rFonts w:hint="eastAsia"/>
        </w:rPr>
        <w:t>16.1.1.2 暂时确定调整差额</w:t>
      </w:r>
    </w:p>
    <w:p w14:paraId="7FEA6414">
      <w:pPr>
        <w:spacing w:line="400" w:lineRule="exact"/>
        <w:ind w:firstLine="420" w:firstLineChars="200"/>
      </w:pPr>
      <w:r>
        <w:rPr>
          <w:rFonts w:hint="eastAsia"/>
        </w:rPr>
        <w:t>在计算调整差额时得不到现行价格指数的，可暂用上一次价格指数计算，并在以后的付款中再按实际价格指数进行调整。</w:t>
      </w:r>
    </w:p>
    <w:p w14:paraId="07E2C8D2">
      <w:pPr>
        <w:spacing w:line="400" w:lineRule="exact"/>
        <w:ind w:firstLine="420" w:firstLineChars="200"/>
      </w:pPr>
      <w:r>
        <w:rPr>
          <w:rFonts w:hint="eastAsia"/>
        </w:rPr>
        <w:t>16.1.1.3 权重的调整</w:t>
      </w:r>
    </w:p>
    <w:p w14:paraId="32551F6D">
      <w:pPr>
        <w:spacing w:line="400" w:lineRule="exact"/>
        <w:ind w:firstLine="420" w:firstLineChars="200"/>
      </w:pPr>
      <w:r>
        <w:rPr>
          <w:rFonts w:hint="eastAsia"/>
        </w:rPr>
        <w:t>按第15.1款约定的变更导致原定合同中的权重不合理时，由监理人与乙方和甲方协商后进行调整。</w:t>
      </w:r>
    </w:p>
    <w:p w14:paraId="4466F003">
      <w:pPr>
        <w:spacing w:line="400" w:lineRule="exact"/>
        <w:ind w:firstLine="420" w:firstLineChars="200"/>
      </w:pPr>
      <w:r>
        <w:rPr>
          <w:rFonts w:hint="eastAsia"/>
        </w:rPr>
        <w:t>16.1.1.4 乙方工期延误后的价格调整</w:t>
      </w:r>
    </w:p>
    <w:p w14:paraId="0976B53D">
      <w:pPr>
        <w:spacing w:line="400" w:lineRule="exact"/>
        <w:ind w:firstLine="420" w:firstLineChars="200"/>
      </w:pPr>
      <w:r>
        <w:rPr>
          <w:rFonts w:hint="eastAsia"/>
        </w:rPr>
        <w:t>由于乙方原因未在约定的工期内竣工的，则对原约定竣工日期后继续施工的工程，在使用第16.1.1.1目价格调整公式时，应采用原约定竣工日期与实际竣工日期的两个价格指数中较低的一个作为现行价格指数。</w:t>
      </w:r>
    </w:p>
    <w:p w14:paraId="2EB6475A">
      <w:pPr>
        <w:spacing w:line="400" w:lineRule="exact"/>
        <w:ind w:firstLine="420" w:firstLineChars="200"/>
        <w:rPr>
          <w:rFonts w:ascii="黑体" w:eastAsia="黑体"/>
        </w:rPr>
      </w:pPr>
      <w:r>
        <w:rPr>
          <w:rFonts w:hint="eastAsia" w:ascii="黑体" w:eastAsia="黑体"/>
        </w:rPr>
        <w:t>16.1.2 采用造价信息调整价格差额</w:t>
      </w:r>
    </w:p>
    <w:p w14:paraId="3FA2BCB8">
      <w:pPr>
        <w:spacing w:line="400" w:lineRule="exact"/>
        <w:ind w:firstLine="420" w:firstLineChars="200"/>
      </w:pPr>
      <w:r>
        <w:rPr>
          <w:rFonts w:hint="eastAsia"/>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14:paraId="7890BC30">
      <w:pPr>
        <w:pStyle w:val="261"/>
        <w:tabs>
          <w:tab w:val="left" w:pos="720"/>
        </w:tabs>
        <w:outlineLvl w:val="9"/>
      </w:pPr>
      <w:r>
        <w:rPr>
          <w:rFonts w:hint="eastAsia"/>
        </w:rPr>
        <w:t>16.2 法律变化引起的价格调整</w:t>
      </w:r>
    </w:p>
    <w:p w14:paraId="185A6609">
      <w:pPr>
        <w:spacing w:line="400" w:lineRule="exact"/>
        <w:ind w:firstLine="420" w:firstLineChars="200"/>
      </w:pPr>
      <w:r>
        <w:rPr>
          <w:rFonts w:hint="eastAsia"/>
        </w:rPr>
        <w:t>在基准日后，因法律变化导致乙方在合同履行中所需要的工程费用发生除第16.1款约定以外的增减时，监理人应根据法律、国家或省、自治区、直辖市有关部门的规定，按第3.5款商定或确定需调整的合同价款。</w:t>
      </w:r>
    </w:p>
    <w:p w14:paraId="3A96A90D">
      <w:pPr>
        <w:pStyle w:val="260"/>
        <w:spacing w:before="0"/>
        <w:outlineLvl w:val="9"/>
      </w:pPr>
      <w:r>
        <w:rPr>
          <w:rFonts w:hint="eastAsia"/>
        </w:rPr>
        <w:t>17. 计量与支付</w:t>
      </w:r>
    </w:p>
    <w:p w14:paraId="44CBCA6A">
      <w:pPr>
        <w:pStyle w:val="261"/>
        <w:tabs>
          <w:tab w:val="left" w:pos="720"/>
        </w:tabs>
        <w:outlineLvl w:val="9"/>
      </w:pPr>
      <w:r>
        <w:rPr>
          <w:rFonts w:hint="eastAsia"/>
        </w:rPr>
        <w:t>17.1 计量</w:t>
      </w:r>
    </w:p>
    <w:p w14:paraId="1CF28C95">
      <w:pPr>
        <w:spacing w:line="400" w:lineRule="exact"/>
        <w:ind w:firstLine="420" w:firstLineChars="200"/>
      </w:pPr>
      <w:r>
        <w:rPr>
          <w:rFonts w:hint="eastAsia"/>
        </w:rPr>
        <w:t xml:space="preserve">17.1.1 </w:t>
      </w:r>
      <w:r>
        <w:rPr>
          <w:rFonts w:hint="eastAsia" w:ascii="黑体" w:eastAsia="黑体"/>
        </w:rPr>
        <w:t>计量单位</w:t>
      </w:r>
    </w:p>
    <w:p w14:paraId="7D7D932F">
      <w:pPr>
        <w:spacing w:line="400" w:lineRule="exact"/>
        <w:ind w:firstLine="420" w:firstLineChars="200"/>
      </w:pPr>
      <w:r>
        <w:rPr>
          <w:rFonts w:hint="eastAsia"/>
        </w:rPr>
        <w:t>计量采用国家法定的计量单位。</w:t>
      </w:r>
    </w:p>
    <w:p w14:paraId="0F9BE1E6">
      <w:pPr>
        <w:spacing w:line="400" w:lineRule="exact"/>
        <w:ind w:firstLine="420" w:firstLineChars="200"/>
      </w:pPr>
      <w:r>
        <w:rPr>
          <w:rFonts w:hint="eastAsia"/>
        </w:rPr>
        <w:t xml:space="preserve">17.1.2 </w:t>
      </w:r>
      <w:r>
        <w:rPr>
          <w:rFonts w:hint="eastAsia" w:ascii="黑体" w:eastAsia="黑体"/>
        </w:rPr>
        <w:t>计量方法</w:t>
      </w:r>
    </w:p>
    <w:p w14:paraId="2C0D2437">
      <w:pPr>
        <w:spacing w:line="400" w:lineRule="exact"/>
        <w:ind w:firstLine="420" w:firstLineChars="200"/>
      </w:pPr>
      <w:r>
        <w:rPr>
          <w:rFonts w:hint="eastAsia"/>
        </w:rPr>
        <w:t>工程量清单中的工程量计算规则应按有关国家标准、行业标准的规定，并在合同中约定执行。</w:t>
      </w:r>
    </w:p>
    <w:p w14:paraId="49D48CBB">
      <w:pPr>
        <w:spacing w:line="400" w:lineRule="exact"/>
        <w:ind w:firstLine="420" w:firstLineChars="200"/>
      </w:pPr>
      <w:r>
        <w:rPr>
          <w:rFonts w:hint="eastAsia"/>
        </w:rPr>
        <w:t xml:space="preserve">17.1.3 </w:t>
      </w:r>
      <w:r>
        <w:rPr>
          <w:rFonts w:hint="eastAsia" w:ascii="黑体" w:eastAsia="黑体"/>
        </w:rPr>
        <w:t>计量周期</w:t>
      </w:r>
    </w:p>
    <w:p w14:paraId="0F9AD48C">
      <w:pPr>
        <w:spacing w:line="400" w:lineRule="exact"/>
        <w:ind w:firstLine="420" w:firstLineChars="200"/>
      </w:pPr>
      <w:r>
        <w:rPr>
          <w:rFonts w:hint="eastAsia"/>
        </w:rPr>
        <w:t>除专用合同条款另有约定外，单价子目已完成工程量按月计量，总价子目的计量周期按批准的支付分解报告确定。</w:t>
      </w:r>
    </w:p>
    <w:p w14:paraId="4A191E85">
      <w:pPr>
        <w:spacing w:line="400" w:lineRule="exact"/>
        <w:ind w:firstLine="420" w:firstLineChars="200"/>
      </w:pPr>
      <w:r>
        <w:rPr>
          <w:rFonts w:hint="eastAsia"/>
        </w:rPr>
        <w:t>17.1.4</w:t>
      </w:r>
      <w:r>
        <w:rPr>
          <w:rFonts w:hint="eastAsia" w:ascii="黑体" w:eastAsia="黑体"/>
        </w:rPr>
        <w:t xml:space="preserve"> 单价子目的计量</w:t>
      </w:r>
    </w:p>
    <w:p w14:paraId="026C9658">
      <w:pPr>
        <w:spacing w:line="400" w:lineRule="exact"/>
        <w:ind w:firstLine="718" w:firstLineChars="342"/>
      </w:pPr>
      <w:r>
        <w:rPr>
          <w:rFonts w:hint="eastAsia"/>
        </w:rPr>
        <w:t>（1）已标价工程量清单中的单价子目工程量为估算工程量。结算工程量是乙方实际完成的，并按合同约定的计量方法进行计量的工程量。</w:t>
      </w:r>
    </w:p>
    <w:p w14:paraId="0CC6DCF9">
      <w:pPr>
        <w:spacing w:line="400" w:lineRule="exact"/>
        <w:ind w:firstLine="718" w:firstLineChars="342"/>
      </w:pPr>
      <w:r>
        <w:rPr>
          <w:rFonts w:hint="eastAsia"/>
        </w:rPr>
        <w:t>（2）乙方对已完成的工程进行计量，向监理人提交进度付款申请单、已完成工程量报表和有关计量资料。</w:t>
      </w:r>
    </w:p>
    <w:p w14:paraId="47624B62">
      <w:pPr>
        <w:spacing w:line="400" w:lineRule="exact"/>
        <w:ind w:firstLine="718" w:firstLineChars="342"/>
      </w:pPr>
      <w:r>
        <w:rPr>
          <w:rFonts w:hint="eastAsia"/>
        </w:rPr>
        <w:t>（3）监理人对乙方提交的工程量报表进行复核，以确定实际完成的工程量。对数量有异议的，可要求乙方按第8.2款约定进行共同复核和抽样复测。乙方应协助监理人进行复核并按监理人要求提供补充计量资料。乙方未按监理人要求参加复核，监理人复核或修正的工程量视为乙方实际完成的工程量。</w:t>
      </w:r>
    </w:p>
    <w:p w14:paraId="23187F1B">
      <w:pPr>
        <w:spacing w:line="400" w:lineRule="exact"/>
        <w:ind w:firstLine="718" w:firstLineChars="342"/>
      </w:pPr>
      <w:r>
        <w:rPr>
          <w:rFonts w:hint="eastAsia"/>
        </w:rPr>
        <w:t>（4）监理人认为有必要时，可通知乙方共同进行联合测量、计量，乙方应遵照执行。</w:t>
      </w:r>
    </w:p>
    <w:p w14:paraId="7CEE7529">
      <w:pPr>
        <w:spacing w:line="400" w:lineRule="exact"/>
        <w:ind w:firstLine="718" w:firstLineChars="342"/>
      </w:pPr>
      <w:r>
        <w:rPr>
          <w:rFonts w:hint="eastAsia"/>
        </w:rPr>
        <w:t>（5）乙方完成工程量清单中每个子目的工程量后，监理人应要求乙方派员共同对每个子目的历次计量报表进行汇总，以核实最终结算工程量。监理人可要求乙方提供补充计量资料，以确定最后一次进度付款的准确工程量。乙方未按监理人要求派员参加的，监理人最终核实的工程量视为乙方完成该子目的准确工程量。</w:t>
      </w:r>
    </w:p>
    <w:p w14:paraId="22967C68">
      <w:pPr>
        <w:spacing w:line="400" w:lineRule="exact"/>
        <w:ind w:firstLine="718" w:firstLineChars="342"/>
      </w:pPr>
      <w:r>
        <w:rPr>
          <w:rFonts w:hint="eastAsia"/>
        </w:rPr>
        <w:t>（6）监理人应在收到乙方提交的工程量报表后的7天内进行复核，监理人未在约定时间内复核的，乙方提交的工程量报表中的工程量视为乙方实际完成的工程量，据此计算工程价款。</w:t>
      </w:r>
    </w:p>
    <w:p w14:paraId="36F60B37">
      <w:pPr>
        <w:spacing w:line="400" w:lineRule="exact"/>
        <w:ind w:firstLine="420" w:firstLineChars="200"/>
        <w:rPr>
          <w:rFonts w:ascii="黑体" w:eastAsia="黑体"/>
        </w:rPr>
      </w:pPr>
      <w:r>
        <w:rPr>
          <w:rFonts w:hint="eastAsia"/>
        </w:rPr>
        <w:t xml:space="preserve">17.1.5 </w:t>
      </w:r>
      <w:r>
        <w:rPr>
          <w:rFonts w:hint="eastAsia" w:ascii="黑体" w:eastAsia="黑体"/>
        </w:rPr>
        <w:t>总价子目的计量</w:t>
      </w:r>
    </w:p>
    <w:p w14:paraId="18CE96FE">
      <w:pPr>
        <w:spacing w:line="400" w:lineRule="exact"/>
        <w:ind w:firstLine="630" w:firstLineChars="300"/>
        <w:rPr>
          <w:rFonts w:hint="eastAsia" w:ascii="宋体" w:hAnsi="宋体"/>
        </w:rPr>
      </w:pPr>
      <w:r>
        <w:rPr>
          <w:rFonts w:hint="eastAsia" w:ascii="宋体" w:hAnsi="宋体"/>
        </w:rPr>
        <w:t>除专用合同条款另有约定外，总价子目的分解和计量按照下述约定进行。</w:t>
      </w:r>
    </w:p>
    <w:p w14:paraId="2FFB4C0F">
      <w:pPr>
        <w:spacing w:line="400" w:lineRule="exact"/>
        <w:ind w:firstLine="630" w:firstLineChars="300"/>
        <w:rPr>
          <w:rFonts w:hint="eastAsia" w:ascii="宋体" w:hAnsi="宋体"/>
        </w:rPr>
      </w:pPr>
      <w:r>
        <w:rPr>
          <w:rFonts w:hint="eastAsia" w:ascii="宋体" w:hAnsi="宋体"/>
        </w:rPr>
        <w:t>（1）总价子目的计量和支付应以总价为基础，不因第16.1款中的因素而进行调整。乙方实际完成的工程量，是进行工程目标管理和控制进度支付的依据。</w:t>
      </w:r>
    </w:p>
    <w:p w14:paraId="0CF5B91A">
      <w:pPr>
        <w:spacing w:line="400" w:lineRule="exact"/>
        <w:ind w:firstLine="630" w:firstLineChars="300"/>
        <w:rPr>
          <w:rFonts w:hint="eastAsia" w:ascii="宋体" w:hAnsi="宋体"/>
        </w:rPr>
      </w:pPr>
      <w:r>
        <w:rPr>
          <w:rFonts w:hint="eastAsia" w:ascii="宋体" w:hAnsi="宋体"/>
        </w:rPr>
        <w:t>（2）乙方在合同约定的每个计量周期内，对已完成的工程进行计量，并向监理人提交进度付款申请单、专用合同条款约定的合同总价支付分解表所表示的阶段性或分项计量的支持性资料，以及所达到工程形象目标或分阶段需完成的工程量和有关计量资料。</w:t>
      </w:r>
    </w:p>
    <w:p w14:paraId="5F6A38CD">
      <w:pPr>
        <w:spacing w:line="400" w:lineRule="exact"/>
        <w:ind w:firstLine="630" w:firstLineChars="300"/>
        <w:rPr>
          <w:rFonts w:hint="eastAsia" w:ascii="宋体" w:hAnsi="宋体"/>
        </w:rPr>
      </w:pPr>
      <w:r>
        <w:rPr>
          <w:rFonts w:hint="eastAsia" w:ascii="宋体" w:hAnsi="宋体"/>
        </w:rPr>
        <w:t>（3）监理人对乙方提交的上述资料进行复核，以确定分阶段实际完成的工程量和工程形象目标。对其有异议的，可要求乙方按第8.2款约定进行共同复核和抽样复测。</w:t>
      </w:r>
    </w:p>
    <w:p w14:paraId="7B763E47">
      <w:pPr>
        <w:spacing w:line="400" w:lineRule="exact"/>
        <w:ind w:firstLine="630" w:firstLineChars="300"/>
        <w:rPr>
          <w:rFonts w:hint="eastAsia" w:ascii="宋体" w:hAnsi="宋体"/>
        </w:rPr>
      </w:pPr>
      <w:r>
        <w:rPr>
          <w:rFonts w:hint="eastAsia" w:ascii="宋体" w:hAnsi="宋体"/>
        </w:rPr>
        <w:t xml:space="preserve">（4）除按照第15条约定的变更外，总价子目的工程量是乙方用于结算的最终工程量。 </w:t>
      </w:r>
    </w:p>
    <w:p w14:paraId="16D0E4EF">
      <w:pPr>
        <w:pStyle w:val="261"/>
        <w:tabs>
          <w:tab w:val="left" w:pos="720"/>
        </w:tabs>
        <w:outlineLvl w:val="9"/>
      </w:pPr>
      <w:r>
        <w:rPr>
          <w:rFonts w:hint="eastAsia"/>
        </w:rPr>
        <w:t>17.2 预付款</w:t>
      </w:r>
    </w:p>
    <w:p w14:paraId="79B946A8">
      <w:pPr>
        <w:spacing w:line="400" w:lineRule="exact"/>
        <w:ind w:firstLine="420" w:firstLineChars="200"/>
      </w:pPr>
      <w:r>
        <w:rPr>
          <w:rFonts w:hint="eastAsia"/>
        </w:rPr>
        <w:t xml:space="preserve">17.2.1 </w:t>
      </w:r>
      <w:r>
        <w:rPr>
          <w:rFonts w:hint="eastAsia" w:ascii="黑体" w:eastAsia="黑体"/>
        </w:rPr>
        <w:t>预付款</w:t>
      </w:r>
    </w:p>
    <w:p w14:paraId="41EF9997">
      <w:pPr>
        <w:spacing w:line="400" w:lineRule="exact"/>
        <w:ind w:firstLine="420" w:firstLineChars="200"/>
      </w:pPr>
      <w:r>
        <w:rPr>
          <w:rFonts w:hint="eastAsia"/>
        </w:rPr>
        <w:t>预付款用于乙方为合同工程施工购置材料、工程设备、施工设备、修建临时设施以及组织施工队伍进场等。预付款的额度和预付办法在专用合同条款中约定。预付款必须专用于合同工程。</w:t>
      </w:r>
    </w:p>
    <w:p w14:paraId="27CBD945">
      <w:pPr>
        <w:spacing w:line="400" w:lineRule="exact"/>
        <w:ind w:firstLine="420" w:firstLineChars="200"/>
      </w:pPr>
      <w:r>
        <w:rPr>
          <w:rFonts w:hint="eastAsia"/>
        </w:rPr>
        <w:t xml:space="preserve">17.2.2 </w:t>
      </w:r>
      <w:r>
        <w:rPr>
          <w:rFonts w:hint="eastAsia" w:ascii="黑体" w:eastAsia="黑体"/>
        </w:rPr>
        <w:t>预付款保函</w:t>
      </w:r>
    </w:p>
    <w:p w14:paraId="6401A570">
      <w:pPr>
        <w:spacing w:line="400" w:lineRule="exact"/>
        <w:ind w:firstLine="420" w:firstLineChars="200"/>
      </w:pPr>
      <w:r>
        <w:rPr>
          <w:rFonts w:hint="eastAsia"/>
        </w:rPr>
        <w:t>除专用合同条款另有约定外，乙方应在收到预付款的同时向甲方提交预付款保函，预付款保函的担保金额应与预付款金额相同。保函的担保金额可根据预付款扣回的金额相应递减。</w:t>
      </w:r>
    </w:p>
    <w:p w14:paraId="499EFBD1">
      <w:pPr>
        <w:spacing w:line="400" w:lineRule="exact"/>
        <w:ind w:firstLine="420" w:firstLineChars="200"/>
      </w:pPr>
      <w:r>
        <w:rPr>
          <w:rFonts w:hint="eastAsia"/>
        </w:rPr>
        <w:t xml:space="preserve">17.2.3 </w:t>
      </w:r>
      <w:r>
        <w:rPr>
          <w:rFonts w:hint="eastAsia" w:ascii="黑体" w:eastAsia="黑体"/>
        </w:rPr>
        <w:t>预付款的扣回与还清</w:t>
      </w:r>
    </w:p>
    <w:p w14:paraId="4517715C">
      <w:pPr>
        <w:spacing w:line="400" w:lineRule="exact"/>
        <w:ind w:firstLine="420" w:firstLineChars="200"/>
      </w:pPr>
      <w:r>
        <w:rPr>
          <w:rFonts w:hint="eastAsia"/>
        </w:rPr>
        <w:t>预付款在进度付款中扣回，扣回办法在专用合同条款中约定。在颁发工程接收证书前，由于不可抗力或其他原因解除合同时，预付款尚未扣清的，尚未扣清的预付款余额应作为乙方的到期应付款。</w:t>
      </w:r>
    </w:p>
    <w:p w14:paraId="1D3A4E7E">
      <w:pPr>
        <w:pStyle w:val="261"/>
        <w:tabs>
          <w:tab w:val="left" w:pos="720"/>
        </w:tabs>
        <w:outlineLvl w:val="9"/>
      </w:pPr>
      <w:r>
        <w:rPr>
          <w:rFonts w:hint="eastAsia"/>
        </w:rPr>
        <w:t>17.3 工程进度付款</w:t>
      </w:r>
    </w:p>
    <w:p w14:paraId="2B524CAC">
      <w:pPr>
        <w:spacing w:line="400" w:lineRule="exact"/>
        <w:ind w:firstLine="420" w:firstLineChars="200"/>
      </w:pPr>
      <w:r>
        <w:rPr>
          <w:rFonts w:hint="eastAsia"/>
        </w:rPr>
        <w:t xml:space="preserve">17.3.1 </w:t>
      </w:r>
      <w:r>
        <w:rPr>
          <w:rFonts w:hint="eastAsia" w:ascii="黑体" w:eastAsia="黑体"/>
        </w:rPr>
        <w:t>付款周期</w:t>
      </w:r>
    </w:p>
    <w:p w14:paraId="165BBC8E">
      <w:pPr>
        <w:spacing w:line="400" w:lineRule="exact"/>
        <w:ind w:firstLine="420" w:firstLineChars="200"/>
      </w:pPr>
      <w:r>
        <w:rPr>
          <w:rFonts w:hint="eastAsia"/>
        </w:rPr>
        <w:t>付款周期同计量周期。</w:t>
      </w:r>
    </w:p>
    <w:p w14:paraId="62E39750">
      <w:pPr>
        <w:spacing w:line="400" w:lineRule="exact"/>
        <w:ind w:firstLine="420" w:firstLineChars="200"/>
      </w:pPr>
      <w:r>
        <w:rPr>
          <w:rFonts w:hint="eastAsia"/>
        </w:rPr>
        <w:t xml:space="preserve">17.3.2 </w:t>
      </w:r>
      <w:r>
        <w:rPr>
          <w:rFonts w:hint="eastAsia" w:ascii="黑体" w:eastAsia="黑体"/>
        </w:rPr>
        <w:t>进度付款申请单</w:t>
      </w:r>
    </w:p>
    <w:p w14:paraId="3F125CB6">
      <w:pPr>
        <w:spacing w:line="400" w:lineRule="exact"/>
        <w:ind w:firstLine="420" w:firstLineChars="200"/>
        <w:rPr>
          <w:dstrike/>
          <w:szCs w:val="21"/>
        </w:rPr>
      </w:pPr>
      <w:r>
        <w:rPr>
          <w:rFonts w:hint="eastAsia"/>
        </w:rPr>
        <w:t>乙方应在每个付款周期末，按监理人批准的格式和专用合同条款约定的份数，向监理人提交进度付款申请单，并附相应的支持性证明文件。除专用合同条款另有约定外，进度付款申请单应包括下列内容：</w:t>
      </w:r>
    </w:p>
    <w:p w14:paraId="78EF49C9">
      <w:pPr>
        <w:spacing w:line="400" w:lineRule="exact"/>
        <w:ind w:firstLine="420" w:firstLineChars="200"/>
      </w:pPr>
      <w:r>
        <w:rPr>
          <w:rFonts w:hint="eastAsia"/>
        </w:rPr>
        <w:t>（1）截至本次付款周期末已实施工程的价款；</w:t>
      </w:r>
    </w:p>
    <w:p w14:paraId="73A869F6">
      <w:pPr>
        <w:spacing w:line="400" w:lineRule="exact"/>
        <w:ind w:firstLine="420" w:firstLineChars="200"/>
      </w:pPr>
      <w:r>
        <w:rPr>
          <w:rFonts w:hint="eastAsia"/>
        </w:rPr>
        <w:t>（2）根据第15条应增加和扣减的变更金额；</w:t>
      </w:r>
    </w:p>
    <w:p w14:paraId="79FB86BE">
      <w:pPr>
        <w:spacing w:line="400" w:lineRule="exact"/>
        <w:ind w:firstLine="420" w:firstLineChars="200"/>
      </w:pPr>
      <w:r>
        <w:rPr>
          <w:rFonts w:hint="eastAsia"/>
        </w:rPr>
        <w:t>（3）根据第23条应增加和扣减的索赔金额；</w:t>
      </w:r>
    </w:p>
    <w:p w14:paraId="1AC53F15">
      <w:pPr>
        <w:spacing w:line="400" w:lineRule="exact"/>
        <w:ind w:firstLine="420" w:firstLineChars="200"/>
      </w:pPr>
      <w:r>
        <w:rPr>
          <w:rFonts w:hint="eastAsia"/>
        </w:rPr>
        <w:t>（4）根据第17.2款约定应支付的预付款和扣减的返还预付款；</w:t>
      </w:r>
    </w:p>
    <w:p w14:paraId="607C9737">
      <w:pPr>
        <w:spacing w:line="400" w:lineRule="exact"/>
        <w:ind w:firstLine="420" w:firstLineChars="200"/>
      </w:pPr>
      <w:r>
        <w:rPr>
          <w:rFonts w:hint="eastAsia"/>
        </w:rPr>
        <w:t>（5）根据第17.4.1项约定应扣减的质量保证金；</w:t>
      </w:r>
    </w:p>
    <w:p w14:paraId="0D4AA640">
      <w:pPr>
        <w:spacing w:line="400" w:lineRule="exact"/>
        <w:ind w:firstLine="420" w:firstLineChars="200"/>
      </w:pPr>
      <w:r>
        <w:rPr>
          <w:rFonts w:hint="eastAsia"/>
        </w:rPr>
        <w:t>（6）根据合同应增加和扣减的其他金额。</w:t>
      </w:r>
    </w:p>
    <w:p w14:paraId="35DE4DD5">
      <w:pPr>
        <w:spacing w:line="400" w:lineRule="exact"/>
        <w:ind w:firstLine="420" w:firstLineChars="200"/>
      </w:pPr>
      <w:r>
        <w:rPr>
          <w:rFonts w:hint="eastAsia"/>
        </w:rPr>
        <w:t xml:space="preserve">17.3.3 </w:t>
      </w:r>
      <w:r>
        <w:rPr>
          <w:rFonts w:hint="eastAsia" w:ascii="黑体" w:eastAsia="黑体"/>
        </w:rPr>
        <w:t>进度付款证书和支付时间</w:t>
      </w:r>
    </w:p>
    <w:p w14:paraId="3B584C13">
      <w:pPr>
        <w:spacing w:line="400" w:lineRule="exact"/>
        <w:ind w:firstLine="630" w:firstLineChars="300"/>
      </w:pPr>
      <w:r>
        <w:rPr>
          <w:rFonts w:hint="eastAsia"/>
        </w:rPr>
        <w:t>（1）监理人在收到乙方进度付款申请单以及相应的支持性证明文件后的14天内完成核查，提出甲方到期应支付给乙方的金额以及相应的支持性材料，经甲方审查同意后，由监理人向乙方出具经甲方签认的进度付款证书。监理人有权扣发乙方未能按照合同要求履行任何工作或义务的相应金额。</w:t>
      </w:r>
    </w:p>
    <w:p w14:paraId="6193FBA8">
      <w:pPr>
        <w:spacing w:line="400" w:lineRule="exact"/>
        <w:ind w:firstLine="718" w:firstLineChars="342"/>
      </w:pPr>
      <w:r>
        <w:rPr>
          <w:rFonts w:hint="eastAsia"/>
        </w:rPr>
        <w:t>（2）甲方应在监理人收到进度付款申请单后的28天内，将进度应付款支付给乙方。甲方不按期支付的，按专用合同条款的约定支付逾期付款违约金。</w:t>
      </w:r>
    </w:p>
    <w:p w14:paraId="21A3E0C5">
      <w:pPr>
        <w:spacing w:line="400" w:lineRule="exact"/>
        <w:ind w:firstLine="718" w:firstLineChars="342"/>
      </w:pPr>
      <w:r>
        <w:rPr>
          <w:rFonts w:hint="eastAsia"/>
        </w:rPr>
        <w:t>（3）监理人出具进度付款证书，不应视为监理人已同意、批准或接受了乙方完成的该部分工作。</w:t>
      </w:r>
    </w:p>
    <w:p w14:paraId="44982378">
      <w:pPr>
        <w:spacing w:line="400" w:lineRule="exact"/>
        <w:ind w:firstLine="718" w:firstLineChars="342"/>
      </w:pPr>
      <w:r>
        <w:rPr>
          <w:rFonts w:hint="eastAsia"/>
        </w:rPr>
        <w:t>（4）进度付款涉及政府投资资金的，按照国库集中支付等国家相关规定和专用合同条款的约定办理。</w:t>
      </w:r>
    </w:p>
    <w:p w14:paraId="620B5D7A">
      <w:pPr>
        <w:spacing w:line="400" w:lineRule="exact"/>
        <w:ind w:firstLine="420" w:firstLineChars="200"/>
      </w:pPr>
      <w:r>
        <w:rPr>
          <w:rFonts w:hint="eastAsia"/>
        </w:rPr>
        <w:t xml:space="preserve">17.3.4 </w:t>
      </w:r>
      <w:r>
        <w:rPr>
          <w:rFonts w:hint="eastAsia" w:ascii="黑体" w:eastAsia="黑体"/>
        </w:rPr>
        <w:t>工程进度付款的修正</w:t>
      </w:r>
    </w:p>
    <w:p w14:paraId="1B6E16AE">
      <w:pPr>
        <w:spacing w:line="400" w:lineRule="exact"/>
        <w:ind w:firstLine="420" w:firstLineChars="200"/>
      </w:pPr>
      <w:r>
        <w:rPr>
          <w:rFonts w:hint="eastAsia"/>
        </w:rPr>
        <w:t>在对以往历次已签发的进度付款证书进行汇总和复核中发现错、漏或重复的，监理人有权予以修正，乙方也有权提出修正申请。经双方复核同意的修正，应在本次进度付款中支付或扣除。</w:t>
      </w:r>
    </w:p>
    <w:p w14:paraId="5632EF96">
      <w:pPr>
        <w:pStyle w:val="261"/>
        <w:tabs>
          <w:tab w:val="left" w:pos="720"/>
        </w:tabs>
        <w:outlineLvl w:val="9"/>
      </w:pPr>
      <w:r>
        <w:rPr>
          <w:rFonts w:hint="eastAsia"/>
        </w:rPr>
        <w:t>17.4 质量保证金</w:t>
      </w:r>
    </w:p>
    <w:p w14:paraId="7E27C46F">
      <w:pPr>
        <w:spacing w:line="400" w:lineRule="exact"/>
        <w:ind w:firstLine="420" w:firstLineChars="200"/>
      </w:pPr>
      <w:r>
        <w:rPr>
          <w:rFonts w:hint="eastAsia"/>
        </w:rPr>
        <w:t>17.4.1 监理人应从第一个付款周期开始，在甲方的进度付款中，按专用合同条款的约定扣留质量保证金，直至扣留的质量保证金总额达到专用合同条款约定的金额或比例为止。质量保证金的计算额度不包括预付款的支付、扣回以及价格调整的金额。</w:t>
      </w:r>
    </w:p>
    <w:p w14:paraId="29DB3FBB">
      <w:pPr>
        <w:spacing w:line="400" w:lineRule="exact"/>
        <w:ind w:firstLine="420" w:firstLineChars="200"/>
      </w:pPr>
      <w:r>
        <w:rPr>
          <w:rFonts w:hint="eastAsia"/>
        </w:rPr>
        <w:t>17.4.2 在第1.1.4.5目约定的缺陷责任期满时，乙方向甲方申请到期应返还乙方剩余的质量保证金金额，甲方应在14天内会同乙方按照合同约定的内容核实乙方是否完成缺陷责任。如无异议，甲方应当在核实后将剩余保证金返还乙方。</w:t>
      </w:r>
    </w:p>
    <w:p w14:paraId="4CA02F41">
      <w:pPr>
        <w:spacing w:line="400" w:lineRule="exact"/>
        <w:ind w:firstLine="420" w:firstLineChars="200"/>
      </w:pPr>
      <w:r>
        <w:rPr>
          <w:rFonts w:hint="eastAsia"/>
        </w:rPr>
        <w:t>17.4.3 在第1.1.4.5目约定的缺陷责任期满时，乙方没有完成缺陷责任的，甲方有权扣留与未履行责任剩余工作所需金额相应的质量保证金余额，并有权根据第19.3款约定要求延长缺陷责任期，直至完成剩余工作为止。</w:t>
      </w:r>
    </w:p>
    <w:p w14:paraId="1042DD04">
      <w:pPr>
        <w:pStyle w:val="261"/>
        <w:tabs>
          <w:tab w:val="left" w:pos="720"/>
        </w:tabs>
        <w:outlineLvl w:val="9"/>
      </w:pPr>
      <w:r>
        <w:rPr>
          <w:rFonts w:hint="eastAsia"/>
        </w:rPr>
        <w:t>17.5 竣工结算</w:t>
      </w:r>
    </w:p>
    <w:p w14:paraId="09D9E216">
      <w:pPr>
        <w:spacing w:line="400" w:lineRule="exact"/>
        <w:ind w:firstLine="420" w:firstLineChars="200"/>
      </w:pPr>
      <w:r>
        <w:rPr>
          <w:rFonts w:hint="eastAsia"/>
        </w:rPr>
        <w:t xml:space="preserve">17.5.1 </w:t>
      </w:r>
      <w:r>
        <w:rPr>
          <w:rFonts w:hint="eastAsia" w:ascii="黑体" w:eastAsia="黑体"/>
        </w:rPr>
        <w:t>竣工付款申请单</w:t>
      </w:r>
    </w:p>
    <w:p w14:paraId="325A38EF">
      <w:pPr>
        <w:spacing w:line="400" w:lineRule="exact"/>
        <w:ind w:firstLine="718" w:firstLineChars="342"/>
      </w:pPr>
      <w:r>
        <w:rPr>
          <w:rFonts w:hint="eastAsia"/>
        </w:rPr>
        <w:t>（1）工程接收证书颁发后，乙方应按专用合同条款约定的份数和期限向监理人提交竣工付款申请单，并提供相关证明材料。除专用合同条款另有约定外，竣工付款申请单应包括下列内容：竣工结算合同总价、甲方已支付乙方的工程价款、应扣留的质量保证金、应支付的竣工付款金额。</w:t>
      </w:r>
    </w:p>
    <w:p w14:paraId="7ED55566">
      <w:pPr>
        <w:spacing w:line="400" w:lineRule="exact"/>
        <w:ind w:firstLine="718" w:firstLineChars="342"/>
      </w:pPr>
      <w:r>
        <w:rPr>
          <w:rFonts w:hint="eastAsia"/>
        </w:rPr>
        <w:t>（2）监理人对竣工付款申请单有异议的，有权要求乙方进行修正和提供补充资料。经监理人和乙方协商后，由乙方向监理人提交修正后的竣工付款申请单。</w:t>
      </w:r>
    </w:p>
    <w:p w14:paraId="37E05850">
      <w:pPr>
        <w:spacing w:line="400" w:lineRule="exact"/>
        <w:ind w:firstLine="420" w:firstLineChars="200"/>
      </w:pPr>
      <w:r>
        <w:rPr>
          <w:rFonts w:hint="eastAsia"/>
        </w:rPr>
        <w:t xml:space="preserve">17.5.2 </w:t>
      </w:r>
      <w:r>
        <w:rPr>
          <w:rFonts w:hint="eastAsia" w:ascii="黑体" w:eastAsia="黑体"/>
        </w:rPr>
        <w:t>竣工付款证书及支付时间</w:t>
      </w:r>
    </w:p>
    <w:p w14:paraId="55669C38">
      <w:pPr>
        <w:spacing w:line="400" w:lineRule="exact"/>
        <w:ind w:firstLine="718" w:firstLineChars="342"/>
      </w:pPr>
      <w:r>
        <w:rPr>
          <w:rFonts w:hint="eastAsia"/>
        </w:rPr>
        <w:t>（1）监理人在收到乙方提交的竣工付款申请单后的14天内完成核查，提出甲方到期应支付给乙方的价款送甲方审核并抄送乙方。甲方应在收到后14天内审核完毕，由监理人向乙方出具经甲方签认的竣工付款证书。监理人未在约定时间内核查，又未提出具体意见的，视为乙方提交的竣工付款申请单已经监理人核查同意；甲方未在约定时间内审核又未提出具体意见的，监理人提出甲方到期应支付给乙方的价款视为已经甲方同意。</w:t>
      </w:r>
    </w:p>
    <w:p w14:paraId="33053229">
      <w:pPr>
        <w:spacing w:line="400" w:lineRule="exact"/>
        <w:ind w:firstLine="718" w:firstLineChars="342"/>
      </w:pPr>
      <w:r>
        <w:rPr>
          <w:rFonts w:hint="eastAsia"/>
        </w:rPr>
        <w:t>（2）甲方应在监理人出具竣工付款证书后的14天内，将应支付款支付给乙方。甲方不按期支付的，按第17.3.3（2）目的约定，将逾期付款违约金支付给乙方。</w:t>
      </w:r>
    </w:p>
    <w:p w14:paraId="77CA6716">
      <w:pPr>
        <w:spacing w:line="400" w:lineRule="exact"/>
        <w:ind w:firstLine="718" w:firstLineChars="342"/>
      </w:pPr>
      <w:r>
        <w:rPr>
          <w:rFonts w:hint="eastAsia"/>
        </w:rPr>
        <w:t>（3）乙方对甲方签认的竣工付款证书有异议的，甲方可出具竣工付款申请单中乙方已同意部分的临时付款证书。存在争议的部分，按第24条的约定办理。</w:t>
      </w:r>
    </w:p>
    <w:p w14:paraId="6E77600C">
      <w:pPr>
        <w:spacing w:line="400" w:lineRule="exact"/>
        <w:ind w:firstLine="630" w:firstLineChars="300"/>
      </w:pPr>
      <w:r>
        <w:rPr>
          <w:rFonts w:hint="eastAsia"/>
        </w:rPr>
        <w:t>（4）竣工付款涉及政府投资资金的，按第17.3.3（４）目的约定办理。</w:t>
      </w:r>
    </w:p>
    <w:p w14:paraId="1C893620">
      <w:pPr>
        <w:pStyle w:val="261"/>
        <w:tabs>
          <w:tab w:val="left" w:pos="720"/>
        </w:tabs>
        <w:outlineLvl w:val="9"/>
      </w:pPr>
      <w:r>
        <w:rPr>
          <w:rFonts w:hint="eastAsia"/>
        </w:rPr>
        <w:t>17.6 最终结清</w:t>
      </w:r>
    </w:p>
    <w:p w14:paraId="1EC4A7AC">
      <w:pPr>
        <w:spacing w:line="400" w:lineRule="exact"/>
        <w:ind w:firstLine="420" w:firstLineChars="200"/>
      </w:pPr>
      <w:r>
        <w:rPr>
          <w:rFonts w:hint="eastAsia"/>
        </w:rPr>
        <w:t xml:space="preserve">17.6.1 </w:t>
      </w:r>
      <w:r>
        <w:rPr>
          <w:rFonts w:hint="eastAsia" w:ascii="黑体" w:eastAsia="黑体"/>
        </w:rPr>
        <w:t>最终结清申请单</w:t>
      </w:r>
    </w:p>
    <w:p w14:paraId="7C4EC0C4">
      <w:pPr>
        <w:spacing w:line="400" w:lineRule="exact"/>
        <w:ind w:firstLine="718" w:firstLineChars="342"/>
      </w:pPr>
      <w:r>
        <w:rPr>
          <w:rFonts w:hint="eastAsia"/>
        </w:rPr>
        <w:t>（1）缺陷责任期终止证书签发后，乙方可按专用合同条款约定的份数和期限向监理人提交最终结清申请单，并提供相关证明材料。</w:t>
      </w:r>
    </w:p>
    <w:p w14:paraId="3A7DD04F">
      <w:pPr>
        <w:spacing w:line="400" w:lineRule="exact"/>
        <w:ind w:firstLine="718" w:firstLineChars="342"/>
      </w:pPr>
      <w:r>
        <w:rPr>
          <w:rFonts w:hint="eastAsia"/>
        </w:rPr>
        <w:t>（2）甲方对最终结清申请单内容有异议的，有权要求乙方进行修正和提供补充资料，由乙方向监理人提交修正后的最终结清申请单。</w:t>
      </w:r>
    </w:p>
    <w:p w14:paraId="75BC3F33">
      <w:pPr>
        <w:spacing w:line="400" w:lineRule="exact"/>
        <w:ind w:firstLine="420" w:firstLineChars="200"/>
      </w:pPr>
      <w:r>
        <w:rPr>
          <w:rFonts w:hint="eastAsia"/>
        </w:rPr>
        <w:t xml:space="preserve">17.6.2 </w:t>
      </w:r>
      <w:r>
        <w:rPr>
          <w:rFonts w:hint="eastAsia" w:ascii="黑体" w:eastAsia="黑体"/>
        </w:rPr>
        <w:t>最终结清证书和支付时间</w:t>
      </w:r>
    </w:p>
    <w:p w14:paraId="71135709">
      <w:pPr>
        <w:spacing w:line="400" w:lineRule="exact"/>
        <w:ind w:firstLine="718" w:firstLineChars="342"/>
      </w:pPr>
      <w:r>
        <w:rPr>
          <w:rFonts w:hint="eastAsia"/>
        </w:rPr>
        <w:t>（1）监理人收到乙方提交的最终结清申请单后的14天内，提出甲方应支付给乙方的价款送甲方审核并抄送乙方。甲方应在收到后14天内审核完毕，由监理人向乙方出具经甲方签认的最终结清证书。监理人未在约定时间内核查，又未提出具体意见的，视为乙方提交的最终结清申请已经监理人核查同意；甲方未在约定时间内审核又未提出具体意见的，监理人提出应支付给乙方的价款视为已经甲方同意。</w:t>
      </w:r>
    </w:p>
    <w:p w14:paraId="63DCF5FE">
      <w:pPr>
        <w:spacing w:line="400" w:lineRule="exact"/>
        <w:ind w:firstLine="718" w:firstLineChars="342"/>
      </w:pPr>
      <w:r>
        <w:rPr>
          <w:rFonts w:hint="eastAsia"/>
        </w:rPr>
        <w:t>（2）甲方应在监理人出具最终结清证书后的14天内，将应支付款支付给乙方。甲方不按期支付的，按第17.3.3（2）目的约定，将逾期付款违约金支付给乙方。</w:t>
      </w:r>
    </w:p>
    <w:p w14:paraId="29E1CE6A">
      <w:pPr>
        <w:spacing w:line="400" w:lineRule="exact"/>
        <w:ind w:firstLine="718" w:firstLineChars="342"/>
      </w:pPr>
      <w:r>
        <w:rPr>
          <w:rFonts w:hint="eastAsia"/>
        </w:rPr>
        <w:t>（3）乙方对甲方签认的最终结清证书有异议的，按第24条的约定办理。</w:t>
      </w:r>
    </w:p>
    <w:p w14:paraId="4C2902B6">
      <w:pPr>
        <w:spacing w:line="400" w:lineRule="exact"/>
        <w:ind w:firstLine="718" w:firstLineChars="342"/>
      </w:pPr>
      <w:r>
        <w:rPr>
          <w:rFonts w:hint="eastAsia"/>
        </w:rPr>
        <w:t>（4）最终结清付款涉及政府投资资金的，按第17.3.3（４）目的约定办理。</w:t>
      </w:r>
    </w:p>
    <w:p w14:paraId="0B144432">
      <w:pPr>
        <w:pStyle w:val="260"/>
        <w:spacing w:before="0"/>
        <w:outlineLvl w:val="9"/>
      </w:pPr>
      <w:r>
        <w:rPr>
          <w:rFonts w:hint="eastAsia"/>
        </w:rPr>
        <w:t>18. 竣工验收</w:t>
      </w:r>
    </w:p>
    <w:p w14:paraId="21980468">
      <w:pPr>
        <w:pStyle w:val="261"/>
        <w:tabs>
          <w:tab w:val="left" w:pos="720"/>
        </w:tabs>
        <w:outlineLvl w:val="9"/>
      </w:pPr>
      <w:r>
        <w:rPr>
          <w:rFonts w:hint="eastAsia"/>
        </w:rPr>
        <w:t>18.1 竣工验收的含义</w:t>
      </w:r>
    </w:p>
    <w:p w14:paraId="270E9A97">
      <w:pPr>
        <w:spacing w:line="400" w:lineRule="exact"/>
        <w:ind w:firstLine="420" w:firstLineChars="200"/>
      </w:pPr>
      <w:r>
        <w:rPr>
          <w:rFonts w:hint="eastAsia"/>
        </w:rPr>
        <w:t>18.1.1 竣工验收指乙方完成了全部合同工作后，甲方按合同要求进行的验收。</w:t>
      </w:r>
    </w:p>
    <w:p w14:paraId="7B674AD7">
      <w:pPr>
        <w:spacing w:line="400" w:lineRule="exact"/>
        <w:ind w:firstLine="420" w:firstLineChars="200"/>
      </w:pPr>
      <w:r>
        <w:rPr>
          <w:rFonts w:hint="eastAsia"/>
        </w:rPr>
        <w:t>18.1.2 国家验收是政府有关部门根据法律、规范、规程和政策要求，针对甲方全面组织实施的整个工程正式交付投运前的验收。</w:t>
      </w:r>
    </w:p>
    <w:p w14:paraId="34418D03">
      <w:pPr>
        <w:spacing w:line="400" w:lineRule="exact"/>
        <w:ind w:firstLine="420" w:firstLineChars="200"/>
      </w:pPr>
      <w:r>
        <w:rPr>
          <w:rFonts w:hint="eastAsia"/>
        </w:rPr>
        <w:t>18.1.3 需要进行国家验收的，竣工验收是国家验收的一部分。竣工验收所采用的各项验收和评定标准应符合国家验收标准。甲方和乙方为竣工验收提供的各项竣工验收资料应符合国家验收的要求。</w:t>
      </w:r>
    </w:p>
    <w:p w14:paraId="044392A5">
      <w:pPr>
        <w:pStyle w:val="261"/>
        <w:tabs>
          <w:tab w:val="left" w:pos="720"/>
        </w:tabs>
        <w:outlineLvl w:val="9"/>
      </w:pPr>
      <w:r>
        <w:rPr>
          <w:rFonts w:hint="eastAsia"/>
        </w:rPr>
        <w:t>18.2 竣工验收申请报告</w:t>
      </w:r>
    </w:p>
    <w:p w14:paraId="5E001FE2">
      <w:pPr>
        <w:spacing w:line="400" w:lineRule="exact"/>
        <w:ind w:firstLine="420" w:firstLineChars="200"/>
      </w:pPr>
      <w:r>
        <w:rPr>
          <w:rFonts w:hint="eastAsia"/>
        </w:rPr>
        <w:t>当工程具备以下条件时，乙方即可向监理人报送竣工验收申请报告：</w:t>
      </w:r>
    </w:p>
    <w:p w14:paraId="0CAFC63F">
      <w:pPr>
        <w:spacing w:line="400" w:lineRule="exact"/>
        <w:ind w:firstLine="359" w:firstLineChars="171"/>
      </w:pPr>
      <w:r>
        <w:rPr>
          <w:rFonts w:hint="eastAsia"/>
        </w:rPr>
        <w:t>（1）除监理人同意列入缺陷责任期内完成的尾工（甩项）工程和缺陷修补工作外，合同范围内的全部单位工程以及有关工作，包括合同要求的试验、试运行以及检验和验收均已完成，并符合合同要求；</w:t>
      </w:r>
    </w:p>
    <w:p w14:paraId="4E16EA4A">
      <w:pPr>
        <w:spacing w:line="400" w:lineRule="exact"/>
        <w:ind w:firstLine="359" w:firstLineChars="171"/>
      </w:pPr>
      <w:r>
        <w:rPr>
          <w:rFonts w:hint="eastAsia"/>
        </w:rPr>
        <w:t>（2）已按合同约定的内容和份数备齐了符合要求的竣工资料；</w:t>
      </w:r>
    </w:p>
    <w:p w14:paraId="20F60405">
      <w:pPr>
        <w:spacing w:line="400" w:lineRule="exact"/>
        <w:ind w:firstLine="359" w:firstLineChars="171"/>
      </w:pPr>
      <w:r>
        <w:rPr>
          <w:rFonts w:hint="eastAsia"/>
        </w:rPr>
        <w:t>（3）已按监理人的要求编制了在缺陷责任期内完成的尾工（甩项）工程和缺陷修补工作清单以及相应施工计划；</w:t>
      </w:r>
    </w:p>
    <w:p w14:paraId="49A35B8D">
      <w:pPr>
        <w:spacing w:line="400" w:lineRule="exact"/>
        <w:ind w:firstLine="359" w:firstLineChars="171"/>
      </w:pPr>
      <w:r>
        <w:rPr>
          <w:rFonts w:hint="eastAsia"/>
        </w:rPr>
        <w:t>（4）监理人要求在竣工验收前应完成的其他工作；</w:t>
      </w:r>
    </w:p>
    <w:p w14:paraId="3E0D0AC5">
      <w:pPr>
        <w:spacing w:line="400" w:lineRule="exact"/>
        <w:ind w:firstLine="359" w:firstLineChars="171"/>
      </w:pPr>
      <w:r>
        <w:rPr>
          <w:rFonts w:hint="eastAsia"/>
        </w:rPr>
        <w:t>（5）监理人要求提交的竣工验收资料清单。</w:t>
      </w:r>
    </w:p>
    <w:p w14:paraId="51FEFFD3">
      <w:pPr>
        <w:pStyle w:val="261"/>
        <w:tabs>
          <w:tab w:val="left" w:pos="720"/>
        </w:tabs>
        <w:outlineLvl w:val="9"/>
      </w:pPr>
      <w:r>
        <w:rPr>
          <w:rFonts w:hint="eastAsia"/>
        </w:rPr>
        <w:t>18.3 验收</w:t>
      </w:r>
    </w:p>
    <w:p w14:paraId="68C603B8">
      <w:pPr>
        <w:spacing w:line="400" w:lineRule="exact"/>
        <w:ind w:firstLine="420" w:firstLineChars="200"/>
      </w:pPr>
      <w:r>
        <w:rPr>
          <w:rFonts w:hint="eastAsia"/>
        </w:rPr>
        <w:t>监理人收到乙方按第18.2款约定提交的竣工验收申请报告后，应审查申请报告的各项内容，并按以下不同情况进行处理。</w:t>
      </w:r>
    </w:p>
    <w:p w14:paraId="6BA43636">
      <w:pPr>
        <w:spacing w:line="400" w:lineRule="exact"/>
        <w:ind w:firstLine="420" w:firstLineChars="200"/>
      </w:pPr>
      <w:r>
        <w:rPr>
          <w:rFonts w:hint="eastAsia"/>
        </w:rPr>
        <w:t>18.3.1 监理人审查后认为尚不具备竣工验收条件的，应在收到竣工验收申请报告后的28天内通知乙方，指出在颁发接收证书前乙方还需进行的工作内容。乙方完成监理人通知的全部工作内容后，应再次提交竣工验收申请报告，直至监理人同意为止。</w:t>
      </w:r>
    </w:p>
    <w:p w14:paraId="6E8E19B9">
      <w:pPr>
        <w:spacing w:line="400" w:lineRule="exact"/>
        <w:ind w:firstLine="420" w:firstLineChars="200"/>
      </w:pPr>
      <w:r>
        <w:rPr>
          <w:rFonts w:hint="eastAsia"/>
        </w:rPr>
        <w:t>18.3.2 监理人审查后认为已具备竣工验收条件的，应在收到竣工验收申请报告后的28天内提请甲方进行工程验收。</w:t>
      </w:r>
    </w:p>
    <w:p w14:paraId="4AD59E58">
      <w:pPr>
        <w:spacing w:line="400" w:lineRule="exact"/>
        <w:ind w:firstLine="420" w:firstLineChars="200"/>
      </w:pPr>
      <w:r>
        <w:rPr>
          <w:rFonts w:hint="eastAsia"/>
        </w:rPr>
        <w:t>18.3.3甲方经过验收后同意接受工程的，应在监理人收到竣工验收申请报告后的56天内，由监理人向乙方出具经甲方签认的工程接收证书。甲方验收后同意接收工程但提出整修和完善要求的，限期修好，并缓发工程接收证书。整修和完善工作完成后，监理人复查达到要求的，经甲方同意后，再向乙方出具工程接收证书。</w:t>
      </w:r>
    </w:p>
    <w:p w14:paraId="5AEC88A6">
      <w:pPr>
        <w:spacing w:line="400" w:lineRule="exact"/>
        <w:ind w:firstLine="420" w:firstLineChars="200"/>
      </w:pPr>
      <w:r>
        <w:rPr>
          <w:rFonts w:hint="eastAsia"/>
        </w:rPr>
        <w:t>18.3.4 甲方验收后不同意接收工程的，监理人应按照甲方的验收意见发出指示，要求乙方对不合格工程认真返工重作或进行补救处理，并承担由此产生的费用。乙方在完成不合格工程的返工重作或补救工作后，应重新提交竣工验收申请报告，按第18.3.1项、第18.3.2项和第18.3.3项的约定进行。</w:t>
      </w:r>
    </w:p>
    <w:p w14:paraId="59B5262D">
      <w:pPr>
        <w:spacing w:line="400" w:lineRule="exact"/>
        <w:ind w:firstLine="420" w:firstLineChars="200"/>
      </w:pPr>
      <w:r>
        <w:rPr>
          <w:rFonts w:hint="eastAsia"/>
        </w:rPr>
        <w:t>18.3.5 除专用合同条款另有约定外，经验收合格工程的实际竣工日期，以提交竣工验收申请报告的日期为准，并在工程接收证书中写明。</w:t>
      </w:r>
    </w:p>
    <w:p w14:paraId="5F6CE835">
      <w:pPr>
        <w:spacing w:line="400" w:lineRule="exact"/>
        <w:ind w:firstLine="420" w:firstLineChars="200"/>
      </w:pPr>
      <w:r>
        <w:rPr>
          <w:rFonts w:hint="eastAsia"/>
        </w:rPr>
        <w:t>18.3.6 甲方在收到乙方竣工验收申请报告56天后未进行验收的，视为验收合格，实际竣工日期以提交竣工验收申请报告的日期为准，但甲方由于不可抗力不能进行验收的除外。</w:t>
      </w:r>
    </w:p>
    <w:p w14:paraId="1205F69F">
      <w:pPr>
        <w:pStyle w:val="261"/>
        <w:tabs>
          <w:tab w:val="left" w:pos="720"/>
        </w:tabs>
        <w:outlineLvl w:val="9"/>
      </w:pPr>
      <w:r>
        <w:rPr>
          <w:rFonts w:hint="eastAsia"/>
        </w:rPr>
        <w:t>18.4 单位工程验收</w:t>
      </w:r>
    </w:p>
    <w:p w14:paraId="1D039F25">
      <w:pPr>
        <w:spacing w:line="400" w:lineRule="exact"/>
        <w:ind w:firstLine="420" w:firstLineChars="200"/>
      </w:pPr>
      <w:r>
        <w:rPr>
          <w:rFonts w:hint="eastAsia"/>
        </w:rPr>
        <w:t>18.4.1 甲方根据合同进度计划安排，在全部工程竣工前需要使用已经竣工的单位工程时，或乙方提出经甲方同意时，可进行单位工程验收。验收的程序可参照第18.2款与第18.3款的约定进行。验收合格后，由监理人向乙方出具经甲方签认的单位工程验收证书。已签发单位工程接收证书的单位工程由甲方负责照管。单位工程的验收成果和结论作为全部工程竣工验收申请报告的附件。</w:t>
      </w:r>
    </w:p>
    <w:p w14:paraId="52D64555">
      <w:pPr>
        <w:spacing w:line="400" w:lineRule="exact"/>
        <w:ind w:firstLine="420" w:firstLineChars="200"/>
      </w:pPr>
      <w:r>
        <w:rPr>
          <w:rFonts w:hint="eastAsia"/>
        </w:rPr>
        <w:t>18.4.2 甲方在全部工程竣工前，使用已接收的单位工程导致乙方费用增加的，甲方应承担由此增加的费用和（或）工期延误，并支付乙方合理利润。</w:t>
      </w:r>
    </w:p>
    <w:p w14:paraId="61102816">
      <w:pPr>
        <w:pStyle w:val="261"/>
        <w:tabs>
          <w:tab w:val="left" w:pos="720"/>
        </w:tabs>
        <w:outlineLvl w:val="9"/>
      </w:pPr>
      <w:r>
        <w:rPr>
          <w:rFonts w:hint="eastAsia"/>
        </w:rPr>
        <w:t>18.5 施工期运行</w:t>
      </w:r>
    </w:p>
    <w:p w14:paraId="3097C02C">
      <w:pPr>
        <w:spacing w:line="400" w:lineRule="exact"/>
        <w:ind w:firstLine="420" w:firstLineChars="200"/>
      </w:pPr>
      <w:r>
        <w:rPr>
          <w:rFonts w:hint="eastAsia"/>
        </w:rPr>
        <w:t>18.5.1 施工期运行是指合同工程尚未全部竣工，其中某项或某几项单位工程或工程设备安装已竣工，根据专用合同条款约定，需要投入施工期运行的，经甲方按第18.4款的约定验收合格，证明能确保安全后，才能在施工期投入运行。</w:t>
      </w:r>
    </w:p>
    <w:p w14:paraId="7D66D576">
      <w:pPr>
        <w:spacing w:line="400" w:lineRule="exact"/>
        <w:ind w:firstLine="420" w:firstLineChars="200"/>
      </w:pPr>
      <w:r>
        <w:rPr>
          <w:rFonts w:hint="eastAsia"/>
        </w:rPr>
        <w:t>18.5.2 在施工期运行中发现工程或工程设备损坏或存在缺陷的，由乙方按第19.2款约定进行修复。</w:t>
      </w:r>
    </w:p>
    <w:p w14:paraId="67701CF0">
      <w:pPr>
        <w:pStyle w:val="261"/>
        <w:tabs>
          <w:tab w:val="left" w:pos="720"/>
        </w:tabs>
        <w:outlineLvl w:val="9"/>
      </w:pPr>
      <w:r>
        <w:rPr>
          <w:rFonts w:hint="eastAsia"/>
        </w:rPr>
        <w:t>18.6 试运行</w:t>
      </w:r>
    </w:p>
    <w:p w14:paraId="2710E684">
      <w:pPr>
        <w:spacing w:line="400" w:lineRule="exact"/>
        <w:ind w:firstLine="420" w:firstLineChars="200"/>
      </w:pPr>
      <w:r>
        <w:rPr>
          <w:rFonts w:hint="eastAsia"/>
        </w:rPr>
        <w:t>18.6.1 除专用合同条款另有约定外，乙方应按专用合同条款约定进行工程及工程设备试运行，负责提供试运行所需的人员、器材和必要的条件，并承担全部试运行费用。</w:t>
      </w:r>
    </w:p>
    <w:p w14:paraId="5AA482EF">
      <w:pPr>
        <w:spacing w:line="400" w:lineRule="exact"/>
        <w:ind w:firstLine="420" w:firstLineChars="200"/>
      </w:pPr>
      <w:r>
        <w:rPr>
          <w:rFonts w:hint="eastAsia"/>
        </w:rPr>
        <w:t>18.6.2 由于乙方的原因导致试运行失败的，乙方应采取措施保证试运行合格，并承担相应费用。由于甲方的原因导致试运行失败的，乙方应当采取措施保证试运行合格，甲方应承担由此产生的费用，并支付乙方合理利润。</w:t>
      </w:r>
    </w:p>
    <w:p w14:paraId="5EF37B9C">
      <w:pPr>
        <w:pStyle w:val="261"/>
        <w:tabs>
          <w:tab w:val="left" w:pos="720"/>
        </w:tabs>
        <w:outlineLvl w:val="9"/>
      </w:pPr>
      <w:r>
        <w:rPr>
          <w:rFonts w:hint="eastAsia"/>
        </w:rPr>
        <w:t>18.7 竣工清场</w:t>
      </w:r>
    </w:p>
    <w:p w14:paraId="2155C221">
      <w:pPr>
        <w:spacing w:line="400" w:lineRule="exact"/>
        <w:ind w:firstLine="420" w:firstLineChars="200"/>
      </w:pPr>
      <w:r>
        <w:rPr>
          <w:rFonts w:hint="eastAsia"/>
        </w:rPr>
        <w:t>18.7.1 除合同另有约定外，工程接收证书颁发后，乙方应按以下要求对施工场地进行清理，直至监理人检验合格为止。竣工清场费用由乙方承担。</w:t>
      </w:r>
    </w:p>
    <w:p w14:paraId="5CAF0CED">
      <w:pPr>
        <w:spacing w:line="400" w:lineRule="exact"/>
        <w:ind w:firstLine="718" w:firstLineChars="342"/>
      </w:pPr>
      <w:r>
        <w:rPr>
          <w:rFonts w:hint="eastAsia"/>
        </w:rPr>
        <w:t>（1）施工场地内残留的垃圾已全部清除出场；</w:t>
      </w:r>
    </w:p>
    <w:p w14:paraId="6015827F">
      <w:pPr>
        <w:spacing w:line="400" w:lineRule="exact"/>
        <w:ind w:firstLine="718" w:firstLineChars="342"/>
      </w:pPr>
      <w:r>
        <w:rPr>
          <w:rFonts w:hint="eastAsia"/>
        </w:rPr>
        <w:t>（2）临时工程已拆除，场地已按合同要求进行清理、平整或复原；</w:t>
      </w:r>
    </w:p>
    <w:p w14:paraId="462579E0">
      <w:pPr>
        <w:spacing w:line="400" w:lineRule="exact"/>
        <w:ind w:firstLine="718" w:firstLineChars="342"/>
      </w:pPr>
      <w:r>
        <w:rPr>
          <w:rFonts w:hint="eastAsia"/>
        </w:rPr>
        <w:t>（3）按合同约定应撤离的乙方设备和剩余的材料，包括废弃的施工设备和材料，已按计划撤离施工场地；</w:t>
      </w:r>
    </w:p>
    <w:p w14:paraId="1C4607D3">
      <w:pPr>
        <w:spacing w:line="400" w:lineRule="exact"/>
        <w:ind w:firstLine="718" w:firstLineChars="342"/>
      </w:pPr>
      <w:r>
        <w:rPr>
          <w:rFonts w:hint="eastAsia"/>
        </w:rPr>
        <w:t>（4）工程建筑物周边及其附近道路、河道的施工堆积物，已按监理人指示全部清理；</w:t>
      </w:r>
    </w:p>
    <w:p w14:paraId="225B1FD2">
      <w:pPr>
        <w:spacing w:line="400" w:lineRule="exact"/>
        <w:ind w:firstLine="718" w:firstLineChars="342"/>
      </w:pPr>
      <w:r>
        <w:rPr>
          <w:rFonts w:hint="eastAsia"/>
        </w:rPr>
        <w:t>（5）监理人指示的其他场地清理工作已全部完成。</w:t>
      </w:r>
    </w:p>
    <w:p w14:paraId="5CB7AF1F">
      <w:pPr>
        <w:spacing w:line="400" w:lineRule="exact"/>
        <w:ind w:firstLine="420" w:firstLineChars="200"/>
      </w:pPr>
      <w:r>
        <w:rPr>
          <w:rFonts w:hint="eastAsia"/>
        </w:rPr>
        <w:t>18.7.2 乙方未按监理人的要求恢复临时占地，或者场地清理未达到合同约定的，甲方有权委托其他人恢复或清理，所发生的金额从拟支付给乙方的款项中扣除。</w:t>
      </w:r>
    </w:p>
    <w:p w14:paraId="7457674A">
      <w:pPr>
        <w:pStyle w:val="261"/>
        <w:tabs>
          <w:tab w:val="left" w:pos="720"/>
        </w:tabs>
        <w:outlineLvl w:val="9"/>
      </w:pPr>
      <w:r>
        <w:rPr>
          <w:rFonts w:hint="eastAsia"/>
        </w:rPr>
        <w:t>18.8 施工队伍的撤离</w:t>
      </w:r>
    </w:p>
    <w:p w14:paraId="25ED8687">
      <w:pPr>
        <w:spacing w:line="400" w:lineRule="exact"/>
        <w:ind w:firstLine="420" w:firstLineChars="200"/>
      </w:pPr>
      <w:r>
        <w:rPr>
          <w:rFonts w:hint="eastAsia"/>
        </w:rPr>
        <w:t>工程接收证书颁发后的56天内，除了经监理人同意需在缺陷责任期内继续工作和使用的人员、施工设备和临时工程外，其余的人员、施工设备和临时工程均应撤离施工场地或拆除。除合同另有约定外，缺陷责任期满时，乙方的人员和施工设备应全部撤离施工场地。</w:t>
      </w:r>
    </w:p>
    <w:p w14:paraId="6767D113">
      <w:pPr>
        <w:pStyle w:val="260"/>
        <w:spacing w:before="0"/>
        <w:outlineLvl w:val="9"/>
      </w:pPr>
      <w:r>
        <w:rPr>
          <w:rFonts w:hint="eastAsia"/>
        </w:rPr>
        <w:t>19. 缺陷责任与保修责任</w:t>
      </w:r>
    </w:p>
    <w:p w14:paraId="3FC594DC">
      <w:pPr>
        <w:pStyle w:val="261"/>
        <w:tabs>
          <w:tab w:val="left" w:pos="720"/>
        </w:tabs>
        <w:outlineLvl w:val="9"/>
      </w:pPr>
      <w:r>
        <w:rPr>
          <w:rFonts w:hint="eastAsia"/>
        </w:rPr>
        <w:t>19.1 缺陷责任期的起算时间</w:t>
      </w:r>
    </w:p>
    <w:p w14:paraId="0A1240AC">
      <w:pPr>
        <w:spacing w:line="400" w:lineRule="exact"/>
        <w:ind w:firstLine="420" w:firstLineChars="200"/>
      </w:pPr>
      <w:r>
        <w:rPr>
          <w:rFonts w:hint="eastAsia"/>
        </w:rPr>
        <w:t>缺陷责任期自实际竣工日期起计算。在全部工程竣工验收前，已经甲方提前验收的单位工程，其缺陷责任期的起算日期相应提前。</w:t>
      </w:r>
    </w:p>
    <w:p w14:paraId="5AE7E656">
      <w:pPr>
        <w:pStyle w:val="261"/>
        <w:tabs>
          <w:tab w:val="left" w:pos="720"/>
        </w:tabs>
        <w:outlineLvl w:val="9"/>
      </w:pPr>
      <w:r>
        <w:rPr>
          <w:rFonts w:hint="eastAsia"/>
        </w:rPr>
        <w:t>19.2 缺陷责任</w:t>
      </w:r>
    </w:p>
    <w:p w14:paraId="4CDE1DE9">
      <w:pPr>
        <w:spacing w:line="400" w:lineRule="exact"/>
        <w:ind w:firstLine="420" w:firstLineChars="200"/>
      </w:pPr>
      <w:r>
        <w:rPr>
          <w:rFonts w:hint="eastAsia"/>
        </w:rPr>
        <w:t>19.2.1 乙方应在缺陷责任期内对已交付使用的工程承担缺陷责任。</w:t>
      </w:r>
    </w:p>
    <w:p w14:paraId="31C8FBB4">
      <w:pPr>
        <w:spacing w:line="400" w:lineRule="exact"/>
        <w:ind w:firstLine="420" w:firstLineChars="200"/>
      </w:pPr>
      <w:r>
        <w:rPr>
          <w:rFonts w:hint="eastAsia"/>
        </w:rPr>
        <w:t>19.2.2 缺陷责任期内，甲方对已接收使用的工程负责日常维护工作。甲方在使用过程中，发现已接收的工程存在新的缺陷或已修复的缺陷部位或部件又遭损坏的，乙方应负责修复，直至检验合格为止。</w:t>
      </w:r>
    </w:p>
    <w:p w14:paraId="67A3C7AA">
      <w:pPr>
        <w:spacing w:line="400" w:lineRule="exact"/>
        <w:ind w:firstLine="420" w:firstLineChars="200"/>
      </w:pPr>
      <w:r>
        <w:rPr>
          <w:rFonts w:hint="eastAsia"/>
        </w:rPr>
        <w:t>19.2.3 监理人和乙方应共同查清缺陷和（或）损坏的原因。经查明属乙方原因造成的，应由乙方承担修复和查验的费用。经查验属甲方原因造成的，甲方应承担修复和查验的费用，并支付乙方合理利润。</w:t>
      </w:r>
    </w:p>
    <w:p w14:paraId="644EA333">
      <w:pPr>
        <w:spacing w:line="400" w:lineRule="exact"/>
        <w:ind w:firstLine="420" w:firstLineChars="200"/>
      </w:pPr>
      <w:r>
        <w:rPr>
          <w:rFonts w:hint="eastAsia"/>
        </w:rPr>
        <w:t>19.2.4 乙方不能在合理时间内修复缺陷的，甲方可自行修复或委托其他人修复，所需费用和利润的承担，按第19.2.3项约定办理。</w:t>
      </w:r>
    </w:p>
    <w:p w14:paraId="08288A42">
      <w:pPr>
        <w:pStyle w:val="261"/>
        <w:tabs>
          <w:tab w:val="left" w:pos="720"/>
        </w:tabs>
        <w:outlineLvl w:val="9"/>
      </w:pPr>
      <w:r>
        <w:rPr>
          <w:rFonts w:hint="eastAsia"/>
        </w:rPr>
        <w:t>19.3 缺陷责任期的延长</w:t>
      </w:r>
    </w:p>
    <w:p w14:paraId="34254241">
      <w:pPr>
        <w:spacing w:line="400" w:lineRule="exact"/>
        <w:ind w:firstLine="420" w:firstLineChars="200"/>
      </w:pPr>
      <w:r>
        <w:rPr>
          <w:rFonts w:hint="eastAsia"/>
        </w:rPr>
        <w:t>由于乙方原因造成某项缺陷或损坏使某项工程或工程设备不能按原定目标使用而需要再次检查、检验和修复的，甲方有权要求乙方相应延长缺陷责任期，但缺陷责任期最长不超过2年。</w:t>
      </w:r>
    </w:p>
    <w:p w14:paraId="02112632">
      <w:pPr>
        <w:pStyle w:val="261"/>
        <w:tabs>
          <w:tab w:val="left" w:pos="720"/>
        </w:tabs>
        <w:outlineLvl w:val="9"/>
      </w:pPr>
      <w:r>
        <w:rPr>
          <w:rFonts w:hint="eastAsia"/>
        </w:rPr>
        <w:t>19.4 进一步试验和试运行</w:t>
      </w:r>
    </w:p>
    <w:p w14:paraId="05A9C27A">
      <w:pPr>
        <w:spacing w:line="400" w:lineRule="exact"/>
        <w:ind w:firstLine="420" w:firstLineChars="200"/>
      </w:pPr>
      <w:r>
        <w:rPr>
          <w:rFonts w:hint="eastAsia"/>
        </w:rPr>
        <w:t>任何一项缺陷或损坏修复后，经检查证明其影响了工程或工程设备的使用性能，乙方应重新进行合同约定的试验和试运行，试验和试运行的全部费用应由责任方承担。</w:t>
      </w:r>
    </w:p>
    <w:p w14:paraId="4A74D0B8">
      <w:pPr>
        <w:pStyle w:val="261"/>
        <w:tabs>
          <w:tab w:val="left" w:pos="720"/>
        </w:tabs>
        <w:outlineLvl w:val="9"/>
      </w:pPr>
      <w:r>
        <w:rPr>
          <w:rFonts w:hint="eastAsia"/>
        </w:rPr>
        <w:t>19.5 乙方的进入权</w:t>
      </w:r>
    </w:p>
    <w:p w14:paraId="4C0F43BA">
      <w:pPr>
        <w:spacing w:line="400" w:lineRule="exact"/>
        <w:ind w:firstLine="420" w:firstLineChars="200"/>
      </w:pPr>
      <w:r>
        <w:rPr>
          <w:rFonts w:hint="eastAsia"/>
        </w:rPr>
        <w:t>缺陷责任期内乙方为缺陷修复工作需要，有权进入工程现场，但应遵守甲方的保安和保密规定。</w:t>
      </w:r>
    </w:p>
    <w:p w14:paraId="5BB3AD82">
      <w:pPr>
        <w:pStyle w:val="261"/>
        <w:tabs>
          <w:tab w:val="left" w:pos="720"/>
        </w:tabs>
        <w:outlineLvl w:val="9"/>
      </w:pPr>
      <w:r>
        <w:rPr>
          <w:rFonts w:hint="eastAsia"/>
        </w:rPr>
        <w:t>19.6 缺陷责任期终止证书</w:t>
      </w:r>
    </w:p>
    <w:p w14:paraId="6797CDF1">
      <w:pPr>
        <w:spacing w:line="400" w:lineRule="exact"/>
        <w:ind w:firstLine="420" w:firstLineChars="200"/>
      </w:pPr>
      <w:r>
        <w:rPr>
          <w:rFonts w:hint="eastAsia"/>
        </w:rPr>
        <w:t>在第1.1.4.5目约定的缺陷责任期，包括根据第19.3款延长的期限终止后14天内，由监理人向乙方出具经甲方签认的缺陷责任期终止证书，并退还剩余的质量保证金。</w:t>
      </w:r>
    </w:p>
    <w:p w14:paraId="436C616C">
      <w:pPr>
        <w:pStyle w:val="261"/>
        <w:tabs>
          <w:tab w:val="left" w:pos="720"/>
        </w:tabs>
        <w:outlineLvl w:val="9"/>
      </w:pPr>
      <w:r>
        <w:rPr>
          <w:rFonts w:hint="eastAsia"/>
        </w:rPr>
        <w:t>19.7 保修责任</w:t>
      </w:r>
    </w:p>
    <w:p w14:paraId="5C0BED17">
      <w:pPr>
        <w:spacing w:line="400" w:lineRule="exact"/>
        <w:ind w:firstLine="420" w:firstLineChars="200"/>
      </w:pPr>
      <w:r>
        <w:rPr>
          <w:rFonts w:hint="eastAsia"/>
        </w:rPr>
        <w:t>合同当事人根据有关法律规定，在专用合同条款中约定工程质量保修范围、期限和责任。保修期自实际竣工日期起计算。在全部工程竣工验收前，已经甲方提前验收的单位工程，其保修期的起算日期相应提前。</w:t>
      </w:r>
    </w:p>
    <w:p w14:paraId="2680374D">
      <w:pPr>
        <w:pStyle w:val="260"/>
        <w:spacing w:before="0"/>
        <w:outlineLvl w:val="9"/>
      </w:pPr>
      <w:r>
        <w:rPr>
          <w:rFonts w:hint="eastAsia"/>
        </w:rPr>
        <w:t>20. 保险</w:t>
      </w:r>
    </w:p>
    <w:p w14:paraId="02E13C1C">
      <w:pPr>
        <w:pStyle w:val="261"/>
        <w:tabs>
          <w:tab w:val="left" w:pos="720"/>
        </w:tabs>
        <w:outlineLvl w:val="9"/>
      </w:pPr>
      <w:r>
        <w:rPr>
          <w:rFonts w:hint="eastAsia"/>
        </w:rPr>
        <w:t>20.1 工程保险</w:t>
      </w:r>
    </w:p>
    <w:p w14:paraId="241A52AE">
      <w:pPr>
        <w:spacing w:line="400" w:lineRule="exact"/>
        <w:ind w:firstLine="420" w:firstLineChars="200"/>
      </w:pPr>
      <w:r>
        <w:rPr>
          <w:rFonts w:hint="eastAsia"/>
        </w:rPr>
        <w:t>除专用合同条款另有约定外，乙方应以甲方和乙方的共同名义向双方同意的保险人投保建筑工程一切险、安装工程一切险。其具体的投保内容、保险金额、保险费率、保险期限等有关内容在专用合同条款中约定。</w:t>
      </w:r>
    </w:p>
    <w:p w14:paraId="4D09A85F">
      <w:pPr>
        <w:pStyle w:val="261"/>
        <w:tabs>
          <w:tab w:val="left" w:pos="720"/>
        </w:tabs>
        <w:outlineLvl w:val="9"/>
      </w:pPr>
      <w:r>
        <w:rPr>
          <w:rFonts w:hint="eastAsia"/>
        </w:rPr>
        <w:t>20.2 人员工伤事故的保险</w:t>
      </w:r>
    </w:p>
    <w:p w14:paraId="01BF095D">
      <w:pPr>
        <w:spacing w:line="400" w:lineRule="exact"/>
        <w:ind w:firstLine="420" w:firstLineChars="200"/>
        <w:rPr>
          <w:rFonts w:ascii="黑体" w:eastAsia="黑体"/>
        </w:rPr>
      </w:pPr>
      <w:r>
        <w:rPr>
          <w:rFonts w:hint="eastAsia"/>
        </w:rPr>
        <w:t xml:space="preserve">20.2.1 </w:t>
      </w:r>
      <w:r>
        <w:rPr>
          <w:rFonts w:hint="eastAsia" w:ascii="黑体" w:eastAsia="黑体"/>
        </w:rPr>
        <w:t>乙方员工伤事故的保险</w:t>
      </w:r>
    </w:p>
    <w:p w14:paraId="2E75879C">
      <w:pPr>
        <w:spacing w:line="400" w:lineRule="exact"/>
        <w:ind w:firstLine="420" w:firstLineChars="200"/>
      </w:pPr>
      <w:r>
        <w:rPr>
          <w:rFonts w:hint="eastAsia"/>
        </w:rPr>
        <w:t>乙方应</w:t>
      </w:r>
      <w:r>
        <w:t>依照</w:t>
      </w:r>
      <w:r>
        <w:rPr>
          <w:rFonts w:hint="eastAsia"/>
        </w:rPr>
        <w:t>有关法律</w:t>
      </w:r>
      <w:r>
        <w:t>规定参加工伤保险，</w:t>
      </w:r>
      <w:r>
        <w:rPr>
          <w:rFonts w:hint="eastAsia"/>
        </w:rPr>
        <w:t>为其履行合同所雇佣的全部人员，</w:t>
      </w:r>
      <w:r>
        <w:t>缴纳工伤保险费</w:t>
      </w:r>
      <w:r>
        <w:rPr>
          <w:rFonts w:hint="eastAsia"/>
        </w:rPr>
        <w:t>，并要求其分包人也进行此项保险。</w:t>
      </w:r>
    </w:p>
    <w:p w14:paraId="0433DB2E">
      <w:pPr>
        <w:spacing w:line="400" w:lineRule="exact"/>
        <w:ind w:firstLine="420" w:firstLineChars="200"/>
        <w:rPr>
          <w:rFonts w:ascii="黑体" w:eastAsia="黑体"/>
        </w:rPr>
      </w:pPr>
      <w:r>
        <w:rPr>
          <w:rFonts w:hint="eastAsia"/>
        </w:rPr>
        <w:t>20.2.2</w:t>
      </w:r>
      <w:r>
        <w:rPr>
          <w:rFonts w:hint="eastAsia" w:ascii="黑体" w:eastAsia="黑体"/>
        </w:rPr>
        <w:t xml:space="preserve"> 甲方员工伤事故的保险</w:t>
      </w:r>
    </w:p>
    <w:p w14:paraId="1F6994AD">
      <w:pPr>
        <w:spacing w:line="400" w:lineRule="exact"/>
        <w:ind w:firstLine="420" w:firstLineChars="200"/>
      </w:pPr>
      <w:r>
        <w:rPr>
          <w:rFonts w:hint="eastAsia"/>
        </w:rPr>
        <w:t>甲方应</w:t>
      </w:r>
      <w:r>
        <w:t>依照</w:t>
      </w:r>
      <w:r>
        <w:rPr>
          <w:rFonts w:hint="eastAsia"/>
        </w:rPr>
        <w:t>有关法律</w:t>
      </w:r>
      <w:r>
        <w:t>规定参加工伤保险，</w:t>
      </w:r>
      <w:r>
        <w:rPr>
          <w:rFonts w:hint="eastAsia"/>
        </w:rPr>
        <w:t>为其现场机构雇佣的全部人员，</w:t>
      </w:r>
      <w:r>
        <w:t>缴纳工伤保险费</w:t>
      </w:r>
      <w:r>
        <w:rPr>
          <w:rFonts w:hint="eastAsia"/>
        </w:rPr>
        <w:t>，并要求其监理人也进行此项保险。</w:t>
      </w:r>
    </w:p>
    <w:p w14:paraId="09BCF4FB">
      <w:pPr>
        <w:pStyle w:val="261"/>
        <w:tabs>
          <w:tab w:val="left" w:pos="720"/>
        </w:tabs>
        <w:outlineLvl w:val="9"/>
      </w:pPr>
      <w:r>
        <w:rPr>
          <w:rFonts w:hint="eastAsia"/>
        </w:rPr>
        <w:t>20.3 人身意外伤害险</w:t>
      </w:r>
    </w:p>
    <w:p w14:paraId="0343E1C1">
      <w:pPr>
        <w:spacing w:line="400" w:lineRule="exact"/>
        <w:ind w:firstLine="420" w:firstLineChars="200"/>
      </w:pPr>
      <w:r>
        <w:rPr>
          <w:rFonts w:hint="eastAsia"/>
        </w:rPr>
        <w:t>20.3.1 甲方应在整个施工期间为其现场机构雇用的全部人员，投保人身意外伤害险，缴纳保险费，并要求其监理人也进行此项保险。</w:t>
      </w:r>
    </w:p>
    <w:p w14:paraId="77991D8F">
      <w:pPr>
        <w:spacing w:line="400" w:lineRule="exact"/>
        <w:ind w:firstLine="420" w:firstLineChars="200"/>
      </w:pPr>
      <w:r>
        <w:rPr>
          <w:rFonts w:hint="eastAsia"/>
        </w:rPr>
        <w:t>20.3.2 乙方应在整个施工期间为其现场机构雇用的全部人员，投保人身意外伤害险，缴纳保险费，并要求其分包人也进行此项保险。</w:t>
      </w:r>
    </w:p>
    <w:p w14:paraId="1624F8C7">
      <w:pPr>
        <w:pStyle w:val="261"/>
        <w:tabs>
          <w:tab w:val="left" w:pos="720"/>
        </w:tabs>
        <w:outlineLvl w:val="9"/>
      </w:pPr>
      <w:r>
        <w:rPr>
          <w:rFonts w:hint="eastAsia"/>
        </w:rPr>
        <w:t>20.4 第三者责任险</w:t>
      </w:r>
    </w:p>
    <w:p w14:paraId="120062C6">
      <w:pPr>
        <w:spacing w:line="400" w:lineRule="exact"/>
        <w:ind w:firstLine="420" w:firstLineChars="200"/>
      </w:pPr>
      <w:r>
        <w:rPr>
          <w:rFonts w:hint="eastAsia"/>
        </w:rPr>
        <w:t>20.4.1 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14:paraId="35BB60A4">
      <w:pPr>
        <w:spacing w:line="400" w:lineRule="exact"/>
        <w:ind w:firstLine="420" w:firstLineChars="200"/>
      </w:pPr>
      <w:r>
        <w:rPr>
          <w:rFonts w:hint="eastAsia"/>
        </w:rPr>
        <w:t>20.4.2 在缺陷责任期终止证书颁发前，乙方应以乙方和甲方的共同名义，投保第20.4.1项约定的第三者责任险，其保险费率、保险金额等有关内容在专用合同条款中约定。</w:t>
      </w:r>
    </w:p>
    <w:p w14:paraId="3A146BBA">
      <w:pPr>
        <w:pStyle w:val="261"/>
        <w:tabs>
          <w:tab w:val="left" w:pos="720"/>
        </w:tabs>
        <w:outlineLvl w:val="9"/>
      </w:pPr>
      <w:r>
        <w:rPr>
          <w:rFonts w:hint="eastAsia"/>
        </w:rPr>
        <w:t>20.5 其他保险</w:t>
      </w:r>
    </w:p>
    <w:p w14:paraId="6B4F9540">
      <w:pPr>
        <w:spacing w:line="400" w:lineRule="exact"/>
        <w:ind w:firstLine="420" w:firstLineChars="200"/>
      </w:pPr>
      <w:r>
        <w:rPr>
          <w:rFonts w:hint="eastAsia"/>
        </w:rPr>
        <w:t>除专用合同条款另有约定外，乙方应为其施工设备、进场的材料和工程设备等办理保险。</w:t>
      </w:r>
    </w:p>
    <w:p w14:paraId="3D13D6B7">
      <w:pPr>
        <w:pStyle w:val="261"/>
        <w:tabs>
          <w:tab w:val="left" w:pos="720"/>
        </w:tabs>
        <w:outlineLvl w:val="9"/>
      </w:pPr>
      <w:r>
        <w:rPr>
          <w:rFonts w:hint="eastAsia"/>
        </w:rPr>
        <w:t>20.6 对各项保险的一般要求</w:t>
      </w:r>
    </w:p>
    <w:p w14:paraId="1701FA1C">
      <w:pPr>
        <w:spacing w:line="400" w:lineRule="exact"/>
        <w:ind w:firstLine="420" w:firstLineChars="200"/>
      </w:pPr>
      <w:r>
        <w:rPr>
          <w:rFonts w:hint="eastAsia"/>
        </w:rPr>
        <w:t xml:space="preserve">20.6.1 </w:t>
      </w:r>
      <w:r>
        <w:rPr>
          <w:rFonts w:hint="eastAsia" w:ascii="黑体" w:eastAsia="黑体"/>
        </w:rPr>
        <w:t>保险凭证</w:t>
      </w:r>
    </w:p>
    <w:p w14:paraId="215F6636">
      <w:pPr>
        <w:spacing w:line="400" w:lineRule="exact"/>
        <w:ind w:firstLine="420" w:firstLineChars="200"/>
      </w:pPr>
      <w:r>
        <w:rPr>
          <w:rFonts w:hint="eastAsia"/>
        </w:rPr>
        <w:t>乙方应在专用合同条款约定的期限内向甲方提交各项保险生效的证据和保险单副本，保险单必须与专用合同条款约定的条件保持一致。</w:t>
      </w:r>
    </w:p>
    <w:p w14:paraId="53FE37F9">
      <w:pPr>
        <w:spacing w:line="400" w:lineRule="exact"/>
        <w:ind w:firstLine="420" w:firstLineChars="200"/>
      </w:pPr>
      <w:r>
        <w:rPr>
          <w:rFonts w:hint="eastAsia"/>
        </w:rPr>
        <w:t xml:space="preserve">20.6.2 </w:t>
      </w:r>
      <w:r>
        <w:rPr>
          <w:rFonts w:hint="eastAsia" w:ascii="黑体" w:eastAsia="黑体"/>
        </w:rPr>
        <w:t>保险合同条款的变动</w:t>
      </w:r>
    </w:p>
    <w:p w14:paraId="7315A7BD">
      <w:pPr>
        <w:spacing w:line="400" w:lineRule="exact"/>
        <w:ind w:firstLine="420" w:firstLineChars="200"/>
      </w:pPr>
      <w:r>
        <w:rPr>
          <w:rFonts w:hint="eastAsia"/>
        </w:rPr>
        <w:t>乙方需要变动保险合同条款时，应事先征得甲方同意，并通知监理人。保险人作出变动的，乙方应在收到保险人通知后立即通知甲方和监理人。</w:t>
      </w:r>
    </w:p>
    <w:p w14:paraId="0DDF579D">
      <w:pPr>
        <w:spacing w:line="400" w:lineRule="exact"/>
        <w:ind w:firstLine="420" w:firstLineChars="200"/>
      </w:pPr>
      <w:r>
        <w:rPr>
          <w:rFonts w:hint="eastAsia"/>
        </w:rPr>
        <w:t xml:space="preserve">20.6.3 </w:t>
      </w:r>
      <w:r>
        <w:rPr>
          <w:rFonts w:hint="eastAsia" w:ascii="黑体" w:eastAsia="黑体"/>
        </w:rPr>
        <w:t>持续保险</w:t>
      </w:r>
    </w:p>
    <w:p w14:paraId="419785FD">
      <w:pPr>
        <w:spacing w:line="400" w:lineRule="exact"/>
        <w:ind w:firstLine="420" w:firstLineChars="200"/>
      </w:pPr>
      <w:r>
        <w:rPr>
          <w:rFonts w:hint="eastAsia"/>
        </w:rPr>
        <w:t>乙方应与保险人保持联系，使保险人能够随时了解工程实施中的变动，并确保按保险合同条款要求持续保险。</w:t>
      </w:r>
    </w:p>
    <w:p w14:paraId="3967B92A">
      <w:pPr>
        <w:spacing w:line="400" w:lineRule="exact"/>
        <w:ind w:firstLine="420" w:firstLineChars="200"/>
        <w:rPr>
          <w:rFonts w:ascii="黑体" w:eastAsia="黑体"/>
        </w:rPr>
      </w:pPr>
      <w:r>
        <w:rPr>
          <w:rFonts w:hint="eastAsia"/>
        </w:rPr>
        <w:t xml:space="preserve">20.6.4 </w:t>
      </w:r>
      <w:r>
        <w:rPr>
          <w:rFonts w:hint="eastAsia" w:ascii="黑体" w:eastAsia="黑体"/>
        </w:rPr>
        <w:t>保险金不足的补偿</w:t>
      </w:r>
    </w:p>
    <w:p w14:paraId="0E4E0B80">
      <w:pPr>
        <w:spacing w:line="400" w:lineRule="exact"/>
        <w:ind w:firstLine="420" w:firstLineChars="200"/>
      </w:pPr>
      <w:r>
        <w:rPr>
          <w:rFonts w:hint="eastAsia"/>
        </w:rPr>
        <w:t>保险金不足以补偿损失的，应由乙方和（或）甲方按合同约定负责补偿。</w:t>
      </w:r>
    </w:p>
    <w:p w14:paraId="70F2B2EC">
      <w:pPr>
        <w:spacing w:line="400" w:lineRule="exact"/>
        <w:ind w:firstLine="420" w:firstLineChars="200"/>
        <w:rPr>
          <w:rFonts w:ascii="黑体" w:eastAsia="黑体"/>
        </w:rPr>
      </w:pPr>
      <w:r>
        <w:rPr>
          <w:rFonts w:hint="eastAsia"/>
        </w:rPr>
        <w:t xml:space="preserve">20.6.5 </w:t>
      </w:r>
      <w:r>
        <w:rPr>
          <w:rFonts w:hint="eastAsia" w:ascii="黑体" w:eastAsia="黑体"/>
        </w:rPr>
        <w:t>未按约定投保的补救</w:t>
      </w:r>
    </w:p>
    <w:p w14:paraId="1743A6E4">
      <w:pPr>
        <w:spacing w:line="400" w:lineRule="exact"/>
        <w:ind w:firstLine="420" w:firstLineChars="200"/>
        <w:rPr>
          <w:rFonts w:ascii="黑体" w:eastAsia="黑体"/>
        </w:rPr>
      </w:pPr>
      <w:r>
        <w:rPr>
          <w:rFonts w:hint="eastAsia"/>
        </w:rPr>
        <w:t>（1）由于负有投保义务的一方当事人未按合同约定办理保险，或未能使保险持续有效的，另一方当事人可代为办理，所需费用由对方当事人承担。</w:t>
      </w:r>
    </w:p>
    <w:p w14:paraId="400C7A6F">
      <w:pPr>
        <w:spacing w:line="400" w:lineRule="exact"/>
        <w:ind w:firstLine="420" w:firstLineChars="200"/>
      </w:pPr>
      <w:r>
        <w:rPr>
          <w:rFonts w:hint="eastAsia"/>
        </w:rPr>
        <w:t>（2）由于负有投保义务的一方当事人未按合同约定办理某项保险，导致受益人未能得到保险人的赔偿，原应从该项保险得到的保险金应由负有投保义务的一方当事人支付。</w:t>
      </w:r>
    </w:p>
    <w:p w14:paraId="2E8608FE">
      <w:pPr>
        <w:spacing w:line="400" w:lineRule="exact"/>
        <w:ind w:firstLine="420" w:firstLineChars="200"/>
        <w:rPr>
          <w:rFonts w:ascii="黑体" w:eastAsia="黑体"/>
        </w:rPr>
      </w:pPr>
      <w:r>
        <w:rPr>
          <w:rFonts w:hint="eastAsia"/>
        </w:rPr>
        <w:t xml:space="preserve">20.6.6 </w:t>
      </w:r>
      <w:r>
        <w:rPr>
          <w:rFonts w:hint="eastAsia" w:ascii="黑体" w:eastAsia="黑体"/>
        </w:rPr>
        <w:t>报告义务</w:t>
      </w:r>
    </w:p>
    <w:p w14:paraId="5C4D79EB">
      <w:pPr>
        <w:spacing w:line="400" w:lineRule="exact"/>
        <w:ind w:firstLine="420" w:firstLineChars="200"/>
      </w:pPr>
      <w:r>
        <w:rPr>
          <w:rFonts w:hint="eastAsia"/>
        </w:rPr>
        <w:t>当保险事故发生时，投保人应按照保险单规定的条件和期限及时向保险人报告。</w:t>
      </w:r>
    </w:p>
    <w:p w14:paraId="250D3AAC">
      <w:pPr>
        <w:pStyle w:val="260"/>
        <w:spacing w:before="0"/>
        <w:outlineLvl w:val="9"/>
      </w:pPr>
      <w:r>
        <w:rPr>
          <w:rFonts w:hint="eastAsia"/>
        </w:rPr>
        <w:t>21. 不可抗力</w:t>
      </w:r>
    </w:p>
    <w:p w14:paraId="5640453C">
      <w:pPr>
        <w:pStyle w:val="261"/>
        <w:tabs>
          <w:tab w:val="left" w:pos="720"/>
        </w:tabs>
        <w:outlineLvl w:val="9"/>
      </w:pPr>
      <w:r>
        <w:rPr>
          <w:rFonts w:hint="eastAsia"/>
        </w:rPr>
        <w:t>21.1 不可抗力的确认</w:t>
      </w:r>
    </w:p>
    <w:p w14:paraId="0DC90A46">
      <w:pPr>
        <w:spacing w:line="400" w:lineRule="exact"/>
        <w:ind w:firstLine="420" w:firstLineChars="200"/>
      </w:pPr>
      <w:r>
        <w:rPr>
          <w:rFonts w:hint="eastAsia"/>
        </w:rPr>
        <w:t>21.1.1 不可抗力是指乙方和甲方在订立合同时不可预见，在工程施工过程中不可避免发生并不能克服的自然灾害和社会性突发事件，如地震、海啸、瘟疫、水灾、骚乱、暴动、战争和专用合同条款约定的其他情形。</w:t>
      </w:r>
    </w:p>
    <w:p w14:paraId="1A137A18">
      <w:pPr>
        <w:spacing w:line="400" w:lineRule="exact"/>
        <w:ind w:firstLine="420" w:firstLineChars="200"/>
      </w:pPr>
      <w:r>
        <w:rPr>
          <w:rFonts w:hint="eastAsia"/>
        </w:rPr>
        <w:t>21.1.2 不可抗力发生后，甲方和乙方应及时认真统计所造成的损失，收集不可抗力造成损失的证据。合同双方对是否属于不可抗力或其损失的意见不一致的，由监理人按第3.5款商定或确定。发生争议时，按第24条的约定办理。</w:t>
      </w:r>
    </w:p>
    <w:p w14:paraId="482F0F90">
      <w:pPr>
        <w:pStyle w:val="261"/>
        <w:tabs>
          <w:tab w:val="left" w:pos="720"/>
        </w:tabs>
        <w:outlineLvl w:val="9"/>
      </w:pPr>
      <w:r>
        <w:rPr>
          <w:rFonts w:hint="eastAsia"/>
        </w:rPr>
        <w:t>21.2 不可抗力的通知</w:t>
      </w:r>
    </w:p>
    <w:p w14:paraId="0A12D2A9">
      <w:pPr>
        <w:spacing w:line="400" w:lineRule="exact"/>
        <w:ind w:firstLine="420" w:firstLineChars="200"/>
      </w:pPr>
      <w:r>
        <w:rPr>
          <w:rFonts w:hint="eastAsia"/>
        </w:rPr>
        <w:t>21.2.1 合同一方当事人遇到不可抗力事件，使其履行合同义务受到阻碍时，应立即通知合同另一方当事人和监理人，书面说明不可抗力和受阻碍的详细情况，并提供必要的证明。</w:t>
      </w:r>
    </w:p>
    <w:p w14:paraId="4C457466">
      <w:pPr>
        <w:spacing w:line="400" w:lineRule="exact"/>
        <w:ind w:firstLine="420" w:firstLineChars="200"/>
      </w:pPr>
      <w:r>
        <w:rPr>
          <w:rFonts w:hint="eastAsia"/>
        </w:rPr>
        <w:t>21.2.2 如不可抗力持续发生，合同一方当事人应及时向合同另一方当事人和监理人提交中间报告，说明不可抗力和履行合同受阻的情况，并于不可抗力事件结束后28天内提交最终报告及有关资料。</w:t>
      </w:r>
    </w:p>
    <w:p w14:paraId="733B7A64">
      <w:pPr>
        <w:pStyle w:val="261"/>
        <w:tabs>
          <w:tab w:val="left" w:pos="720"/>
        </w:tabs>
        <w:outlineLvl w:val="9"/>
      </w:pPr>
      <w:r>
        <w:rPr>
          <w:rFonts w:hint="eastAsia"/>
        </w:rPr>
        <w:t>21.3 不可抗力后果及其处理</w:t>
      </w:r>
    </w:p>
    <w:p w14:paraId="7B88FE06">
      <w:pPr>
        <w:spacing w:line="400" w:lineRule="exact"/>
        <w:ind w:firstLine="420" w:firstLineChars="200"/>
      </w:pPr>
      <w:r>
        <w:rPr>
          <w:rFonts w:hint="eastAsia"/>
        </w:rPr>
        <w:t xml:space="preserve">21.3.1 </w:t>
      </w:r>
      <w:r>
        <w:rPr>
          <w:rFonts w:hint="eastAsia" w:ascii="黑体" w:eastAsia="黑体"/>
        </w:rPr>
        <w:t>不可抗力造成损害的责任</w:t>
      </w:r>
    </w:p>
    <w:p w14:paraId="750D79FF">
      <w:pPr>
        <w:spacing w:line="400" w:lineRule="exact"/>
        <w:ind w:firstLine="420" w:firstLineChars="200"/>
      </w:pPr>
      <w:r>
        <w:rPr>
          <w:rFonts w:hint="eastAsia"/>
        </w:rPr>
        <w:t>除专用合同条款另有约定外，不可抗力导致的人员伤亡、财产损失、费用增加和（或）工期延误等后果，由合同双方按以下原则承担：</w:t>
      </w:r>
    </w:p>
    <w:p w14:paraId="19527020">
      <w:pPr>
        <w:spacing w:line="400" w:lineRule="exact"/>
        <w:ind w:firstLine="718" w:firstLineChars="342"/>
      </w:pPr>
      <w:r>
        <w:rPr>
          <w:rFonts w:hint="eastAsia"/>
        </w:rPr>
        <w:t>（1）永久工程，包括已运至施工场地的材料和工程设备的损害，以及因工程损害造成的第三者人员伤亡和财产损失由甲方承担；</w:t>
      </w:r>
    </w:p>
    <w:p w14:paraId="3A7B1B55">
      <w:pPr>
        <w:spacing w:line="400" w:lineRule="exact"/>
        <w:ind w:firstLine="718" w:firstLineChars="342"/>
      </w:pPr>
      <w:r>
        <w:rPr>
          <w:rFonts w:hint="eastAsia"/>
        </w:rPr>
        <w:t>（2）乙方设备的损坏由乙方承担；</w:t>
      </w:r>
    </w:p>
    <w:p w14:paraId="3B4A392A">
      <w:pPr>
        <w:spacing w:line="400" w:lineRule="exact"/>
        <w:ind w:firstLine="718" w:firstLineChars="342"/>
      </w:pPr>
      <w:r>
        <w:rPr>
          <w:rFonts w:hint="eastAsia"/>
        </w:rPr>
        <w:t>（3）甲方和乙方各自承担其人员伤亡和其他财产损失及其相关费用；</w:t>
      </w:r>
    </w:p>
    <w:p w14:paraId="4B50F53B">
      <w:pPr>
        <w:spacing w:line="400" w:lineRule="exact"/>
        <w:ind w:firstLine="718" w:firstLineChars="342"/>
      </w:pPr>
      <w:r>
        <w:rPr>
          <w:rFonts w:hint="eastAsia"/>
        </w:rPr>
        <w:t>（4）乙方的停工损失由乙方承担，但停工期间应监理人要求照管工程和清理、修复工程的金额由甲方承担；</w:t>
      </w:r>
    </w:p>
    <w:p w14:paraId="7C1894FC">
      <w:pPr>
        <w:spacing w:line="400" w:lineRule="exact"/>
        <w:ind w:firstLine="718" w:firstLineChars="342"/>
      </w:pPr>
      <w:r>
        <w:rPr>
          <w:rFonts w:hint="eastAsia"/>
        </w:rPr>
        <w:t>（5）不能按期竣工的，应合理延长工期，乙方不需支付逾期竣工违约金。甲方要求赶工的，乙方应采取赶工措施，赶工费用由甲方承担。</w:t>
      </w:r>
    </w:p>
    <w:p w14:paraId="534BA6C4">
      <w:pPr>
        <w:spacing w:line="400" w:lineRule="exact"/>
        <w:ind w:firstLine="420" w:firstLineChars="200"/>
      </w:pPr>
      <w:r>
        <w:rPr>
          <w:rFonts w:hint="eastAsia"/>
        </w:rPr>
        <w:t xml:space="preserve">21.3.2 </w:t>
      </w:r>
      <w:r>
        <w:rPr>
          <w:rFonts w:hint="eastAsia" w:ascii="黑体" w:eastAsia="黑体"/>
        </w:rPr>
        <w:t>延迟履行期间发生的不可抗力</w:t>
      </w:r>
    </w:p>
    <w:p w14:paraId="37CED002">
      <w:pPr>
        <w:spacing w:line="400" w:lineRule="exact"/>
        <w:ind w:firstLine="420" w:firstLineChars="200"/>
      </w:pPr>
      <w:r>
        <w:rPr>
          <w:rFonts w:hint="eastAsia"/>
        </w:rPr>
        <w:t>合同一方当事人延迟履行，在延迟履行期间发生不可抗力的，不免除其责任。</w:t>
      </w:r>
    </w:p>
    <w:p w14:paraId="651CC95C">
      <w:pPr>
        <w:spacing w:line="400" w:lineRule="exact"/>
        <w:ind w:firstLine="420" w:firstLineChars="200"/>
      </w:pPr>
      <w:r>
        <w:rPr>
          <w:rFonts w:hint="eastAsia"/>
        </w:rPr>
        <w:t xml:space="preserve">21.3.3 </w:t>
      </w:r>
      <w:r>
        <w:rPr>
          <w:rFonts w:hint="eastAsia" w:ascii="黑体" w:eastAsia="黑体"/>
        </w:rPr>
        <w:t>避免和减少不可抗力损失</w:t>
      </w:r>
    </w:p>
    <w:p w14:paraId="28D1F1C9">
      <w:pPr>
        <w:spacing w:line="400" w:lineRule="exact"/>
        <w:ind w:firstLine="420" w:firstLineChars="200"/>
      </w:pPr>
      <w:r>
        <w:rPr>
          <w:rFonts w:hint="eastAsia"/>
        </w:rPr>
        <w:t>不可抗力发生后，甲方和乙方均应采取措施尽量避免和减少损失的扩大，任何一方没有采取有效措施导致损失扩大的，应对扩大的损失承担责任。</w:t>
      </w:r>
    </w:p>
    <w:p w14:paraId="13D9029A">
      <w:pPr>
        <w:spacing w:line="400" w:lineRule="exact"/>
        <w:ind w:firstLine="420" w:firstLineChars="200"/>
      </w:pPr>
      <w:r>
        <w:rPr>
          <w:rFonts w:hint="eastAsia"/>
        </w:rPr>
        <w:t xml:space="preserve">21.3.4 </w:t>
      </w:r>
      <w:r>
        <w:rPr>
          <w:rFonts w:hint="eastAsia" w:ascii="黑体" w:eastAsia="黑体"/>
        </w:rPr>
        <w:t>因不可抗力解除合同</w:t>
      </w:r>
    </w:p>
    <w:p w14:paraId="0FE50F47">
      <w:pPr>
        <w:spacing w:line="400" w:lineRule="exact"/>
        <w:ind w:firstLine="420" w:firstLineChars="200"/>
      </w:pPr>
      <w:r>
        <w:rPr>
          <w:rFonts w:hint="eastAsia"/>
        </w:rPr>
        <w:t>合同一方当事人因不可抗力不能履行合同的，应当及时通知对方解除合同。合同解除后，乙方应按照第22.2.5项约定撤离施工场地。已经订货的材料、设备由订货方负责退货或解除订货合同，不能退还的货款和因退货、解除订货合同发生的费用，由甲方承担，因未及时退货造成的损失由责任方承担。合同解除后的付款，参照第22.2.4项约定，由监理人按第3.5款商定或确定。</w:t>
      </w:r>
    </w:p>
    <w:p w14:paraId="7455D53C">
      <w:pPr>
        <w:pStyle w:val="260"/>
        <w:spacing w:before="0"/>
        <w:outlineLvl w:val="9"/>
      </w:pPr>
      <w:r>
        <w:rPr>
          <w:rFonts w:hint="eastAsia"/>
        </w:rPr>
        <w:t>22. 违约</w:t>
      </w:r>
    </w:p>
    <w:p w14:paraId="2BE19F5D">
      <w:pPr>
        <w:pStyle w:val="261"/>
        <w:tabs>
          <w:tab w:val="left" w:pos="720"/>
        </w:tabs>
        <w:outlineLvl w:val="9"/>
      </w:pPr>
      <w:r>
        <w:rPr>
          <w:rFonts w:hint="eastAsia"/>
        </w:rPr>
        <w:t>22.1 乙方违约</w:t>
      </w:r>
    </w:p>
    <w:p w14:paraId="22792691">
      <w:pPr>
        <w:spacing w:line="400" w:lineRule="exact"/>
        <w:ind w:firstLine="420" w:firstLineChars="200"/>
      </w:pPr>
      <w:r>
        <w:rPr>
          <w:rFonts w:hint="eastAsia"/>
        </w:rPr>
        <w:t>22.1.1</w:t>
      </w:r>
      <w:r>
        <w:rPr>
          <w:rFonts w:hint="eastAsia" w:ascii="黑体" w:eastAsia="黑体"/>
        </w:rPr>
        <w:t xml:space="preserve"> 乙方违约的情形</w:t>
      </w:r>
    </w:p>
    <w:p w14:paraId="0B8DE3F6">
      <w:pPr>
        <w:spacing w:line="400" w:lineRule="exact"/>
        <w:ind w:firstLine="420" w:firstLineChars="200"/>
      </w:pPr>
      <w:r>
        <w:rPr>
          <w:rFonts w:hint="eastAsia"/>
        </w:rPr>
        <w:t>在履行合同过程中发生的下列情况属乙方违约：</w:t>
      </w:r>
    </w:p>
    <w:p w14:paraId="1A551ACF">
      <w:pPr>
        <w:spacing w:line="400" w:lineRule="exact"/>
        <w:ind w:firstLine="718" w:firstLineChars="342"/>
      </w:pPr>
      <w:r>
        <w:rPr>
          <w:rFonts w:hint="eastAsia"/>
        </w:rPr>
        <w:t>（1）乙方违反第1.8款或第4.3款的约定，私自将合同的全部或部分权利转让给其他人，或私自将合同的全部或部分义务转移给其他人；</w:t>
      </w:r>
    </w:p>
    <w:p w14:paraId="6612661F">
      <w:pPr>
        <w:spacing w:line="400" w:lineRule="exact"/>
        <w:ind w:firstLine="718" w:firstLineChars="342"/>
      </w:pPr>
      <w:r>
        <w:rPr>
          <w:rFonts w:hint="eastAsia"/>
        </w:rPr>
        <w:t>（2）乙方违反第5.3款或第6.4款的约定，未经监理人批准，私自将已按合同约定进入施工场地的施工设备、临时设施或材料撤离施工场地；</w:t>
      </w:r>
    </w:p>
    <w:p w14:paraId="3D0B5EE6">
      <w:pPr>
        <w:spacing w:line="400" w:lineRule="exact"/>
        <w:ind w:firstLine="718" w:firstLineChars="342"/>
      </w:pPr>
      <w:r>
        <w:rPr>
          <w:rFonts w:hint="eastAsia"/>
        </w:rPr>
        <w:t>（3）乙方违反第5.4款的约定使用了不合格材料或工程设备，工程质量达不到标准要求，又拒绝清除不合格工程；</w:t>
      </w:r>
    </w:p>
    <w:p w14:paraId="4CDA416B">
      <w:pPr>
        <w:spacing w:line="400" w:lineRule="exact"/>
        <w:ind w:firstLine="718" w:firstLineChars="342"/>
      </w:pPr>
      <w:r>
        <w:rPr>
          <w:rFonts w:hint="eastAsia"/>
        </w:rPr>
        <w:t>（4）乙方未能按合同进度计划及时完成合同约定的工作，已造成或预期造成工期延误；</w:t>
      </w:r>
    </w:p>
    <w:p w14:paraId="1BB8B027">
      <w:pPr>
        <w:spacing w:line="400" w:lineRule="exact"/>
        <w:ind w:firstLine="718" w:firstLineChars="342"/>
      </w:pPr>
      <w:r>
        <w:rPr>
          <w:rFonts w:hint="eastAsia"/>
        </w:rPr>
        <w:t>（5）乙方在缺陷责任期内，未能对工程接收证书所列的缺陷清单的内容或缺陷责任期内发生的缺陷进行修复，而又拒绝按监理人指示再进行修补；</w:t>
      </w:r>
    </w:p>
    <w:p w14:paraId="02618543">
      <w:pPr>
        <w:spacing w:line="400" w:lineRule="exact"/>
        <w:ind w:firstLine="718" w:firstLineChars="342"/>
      </w:pPr>
      <w:r>
        <w:rPr>
          <w:rFonts w:hint="eastAsia"/>
        </w:rPr>
        <w:t>（6）乙方无法继续履行或明确表示不履行或实质上已停止履行合同；</w:t>
      </w:r>
    </w:p>
    <w:p w14:paraId="2D3B014C">
      <w:pPr>
        <w:spacing w:line="400" w:lineRule="exact"/>
        <w:ind w:firstLine="718" w:firstLineChars="342"/>
      </w:pPr>
      <w:r>
        <w:rPr>
          <w:rFonts w:hint="eastAsia"/>
        </w:rPr>
        <w:t>（7）乙方不按合同约定履行义务的其他情况。</w:t>
      </w:r>
    </w:p>
    <w:p w14:paraId="2FB3E49D">
      <w:pPr>
        <w:spacing w:line="400" w:lineRule="exact"/>
        <w:ind w:firstLine="420" w:firstLineChars="200"/>
        <w:rPr>
          <w:rFonts w:ascii="黑体" w:eastAsia="黑体"/>
        </w:rPr>
      </w:pPr>
      <w:r>
        <w:rPr>
          <w:rFonts w:hint="eastAsia"/>
        </w:rPr>
        <w:t>22.1.2</w:t>
      </w:r>
      <w:r>
        <w:rPr>
          <w:rFonts w:hint="eastAsia" w:ascii="黑体" w:eastAsia="黑体"/>
        </w:rPr>
        <w:t xml:space="preserve"> 对乙方违约的处理</w:t>
      </w:r>
    </w:p>
    <w:p w14:paraId="5492B330">
      <w:pPr>
        <w:spacing w:line="400" w:lineRule="exact"/>
        <w:ind w:firstLine="718" w:firstLineChars="342"/>
      </w:pPr>
      <w:r>
        <w:rPr>
          <w:rFonts w:hint="eastAsia"/>
        </w:rPr>
        <w:t>（1）乙方发生第22.1.1（6）目约定的违约情况时，甲方可通知乙方立即解除合同，并按有关法律处理。</w:t>
      </w:r>
    </w:p>
    <w:p w14:paraId="0714F870">
      <w:pPr>
        <w:spacing w:line="400" w:lineRule="exact"/>
        <w:ind w:firstLine="718" w:firstLineChars="342"/>
      </w:pPr>
      <w:r>
        <w:rPr>
          <w:rFonts w:hint="eastAsia"/>
        </w:rPr>
        <w:t>（2）乙方发生除第22.1.1（6）目约定以外的其他违约情况时，监理人可向乙方发出整改通知，要求其在指定的期限内改正。乙方应承担其违约所引起的费用增加和（或）工期延误。</w:t>
      </w:r>
    </w:p>
    <w:p w14:paraId="6F924E36">
      <w:pPr>
        <w:spacing w:line="400" w:lineRule="exact"/>
        <w:ind w:firstLine="718" w:firstLineChars="342"/>
      </w:pPr>
      <w:r>
        <w:rPr>
          <w:rFonts w:hint="eastAsia"/>
        </w:rPr>
        <w:t>（3）经检查证明乙方已采取了有效措施纠正违约行为，具备复工条件的，可由监理人签发复工通知复工。</w:t>
      </w:r>
    </w:p>
    <w:p w14:paraId="17F780FC">
      <w:pPr>
        <w:spacing w:line="400" w:lineRule="exact"/>
        <w:ind w:firstLine="420" w:firstLineChars="200"/>
        <w:rPr>
          <w:rFonts w:ascii="黑体" w:eastAsia="黑体"/>
        </w:rPr>
      </w:pPr>
      <w:r>
        <w:rPr>
          <w:rFonts w:hint="eastAsia"/>
        </w:rPr>
        <w:t>22.1.3</w:t>
      </w:r>
      <w:r>
        <w:rPr>
          <w:rFonts w:hint="eastAsia" w:ascii="黑体" w:eastAsia="黑体"/>
        </w:rPr>
        <w:t xml:space="preserve"> 乙方违约解除合同</w:t>
      </w:r>
    </w:p>
    <w:p w14:paraId="15CBD046">
      <w:pPr>
        <w:spacing w:line="400" w:lineRule="exact"/>
        <w:ind w:firstLine="420" w:firstLineChars="200"/>
      </w:pPr>
      <w:r>
        <w:rPr>
          <w:rFonts w:hint="eastAsia"/>
        </w:rPr>
        <w:t>监理人发出整改通知28天后，乙方仍不纠正违约行为的，甲方可向乙方发出解除合同通知。合同解除后，甲方可派员进驻施工场地，另行组织人员或委托其他乙方施工。甲方因继续完成该工程的需要，有权扣留使用乙方在现场的材料、设备和临时设施。但甲方的这一行动不免除乙方应承担的违约责任，也不影响甲方根据合同约定享有的索赔权利。</w:t>
      </w:r>
    </w:p>
    <w:p w14:paraId="04A6BF73">
      <w:pPr>
        <w:spacing w:line="400" w:lineRule="exact"/>
        <w:ind w:firstLine="420" w:firstLineChars="200"/>
        <w:rPr>
          <w:rFonts w:ascii="黑体" w:eastAsia="黑体"/>
        </w:rPr>
      </w:pPr>
      <w:r>
        <w:rPr>
          <w:rFonts w:hint="eastAsia"/>
        </w:rPr>
        <w:t>22.1.4</w:t>
      </w:r>
      <w:r>
        <w:rPr>
          <w:rFonts w:hint="eastAsia" w:ascii="黑体" w:eastAsia="黑体"/>
        </w:rPr>
        <w:t xml:space="preserve"> 合同解除后的估价、付款和结清</w:t>
      </w:r>
    </w:p>
    <w:p w14:paraId="3E643BD2">
      <w:pPr>
        <w:spacing w:line="400" w:lineRule="exact"/>
        <w:ind w:firstLine="718" w:firstLineChars="342"/>
      </w:pPr>
      <w:r>
        <w:rPr>
          <w:rFonts w:hint="eastAsia"/>
        </w:rPr>
        <w:t>（1）合同解除后，监理人按第3.5款商定或确定乙方实际完成工作的价值，以及乙方已提供的材料、施工设备、工程设备和临时工程等的价值。</w:t>
      </w:r>
    </w:p>
    <w:p w14:paraId="3DFCC4A9">
      <w:pPr>
        <w:spacing w:line="400" w:lineRule="exact"/>
        <w:ind w:firstLine="718" w:firstLineChars="342"/>
      </w:pPr>
      <w:r>
        <w:rPr>
          <w:rFonts w:hint="eastAsia"/>
        </w:rPr>
        <w:t>（2）合同解除后，甲方应暂停对乙方的一切付款，查清各项付款和已扣款金额，包括乙方应支付的违约金。</w:t>
      </w:r>
    </w:p>
    <w:p w14:paraId="28A4F3F6">
      <w:pPr>
        <w:spacing w:line="400" w:lineRule="exact"/>
        <w:ind w:firstLine="718" w:firstLineChars="342"/>
      </w:pPr>
      <w:r>
        <w:rPr>
          <w:rFonts w:hint="eastAsia"/>
        </w:rPr>
        <w:t>（3）合同解除后，甲方应按第23.4款的约定向乙方索赔由于解除合同给甲方造成的损失。</w:t>
      </w:r>
    </w:p>
    <w:p w14:paraId="2B698733">
      <w:pPr>
        <w:spacing w:line="400" w:lineRule="exact"/>
        <w:ind w:firstLine="718" w:firstLineChars="342"/>
      </w:pPr>
      <w:r>
        <w:rPr>
          <w:rFonts w:hint="eastAsia"/>
        </w:rPr>
        <w:t>（4）合同双方确认上述往来款项后，出具最终结清付款证书，结清全部合同款项。</w:t>
      </w:r>
    </w:p>
    <w:p w14:paraId="469807E8">
      <w:pPr>
        <w:spacing w:line="400" w:lineRule="exact"/>
        <w:ind w:firstLine="718" w:firstLineChars="342"/>
      </w:pPr>
      <w:r>
        <w:rPr>
          <w:rFonts w:hint="eastAsia"/>
        </w:rPr>
        <w:t>（5）甲方和乙方未能就解除合同后的结清达成一致而形成争议的，按第24条的约定办理。</w:t>
      </w:r>
    </w:p>
    <w:p w14:paraId="733AB863">
      <w:pPr>
        <w:spacing w:line="400" w:lineRule="exact"/>
        <w:ind w:firstLine="420" w:firstLineChars="200"/>
        <w:rPr>
          <w:rFonts w:ascii="黑体" w:eastAsia="黑体"/>
        </w:rPr>
      </w:pPr>
      <w:r>
        <w:rPr>
          <w:rFonts w:hint="eastAsia"/>
        </w:rPr>
        <w:t>22.1.5</w:t>
      </w:r>
      <w:r>
        <w:rPr>
          <w:rFonts w:hint="eastAsia" w:ascii="黑体" w:eastAsia="黑体"/>
        </w:rPr>
        <w:t xml:space="preserve"> 协议利益的转让</w:t>
      </w:r>
    </w:p>
    <w:p w14:paraId="5D7E1C43">
      <w:pPr>
        <w:spacing w:line="400" w:lineRule="exact"/>
        <w:ind w:firstLine="420" w:firstLineChars="200"/>
      </w:pPr>
      <w:r>
        <w:rPr>
          <w:rFonts w:hint="eastAsia"/>
        </w:rPr>
        <w:t>因乙方违约解除合同的，甲方有权要求乙方将其为实施合同而签订的材料和设备的订货协议或任何服务协议利益转让给甲方，并在解除合同后的14天内，依法办理转让手续。</w:t>
      </w:r>
    </w:p>
    <w:p w14:paraId="5AF304B5">
      <w:pPr>
        <w:spacing w:line="400" w:lineRule="exact"/>
        <w:ind w:firstLine="420" w:firstLineChars="200"/>
        <w:rPr>
          <w:rFonts w:ascii="黑体" w:eastAsia="黑体"/>
        </w:rPr>
      </w:pPr>
      <w:r>
        <w:rPr>
          <w:rFonts w:hint="eastAsia"/>
        </w:rPr>
        <w:t>22.1.6</w:t>
      </w:r>
      <w:r>
        <w:rPr>
          <w:rFonts w:hint="eastAsia" w:ascii="黑体" w:eastAsia="黑体"/>
        </w:rPr>
        <w:t xml:space="preserve"> 紧急情况下无能力或不愿进行抢救</w:t>
      </w:r>
    </w:p>
    <w:p w14:paraId="5255B81B">
      <w:pPr>
        <w:spacing w:line="400" w:lineRule="exact"/>
        <w:ind w:firstLine="420" w:firstLineChars="200"/>
      </w:pPr>
      <w:r>
        <w:rPr>
          <w:rFonts w:hint="eastAsia"/>
        </w:rPr>
        <w:t>在工程实施期间或缺陷责任期内发生危及工程安全的事件，监理人通知乙方进行抢救，乙方声明无能力或不愿立即执行的，甲方有权雇佣其他人员进行抢救。此类抢救按合同约定属于乙方义务的，由此发生的金额和（或）工期延误由乙方承担。</w:t>
      </w:r>
    </w:p>
    <w:p w14:paraId="07F2C959">
      <w:pPr>
        <w:pStyle w:val="261"/>
        <w:tabs>
          <w:tab w:val="left" w:pos="720"/>
        </w:tabs>
        <w:outlineLvl w:val="9"/>
      </w:pPr>
      <w:r>
        <w:rPr>
          <w:rFonts w:hint="eastAsia"/>
        </w:rPr>
        <w:t>22.2 甲方违约</w:t>
      </w:r>
    </w:p>
    <w:p w14:paraId="528E3CD2">
      <w:pPr>
        <w:spacing w:line="400" w:lineRule="exact"/>
        <w:ind w:firstLine="420" w:firstLineChars="200"/>
        <w:rPr>
          <w:rFonts w:ascii="黑体" w:eastAsia="黑体"/>
        </w:rPr>
      </w:pPr>
      <w:r>
        <w:rPr>
          <w:rFonts w:hint="eastAsia"/>
        </w:rPr>
        <w:t xml:space="preserve">22.2.1 </w:t>
      </w:r>
      <w:r>
        <w:rPr>
          <w:rFonts w:hint="eastAsia" w:ascii="黑体" w:eastAsia="黑体"/>
        </w:rPr>
        <w:t>甲方违约的情形</w:t>
      </w:r>
    </w:p>
    <w:p w14:paraId="2AB4145F">
      <w:pPr>
        <w:spacing w:line="400" w:lineRule="exact"/>
        <w:ind w:firstLine="420" w:firstLineChars="200"/>
      </w:pPr>
      <w:r>
        <w:rPr>
          <w:rFonts w:hint="eastAsia"/>
        </w:rPr>
        <w:t>在履行合同过程中发生的下列情形，属甲方违约：</w:t>
      </w:r>
    </w:p>
    <w:p w14:paraId="58255AFE">
      <w:pPr>
        <w:spacing w:line="400" w:lineRule="exact"/>
        <w:ind w:firstLine="718" w:firstLineChars="342"/>
      </w:pPr>
      <w:r>
        <w:rPr>
          <w:rFonts w:hint="eastAsia"/>
        </w:rPr>
        <w:t>（1）甲方未能按合同约定支付预付款或合同价款，或拖延、拒绝批准付款申请和支付凭证，导致付款延误的；</w:t>
      </w:r>
    </w:p>
    <w:p w14:paraId="3904FD85">
      <w:pPr>
        <w:spacing w:line="400" w:lineRule="exact"/>
        <w:ind w:firstLine="718" w:firstLineChars="342"/>
      </w:pPr>
      <w:r>
        <w:rPr>
          <w:rFonts w:hint="eastAsia"/>
        </w:rPr>
        <w:t>（2）甲方原因造成停工的；</w:t>
      </w:r>
    </w:p>
    <w:p w14:paraId="7B4F8CBC">
      <w:pPr>
        <w:spacing w:line="400" w:lineRule="exact"/>
        <w:ind w:firstLine="718" w:firstLineChars="342"/>
      </w:pPr>
      <w:r>
        <w:rPr>
          <w:rFonts w:hint="eastAsia"/>
        </w:rPr>
        <w:t>（3）监理人无正当理由没有在约定期限内发出复工指示，导致乙方无法复工的；</w:t>
      </w:r>
    </w:p>
    <w:p w14:paraId="70FB83BE">
      <w:pPr>
        <w:spacing w:line="400" w:lineRule="exact"/>
        <w:ind w:firstLine="718" w:firstLineChars="342"/>
      </w:pPr>
      <w:r>
        <w:rPr>
          <w:rFonts w:hint="eastAsia"/>
        </w:rPr>
        <w:t>（4）甲方无法继续履行或明确表示不履行或实质上已停止履行合同的；</w:t>
      </w:r>
    </w:p>
    <w:p w14:paraId="16C6C7B5">
      <w:pPr>
        <w:spacing w:line="400" w:lineRule="exact"/>
        <w:ind w:firstLine="718" w:firstLineChars="342"/>
      </w:pPr>
      <w:r>
        <w:rPr>
          <w:rFonts w:hint="eastAsia"/>
        </w:rPr>
        <w:t>（5）甲方不履行合同约定其他义务的。</w:t>
      </w:r>
    </w:p>
    <w:p w14:paraId="770E40F3">
      <w:pPr>
        <w:spacing w:line="400" w:lineRule="exact"/>
        <w:ind w:firstLine="420" w:firstLineChars="200"/>
      </w:pPr>
      <w:r>
        <w:rPr>
          <w:rFonts w:hint="eastAsia"/>
        </w:rPr>
        <w:t>22.2.2</w:t>
      </w:r>
      <w:r>
        <w:rPr>
          <w:rFonts w:hint="eastAsia" w:ascii="黑体" w:eastAsia="黑体"/>
        </w:rPr>
        <w:t xml:space="preserve"> 乙方有权暂停施工</w:t>
      </w:r>
    </w:p>
    <w:p w14:paraId="724093BF">
      <w:pPr>
        <w:spacing w:line="400" w:lineRule="exact"/>
        <w:ind w:firstLine="420" w:firstLineChars="200"/>
      </w:pPr>
      <w:r>
        <w:rPr>
          <w:rFonts w:hint="eastAsia"/>
        </w:rPr>
        <w:t>甲方发生除第22.2.1（4）目以外的违约情况时，乙方可向甲方发出通知，要求甲方采取有效措施纠正违约行为。甲方收到乙方通知后的28天内仍不履行合同义务，乙方有权暂停施工，并通知监理人，甲方应承担由此增加的费用和（或）工期延误，并支付乙方合理利润。</w:t>
      </w:r>
    </w:p>
    <w:p w14:paraId="42A85AEB">
      <w:pPr>
        <w:spacing w:line="400" w:lineRule="exact"/>
        <w:ind w:firstLine="420" w:firstLineChars="200"/>
      </w:pPr>
      <w:r>
        <w:rPr>
          <w:rFonts w:hint="eastAsia"/>
        </w:rPr>
        <w:t>22.2.3</w:t>
      </w:r>
      <w:r>
        <w:rPr>
          <w:rFonts w:hint="eastAsia" w:ascii="黑体" w:eastAsia="黑体"/>
        </w:rPr>
        <w:t xml:space="preserve"> 甲方违约解除合同</w:t>
      </w:r>
    </w:p>
    <w:p w14:paraId="6E9525D9">
      <w:pPr>
        <w:spacing w:line="400" w:lineRule="exact"/>
        <w:ind w:firstLine="718" w:firstLineChars="342"/>
      </w:pPr>
      <w:r>
        <w:rPr>
          <w:rFonts w:hint="eastAsia"/>
        </w:rPr>
        <w:t>（1）发生第22.2.1（4）目的违约情况时，乙方可书面通知甲方解除合同。</w:t>
      </w:r>
    </w:p>
    <w:p w14:paraId="6246DD17">
      <w:pPr>
        <w:spacing w:line="400" w:lineRule="exact"/>
        <w:ind w:firstLine="718" w:firstLineChars="342"/>
      </w:pPr>
      <w:r>
        <w:rPr>
          <w:rFonts w:hint="eastAsia"/>
        </w:rPr>
        <w:t>（2）乙方按22.2.2项暂停施工28天后，甲方仍不纠正违约行为的，乙方可向甲方发出解除合同通知。但乙方的这一行动不免除甲方承担的违约责任，也不影响乙方根据合同约定享有的索赔权利。</w:t>
      </w:r>
    </w:p>
    <w:p w14:paraId="03F8507E">
      <w:pPr>
        <w:spacing w:line="400" w:lineRule="exact"/>
        <w:ind w:firstLine="420" w:firstLineChars="200"/>
        <w:rPr>
          <w:rFonts w:ascii="黑体" w:eastAsia="黑体"/>
        </w:rPr>
      </w:pPr>
      <w:r>
        <w:rPr>
          <w:rFonts w:hint="eastAsia"/>
        </w:rPr>
        <w:t>22.2.4</w:t>
      </w:r>
      <w:r>
        <w:rPr>
          <w:rFonts w:hint="eastAsia" w:ascii="黑体" w:eastAsia="黑体"/>
        </w:rPr>
        <w:t xml:space="preserve"> 解除合同后的付款</w:t>
      </w:r>
    </w:p>
    <w:p w14:paraId="34765479">
      <w:pPr>
        <w:spacing w:line="400" w:lineRule="exact"/>
        <w:ind w:firstLine="420" w:firstLineChars="200"/>
      </w:pPr>
      <w:r>
        <w:rPr>
          <w:rFonts w:hint="eastAsia"/>
        </w:rPr>
        <w:t>因甲方违约解除合同的，甲方应在解除合同后28天内向乙方支付下列金额，乙方应在此期限内及时向甲方提交要求支付下列金额的有关资料和凭证：</w:t>
      </w:r>
    </w:p>
    <w:p w14:paraId="59179D0A">
      <w:pPr>
        <w:spacing w:line="400" w:lineRule="exact"/>
        <w:ind w:firstLine="718" w:firstLineChars="342"/>
      </w:pPr>
      <w:r>
        <w:rPr>
          <w:rFonts w:hint="eastAsia"/>
        </w:rPr>
        <w:t>（1）合同解除日以前所完成工作的价款；</w:t>
      </w:r>
    </w:p>
    <w:p w14:paraId="70D59F65">
      <w:pPr>
        <w:spacing w:line="400" w:lineRule="exact"/>
        <w:ind w:firstLine="718" w:firstLineChars="342"/>
      </w:pPr>
      <w:r>
        <w:rPr>
          <w:rFonts w:hint="eastAsia"/>
        </w:rPr>
        <w:t>（2）乙方为该工程施工订购并已付款的材料、工程设备和其他物品的金额。甲方付还后，该材料、工程设备和其他物品归甲方所有；</w:t>
      </w:r>
    </w:p>
    <w:p w14:paraId="19DED983">
      <w:pPr>
        <w:spacing w:line="400" w:lineRule="exact"/>
        <w:ind w:firstLine="718" w:firstLineChars="342"/>
      </w:pPr>
      <w:r>
        <w:rPr>
          <w:rFonts w:hint="eastAsia"/>
        </w:rPr>
        <w:t>（3）乙方为完成工程所发生的，而甲方未支付的金额；</w:t>
      </w:r>
    </w:p>
    <w:p w14:paraId="2BB0C957">
      <w:pPr>
        <w:spacing w:line="400" w:lineRule="exact"/>
        <w:ind w:firstLine="718" w:firstLineChars="342"/>
      </w:pPr>
      <w:r>
        <w:rPr>
          <w:rFonts w:hint="eastAsia"/>
        </w:rPr>
        <w:t>（4）乙方撤离施工场地以及遣散乙方人员的金额；</w:t>
      </w:r>
    </w:p>
    <w:p w14:paraId="5B2AEF55">
      <w:pPr>
        <w:spacing w:line="400" w:lineRule="exact"/>
        <w:ind w:firstLine="718" w:firstLineChars="342"/>
      </w:pPr>
      <w:r>
        <w:rPr>
          <w:rFonts w:hint="eastAsia"/>
        </w:rPr>
        <w:t>（5）由于解除合同应赔偿的乙方损失；</w:t>
      </w:r>
    </w:p>
    <w:p w14:paraId="3689DAB0">
      <w:pPr>
        <w:spacing w:line="400" w:lineRule="exact"/>
        <w:ind w:firstLine="718" w:firstLineChars="342"/>
      </w:pPr>
      <w:r>
        <w:rPr>
          <w:rFonts w:hint="eastAsia"/>
        </w:rPr>
        <w:t>（6）按合同约定在合同解除日前应支付给乙方的其他金额。</w:t>
      </w:r>
    </w:p>
    <w:p w14:paraId="53E001D4">
      <w:pPr>
        <w:spacing w:line="400" w:lineRule="exact"/>
        <w:ind w:firstLine="420" w:firstLineChars="200"/>
      </w:pPr>
      <w:r>
        <w:rPr>
          <w:rFonts w:hint="eastAsia"/>
        </w:rPr>
        <w:t>甲方应按本项约定支付上述金额并退还质量保证金和履约担保，但有权要求乙方支付应偿还给甲方的各项金额。</w:t>
      </w:r>
    </w:p>
    <w:p w14:paraId="4C5446D8">
      <w:pPr>
        <w:spacing w:line="400" w:lineRule="exact"/>
        <w:ind w:firstLine="420" w:firstLineChars="200"/>
        <w:rPr>
          <w:rFonts w:ascii="黑体" w:eastAsia="黑体"/>
        </w:rPr>
      </w:pPr>
      <w:r>
        <w:rPr>
          <w:rFonts w:hint="eastAsia"/>
        </w:rPr>
        <w:t>22.2.5</w:t>
      </w:r>
      <w:r>
        <w:rPr>
          <w:rFonts w:hint="eastAsia" w:ascii="黑体" w:eastAsia="黑体"/>
        </w:rPr>
        <w:t xml:space="preserve"> 解除合同后的乙方撤离</w:t>
      </w:r>
    </w:p>
    <w:p w14:paraId="71F75A98">
      <w:pPr>
        <w:spacing w:line="400" w:lineRule="exact"/>
        <w:ind w:firstLine="420" w:firstLineChars="200"/>
      </w:pPr>
      <w:r>
        <w:rPr>
          <w:rFonts w:hint="eastAsia"/>
        </w:rPr>
        <w:t>因甲方违约而解除合同后，乙方应妥善做好已竣工工程和已购材料、设备的保护和移交工作，按甲方要求将乙方设备和人员撤出施工场地。乙方撤出施工场地应遵守第18.7.1项的约定，甲方应为乙方撤出提供必要条件。</w:t>
      </w:r>
    </w:p>
    <w:p w14:paraId="07C15706">
      <w:pPr>
        <w:pStyle w:val="261"/>
        <w:tabs>
          <w:tab w:val="left" w:pos="720"/>
        </w:tabs>
        <w:outlineLvl w:val="9"/>
      </w:pPr>
      <w:r>
        <w:rPr>
          <w:rFonts w:hint="eastAsia"/>
        </w:rPr>
        <w:t>22.3 第三人造成的违约</w:t>
      </w:r>
    </w:p>
    <w:p w14:paraId="02E14BD4">
      <w:pPr>
        <w:spacing w:line="400" w:lineRule="exact"/>
        <w:ind w:firstLine="420" w:firstLineChars="200"/>
      </w:pPr>
      <w:r>
        <w:rPr>
          <w:rFonts w:hint="eastAsia"/>
        </w:rPr>
        <w:t>在履行合同过程中，一方当事人因第三人的原因造成违约的，应当向对方当事人承担违约责任。一方当事人和第三人之间的纠纷，依照法律规定或者按照约定解决。</w:t>
      </w:r>
    </w:p>
    <w:p w14:paraId="27500D84">
      <w:pPr>
        <w:pStyle w:val="260"/>
        <w:spacing w:before="0"/>
        <w:outlineLvl w:val="9"/>
      </w:pPr>
      <w:r>
        <w:rPr>
          <w:rFonts w:hint="eastAsia"/>
        </w:rPr>
        <w:t>23. 索赔</w:t>
      </w:r>
    </w:p>
    <w:p w14:paraId="789627EF">
      <w:pPr>
        <w:pStyle w:val="261"/>
        <w:tabs>
          <w:tab w:val="left" w:pos="720"/>
        </w:tabs>
        <w:outlineLvl w:val="9"/>
      </w:pPr>
      <w:r>
        <w:rPr>
          <w:rFonts w:hint="eastAsia"/>
        </w:rPr>
        <w:t>23.1 乙方索赔的提出</w:t>
      </w:r>
    </w:p>
    <w:p w14:paraId="5B369E50">
      <w:pPr>
        <w:spacing w:line="400" w:lineRule="exact"/>
        <w:ind w:firstLine="420" w:firstLineChars="200"/>
      </w:pPr>
      <w:r>
        <w:rPr>
          <w:rFonts w:hint="eastAsia"/>
        </w:rPr>
        <w:t>根据合同约定，乙方认为有权得到追加付款和（或）延长工期的，应按以下程序向甲方提出索赔：</w:t>
      </w:r>
    </w:p>
    <w:p w14:paraId="3AE3B2D8">
      <w:pPr>
        <w:spacing w:line="400" w:lineRule="exact"/>
        <w:ind w:firstLine="359" w:firstLineChars="171"/>
      </w:pPr>
      <w:r>
        <w:rPr>
          <w:rFonts w:hint="eastAsia"/>
        </w:rPr>
        <w:t>（1）乙方应在知道或应当知道索赔事件发生后28天内，向监理人递交索赔意向通知书，并说明发生索赔事件的事由。乙方未在前述28天内发出索赔意向通知书的，丧失要求追加付款和（或）延长工期的权利；</w:t>
      </w:r>
    </w:p>
    <w:p w14:paraId="1A2603AE">
      <w:pPr>
        <w:spacing w:line="400" w:lineRule="exact"/>
        <w:ind w:firstLine="359" w:firstLineChars="171"/>
      </w:pPr>
      <w:r>
        <w:rPr>
          <w:rFonts w:hint="eastAsia"/>
        </w:rPr>
        <w:t>（2）乙方应在发出索赔意向通知书后28天内，向监理人正式递交索赔通知书。索赔通知书应详细说明索赔理由以及要求追加的付款金额和（或）延长的工期，并附必要的记录和证明材料；</w:t>
      </w:r>
    </w:p>
    <w:p w14:paraId="3B4C1D2A">
      <w:pPr>
        <w:spacing w:line="400" w:lineRule="exact"/>
        <w:ind w:firstLine="359" w:firstLineChars="171"/>
      </w:pPr>
      <w:r>
        <w:rPr>
          <w:rFonts w:hint="eastAsia"/>
        </w:rPr>
        <w:t>（3）索赔事件具有连续影响的，乙方应按合理时间间隔继续递交延续索赔通知，说明连续影响的实际情况和记录，列出累计的追加付款金额和（或）工期延长天数；</w:t>
      </w:r>
    </w:p>
    <w:p w14:paraId="6562F8C6">
      <w:pPr>
        <w:spacing w:line="400" w:lineRule="exact"/>
        <w:ind w:firstLine="359" w:firstLineChars="171"/>
      </w:pPr>
      <w:r>
        <w:rPr>
          <w:rFonts w:hint="eastAsia"/>
        </w:rPr>
        <w:t>（4）在索赔事件影响结束后的28天内，乙方应向监理人递交最终索赔通知书，说明最终要求索赔的追加付款金额和延长的工期，并附必要的记录和证明材料。</w:t>
      </w:r>
    </w:p>
    <w:p w14:paraId="77CF0BE4">
      <w:pPr>
        <w:pStyle w:val="261"/>
        <w:tabs>
          <w:tab w:val="left" w:pos="720"/>
        </w:tabs>
        <w:outlineLvl w:val="9"/>
      </w:pPr>
      <w:r>
        <w:rPr>
          <w:rFonts w:hint="eastAsia"/>
        </w:rPr>
        <w:t>23.2 乙方索赔处理程序</w:t>
      </w:r>
    </w:p>
    <w:p w14:paraId="46825316">
      <w:pPr>
        <w:spacing w:line="400" w:lineRule="exact"/>
        <w:ind w:firstLine="359" w:firstLineChars="171"/>
      </w:pPr>
      <w:r>
        <w:rPr>
          <w:rFonts w:hint="eastAsia"/>
        </w:rPr>
        <w:t>（1）监理人收到乙方提交的索赔通知书后，应及时审查索赔通知书的内容、查验乙方的记录和证明材料，必要时监理人可要求乙方提交全部原始记录副本。</w:t>
      </w:r>
    </w:p>
    <w:p w14:paraId="2883468F">
      <w:pPr>
        <w:spacing w:line="400" w:lineRule="exact"/>
        <w:ind w:firstLine="359" w:firstLineChars="171"/>
      </w:pPr>
      <w:r>
        <w:rPr>
          <w:rFonts w:hint="eastAsia"/>
        </w:rPr>
        <w:t>（2）监理人应按第3.5款商定或确定追加的付款和（或）延长的工期，并在收到上述索赔通知书或有关索赔的进一步证明材料后的42天内，将索赔处理结果答复乙方。</w:t>
      </w:r>
    </w:p>
    <w:p w14:paraId="55602E09">
      <w:pPr>
        <w:spacing w:line="400" w:lineRule="exact"/>
        <w:ind w:firstLine="359" w:firstLineChars="171"/>
      </w:pPr>
      <w:r>
        <w:rPr>
          <w:rFonts w:hint="eastAsia"/>
        </w:rPr>
        <w:t>（3）乙方接受索赔处理结果的，甲方应在作出索赔处理结果答复后28天内完成赔付。乙方不接受索赔处理结果的，按第24条的约定办理。</w:t>
      </w:r>
    </w:p>
    <w:p w14:paraId="4F681878">
      <w:pPr>
        <w:pStyle w:val="261"/>
        <w:tabs>
          <w:tab w:val="left" w:pos="720"/>
        </w:tabs>
        <w:outlineLvl w:val="9"/>
      </w:pPr>
      <w:r>
        <w:rPr>
          <w:rFonts w:hint="eastAsia"/>
        </w:rPr>
        <w:t>23.3 乙方提出索赔的期限</w:t>
      </w:r>
    </w:p>
    <w:p w14:paraId="499A36D8">
      <w:pPr>
        <w:spacing w:line="400" w:lineRule="exact"/>
        <w:ind w:firstLine="420" w:firstLineChars="200"/>
      </w:pPr>
      <w:r>
        <w:rPr>
          <w:rFonts w:hint="eastAsia"/>
        </w:rPr>
        <w:t>23.3.1 乙方按第17.5款的约定接受了竣工付款证书后，应被认为已无权再提出在合同工程接收证书颁发前所发生的任何索赔。</w:t>
      </w:r>
    </w:p>
    <w:p w14:paraId="0B28A3D9">
      <w:pPr>
        <w:spacing w:line="400" w:lineRule="exact"/>
        <w:ind w:firstLine="420" w:firstLineChars="200"/>
        <w:rPr>
          <w:shd w:val="pct10" w:color="auto" w:fill="FFFFFF"/>
        </w:rPr>
      </w:pPr>
      <w:r>
        <w:rPr>
          <w:rFonts w:hint="eastAsia"/>
        </w:rPr>
        <w:t>23.3.2 乙方按第17.6款的约定提交的最终结清申请单中，只限于提出工程接收证书颁发后发生的索赔。提出索赔的期限自接受最终结清证书时终止。</w:t>
      </w:r>
    </w:p>
    <w:p w14:paraId="7015E116">
      <w:pPr>
        <w:pStyle w:val="261"/>
        <w:tabs>
          <w:tab w:val="left" w:pos="720"/>
        </w:tabs>
        <w:outlineLvl w:val="9"/>
      </w:pPr>
      <w:r>
        <w:rPr>
          <w:rFonts w:hint="eastAsia"/>
        </w:rPr>
        <w:t>23.4 甲方的索赔</w:t>
      </w:r>
    </w:p>
    <w:p w14:paraId="29E7D2D7">
      <w:pPr>
        <w:spacing w:line="400" w:lineRule="exact"/>
        <w:ind w:firstLine="420" w:firstLineChars="200"/>
      </w:pPr>
      <w:r>
        <w:rPr>
          <w:rFonts w:hint="eastAsia"/>
        </w:rPr>
        <w:t>23.4.1 发生索赔事件后，监理人应及时书面通知乙方，详细说明甲方有权得到的索赔金额和（或）延长缺陷责任期的细节和依据。甲方提出索赔的期限和要求与第23.3款的约定相同，延长缺陷责任期的通知应在缺陷责任期届满前发出。</w:t>
      </w:r>
    </w:p>
    <w:p w14:paraId="1760D341">
      <w:pPr>
        <w:spacing w:line="400" w:lineRule="exact"/>
        <w:ind w:firstLine="420" w:firstLineChars="200"/>
      </w:pPr>
      <w:r>
        <w:rPr>
          <w:rFonts w:hint="eastAsia"/>
        </w:rPr>
        <w:t>23.4.2 监理人按第3.5款商定或确定甲方从乙方处得到赔付的金额和（或）缺陷责任期的延长期。乙方应付给甲方的金额可从拟支付给乙方的合同价款中扣除，或由乙方以其他方式支付给甲方。</w:t>
      </w:r>
    </w:p>
    <w:p w14:paraId="02356453">
      <w:pPr>
        <w:pStyle w:val="260"/>
        <w:spacing w:before="0"/>
        <w:outlineLvl w:val="9"/>
      </w:pPr>
      <w:r>
        <w:rPr>
          <w:rFonts w:hint="eastAsia"/>
        </w:rPr>
        <w:t>24. 争议的解决</w:t>
      </w:r>
    </w:p>
    <w:p w14:paraId="71565F95">
      <w:pPr>
        <w:pStyle w:val="261"/>
        <w:tabs>
          <w:tab w:val="left" w:pos="720"/>
        </w:tabs>
        <w:outlineLvl w:val="9"/>
      </w:pPr>
      <w:r>
        <w:rPr>
          <w:rFonts w:hint="eastAsia"/>
        </w:rPr>
        <w:t>24.1 争议的解决方式</w:t>
      </w:r>
    </w:p>
    <w:p w14:paraId="3B22F3ED">
      <w:pPr>
        <w:spacing w:line="400" w:lineRule="exact"/>
        <w:ind w:firstLine="420" w:firstLineChars="200"/>
      </w:pPr>
      <w:r>
        <w:rPr>
          <w:rFonts w:hint="eastAsia"/>
        </w:rPr>
        <w:t>甲方和乙方在履行合同中发生争议的，可以友好协商解决或者提请争议评审组评审。合同当事人友好协商解决不成、不愿提请争议评审或者不接受争议评审组意见的，可在专用合同条款中约定下列一种方式解决。</w:t>
      </w:r>
    </w:p>
    <w:p w14:paraId="1B74D784">
      <w:pPr>
        <w:spacing w:line="400" w:lineRule="exact"/>
        <w:ind w:firstLine="420" w:firstLineChars="200"/>
      </w:pPr>
      <w:r>
        <w:rPr>
          <w:rFonts w:hint="eastAsia"/>
        </w:rPr>
        <w:t>（1）向约定的仲裁委员会申请仲裁；</w:t>
      </w:r>
    </w:p>
    <w:p w14:paraId="424547B2">
      <w:pPr>
        <w:spacing w:line="400" w:lineRule="exact"/>
        <w:ind w:firstLine="420" w:firstLineChars="200"/>
      </w:pPr>
      <w:r>
        <w:rPr>
          <w:rFonts w:hint="eastAsia"/>
        </w:rPr>
        <w:t>（2）向有管辖权的人民法院提起诉讼。</w:t>
      </w:r>
    </w:p>
    <w:p w14:paraId="40C62798">
      <w:pPr>
        <w:pStyle w:val="261"/>
        <w:tabs>
          <w:tab w:val="left" w:pos="720"/>
        </w:tabs>
        <w:outlineLvl w:val="9"/>
      </w:pPr>
      <w:r>
        <w:rPr>
          <w:rFonts w:hint="eastAsia"/>
        </w:rPr>
        <w:t>24.2 友好解决</w:t>
      </w:r>
    </w:p>
    <w:p w14:paraId="00CD0294">
      <w:pPr>
        <w:spacing w:line="400" w:lineRule="exact"/>
        <w:ind w:firstLine="420" w:firstLineChars="200"/>
      </w:pPr>
      <w:r>
        <w:rPr>
          <w:rFonts w:hint="eastAsia"/>
        </w:rPr>
        <w:t>在提请争议评审、仲裁或者诉讼前，以及在争议评审、仲裁或诉讼过程中，甲方和乙方均可共同努力友好协商解决争议。</w:t>
      </w:r>
    </w:p>
    <w:p w14:paraId="6439FCDF">
      <w:pPr>
        <w:pStyle w:val="261"/>
        <w:tabs>
          <w:tab w:val="left" w:pos="720"/>
        </w:tabs>
        <w:outlineLvl w:val="9"/>
      </w:pPr>
      <w:r>
        <w:rPr>
          <w:rFonts w:hint="eastAsia"/>
        </w:rPr>
        <w:t>24.3 争议评审</w:t>
      </w:r>
    </w:p>
    <w:p w14:paraId="3C49DFBA">
      <w:pPr>
        <w:spacing w:line="400" w:lineRule="exact"/>
        <w:ind w:firstLine="420" w:firstLineChars="200"/>
      </w:pPr>
      <w:r>
        <w:rPr>
          <w:rFonts w:hint="eastAsia"/>
        </w:rPr>
        <w:t>24.3.1 采用争议评审的，甲方和乙方应在开工日后的28天内或在争议发生后，协商成立争议评审组。争议评审组由有合同管理和工程实践经验的专家组成。</w:t>
      </w:r>
    </w:p>
    <w:p w14:paraId="19869A17">
      <w:pPr>
        <w:spacing w:line="400" w:lineRule="exact"/>
        <w:ind w:firstLine="420" w:firstLineChars="200"/>
      </w:pPr>
      <w:r>
        <w:rPr>
          <w:rFonts w:hint="eastAsia"/>
        </w:rPr>
        <w:t>24.3.2 合同双方的争议，应首先由申请人向争议评审组提交一份详细的评审申请报告，并附必要的文件、图纸和证明材料，申请人还应将上述报告的副本同时提交给被申请人和监理人。</w:t>
      </w:r>
    </w:p>
    <w:p w14:paraId="651CD75F">
      <w:pPr>
        <w:spacing w:line="400" w:lineRule="exact"/>
        <w:ind w:firstLine="420" w:firstLineChars="200"/>
      </w:pPr>
      <w:r>
        <w:rPr>
          <w:rFonts w:hint="eastAsia"/>
        </w:rPr>
        <w:t>24.3.3 被申请人在收到申请人评审申请报告副本后的28天内，向争议评审组提交一份答辩报告，并附证明材料。被申请人应将答辩报告的副本同时提交给申请人和监理人。</w:t>
      </w:r>
    </w:p>
    <w:p w14:paraId="76DB1105">
      <w:pPr>
        <w:spacing w:line="400" w:lineRule="exact"/>
        <w:ind w:firstLine="420" w:firstLineChars="200"/>
      </w:pPr>
      <w:r>
        <w:rPr>
          <w:rFonts w:hint="eastAsia"/>
        </w:rPr>
        <w:t>24.3.4 除专用合同条款另有约定外，争议评审组在收到合同双方报告后的14天内，邀请双方代表和有关人员举行调查会，向双方调查争议细节；必要时争议评审组可要求双方进一步提供补充材料。</w:t>
      </w:r>
    </w:p>
    <w:p w14:paraId="7663F5BB">
      <w:pPr>
        <w:spacing w:line="400" w:lineRule="exact"/>
        <w:ind w:firstLine="420" w:firstLineChars="200"/>
      </w:pPr>
      <w:r>
        <w:rPr>
          <w:rFonts w:hint="eastAsia"/>
        </w:rPr>
        <w:t>24.3.5 除专用合同条款另有约定外，在调查会结束后的14天内，争议评审组应在不受任何干扰的情况下进行独立、公正的评审，作出书面评审意见，并说明理由。在争议评审期间，争议双方暂按总监理工程师的确定执行。</w:t>
      </w:r>
    </w:p>
    <w:p w14:paraId="65502E05">
      <w:pPr>
        <w:spacing w:line="400" w:lineRule="exact"/>
        <w:ind w:firstLine="420" w:firstLineChars="200"/>
      </w:pPr>
      <w:r>
        <w:rPr>
          <w:rFonts w:hint="eastAsia"/>
        </w:rPr>
        <w:t>24.3.6 甲方和乙方接受评审意见的，由监理人根据评审意见拟定执行协议，经争议双方签字后作为合同的补充文件，并遵照执行。</w:t>
      </w:r>
    </w:p>
    <w:p w14:paraId="729AE23B">
      <w:pPr>
        <w:spacing w:line="400" w:lineRule="exact"/>
        <w:ind w:firstLine="420" w:firstLineChars="200"/>
      </w:pPr>
      <w:r>
        <w:rPr>
          <w:rFonts w:hint="eastAsia"/>
        </w:rPr>
        <w:t>24.3.7 甲方或乙方不接受评审意见，并要求提交仲裁或提起诉讼的，应在收到评审意见后的14天内将仲裁或起诉意向书面通知另一方，并抄送监理人，但在仲裁或诉讼结束前应暂按总监理工程师的确定执行。</w:t>
      </w:r>
    </w:p>
    <w:p w14:paraId="6CAD2D2C">
      <w:pPr>
        <w:spacing w:line="400" w:lineRule="exact"/>
        <w:rPr>
          <w:rFonts w:eastAsia="黑体"/>
          <w:sz w:val="28"/>
        </w:rPr>
      </w:pPr>
      <w:r>
        <w:rPr>
          <w:rFonts w:eastAsia="黑体"/>
          <w:sz w:val="28"/>
        </w:rPr>
        <w:br w:type="page"/>
      </w:r>
    </w:p>
    <w:p w14:paraId="381A5B3A">
      <w:pPr>
        <w:pStyle w:val="261"/>
        <w:tabs>
          <w:tab w:val="left" w:pos="720"/>
        </w:tabs>
        <w:outlineLvl w:val="9"/>
        <w:rPr>
          <w:sz w:val="28"/>
        </w:rPr>
      </w:pPr>
      <w:r>
        <w:rPr>
          <w:rFonts w:hint="eastAsia"/>
        </w:rPr>
        <w:t>附件三：预付款担保格式</w:t>
      </w:r>
    </w:p>
    <w:p w14:paraId="79D3D62B">
      <w:pPr>
        <w:spacing w:line="400" w:lineRule="exact"/>
        <w:jc w:val="center"/>
        <w:rPr>
          <w:rFonts w:eastAsia="黑体"/>
          <w:sz w:val="28"/>
        </w:rPr>
      </w:pPr>
      <w:r>
        <w:rPr>
          <w:rFonts w:eastAsia="黑体"/>
          <w:sz w:val="28"/>
        </w:rPr>
        <w:t>预付款</w:t>
      </w:r>
      <w:r>
        <w:rPr>
          <w:rFonts w:hint="eastAsia" w:eastAsia="黑体"/>
          <w:sz w:val="28"/>
        </w:rPr>
        <w:t>担保</w:t>
      </w:r>
    </w:p>
    <w:p w14:paraId="01B79FCE">
      <w:pPr>
        <w:spacing w:line="320" w:lineRule="exact"/>
        <w:ind w:right="420"/>
        <w:jc w:val="center"/>
        <w:rPr>
          <w:rFonts w:ascii="Arial" w:hAnsi="Arial" w:cs="Arial"/>
        </w:rPr>
      </w:pPr>
    </w:p>
    <w:p w14:paraId="1478E734">
      <w:pPr>
        <w:spacing w:line="360" w:lineRule="exact"/>
        <w:ind w:right="420"/>
        <w:jc w:val="center"/>
        <w:rPr>
          <w:rFonts w:eastAsia="黑体"/>
          <w:sz w:val="20"/>
          <w:szCs w:val="20"/>
        </w:rPr>
      </w:pPr>
    </w:p>
    <w:p w14:paraId="2D12317B">
      <w:pPr>
        <w:spacing w:line="400" w:lineRule="exact"/>
        <w:rPr>
          <w:rFonts w:hint="eastAsia" w:ascii="宋体" w:hAnsi="宋体"/>
          <w:szCs w:val="21"/>
        </w:rPr>
      </w:pPr>
      <w:r>
        <w:rPr>
          <w:rFonts w:ascii="宋体" w:hAnsi="宋体"/>
          <w:szCs w:val="21"/>
          <w:u w:val="single"/>
        </w:rPr>
        <w:t>/</w:t>
      </w:r>
      <w:r>
        <w:rPr>
          <w:rFonts w:ascii="宋体" w:hAnsi="宋体"/>
          <w:szCs w:val="21"/>
          <w:u w:val="single"/>
        </w:rPr>
        <w:tab/>
      </w:r>
      <w:r>
        <w:rPr>
          <w:rFonts w:ascii="宋体" w:hAnsi="宋体"/>
          <w:szCs w:val="21"/>
          <w:u w:val="single"/>
        </w:rPr>
        <w:tab/>
      </w:r>
      <w:r>
        <w:rPr>
          <w:rFonts w:ascii="宋体" w:hAnsi="宋体"/>
          <w:szCs w:val="21"/>
        </w:rPr>
        <w:t>（甲方名称）：</w:t>
      </w:r>
    </w:p>
    <w:p w14:paraId="737FDFA0">
      <w:pPr>
        <w:spacing w:line="400" w:lineRule="exact"/>
        <w:ind w:firstLine="420"/>
        <w:rPr>
          <w:rFonts w:hint="eastAsia" w:ascii="宋体" w:hAnsi="宋体" w:cs="Arial"/>
          <w:szCs w:val="21"/>
        </w:rPr>
      </w:pPr>
    </w:p>
    <w:p w14:paraId="01380B71">
      <w:pPr>
        <w:wordWrap w:val="0"/>
        <w:topLinePunct/>
        <w:spacing w:line="400" w:lineRule="exact"/>
        <w:ind w:firstLine="420"/>
        <w:rPr>
          <w:rFonts w:hint="eastAsia" w:ascii="宋体" w:hAnsi="宋体" w:cs="Arial"/>
          <w:szCs w:val="21"/>
        </w:rPr>
      </w:pPr>
      <w:r>
        <w:rPr>
          <w:rFonts w:hint="eastAsia" w:ascii="宋体" w:hAnsi="宋体" w:cs="Arial"/>
          <w:szCs w:val="21"/>
        </w:rPr>
        <w:t>根据</w:t>
      </w:r>
      <w:r>
        <w:rPr>
          <w:rFonts w:ascii="宋体" w:hAnsi="宋体" w:cs="Arial"/>
          <w:szCs w:val="21"/>
          <w:u w:val="single"/>
        </w:rPr>
        <w:t>/</w:t>
      </w:r>
      <w:r>
        <w:rPr>
          <w:rFonts w:hint="eastAsia" w:ascii="宋体" w:hAnsi="宋体" w:cs="Arial"/>
          <w:szCs w:val="21"/>
        </w:rPr>
        <w:t>（乙方名称）（以下简称“乙方”）与</w:t>
      </w:r>
      <w:r>
        <w:rPr>
          <w:rFonts w:ascii="宋体" w:hAnsi="宋体" w:cs="Arial"/>
          <w:szCs w:val="21"/>
          <w:u w:val="single"/>
        </w:rPr>
        <w:t>/</w:t>
      </w:r>
      <w:r>
        <w:rPr>
          <w:rFonts w:hint="eastAsia" w:ascii="宋体" w:hAnsi="宋体" w:cs="Arial"/>
          <w:szCs w:val="21"/>
        </w:rPr>
        <w:t>（甲方名称）（以下简称“甲方”）于年月日签订的</w:t>
      </w:r>
      <w:r>
        <w:rPr>
          <w:rFonts w:ascii="宋体" w:hAnsi="宋体" w:cs="Arial"/>
          <w:szCs w:val="21"/>
          <w:u w:val="single"/>
        </w:rPr>
        <w:t>/</w:t>
      </w:r>
      <w:r>
        <w:rPr>
          <w:rFonts w:hint="eastAsia" w:ascii="宋体" w:hAnsi="宋体" w:cs="Arial"/>
          <w:szCs w:val="21"/>
        </w:rPr>
        <w:t>（项目名称）施工总承包合同，乙方按约定的金额向甲方提交一份预付款担保，即有权得到甲方支付相等金额的预付款。我方愿意就你方提供给乙方的预付款提供担保。</w:t>
      </w:r>
    </w:p>
    <w:p w14:paraId="34A728EC">
      <w:pPr>
        <w:wordWrap w:val="0"/>
        <w:topLinePunct/>
        <w:spacing w:line="400" w:lineRule="exact"/>
        <w:ind w:firstLine="420"/>
        <w:rPr>
          <w:rFonts w:hint="eastAsia" w:ascii="宋体" w:hAnsi="宋体" w:cs="Arial"/>
          <w:szCs w:val="21"/>
        </w:rPr>
      </w:pPr>
      <w:r>
        <w:rPr>
          <w:rFonts w:hint="eastAsia" w:ascii="宋体" w:hAnsi="宋体" w:cs="Arial"/>
          <w:szCs w:val="21"/>
        </w:rPr>
        <w:t>1．担保金额人民币（大写）</w:t>
      </w:r>
      <w:r>
        <w:rPr>
          <w:rFonts w:ascii="宋体" w:hAnsi="宋体" w:cs="Arial"/>
          <w:szCs w:val="21"/>
          <w:u w:val="single"/>
        </w:rPr>
        <w:t>/</w:t>
      </w:r>
      <w:r>
        <w:rPr>
          <w:rFonts w:hint="eastAsia" w:ascii="宋体" w:hAnsi="宋体" w:cs="Arial"/>
          <w:szCs w:val="21"/>
        </w:rPr>
        <w:t>（￥</w:t>
      </w:r>
      <w:r>
        <w:rPr>
          <w:rFonts w:ascii="宋体" w:hAnsi="宋体" w:cs="Arial"/>
          <w:szCs w:val="21"/>
          <w:u w:val="single"/>
        </w:rPr>
        <w:t>/</w:t>
      </w:r>
      <w:r>
        <w:rPr>
          <w:rFonts w:hint="eastAsia" w:ascii="宋体" w:hAnsi="宋体" w:cs="Arial"/>
          <w:szCs w:val="21"/>
        </w:rPr>
        <w:t>）。</w:t>
      </w:r>
    </w:p>
    <w:p w14:paraId="331560F6">
      <w:pPr>
        <w:wordWrap w:val="0"/>
        <w:topLinePunct/>
        <w:spacing w:line="400" w:lineRule="exact"/>
        <w:ind w:firstLine="420"/>
        <w:rPr>
          <w:rFonts w:hint="eastAsia" w:ascii="宋体" w:hAnsi="宋体" w:cs="Arial"/>
          <w:szCs w:val="21"/>
        </w:rPr>
      </w:pPr>
      <w:r>
        <w:rPr>
          <w:rFonts w:hint="eastAsia" w:ascii="宋体" w:hAnsi="宋体" w:cs="Arial"/>
          <w:szCs w:val="21"/>
        </w:rPr>
        <w:t>2．担保有效期自预付款支付给乙方起生效，至甲方签发的进度付款证书说明预付款已完全扣清止。</w:t>
      </w:r>
    </w:p>
    <w:p w14:paraId="1B49CCD9">
      <w:pPr>
        <w:wordWrap w:val="0"/>
        <w:topLinePunct/>
        <w:spacing w:line="400" w:lineRule="exact"/>
        <w:ind w:firstLine="420"/>
        <w:rPr>
          <w:rFonts w:hint="eastAsia" w:ascii="宋体" w:hAnsi="宋体" w:cs="Arial"/>
          <w:szCs w:val="21"/>
        </w:rPr>
      </w:pPr>
      <w:r>
        <w:rPr>
          <w:rFonts w:hint="eastAsia" w:ascii="宋体" w:hAnsi="宋体" w:cs="Arial"/>
          <w:szCs w:val="21"/>
        </w:rPr>
        <w:t>3．在本保函有效期内，因乙方违反合同约定的义务而要求收回预付款时，我方在收以你方的书面通知后，在7天内支付。但本保函的担保金额，在任何时候不应超过预付款金额减去甲方按合同约定在向乙方签发的进度付款证书中扣除的金额。</w:t>
      </w:r>
    </w:p>
    <w:p w14:paraId="6696FF53">
      <w:pPr>
        <w:wordWrap w:val="0"/>
        <w:topLinePunct/>
        <w:spacing w:line="400" w:lineRule="exact"/>
        <w:ind w:firstLine="420"/>
        <w:rPr>
          <w:rFonts w:hint="eastAsia" w:ascii="宋体" w:hAnsi="宋体" w:cs="Arial"/>
          <w:szCs w:val="21"/>
        </w:rPr>
      </w:pPr>
      <w:r>
        <w:rPr>
          <w:rFonts w:hint="eastAsia" w:ascii="宋体" w:hAnsi="宋体" w:cs="Arial"/>
          <w:szCs w:val="21"/>
        </w:rPr>
        <w:t>4．甲方和乙方按《通用合同条款》第15条变更合同时，我方承担本保函规定的义务不变。</w:t>
      </w:r>
    </w:p>
    <w:p w14:paraId="2431AC11">
      <w:pPr>
        <w:spacing w:line="400" w:lineRule="exact"/>
        <w:rPr>
          <w:rFonts w:hint="eastAsia" w:ascii="宋体" w:hAnsi="宋体"/>
          <w:szCs w:val="21"/>
        </w:rPr>
      </w:pPr>
    </w:p>
    <w:p w14:paraId="75E96440">
      <w:pPr>
        <w:spacing w:line="400" w:lineRule="exact"/>
        <w:ind w:firstLine="2940" w:firstLineChars="1400"/>
        <w:jc w:val="left"/>
        <w:rPr>
          <w:rFonts w:hint="eastAsia" w:ascii="宋体" w:hAnsi="宋体"/>
          <w:szCs w:val="21"/>
        </w:rPr>
      </w:pPr>
      <w:r>
        <w:rPr>
          <w:rFonts w:hint="eastAsia" w:ascii="宋体" w:hAnsi="宋体"/>
          <w:szCs w:val="21"/>
        </w:rPr>
        <w:t>担保人</w:t>
      </w:r>
      <w:r>
        <w:rPr>
          <w:rFonts w:ascii="宋体" w:hAnsi="宋体"/>
          <w:szCs w:val="21"/>
        </w:rPr>
        <w:t>：</w:t>
      </w:r>
      <w:r>
        <w:rPr>
          <w:rFonts w:ascii="宋体" w:hAnsi="宋体"/>
          <w:szCs w:val="21"/>
          <w:u w:val="single"/>
        </w:rPr>
        <w:t>/</w:t>
      </w:r>
      <w:r>
        <w:rPr>
          <w:rFonts w:ascii="宋体" w:hAnsi="宋体"/>
          <w:szCs w:val="21"/>
        </w:rPr>
        <w:t>（盖单位章）</w:t>
      </w:r>
    </w:p>
    <w:p w14:paraId="43630A91">
      <w:pPr>
        <w:spacing w:line="400" w:lineRule="exact"/>
        <w:ind w:firstLine="2940" w:firstLineChars="1400"/>
        <w:jc w:val="left"/>
        <w:rPr>
          <w:rFonts w:hint="eastAsia" w:ascii="宋体" w:hAnsi="宋体"/>
          <w:szCs w:val="21"/>
        </w:rPr>
      </w:pPr>
      <w:r>
        <w:rPr>
          <w:rFonts w:hint="eastAsia" w:ascii="宋体" w:hAnsi="宋体"/>
          <w:szCs w:val="21"/>
        </w:rPr>
        <w:t>法定代表人或授权人</w:t>
      </w:r>
      <w:r>
        <w:rPr>
          <w:rFonts w:ascii="宋体" w:hAnsi="宋体"/>
          <w:szCs w:val="21"/>
        </w:rPr>
        <w:t>：</w:t>
      </w:r>
      <w:r>
        <w:rPr>
          <w:rFonts w:ascii="宋体" w:hAnsi="宋体"/>
          <w:szCs w:val="21"/>
          <w:u w:val="single"/>
        </w:rPr>
        <w:t>/</w:t>
      </w:r>
      <w:r>
        <w:rPr>
          <w:rFonts w:ascii="宋体" w:hAnsi="宋体"/>
          <w:szCs w:val="21"/>
        </w:rPr>
        <w:t>（签字）</w:t>
      </w:r>
    </w:p>
    <w:p w14:paraId="1A3EC307">
      <w:pPr>
        <w:spacing w:line="400" w:lineRule="exact"/>
        <w:ind w:firstLine="2940" w:firstLineChars="1400"/>
        <w:jc w:val="left"/>
        <w:rPr>
          <w:rFonts w:hint="eastAsia" w:ascii="宋体" w:hAnsi="宋体"/>
          <w:szCs w:val="21"/>
        </w:rPr>
      </w:pPr>
      <w:r>
        <w:rPr>
          <w:rFonts w:hint="eastAsia" w:ascii="宋体" w:hAnsi="宋体"/>
          <w:szCs w:val="21"/>
        </w:rPr>
        <w:t>地    址</w:t>
      </w:r>
      <w:r>
        <w:rPr>
          <w:rFonts w:ascii="宋体" w:hAnsi="宋体"/>
          <w:szCs w:val="21"/>
        </w:rPr>
        <w:t>：</w:t>
      </w:r>
      <w:r>
        <w:rPr>
          <w:rFonts w:ascii="宋体" w:hAnsi="宋体"/>
          <w:szCs w:val="21"/>
          <w:u w:val="single"/>
        </w:rPr>
        <w:tab/>
      </w:r>
      <w:r>
        <w:rPr>
          <w:rFonts w:ascii="宋体" w:hAnsi="宋体"/>
          <w:szCs w:val="21"/>
          <w:u w:val="single"/>
        </w:rPr>
        <w:tab/>
      </w:r>
      <w:r>
        <w:rPr>
          <w:rFonts w:ascii="宋体" w:hAnsi="宋体"/>
          <w:szCs w:val="21"/>
          <w:u w:val="single"/>
        </w:rPr>
        <w:t>/</w:t>
      </w:r>
      <w:r>
        <w:rPr>
          <w:rFonts w:ascii="宋体" w:hAnsi="宋体"/>
          <w:szCs w:val="21"/>
          <w:u w:val="single"/>
        </w:rPr>
        <w:tab/>
      </w:r>
      <w:r>
        <w:rPr>
          <w:rFonts w:ascii="宋体" w:hAnsi="宋体"/>
          <w:szCs w:val="21"/>
          <w:u w:val="single"/>
        </w:rPr>
        <w:tab/>
      </w:r>
    </w:p>
    <w:p w14:paraId="5168B7A5">
      <w:pPr>
        <w:spacing w:line="400" w:lineRule="exact"/>
        <w:ind w:firstLine="2940" w:firstLineChars="1400"/>
        <w:jc w:val="left"/>
        <w:rPr>
          <w:rFonts w:hint="eastAsia" w:ascii="宋体" w:hAnsi="宋体"/>
          <w:szCs w:val="21"/>
          <w:u w:val="single"/>
        </w:rPr>
      </w:pPr>
      <w:r>
        <w:rPr>
          <w:rFonts w:hint="eastAsia" w:ascii="宋体" w:hAnsi="宋体"/>
          <w:szCs w:val="21"/>
        </w:rPr>
        <w:t>邮政编码</w:t>
      </w:r>
      <w:r>
        <w:rPr>
          <w:rFonts w:ascii="宋体" w:hAnsi="宋体"/>
          <w:szCs w:val="21"/>
        </w:rPr>
        <w:t>：</w:t>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w:t>
      </w:r>
      <w:r>
        <w:rPr>
          <w:rFonts w:ascii="宋体" w:hAnsi="宋体"/>
          <w:szCs w:val="21"/>
          <w:u w:val="single"/>
        </w:rPr>
        <w:tab/>
      </w:r>
      <w:r>
        <w:rPr>
          <w:rFonts w:ascii="宋体" w:hAnsi="宋体"/>
          <w:szCs w:val="21"/>
          <w:u w:val="single"/>
        </w:rPr>
        <w:tab/>
      </w:r>
      <w:r>
        <w:rPr>
          <w:rFonts w:ascii="宋体" w:hAnsi="宋体"/>
          <w:szCs w:val="21"/>
          <w:u w:val="single"/>
        </w:rPr>
        <w:tab/>
      </w:r>
    </w:p>
    <w:p w14:paraId="206E5CEC">
      <w:pPr>
        <w:spacing w:line="400" w:lineRule="exact"/>
        <w:ind w:firstLine="2940" w:firstLineChars="1400"/>
        <w:jc w:val="left"/>
        <w:rPr>
          <w:rFonts w:hint="eastAsia" w:ascii="宋体" w:hAnsi="宋体"/>
          <w:szCs w:val="21"/>
          <w:u w:val="single"/>
        </w:rPr>
      </w:pPr>
      <w:r>
        <w:rPr>
          <w:rFonts w:hint="eastAsia" w:ascii="宋体" w:hAnsi="宋体"/>
          <w:szCs w:val="21"/>
        </w:rPr>
        <w:t>电    话</w:t>
      </w:r>
      <w:r>
        <w:rPr>
          <w:rFonts w:ascii="宋体" w:hAnsi="宋体"/>
          <w:szCs w:val="21"/>
        </w:rPr>
        <w:t>：</w:t>
      </w:r>
      <w:r>
        <w:rPr>
          <w:rFonts w:ascii="宋体" w:hAnsi="宋体"/>
          <w:szCs w:val="21"/>
          <w:u w:val="single"/>
        </w:rPr>
        <w:t>/</w:t>
      </w:r>
    </w:p>
    <w:p w14:paraId="4EBF7FD8">
      <w:pPr>
        <w:spacing w:line="400" w:lineRule="exact"/>
        <w:ind w:firstLine="4620" w:firstLineChars="2200"/>
        <w:jc w:val="left"/>
        <w:rPr>
          <w:rFonts w:hint="eastAsia" w:ascii="宋体" w:hAnsi="宋体"/>
          <w:szCs w:val="21"/>
        </w:rPr>
      </w:pPr>
      <w:r>
        <w:rPr>
          <w:rFonts w:ascii="宋体" w:hAnsi="宋体"/>
          <w:szCs w:val="21"/>
          <w:u w:val="single"/>
        </w:rPr>
        <w:t>/</w:t>
      </w:r>
      <w:r>
        <w:rPr>
          <w:rFonts w:ascii="宋体" w:hAnsi="宋体"/>
          <w:szCs w:val="21"/>
        </w:rPr>
        <w:t>年</w:t>
      </w:r>
      <w:r>
        <w:rPr>
          <w:rFonts w:ascii="宋体" w:hAnsi="宋体"/>
          <w:szCs w:val="21"/>
          <w:u w:val="single"/>
        </w:rPr>
        <w:t>/</w:t>
      </w:r>
      <w:r>
        <w:rPr>
          <w:rFonts w:ascii="宋体" w:hAnsi="宋体"/>
          <w:szCs w:val="21"/>
        </w:rPr>
        <w:t>月</w:t>
      </w:r>
      <w:r>
        <w:rPr>
          <w:rFonts w:ascii="宋体" w:hAnsi="宋体"/>
          <w:szCs w:val="21"/>
          <w:u w:val="single"/>
        </w:rPr>
        <w:t>/</w:t>
      </w:r>
      <w:r>
        <w:rPr>
          <w:rFonts w:ascii="宋体" w:hAnsi="宋体"/>
          <w:szCs w:val="21"/>
        </w:rPr>
        <w:t>日</w:t>
      </w:r>
    </w:p>
    <w:p w14:paraId="05B2AFF0">
      <w:pPr>
        <w:spacing w:line="400" w:lineRule="exact"/>
        <w:rPr>
          <w:rFonts w:hint="eastAsia" w:ascii="宋体" w:hAnsi="宋体"/>
          <w:szCs w:val="21"/>
        </w:rPr>
      </w:pPr>
    </w:p>
    <w:p w14:paraId="2C061A82">
      <w:pPr>
        <w:spacing w:line="400" w:lineRule="exact"/>
        <w:rPr>
          <w:rFonts w:hint="eastAsia" w:ascii="宋体" w:hAnsi="宋体"/>
          <w:bCs/>
          <w:szCs w:val="21"/>
        </w:rPr>
      </w:pPr>
      <w:r>
        <w:rPr>
          <w:rFonts w:hint="eastAsia" w:ascii="宋体" w:hAnsi="宋体"/>
          <w:szCs w:val="21"/>
        </w:rPr>
        <w:t>备注：</w:t>
      </w:r>
      <w:r>
        <w:rPr>
          <w:rFonts w:hint="eastAsia" w:ascii="宋体" w:hAnsi="宋体"/>
          <w:bCs/>
          <w:szCs w:val="21"/>
        </w:rPr>
        <w:t>本预付款担保格式可采用经甲方认可的其他格式，但相关内容不得违背合同文件约定的实质性内容。</w:t>
      </w:r>
      <w:r>
        <w:rPr>
          <w:rFonts w:ascii="宋体" w:hAnsi="宋体"/>
          <w:bCs/>
          <w:szCs w:val="21"/>
        </w:rPr>
        <w:br w:type="textWrapping"/>
      </w:r>
      <w:r>
        <w:rPr>
          <w:rFonts w:ascii="宋体" w:hAnsi="宋体"/>
          <w:bCs/>
          <w:szCs w:val="21"/>
        </w:rPr>
        <w:br w:type="page"/>
      </w:r>
      <w:r>
        <w:rPr>
          <w:rFonts w:hint="eastAsia" w:eastAsia="黑体"/>
          <w:sz w:val="24"/>
          <w:szCs w:val="20"/>
        </w:rPr>
        <w:t>附件四：履约担保格式</w:t>
      </w:r>
    </w:p>
    <w:p w14:paraId="3DEEBF5C">
      <w:pPr>
        <w:jc w:val="center"/>
        <w:rPr>
          <w:rFonts w:eastAsia="黑体"/>
          <w:sz w:val="28"/>
        </w:rPr>
      </w:pPr>
      <w:r>
        <w:rPr>
          <w:rFonts w:hint="eastAsia" w:eastAsia="黑体"/>
          <w:sz w:val="28"/>
        </w:rPr>
        <w:t>乙方履约保函</w:t>
      </w:r>
    </w:p>
    <w:p w14:paraId="33A57994">
      <w:pPr>
        <w:spacing w:line="400" w:lineRule="exact"/>
        <w:jc w:val="center"/>
        <w:rPr>
          <w:u w:val="single"/>
        </w:rPr>
      </w:pPr>
    </w:p>
    <w:p w14:paraId="231ED4D6">
      <w:pPr>
        <w:spacing w:line="400" w:lineRule="exact"/>
      </w:pPr>
      <w:r>
        <w:rPr>
          <w:rFonts w:hint="eastAsia"/>
        </w:rPr>
        <w:t>（甲方名称）：</w:t>
      </w:r>
      <w:r>
        <w:rPr>
          <w:u w:val="single"/>
        </w:rPr>
        <w:t>/</w:t>
      </w:r>
    </w:p>
    <w:p w14:paraId="352C28F6">
      <w:pPr>
        <w:spacing w:line="400" w:lineRule="exact"/>
      </w:pPr>
    </w:p>
    <w:p w14:paraId="290EE672">
      <w:pPr>
        <w:spacing w:line="400" w:lineRule="exact"/>
        <w:rPr>
          <w:szCs w:val="21"/>
        </w:rPr>
      </w:pPr>
      <w:r>
        <w:rPr>
          <w:rFonts w:ascii="Arial" w:hAnsi="Arial" w:cs="Arial"/>
          <w:szCs w:val="21"/>
        </w:rPr>
        <w:t>鉴于你方作为甲方已经与</w:t>
      </w:r>
      <w:r>
        <w:rPr>
          <w:rFonts w:ascii="Arial" w:hAnsi="Arial" w:cs="Arial"/>
          <w:szCs w:val="21"/>
          <w:u w:val="single"/>
        </w:rPr>
        <w:t>/</w:t>
      </w:r>
      <w:r>
        <w:rPr>
          <w:rFonts w:hint="eastAsia" w:ascii="Arial" w:hAnsi="Arial" w:eastAsia="楷体_GB2312" w:cs="Arial"/>
          <w:szCs w:val="21"/>
        </w:rPr>
        <w:t>（</w:t>
      </w:r>
      <w:r>
        <w:rPr>
          <w:rFonts w:ascii="宋体" w:hAnsi="宋体" w:cs="Arial"/>
          <w:szCs w:val="21"/>
        </w:rPr>
        <w:t>乙方名称</w:t>
      </w:r>
      <w:r>
        <w:rPr>
          <w:rFonts w:ascii="Arial" w:hAnsi="Arial" w:eastAsia="楷体_GB2312" w:cs="Arial"/>
          <w:szCs w:val="21"/>
        </w:rPr>
        <w:t>）</w:t>
      </w:r>
      <w:r>
        <w:rPr>
          <w:rFonts w:hint="eastAsia" w:ascii="Arial" w:hAnsi="Arial" w:eastAsia="楷体_GB2312" w:cs="Arial"/>
          <w:szCs w:val="21"/>
        </w:rPr>
        <w:t>（</w:t>
      </w:r>
      <w:r>
        <w:rPr>
          <w:rFonts w:ascii="Arial" w:hAnsi="Arial" w:cs="Arial"/>
          <w:szCs w:val="21"/>
        </w:rPr>
        <w:t>以下称</w:t>
      </w:r>
      <w:r>
        <w:rPr>
          <w:rFonts w:hint="eastAsia" w:ascii="Arial" w:hAnsi="Arial" w:cs="Arial"/>
          <w:szCs w:val="21"/>
        </w:rPr>
        <w:t>“</w:t>
      </w:r>
      <w:r>
        <w:rPr>
          <w:rFonts w:ascii="Arial" w:hAnsi="Arial" w:cs="Arial"/>
          <w:szCs w:val="21"/>
        </w:rPr>
        <w:t>乙方</w:t>
      </w:r>
      <w:r>
        <w:rPr>
          <w:rFonts w:hint="eastAsia" w:ascii="Arial" w:hAnsi="Arial" w:cs="Arial"/>
          <w:szCs w:val="21"/>
        </w:rPr>
        <w:t>”</w:t>
      </w:r>
      <w:r>
        <w:rPr>
          <w:rFonts w:hint="eastAsia"/>
          <w:szCs w:val="21"/>
        </w:rPr>
        <w:t>）</w:t>
      </w:r>
      <w:r>
        <w:rPr>
          <w:szCs w:val="21"/>
        </w:rPr>
        <w:t>于</w:t>
      </w:r>
    </w:p>
    <w:p w14:paraId="43E26ACD">
      <w:pPr>
        <w:spacing w:line="400" w:lineRule="exact"/>
      </w:pPr>
      <w:r>
        <w:rPr>
          <w:szCs w:val="21"/>
        </w:rPr>
        <w:t>年月日签订</w:t>
      </w:r>
      <w:r>
        <w:rPr>
          <w:rFonts w:hint="eastAsia"/>
          <w:szCs w:val="21"/>
        </w:rPr>
        <w:t>了</w:t>
      </w:r>
      <w:r>
        <w:rPr>
          <w:szCs w:val="21"/>
          <w:u w:val="single"/>
        </w:rPr>
        <w:t>/</w:t>
      </w:r>
      <w:r>
        <w:rPr>
          <w:szCs w:val="21"/>
        </w:rPr>
        <w:t>（</w:t>
      </w:r>
      <w:r>
        <w:rPr>
          <w:rFonts w:hint="eastAsia"/>
          <w:szCs w:val="21"/>
        </w:rPr>
        <w:t>工程</w:t>
      </w:r>
      <w:r>
        <w:rPr>
          <w:szCs w:val="21"/>
        </w:rPr>
        <w:t>名称）</w:t>
      </w:r>
      <w:r>
        <w:rPr>
          <w:rFonts w:hint="eastAsia"/>
          <w:szCs w:val="21"/>
        </w:rPr>
        <w:t>施工承包</w:t>
      </w:r>
      <w:r>
        <w:rPr>
          <w:szCs w:val="21"/>
        </w:rPr>
        <w:t>合同</w:t>
      </w:r>
      <w:r>
        <w:rPr>
          <w:rFonts w:hint="eastAsia"/>
          <w:szCs w:val="21"/>
        </w:rPr>
        <w:t>（以下称“主合同”），</w:t>
      </w:r>
      <w:r>
        <w:rPr>
          <w:rFonts w:hint="eastAsia"/>
        </w:rPr>
        <w:t>应乙方申请，我方愿就乙方履行主合同约定的义务以保证的方式向你方提供如下担保：</w:t>
      </w:r>
    </w:p>
    <w:p w14:paraId="0BC0B040">
      <w:pPr>
        <w:spacing w:line="400" w:lineRule="exact"/>
        <w:ind w:firstLine="420" w:firstLineChars="200"/>
        <w:rPr>
          <w:rFonts w:ascii="黑体" w:eastAsia="黑体"/>
        </w:rPr>
      </w:pPr>
      <w:r>
        <w:rPr>
          <w:rFonts w:hint="eastAsia" w:ascii="黑体" w:eastAsia="黑体"/>
        </w:rPr>
        <w:t>一、保证的范围及保证金额</w:t>
      </w:r>
    </w:p>
    <w:p w14:paraId="6BEB4F46">
      <w:pPr>
        <w:spacing w:line="400" w:lineRule="exact"/>
        <w:ind w:firstLine="420" w:firstLineChars="200"/>
      </w:pPr>
      <w:r>
        <w:rPr>
          <w:rFonts w:hint="eastAsia"/>
        </w:rPr>
        <w:t>我方的保证范围是乙方未按照主合同的约定履行义务，给你方造成的实际损失。</w:t>
      </w:r>
    </w:p>
    <w:p w14:paraId="7D811DD0">
      <w:pPr>
        <w:spacing w:line="400" w:lineRule="exact"/>
        <w:ind w:firstLine="420" w:firstLineChars="200"/>
      </w:pPr>
      <w:r>
        <w:rPr>
          <w:rFonts w:hint="eastAsia"/>
        </w:rPr>
        <w:t>我方保证的金额是主合同约定的合同总价款</w:t>
      </w:r>
      <w:r>
        <w:rPr>
          <w:u w:val="single"/>
        </w:rPr>
        <w:t>/</w:t>
      </w:r>
      <w:r>
        <w:rPr>
          <w:rFonts w:hint="eastAsia"/>
        </w:rPr>
        <w:t>%，数额最高不超过人民币</w:t>
      </w:r>
      <w:r>
        <w:rPr>
          <w:u w:val="single"/>
        </w:rPr>
        <w:t>/</w:t>
      </w:r>
      <w:r>
        <w:rPr>
          <w:rFonts w:hint="eastAsia"/>
        </w:rPr>
        <w:t>元（大写）。</w:t>
      </w:r>
    </w:p>
    <w:p w14:paraId="37210D8D">
      <w:pPr>
        <w:spacing w:line="400" w:lineRule="exact"/>
        <w:ind w:firstLine="420" w:firstLineChars="200"/>
        <w:rPr>
          <w:rFonts w:ascii="黑体" w:eastAsia="黑体"/>
        </w:rPr>
      </w:pPr>
      <w:r>
        <w:rPr>
          <w:rFonts w:hint="eastAsia" w:ascii="黑体" w:eastAsia="黑体"/>
        </w:rPr>
        <w:t>二、保证的方式及保证期间</w:t>
      </w:r>
    </w:p>
    <w:p w14:paraId="093B165F">
      <w:pPr>
        <w:spacing w:line="400" w:lineRule="exact"/>
        <w:ind w:firstLine="420" w:firstLineChars="200"/>
      </w:pPr>
      <w:r>
        <w:rPr>
          <w:rFonts w:hint="eastAsia"/>
        </w:rPr>
        <w:t>我方保证的方式为：连带责任保证。</w:t>
      </w:r>
    </w:p>
    <w:p w14:paraId="6E9F4E8E">
      <w:pPr>
        <w:spacing w:line="400" w:lineRule="exact"/>
        <w:ind w:firstLine="420" w:firstLineChars="200"/>
      </w:pPr>
      <w:r>
        <w:rPr>
          <w:rFonts w:hint="eastAsia"/>
        </w:rPr>
        <w:t>我方保证的期间为：自本合同生效之日起至主合同约定的工程竣工日期后</w:t>
      </w:r>
      <w:r>
        <w:rPr>
          <w:u w:val="single"/>
        </w:rPr>
        <w:t>/</w:t>
      </w:r>
      <w:r>
        <w:rPr>
          <w:rFonts w:hint="eastAsia"/>
        </w:rPr>
        <w:t>日内。</w:t>
      </w:r>
    </w:p>
    <w:p w14:paraId="1C3ACCDC">
      <w:pPr>
        <w:spacing w:line="400" w:lineRule="exact"/>
        <w:ind w:firstLine="420" w:firstLineChars="200"/>
      </w:pPr>
      <w:r>
        <w:rPr>
          <w:rFonts w:hint="eastAsia"/>
        </w:rPr>
        <w:t>你方与乙方协议变更工程竣工日期的，经我方书面同意后，保证期间按照变更后的竣工日期做相应调整。</w:t>
      </w:r>
    </w:p>
    <w:p w14:paraId="0E92F691">
      <w:pPr>
        <w:spacing w:line="400" w:lineRule="exact"/>
        <w:ind w:firstLine="420" w:firstLineChars="200"/>
        <w:rPr>
          <w:rFonts w:ascii="黑体" w:eastAsia="黑体"/>
        </w:rPr>
      </w:pPr>
      <w:r>
        <w:rPr>
          <w:rFonts w:hint="eastAsia" w:ascii="黑体" w:eastAsia="黑体"/>
        </w:rPr>
        <w:t>三、承担保证责任的形式</w:t>
      </w:r>
    </w:p>
    <w:p w14:paraId="2EADFF6D">
      <w:pPr>
        <w:spacing w:line="400" w:lineRule="exact"/>
        <w:ind w:firstLine="420" w:firstLineChars="200"/>
        <w:rPr>
          <w:shd w:val="pct10" w:color="auto" w:fill="FFFFFF"/>
        </w:rPr>
      </w:pPr>
      <w:r>
        <w:rPr>
          <w:rFonts w:hint="eastAsia" w:ascii="宋体" w:hAnsi="宋体"/>
        </w:rPr>
        <w:t>我方按照你方的要求以下列方式之一承担保证责任：</w:t>
      </w:r>
    </w:p>
    <w:p w14:paraId="6770E3BF">
      <w:pPr>
        <w:spacing w:line="400" w:lineRule="exact"/>
        <w:ind w:firstLine="315" w:firstLineChars="150"/>
      </w:pPr>
      <w:r>
        <w:rPr>
          <w:rFonts w:hint="eastAsia"/>
        </w:rPr>
        <w:t>（1）由我方提供资金及技术援助，使乙方继续履行主合同义务，支付金额不超过本保函第一条规定的保证金额。</w:t>
      </w:r>
    </w:p>
    <w:p w14:paraId="014EA7D0">
      <w:pPr>
        <w:spacing w:line="400" w:lineRule="exact"/>
        <w:ind w:firstLine="315" w:firstLineChars="150"/>
      </w:pPr>
      <w:r>
        <w:rPr>
          <w:rFonts w:hint="eastAsia"/>
        </w:rPr>
        <w:t>（2）由我方在本保函第一条规定的保证金额内赔偿你方的损失。</w:t>
      </w:r>
    </w:p>
    <w:p w14:paraId="400B7063">
      <w:pPr>
        <w:spacing w:line="400" w:lineRule="exact"/>
        <w:ind w:firstLine="420" w:firstLineChars="200"/>
        <w:rPr>
          <w:rFonts w:ascii="黑体" w:eastAsia="黑体"/>
        </w:rPr>
      </w:pPr>
      <w:r>
        <w:rPr>
          <w:rFonts w:hint="eastAsia" w:ascii="黑体" w:eastAsia="黑体"/>
        </w:rPr>
        <w:t>四、代偿的安排</w:t>
      </w:r>
    </w:p>
    <w:p w14:paraId="14C22C06">
      <w:pPr>
        <w:spacing w:line="400" w:lineRule="exact"/>
        <w:ind w:firstLine="420" w:firstLineChars="200"/>
      </w:pPr>
      <w:r>
        <w:rPr>
          <w:rFonts w:hint="eastAsia"/>
        </w:rPr>
        <w:t>你方要求我方承担保证责任的，应向我方发出书面索赔通知及乙方未履行主合同约定义务的证明材料。索赔通知应写明要求索赔的金额，支付款项应到达的帐号，并附有说明乙方违反主合同造成你方损失情况的证明材料。</w:t>
      </w:r>
    </w:p>
    <w:p w14:paraId="71AE3B20">
      <w:pPr>
        <w:spacing w:line="400" w:lineRule="exact"/>
        <w:ind w:firstLine="420" w:firstLineChars="200"/>
      </w:pPr>
      <w:r>
        <w:rPr>
          <w:rFonts w:hint="eastAsia"/>
        </w:rPr>
        <w:t>你方以工程质量不符合主合同约定标准为由，向我方提出违约索赔的，还需同时提供符合相应条件要求的工程质量检测部门出具的质量说明材料。</w:t>
      </w:r>
    </w:p>
    <w:p w14:paraId="5F74D428">
      <w:pPr>
        <w:spacing w:line="400" w:lineRule="exact"/>
        <w:ind w:firstLine="420" w:firstLineChars="200"/>
      </w:pPr>
      <w:r>
        <w:rPr>
          <w:rFonts w:hint="eastAsia"/>
        </w:rPr>
        <w:t>我方收到你方的书面索赔通知及相应证明材料后，在工作日内进行核定后按照本保函的承诺承担保证责任。</w:t>
      </w:r>
    </w:p>
    <w:p w14:paraId="734A63F1">
      <w:pPr>
        <w:spacing w:line="400" w:lineRule="exact"/>
        <w:ind w:firstLine="420" w:firstLineChars="200"/>
        <w:rPr>
          <w:rFonts w:ascii="黑体" w:eastAsia="黑体"/>
        </w:rPr>
      </w:pPr>
      <w:r>
        <w:rPr>
          <w:rFonts w:hint="eastAsia" w:ascii="黑体" w:eastAsia="黑体"/>
        </w:rPr>
        <w:t>五、保证责任的解除</w:t>
      </w:r>
    </w:p>
    <w:p w14:paraId="6AEFD457">
      <w:pPr>
        <w:spacing w:line="400" w:lineRule="exact"/>
        <w:ind w:firstLine="420" w:firstLineChars="200"/>
      </w:pPr>
      <w:r>
        <w:rPr>
          <w:rFonts w:hint="eastAsia"/>
        </w:rPr>
        <w:t>1、在本保函承诺的保证期间内，你方未书面向我方主张保证责任的，自保证期间届满次日起，我方保证责任解除。</w:t>
      </w:r>
    </w:p>
    <w:p w14:paraId="5ACBEC4B">
      <w:pPr>
        <w:spacing w:line="400" w:lineRule="exact"/>
        <w:ind w:firstLine="420" w:firstLineChars="200"/>
      </w:pPr>
      <w:r>
        <w:rPr>
          <w:rFonts w:hint="eastAsia"/>
        </w:rPr>
        <w:t>2、乙方按主合同约定履行了义务的，自本保函承诺的保证期间届满次日起，我方保证责任解除。</w:t>
      </w:r>
    </w:p>
    <w:p w14:paraId="798EF387">
      <w:pPr>
        <w:spacing w:line="400" w:lineRule="exact"/>
        <w:ind w:firstLine="420" w:firstLineChars="200"/>
      </w:pPr>
      <w:r>
        <w:rPr>
          <w:rFonts w:hint="eastAsia"/>
        </w:rPr>
        <w:t>3、我方按照本保函向你方履行保证责任所支付的金额达到本保函保证金额时，自我方向你方支付（支付款项从我方帐户划出）之日起，保证责任即解除。</w:t>
      </w:r>
    </w:p>
    <w:p w14:paraId="1C11D8DB">
      <w:pPr>
        <w:spacing w:line="400" w:lineRule="exact"/>
        <w:ind w:firstLine="420" w:firstLineChars="200"/>
      </w:pPr>
      <w:r>
        <w:rPr>
          <w:rFonts w:hint="eastAsia"/>
        </w:rPr>
        <w:t>4、按照法律法规的规定或出现应解除我方保证责任的其它情形的，我方在本保函项下的保证责任亦解除。</w:t>
      </w:r>
    </w:p>
    <w:p w14:paraId="38219C71">
      <w:pPr>
        <w:spacing w:line="400" w:lineRule="exact"/>
        <w:ind w:firstLine="420" w:firstLineChars="200"/>
      </w:pPr>
      <w:r>
        <w:rPr>
          <w:rFonts w:hint="eastAsia"/>
        </w:rPr>
        <w:t>我方解除保证责任后，你方应自我方保证责任解除之日起个工作日内，将本保函原件返还我方。</w:t>
      </w:r>
    </w:p>
    <w:p w14:paraId="0986591F">
      <w:pPr>
        <w:spacing w:line="400" w:lineRule="exact"/>
        <w:ind w:firstLine="420" w:firstLineChars="200"/>
        <w:rPr>
          <w:rFonts w:ascii="黑体" w:eastAsia="黑体"/>
        </w:rPr>
      </w:pPr>
      <w:r>
        <w:rPr>
          <w:rFonts w:hint="eastAsia" w:ascii="黑体" w:eastAsia="黑体"/>
        </w:rPr>
        <w:t>六、免责条款</w:t>
      </w:r>
    </w:p>
    <w:p w14:paraId="2050DB7D">
      <w:pPr>
        <w:spacing w:line="400" w:lineRule="exact"/>
        <w:ind w:firstLine="420" w:firstLineChars="200"/>
      </w:pPr>
      <w:r>
        <w:rPr>
          <w:rFonts w:hint="eastAsia"/>
        </w:rPr>
        <w:t>1、因你方违约致使乙方不能履行义务的，我方不承担保证责任。</w:t>
      </w:r>
    </w:p>
    <w:p w14:paraId="1BFFD085">
      <w:pPr>
        <w:spacing w:line="400" w:lineRule="exact"/>
        <w:ind w:firstLine="420" w:firstLineChars="200"/>
        <w:rPr>
          <w:rFonts w:hint="eastAsia" w:ascii="宋体" w:hAnsi="宋体"/>
        </w:rPr>
      </w:pPr>
      <w:r>
        <w:rPr>
          <w:rFonts w:hint="eastAsia" w:ascii="宋体" w:hAnsi="宋体"/>
        </w:rPr>
        <w:t>2、依照法律法规的规定或你方与乙方的另行约定，免除乙方部分或全部义务的，我方亦免除其相应的保证责任。</w:t>
      </w:r>
    </w:p>
    <w:p w14:paraId="36E745B5">
      <w:pPr>
        <w:spacing w:line="400" w:lineRule="exact"/>
        <w:ind w:firstLine="420" w:firstLineChars="200"/>
        <w:rPr>
          <w:rFonts w:hint="eastAsia" w:ascii="宋体" w:hAnsi="宋体"/>
        </w:rPr>
      </w:pPr>
      <w:r>
        <w:rPr>
          <w:rFonts w:hint="eastAsia"/>
        </w:rPr>
        <w:t>3、你方与乙方协议变更主合同（符合主合同合同条款第15条约定的变更除外），如加重乙方责任致使我方保证责任加重的，需征得我方书面同意，否则我方不再承担因此而加重部分的保证责任。</w:t>
      </w:r>
    </w:p>
    <w:p w14:paraId="5C815FCE">
      <w:pPr>
        <w:spacing w:line="400" w:lineRule="exact"/>
        <w:ind w:firstLine="420" w:firstLineChars="200"/>
      </w:pPr>
      <w:r>
        <w:rPr>
          <w:rFonts w:hint="eastAsia" w:ascii="宋体" w:hAnsi="宋体"/>
        </w:rPr>
        <w:t>4、</w:t>
      </w:r>
      <w:r>
        <w:rPr>
          <w:rFonts w:hint="eastAsia"/>
        </w:rPr>
        <w:t>因不可抗力造成</w:t>
      </w:r>
      <w:r>
        <w:rPr>
          <w:rFonts w:hint="eastAsia" w:ascii="宋体" w:hAnsi="宋体"/>
        </w:rPr>
        <w:t>乙方</w:t>
      </w:r>
      <w:r>
        <w:rPr>
          <w:rFonts w:hint="eastAsia"/>
        </w:rPr>
        <w:t>不能履行义务的，我方不承担保证责任</w:t>
      </w:r>
      <w:r>
        <w:rPr>
          <w:rFonts w:hint="eastAsia" w:ascii="宋体" w:hAnsi="宋体"/>
        </w:rPr>
        <w:t>。</w:t>
      </w:r>
    </w:p>
    <w:p w14:paraId="134016F0">
      <w:pPr>
        <w:spacing w:line="400" w:lineRule="exact"/>
        <w:ind w:firstLine="420" w:firstLineChars="200"/>
        <w:rPr>
          <w:rFonts w:ascii="黑体" w:eastAsia="黑体"/>
        </w:rPr>
      </w:pPr>
      <w:r>
        <w:rPr>
          <w:rFonts w:hint="eastAsia" w:ascii="黑体" w:eastAsia="黑体"/>
        </w:rPr>
        <w:t>七、争议的解决</w:t>
      </w:r>
    </w:p>
    <w:p w14:paraId="537074DD">
      <w:pPr>
        <w:spacing w:line="400" w:lineRule="exact"/>
        <w:ind w:firstLine="420" w:firstLineChars="200"/>
        <w:rPr>
          <w:rFonts w:ascii="宋体"/>
        </w:rPr>
      </w:pPr>
      <w:r>
        <w:rPr>
          <w:rFonts w:hint="eastAsia"/>
        </w:rPr>
        <w:t>因本保函发生的纠纷，由贵我双方协商解决，协商不成的，任何一方均可提请</w:t>
      </w:r>
      <w:r>
        <w:rPr>
          <w:rFonts w:hint="eastAsia" w:ascii="宋体"/>
        </w:rPr>
        <w:t>仲裁委员会仲裁。</w:t>
      </w:r>
    </w:p>
    <w:p w14:paraId="157592D6">
      <w:pPr>
        <w:spacing w:line="400" w:lineRule="exact"/>
        <w:ind w:firstLine="420" w:firstLineChars="200"/>
        <w:rPr>
          <w:rFonts w:ascii="黑体" w:eastAsia="黑体"/>
        </w:rPr>
      </w:pPr>
      <w:r>
        <w:rPr>
          <w:rFonts w:hint="eastAsia" w:ascii="黑体" w:eastAsia="黑体"/>
        </w:rPr>
        <w:t>八、保函的生效</w:t>
      </w:r>
    </w:p>
    <w:p w14:paraId="2ECD6132">
      <w:pPr>
        <w:spacing w:line="400" w:lineRule="exact"/>
        <w:ind w:firstLine="420" w:firstLineChars="200"/>
      </w:pPr>
      <w:r>
        <w:rPr>
          <w:rFonts w:hint="eastAsia"/>
        </w:rPr>
        <w:t>本保函自我方法定代表人（或其授权代理人）签字或加盖公章并交付你方之日起生效。</w:t>
      </w:r>
    </w:p>
    <w:p w14:paraId="27385AED">
      <w:pPr>
        <w:spacing w:line="400" w:lineRule="exact"/>
        <w:ind w:firstLine="420" w:firstLineChars="200"/>
      </w:pPr>
      <w:r>
        <w:rPr>
          <w:rFonts w:hint="eastAsia"/>
        </w:rPr>
        <w:t>本条所称交付是指：</w:t>
      </w:r>
      <w:r>
        <w:rPr>
          <w:u w:val="single"/>
        </w:rPr>
        <w:t>/</w:t>
      </w:r>
      <w:r>
        <w:rPr>
          <w:rFonts w:hint="eastAsia"/>
        </w:rPr>
        <w:t>。</w:t>
      </w:r>
    </w:p>
    <w:p w14:paraId="779D0151">
      <w:pPr>
        <w:spacing w:line="400" w:lineRule="exact"/>
      </w:pPr>
    </w:p>
    <w:p w14:paraId="0ECE646B">
      <w:pPr>
        <w:spacing w:line="400" w:lineRule="exact"/>
        <w:ind w:firstLine="2940" w:firstLineChars="1400"/>
        <w:jc w:val="left"/>
        <w:rPr>
          <w:szCs w:val="21"/>
        </w:rPr>
      </w:pPr>
      <w:r>
        <w:rPr>
          <w:rFonts w:hint="eastAsia" w:ascii="黑体" w:eastAsia="黑体"/>
          <w:szCs w:val="21"/>
        </w:rPr>
        <w:t>担保人</w:t>
      </w:r>
      <w:r>
        <w:rPr>
          <w:szCs w:val="21"/>
        </w:rPr>
        <w:t>：</w:t>
      </w:r>
      <w:r>
        <w:rPr>
          <w:szCs w:val="21"/>
          <w:u w:val="single"/>
        </w:rPr>
        <w:t>/</w:t>
      </w:r>
      <w:r>
        <w:rPr>
          <w:szCs w:val="21"/>
        </w:rPr>
        <w:t>（盖单位章）</w:t>
      </w:r>
    </w:p>
    <w:p w14:paraId="1CD71139">
      <w:pPr>
        <w:spacing w:line="400" w:lineRule="exact"/>
        <w:ind w:firstLine="2940" w:firstLineChars="1400"/>
        <w:jc w:val="left"/>
        <w:rPr>
          <w:szCs w:val="21"/>
        </w:rPr>
      </w:pPr>
      <w:r>
        <w:rPr>
          <w:rFonts w:hint="eastAsia" w:ascii="黑体" w:eastAsia="黑体"/>
          <w:szCs w:val="21"/>
        </w:rPr>
        <w:t>法定代表人或其委托代理人</w:t>
      </w:r>
      <w:r>
        <w:rPr>
          <w:szCs w:val="21"/>
        </w:rPr>
        <w:t>：</w:t>
      </w:r>
      <w:r>
        <w:rPr>
          <w:szCs w:val="21"/>
          <w:u w:val="single"/>
        </w:rPr>
        <w:t>/</w:t>
      </w:r>
      <w:r>
        <w:rPr>
          <w:szCs w:val="21"/>
        </w:rPr>
        <w:t>（签字）</w:t>
      </w:r>
    </w:p>
    <w:p w14:paraId="57D4C4CB">
      <w:pPr>
        <w:spacing w:line="400" w:lineRule="exact"/>
        <w:ind w:firstLine="2940" w:firstLineChars="1400"/>
        <w:jc w:val="left"/>
        <w:rPr>
          <w:szCs w:val="21"/>
        </w:rPr>
      </w:pPr>
      <w:r>
        <w:rPr>
          <w:rFonts w:hint="eastAsia" w:ascii="黑体" w:eastAsia="黑体"/>
          <w:szCs w:val="21"/>
        </w:rPr>
        <w:t>地    址</w:t>
      </w:r>
      <w:r>
        <w:rPr>
          <w:szCs w:val="21"/>
        </w:rPr>
        <w:t>：</w:t>
      </w:r>
      <w:r>
        <w:rPr>
          <w:szCs w:val="21"/>
          <w:u w:val="single"/>
        </w:rPr>
        <w:tab/>
      </w:r>
      <w:r>
        <w:rPr>
          <w:szCs w:val="21"/>
          <w:u w:val="single"/>
        </w:rPr>
        <w:tab/>
      </w:r>
      <w:r>
        <w:rPr>
          <w:szCs w:val="21"/>
          <w:u w:val="single"/>
        </w:rPr>
        <w:t>/</w:t>
      </w:r>
      <w:r>
        <w:rPr>
          <w:szCs w:val="21"/>
          <w:u w:val="single"/>
        </w:rPr>
        <w:tab/>
      </w:r>
      <w:r>
        <w:rPr>
          <w:szCs w:val="21"/>
          <w:u w:val="single"/>
        </w:rPr>
        <w:tab/>
      </w:r>
    </w:p>
    <w:p w14:paraId="49C7D5C2">
      <w:pPr>
        <w:spacing w:line="400" w:lineRule="exact"/>
        <w:ind w:firstLine="2940" w:firstLineChars="1400"/>
        <w:jc w:val="left"/>
        <w:rPr>
          <w:szCs w:val="21"/>
          <w:u w:val="single"/>
        </w:rPr>
      </w:pPr>
      <w:r>
        <w:rPr>
          <w:rFonts w:hint="eastAsia" w:ascii="黑体" w:eastAsia="黑体"/>
          <w:szCs w:val="21"/>
        </w:rPr>
        <w:t>邮政编码</w:t>
      </w:r>
      <w:r>
        <w:rPr>
          <w:szCs w:val="21"/>
        </w:rPr>
        <w:t>：</w:t>
      </w:r>
      <w:r>
        <w:rPr>
          <w:szCs w:val="21"/>
          <w:u w:val="single"/>
        </w:rPr>
        <w:tab/>
      </w:r>
      <w:r>
        <w:rPr>
          <w:szCs w:val="21"/>
          <w:u w:val="single"/>
        </w:rPr>
        <w:tab/>
      </w:r>
      <w:r>
        <w:rPr>
          <w:szCs w:val="21"/>
          <w:u w:val="single"/>
        </w:rPr>
        <w:tab/>
      </w:r>
      <w:r>
        <w:rPr>
          <w:szCs w:val="21"/>
          <w:u w:val="single"/>
        </w:rPr>
        <w:t>/</w:t>
      </w:r>
      <w:r>
        <w:rPr>
          <w:szCs w:val="21"/>
          <w:u w:val="single"/>
        </w:rPr>
        <w:tab/>
      </w:r>
      <w:r>
        <w:rPr>
          <w:szCs w:val="21"/>
          <w:u w:val="single"/>
        </w:rPr>
        <w:tab/>
      </w:r>
      <w:r>
        <w:rPr>
          <w:szCs w:val="21"/>
          <w:u w:val="single"/>
        </w:rPr>
        <w:tab/>
      </w:r>
    </w:p>
    <w:p w14:paraId="71FC462D">
      <w:pPr>
        <w:spacing w:line="400" w:lineRule="exact"/>
        <w:ind w:firstLine="2940" w:firstLineChars="1400"/>
        <w:jc w:val="left"/>
        <w:rPr>
          <w:szCs w:val="21"/>
          <w:u w:val="single"/>
        </w:rPr>
      </w:pPr>
      <w:r>
        <w:rPr>
          <w:rFonts w:hint="eastAsia" w:ascii="黑体" w:eastAsia="黑体"/>
          <w:szCs w:val="21"/>
        </w:rPr>
        <w:t>电    话</w:t>
      </w:r>
      <w:r>
        <w:rPr>
          <w:szCs w:val="21"/>
        </w:rPr>
        <w:t>：</w:t>
      </w:r>
      <w:r>
        <w:rPr>
          <w:szCs w:val="21"/>
          <w:u w:val="single"/>
        </w:rPr>
        <w:t>/</w:t>
      </w:r>
    </w:p>
    <w:p w14:paraId="0C36E967">
      <w:pPr>
        <w:spacing w:line="400" w:lineRule="exact"/>
        <w:ind w:firstLine="2940" w:firstLineChars="1400"/>
        <w:jc w:val="left"/>
        <w:rPr>
          <w:szCs w:val="21"/>
          <w:u w:val="single"/>
        </w:rPr>
      </w:pPr>
      <w:r>
        <w:rPr>
          <w:rFonts w:hint="eastAsia" w:ascii="黑体" w:eastAsia="黑体"/>
          <w:szCs w:val="21"/>
        </w:rPr>
        <w:t>传    真</w:t>
      </w:r>
      <w:r>
        <w:rPr>
          <w:szCs w:val="21"/>
        </w:rPr>
        <w:t>：</w:t>
      </w:r>
      <w:r>
        <w:rPr>
          <w:szCs w:val="21"/>
          <w:u w:val="single"/>
        </w:rPr>
        <w:t>/</w:t>
      </w:r>
    </w:p>
    <w:p w14:paraId="03C3383F">
      <w:pPr>
        <w:spacing w:line="400" w:lineRule="exact"/>
        <w:ind w:firstLine="4515" w:firstLineChars="2150"/>
        <w:jc w:val="left"/>
        <w:rPr>
          <w:szCs w:val="21"/>
          <w:u w:val="single"/>
        </w:rPr>
      </w:pPr>
      <w:r>
        <w:rPr>
          <w:szCs w:val="21"/>
          <w:u w:val="single"/>
        </w:rPr>
        <w:t>/</w:t>
      </w:r>
      <w:r>
        <w:rPr>
          <w:szCs w:val="21"/>
        </w:rPr>
        <w:t>年</w:t>
      </w:r>
      <w:r>
        <w:rPr>
          <w:szCs w:val="21"/>
          <w:u w:val="single"/>
        </w:rPr>
        <w:t>/</w:t>
      </w:r>
      <w:r>
        <w:rPr>
          <w:szCs w:val="21"/>
        </w:rPr>
        <w:t>月</w:t>
      </w:r>
      <w:r>
        <w:rPr>
          <w:szCs w:val="21"/>
          <w:u w:val="single"/>
        </w:rPr>
        <w:t>/</w:t>
      </w:r>
      <w:r>
        <w:rPr>
          <w:szCs w:val="21"/>
        </w:rPr>
        <w:t>日</w:t>
      </w:r>
    </w:p>
    <w:p w14:paraId="1667FC81">
      <w:pPr>
        <w:spacing w:line="400" w:lineRule="exact"/>
        <w:rPr>
          <w:szCs w:val="21"/>
        </w:rPr>
      </w:pPr>
    </w:p>
    <w:p w14:paraId="4EED5C33">
      <w:pPr>
        <w:spacing w:line="400" w:lineRule="exact"/>
        <w:rPr>
          <w:szCs w:val="21"/>
        </w:rPr>
      </w:pPr>
      <w:r>
        <w:rPr>
          <w:rFonts w:hint="eastAsia" w:ascii="黑体" w:eastAsia="黑体"/>
          <w:szCs w:val="21"/>
        </w:rPr>
        <w:t>备注：</w:t>
      </w:r>
      <w:r>
        <w:rPr>
          <w:rFonts w:hint="eastAsia"/>
          <w:szCs w:val="21"/>
        </w:rPr>
        <w:t>本履约担保格式可以采用经甲方同意的其他格式，但相关内容不得违背合同约定的实质性内容。</w:t>
      </w:r>
    </w:p>
    <w:p w14:paraId="31360EC2">
      <w:pPr>
        <w:pStyle w:val="261"/>
        <w:tabs>
          <w:tab w:val="left" w:pos="720"/>
        </w:tabs>
        <w:outlineLvl w:val="9"/>
        <w:rPr>
          <w:sz w:val="28"/>
        </w:rPr>
      </w:pPr>
      <w:r>
        <w:rPr>
          <w:sz w:val="21"/>
        </w:rPr>
        <w:br w:type="page"/>
      </w:r>
      <w:r>
        <w:rPr>
          <w:rFonts w:hint="eastAsia"/>
        </w:rPr>
        <w:t>附件五：支付担保格式</w:t>
      </w:r>
    </w:p>
    <w:p w14:paraId="317F5156">
      <w:pPr>
        <w:spacing w:line="400" w:lineRule="exact"/>
        <w:jc w:val="center"/>
        <w:rPr>
          <w:rFonts w:eastAsia="黑体"/>
          <w:sz w:val="28"/>
        </w:rPr>
      </w:pPr>
      <w:r>
        <w:rPr>
          <w:rFonts w:hint="eastAsia" w:eastAsia="黑体"/>
          <w:sz w:val="28"/>
        </w:rPr>
        <w:t>甲方支付保函</w:t>
      </w:r>
    </w:p>
    <w:p w14:paraId="77982F39">
      <w:pPr>
        <w:rPr>
          <w:rFonts w:ascii="黑体" w:eastAsia="黑体"/>
        </w:rPr>
      </w:pPr>
    </w:p>
    <w:p w14:paraId="2746DBD6">
      <w:pPr>
        <w:spacing w:line="400" w:lineRule="exact"/>
      </w:pPr>
      <w:r>
        <w:rPr>
          <w:u w:val="single"/>
        </w:rPr>
        <w:t>/</w:t>
      </w:r>
      <w:r>
        <w:rPr>
          <w:rFonts w:hint="eastAsia"/>
        </w:rPr>
        <w:t>（乙方）：</w:t>
      </w:r>
    </w:p>
    <w:p w14:paraId="32E10816">
      <w:pPr>
        <w:spacing w:line="400" w:lineRule="exact"/>
      </w:pPr>
    </w:p>
    <w:p w14:paraId="6D631E84">
      <w:pPr>
        <w:spacing w:line="400" w:lineRule="exact"/>
        <w:ind w:firstLine="420" w:firstLineChars="200"/>
        <w:rPr>
          <w:szCs w:val="21"/>
        </w:rPr>
      </w:pPr>
      <w:r>
        <w:rPr>
          <w:rFonts w:ascii="Arial" w:hAnsi="Arial" w:cs="Arial"/>
          <w:szCs w:val="21"/>
        </w:rPr>
        <w:t>鉴于你方</w:t>
      </w:r>
      <w:r>
        <w:rPr>
          <w:rFonts w:hint="eastAsia" w:ascii="Arial" w:hAnsi="Arial" w:cs="Arial"/>
          <w:szCs w:val="21"/>
        </w:rPr>
        <w:t>作为乙方</w:t>
      </w:r>
      <w:r>
        <w:rPr>
          <w:rFonts w:ascii="Arial" w:hAnsi="Arial" w:cs="Arial"/>
          <w:szCs w:val="21"/>
        </w:rPr>
        <w:t>已经与</w:t>
      </w:r>
      <w:r>
        <w:rPr>
          <w:rFonts w:ascii="Arial" w:hAnsi="Arial" w:cs="Arial"/>
          <w:szCs w:val="21"/>
          <w:u w:val="single"/>
        </w:rPr>
        <w:t>/</w:t>
      </w:r>
      <w:r>
        <w:rPr>
          <w:rFonts w:hint="eastAsia" w:ascii="Arial" w:hAnsi="Arial" w:eastAsia="楷体_GB2312" w:cs="Arial"/>
          <w:szCs w:val="21"/>
        </w:rPr>
        <w:t>（</w:t>
      </w:r>
      <w:r>
        <w:rPr>
          <w:rFonts w:hint="eastAsia" w:ascii="宋体" w:hAnsi="宋体" w:cs="Arial"/>
          <w:szCs w:val="21"/>
        </w:rPr>
        <w:t>甲方</w:t>
      </w:r>
      <w:r>
        <w:rPr>
          <w:rFonts w:ascii="宋体" w:hAnsi="宋体" w:cs="Arial"/>
          <w:szCs w:val="21"/>
        </w:rPr>
        <w:t>名称</w:t>
      </w:r>
      <w:r>
        <w:rPr>
          <w:rFonts w:ascii="Arial" w:hAnsi="Arial" w:eastAsia="楷体_GB2312" w:cs="Arial"/>
          <w:szCs w:val="21"/>
        </w:rPr>
        <w:t>）</w:t>
      </w:r>
      <w:r>
        <w:rPr>
          <w:rFonts w:hint="eastAsia" w:ascii="Arial" w:hAnsi="Arial" w:eastAsia="楷体_GB2312" w:cs="Arial"/>
          <w:szCs w:val="21"/>
        </w:rPr>
        <w:t>（</w:t>
      </w:r>
      <w:r>
        <w:rPr>
          <w:rFonts w:ascii="Arial" w:hAnsi="Arial" w:cs="Arial"/>
          <w:szCs w:val="21"/>
        </w:rPr>
        <w:t>以下称</w:t>
      </w:r>
      <w:r>
        <w:rPr>
          <w:rFonts w:hint="eastAsia" w:ascii="Arial" w:hAnsi="Arial" w:cs="Arial"/>
          <w:szCs w:val="21"/>
        </w:rPr>
        <w:t>“甲方”</w:t>
      </w:r>
      <w:r>
        <w:rPr>
          <w:rFonts w:hint="eastAsia"/>
          <w:szCs w:val="21"/>
        </w:rPr>
        <w:t>）</w:t>
      </w:r>
      <w:r>
        <w:rPr>
          <w:szCs w:val="21"/>
        </w:rPr>
        <w:t>于</w:t>
      </w:r>
    </w:p>
    <w:p w14:paraId="357EF619">
      <w:pPr>
        <w:spacing w:line="400" w:lineRule="exact"/>
      </w:pPr>
      <w:r>
        <w:rPr>
          <w:szCs w:val="21"/>
        </w:rPr>
        <w:t>年月日签订</w:t>
      </w:r>
      <w:r>
        <w:rPr>
          <w:rFonts w:hint="eastAsia"/>
          <w:szCs w:val="21"/>
        </w:rPr>
        <w:t>了</w:t>
      </w:r>
      <w:r>
        <w:rPr>
          <w:szCs w:val="21"/>
          <w:u w:val="single"/>
        </w:rPr>
        <w:t>/</w:t>
      </w:r>
      <w:r>
        <w:rPr>
          <w:szCs w:val="21"/>
        </w:rPr>
        <w:t>（</w:t>
      </w:r>
      <w:r>
        <w:rPr>
          <w:rFonts w:hint="eastAsia"/>
          <w:szCs w:val="21"/>
        </w:rPr>
        <w:t>工程</w:t>
      </w:r>
      <w:r>
        <w:rPr>
          <w:szCs w:val="21"/>
        </w:rPr>
        <w:t>名称）</w:t>
      </w:r>
      <w:r>
        <w:rPr>
          <w:rFonts w:hint="eastAsia"/>
          <w:szCs w:val="21"/>
        </w:rPr>
        <w:t>施工承包</w:t>
      </w:r>
      <w:r>
        <w:rPr>
          <w:szCs w:val="21"/>
        </w:rPr>
        <w:t>合同</w:t>
      </w:r>
      <w:r>
        <w:rPr>
          <w:rFonts w:hint="eastAsia"/>
          <w:szCs w:val="21"/>
        </w:rPr>
        <w:t>（以下称“主合同”），</w:t>
      </w:r>
      <w:r>
        <w:rPr>
          <w:rFonts w:hint="eastAsia"/>
        </w:rPr>
        <w:t>应甲方的申请，我方愿就甲方履行主合同约定的工程款支付义务以保证的方式向你方提供如下担保：</w:t>
      </w:r>
    </w:p>
    <w:p w14:paraId="3A2D0A43">
      <w:pPr>
        <w:spacing w:line="400" w:lineRule="exact"/>
        <w:ind w:firstLine="420" w:firstLineChars="200"/>
        <w:rPr>
          <w:rFonts w:ascii="黑体" w:eastAsia="黑体"/>
        </w:rPr>
      </w:pPr>
      <w:r>
        <w:rPr>
          <w:rFonts w:hint="eastAsia" w:ascii="黑体" w:eastAsia="黑体"/>
        </w:rPr>
        <w:t>一、保证的范围及保证金额</w:t>
      </w:r>
    </w:p>
    <w:p w14:paraId="01B065B7">
      <w:pPr>
        <w:spacing w:line="400" w:lineRule="exact"/>
        <w:ind w:firstLine="420" w:firstLineChars="200"/>
      </w:pPr>
      <w:r>
        <w:rPr>
          <w:rFonts w:hint="eastAsia"/>
        </w:rPr>
        <w:t>我方的保证范围是主合同约定的工程款。</w:t>
      </w:r>
    </w:p>
    <w:p w14:paraId="31A70074">
      <w:pPr>
        <w:spacing w:line="400" w:lineRule="exact"/>
        <w:ind w:firstLine="420" w:firstLineChars="200"/>
      </w:pPr>
      <w:r>
        <w:rPr>
          <w:rFonts w:hint="eastAsia"/>
        </w:rPr>
        <w:t>本保函所称主合同约定的工程款是指主合同约定的除工程质量保证金以外的合同价款。</w:t>
      </w:r>
    </w:p>
    <w:p w14:paraId="4C700B4C">
      <w:pPr>
        <w:spacing w:line="400" w:lineRule="exact"/>
        <w:ind w:firstLine="420" w:firstLineChars="200"/>
      </w:pPr>
      <w:r>
        <w:rPr>
          <w:rFonts w:hint="eastAsia"/>
        </w:rPr>
        <w:t>我方保证的金额是主合同约定的工程款的</w:t>
      </w:r>
      <w:r>
        <w:rPr>
          <w:u w:val="single"/>
        </w:rPr>
        <w:t>/</w:t>
      </w:r>
      <w:r>
        <w:rPr>
          <w:rFonts w:hint="eastAsia"/>
        </w:rPr>
        <w:t>%，数额最高不超过人民币</w:t>
      </w:r>
      <w:r>
        <w:softHyphen/>
      </w:r>
      <w:r>
        <w:rPr>
          <w:u w:val="single"/>
        </w:rPr>
        <w:t>/</w:t>
      </w:r>
      <w:r>
        <w:rPr>
          <w:rFonts w:hint="eastAsia"/>
        </w:rPr>
        <w:t>元（大写：</w:t>
      </w:r>
      <w:r>
        <w:rPr>
          <w:u w:val="single"/>
        </w:rPr>
        <w:t>/</w:t>
      </w:r>
      <w:r>
        <w:rPr>
          <w:rFonts w:hint="eastAsia"/>
        </w:rPr>
        <w:t>）。</w:t>
      </w:r>
    </w:p>
    <w:p w14:paraId="262295BA">
      <w:pPr>
        <w:spacing w:line="400" w:lineRule="exact"/>
        <w:ind w:firstLine="420" w:firstLineChars="200"/>
        <w:rPr>
          <w:rFonts w:ascii="黑体" w:eastAsia="黑体"/>
        </w:rPr>
      </w:pPr>
      <w:r>
        <w:rPr>
          <w:rFonts w:hint="eastAsia" w:ascii="黑体" w:eastAsia="黑体"/>
        </w:rPr>
        <w:t>二、保证的方式及保证期间</w:t>
      </w:r>
    </w:p>
    <w:p w14:paraId="45AC04E1">
      <w:pPr>
        <w:spacing w:line="400" w:lineRule="exact"/>
        <w:ind w:firstLine="420" w:firstLineChars="200"/>
      </w:pPr>
      <w:r>
        <w:rPr>
          <w:rFonts w:hint="eastAsia"/>
        </w:rPr>
        <w:t>我方保证的方式为：连带责任保证。</w:t>
      </w:r>
    </w:p>
    <w:p w14:paraId="1EA40C14">
      <w:pPr>
        <w:spacing w:line="400" w:lineRule="exact"/>
        <w:ind w:firstLine="420" w:firstLineChars="200"/>
      </w:pPr>
      <w:r>
        <w:rPr>
          <w:rFonts w:hint="eastAsia"/>
        </w:rPr>
        <w:t>我方保证的期间为：自本合同生效之日起至主合同约定的工程款支付之日后</w:t>
      </w:r>
      <w:r>
        <w:rPr>
          <w:u w:val="single"/>
        </w:rPr>
        <w:t>/</w:t>
      </w:r>
      <w:r>
        <w:rPr>
          <w:rFonts w:hint="eastAsia"/>
        </w:rPr>
        <w:t>日内。</w:t>
      </w:r>
    </w:p>
    <w:p w14:paraId="50BDD8F6">
      <w:pPr>
        <w:spacing w:line="400" w:lineRule="exact"/>
        <w:ind w:firstLine="420" w:firstLineChars="200"/>
        <w:rPr>
          <w:b/>
        </w:rPr>
      </w:pPr>
      <w:r>
        <w:rPr>
          <w:rFonts w:hint="eastAsia"/>
        </w:rPr>
        <w:t>你方与甲方协议变更工程款支付日期的，经我方书面同意后，保证期间按照变更后的支付日期做相应调整。</w:t>
      </w:r>
    </w:p>
    <w:p w14:paraId="0B2F7D72">
      <w:pPr>
        <w:spacing w:line="400" w:lineRule="exact"/>
        <w:ind w:firstLine="420" w:firstLineChars="200"/>
        <w:rPr>
          <w:rFonts w:ascii="黑体" w:eastAsia="黑体"/>
        </w:rPr>
      </w:pPr>
      <w:r>
        <w:rPr>
          <w:rFonts w:hint="eastAsia" w:ascii="黑体" w:eastAsia="黑体"/>
        </w:rPr>
        <w:t>三、承担保证责任的形式</w:t>
      </w:r>
    </w:p>
    <w:p w14:paraId="11094395">
      <w:pPr>
        <w:spacing w:line="400" w:lineRule="exact"/>
        <w:ind w:firstLine="411" w:firstLineChars="196"/>
      </w:pPr>
      <w:r>
        <w:rPr>
          <w:rFonts w:hint="eastAsia"/>
        </w:rPr>
        <w:t>我方承担保证责任的形式是代为支付。甲方未按主合同约定向你方支付工程款的，由我方在保证金额内代为支付。</w:t>
      </w:r>
    </w:p>
    <w:p w14:paraId="09C5DBE4">
      <w:pPr>
        <w:spacing w:line="400" w:lineRule="exact"/>
        <w:ind w:firstLine="420" w:firstLineChars="200"/>
        <w:rPr>
          <w:rFonts w:ascii="黑体" w:eastAsia="黑体"/>
        </w:rPr>
      </w:pPr>
      <w:r>
        <w:rPr>
          <w:rFonts w:hint="eastAsia" w:ascii="黑体" w:eastAsia="黑体"/>
        </w:rPr>
        <w:t>四、代偿的安排</w:t>
      </w:r>
    </w:p>
    <w:p w14:paraId="7D4D8CAA">
      <w:pPr>
        <w:spacing w:line="400" w:lineRule="exact"/>
        <w:ind w:firstLine="420" w:firstLineChars="200"/>
      </w:pPr>
      <w:r>
        <w:rPr>
          <w:rFonts w:hint="eastAsia"/>
        </w:rPr>
        <w:t>你方要求我方承担保证责任的，应向我方发出书面索赔通知及甲方未支付主合同约定工程款的证明材料。索赔通知应写明要求索赔的金额，支付款项应到达的帐号。</w:t>
      </w:r>
    </w:p>
    <w:p w14:paraId="3F258BFF">
      <w:pPr>
        <w:spacing w:line="400" w:lineRule="exact"/>
        <w:ind w:firstLine="420" w:firstLineChars="200"/>
      </w:pPr>
    </w:p>
    <w:p w14:paraId="20191216">
      <w:pPr>
        <w:spacing w:line="400" w:lineRule="exact"/>
        <w:ind w:firstLine="420" w:firstLineChars="200"/>
      </w:pPr>
      <w:r>
        <w:rPr>
          <w:rFonts w:hint="eastAsia"/>
        </w:rPr>
        <w:t>在出现你方与甲方因工程质量发生争议，甲方拒绝向你方支付工程款的情形时，你方要求我方履行保证责任代为支付的，还需提供项目总监理工程师、监理人或符合相应条件要求的工程质量检测机构出具的质量说明材料。</w:t>
      </w:r>
    </w:p>
    <w:p w14:paraId="7A5128F7">
      <w:pPr>
        <w:spacing w:line="400" w:lineRule="exact"/>
        <w:ind w:firstLine="420" w:firstLineChars="200"/>
      </w:pPr>
      <w:r>
        <w:rPr>
          <w:rFonts w:hint="eastAsia"/>
        </w:rPr>
        <w:t>我方收到你方的书面索赔通知及相应证明材料后，在个工作日内进行核定后按照本保函的承诺承担保证责任。</w:t>
      </w:r>
    </w:p>
    <w:p w14:paraId="388BB977">
      <w:pPr>
        <w:spacing w:line="400" w:lineRule="exact"/>
        <w:ind w:firstLine="420" w:firstLineChars="200"/>
        <w:rPr>
          <w:rFonts w:ascii="黑体" w:eastAsia="黑体"/>
        </w:rPr>
      </w:pPr>
      <w:r>
        <w:rPr>
          <w:rFonts w:hint="eastAsia" w:ascii="黑体" w:eastAsia="黑体"/>
        </w:rPr>
        <w:t>五、保证责任的解除</w:t>
      </w:r>
    </w:p>
    <w:p w14:paraId="01F01043">
      <w:pPr>
        <w:spacing w:line="400" w:lineRule="exact"/>
        <w:ind w:firstLine="420" w:firstLineChars="200"/>
      </w:pPr>
      <w:r>
        <w:rPr>
          <w:rFonts w:hint="eastAsia"/>
        </w:rPr>
        <w:t>1、在本保函承诺的保证期间内，你方未书面向我方主张保证责任的，自保证期间届满次日起，我方保证责任解除。</w:t>
      </w:r>
    </w:p>
    <w:p w14:paraId="28188ED4">
      <w:pPr>
        <w:spacing w:line="400" w:lineRule="exact"/>
        <w:ind w:firstLine="420" w:firstLineChars="200"/>
      </w:pPr>
      <w:r>
        <w:rPr>
          <w:rFonts w:hint="eastAsia"/>
        </w:rPr>
        <w:t>2、甲方按主合同约定履行了工程款的全部支付义务的，自本保函承诺的保证期间届满次日起，我方保证责任解除。</w:t>
      </w:r>
    </w:p>
    <w:p w14:paraId="7107D8AD">
      <w:pPr>
        <w:spacing w:line="400" w:lineRule="exact"/>
        <w:ind w:firstLine="420" w:firstLineChars="200"/>
      </w:pPr>
      <w:r>
        <w:rPr>
          <w:rFonts w:hint="eastAsia"/>
        </w:rPr>
        <w:t>3、我方按照本保函向你方履行保证责任所支付金额达到本保函保证金额时，自我方向你方支付（支付款项从我方帐户划出）之日起，保证责任即解除。</w:t>
      </w:r>
    </w:p>
    <w:p w14:paraId="6DC1E036">
      <w:pPr>
        <w:spacing w:line="400" w:lineRule="exact"/>
        <w:ind w:firstLine="420" w:firstLineChars="200"/>
      </w:pPr>
      <w:r>
        <w:rPr>
          <w:rFonts w:hint="eastAsia"/>
        </w:rPr>
        <w:t>4、按照法律法规的规定或出现应解除我方保证责任的其它情形的，我方在本保函项下的保证责任亦解除。</w:t>
      </w:r>
    </w:p>
    <w:p w14:paraId="162B89FA">
      <w:pPr>
        <w:spacing w:line="400" w:lineRule="exact"/>
        <w:ind w:firstLine="420" w:firstLineChars="200"/>
      </w:pPr>
      <w:r>
        <w:rPr>
          <w:rFonts w:hint="eastAsia"/>
        </w:rPr>
        <w:t>我方解除保证责任后，你方应自我方保证责任解除之日起个工作日内，将本保函原件返还我方。</w:t>
      </w:r>
    </w:p>
    <w:p w14:paraId="4A34CC81">
      <w:pPr>
        <w:spacing w:line="400" w:lineRule="exact"/>
        <w:ind w:firstLine="420" w:firstLineChars="200"/>
        <w:rPr>
          <w:rFonts w:ascii="黑体" w:eastAsia="黑体"/>
        </w:rPr>
      </w:pPr>
      <w:r>
        <w:rPr>
          <w:rFonts w:hint="eastAsia" w:ascii="黑体" w:eastAsia="黑体"/>
        </w:rPr>
        <w:t>六、免责条款</w:t>
      </w:r>
    </w:p>
    <w:p w14:paraId="54A302F5">
      <w:pPr>
        <w:spacing w:line="400" w:lineRule="exact"/>
        <w:ind w:firstLine="420" w:firstLineChars="200"/>
      </w:pPr>
      <w:r>
        <w:rPr>
          <w:rFonts w:hint="eastAsia"/>
        </w:rPr>
        <w:t>1、因你方违约致使甲方不能履行义务的，我方不承担保证责任。</w:t>
      </w:r>
    </w:p>
    <w:p w14:paraId="05613E9D">
      <w:pPr>
        <w:spacing w:line="400" w:lineRule="exact"/>
        <w:ind w:firstLine="420" w:firstLineChars="200"/>
        <w:rPr>
          <w:rFonts w:hint="eastAsia" w:ascii="宋体" w:hAnsi="宋体"/>
        </w:rPr>
      </w:pPr>
      <w:r>
        <w:rPr>
          <w:rFonts w:hint="eastAsia" w:ascii="宋体" w:hAnsi="宋体"/>
        </w:rPr>
        <w:t>2、依照法律法规</w:t>
      </w:r>
      <w:r>
        <w:rPr>
          <w:rFonts w:hint="eastAsia"/>
        </w:rPr>
        <w:t>的</w:t>
      </w:r>
      <w:r>
        <w:rPr>
          <w:rFonts w:hint="eastAsia" w:ascii="宋体" w:hAnsi="宋体"/>
        </w:rPr>
        <w:t>规定或你方与甲方的另行约定，免除甲方部分或全部义务的，我方亦免除其相应的保证责任。</w:t>
      </w:r>
    </w:p>
    <w:p w14:paraId="4AC86B20">
      <w:pPr>
        <w:spacing w:line="400" w:lineRule="exact"/>
        <w:ind w:firstLine="420" w:firstLineChars="200"/>
        <w:rPr>
          <w:rFonts w:hint="eastAsia" w:ascii="宋体" w:hAnsi="宋体"/>
        </w:rPr>
      </w:pPr>
      <w:r>
        <w:rPr>
          <w:rFonts w:hint="eastAsia"/>
        </w:rPr>
        <w:t>3、你方与甲方协议变更主合同的（符合主合同合同条款第15条约定的变更除外），如加重甲方责任致使我方保证责任加重的，需征得我方书面同意，否则我方不再承担因此而加重部分的保证责任。</w:t>
      </w:r>
    </w:p>
    <w:p w14:paraId="7C2CCCAF">
      <w:pPr>
        <w:spacing w:line="400" w:lineRule="exact"/>
        <w:ind w:firstLine="420" w:firstLineChars="200"/>
      </w:pPr>
      <w:r>
        <w:rPr>
          <w:rFonts w:hint="eastAsia" w:ascii="宋体" w:hAnsi="宋体"/>
        </w:rPr>
        <w:t>4、</w:t>
      </w:r>
      <w:r>
        <w:rPr>
          <w:rFonts w:hint="eastAsia"/>
        </w:rPr>
        <w:t>因不可抗力造成</w:t>
      </w:r>
      <w:r>
        <w:rPr>
          <w:rFonts w:hint="eastAsia" w:ascii="宋体" w:hAnsi="宋体"/>
        </w:rPr>
        <w:t>甲方</w:t>
      </w:r>
      <w:r>
        <w:rPr>
          <w:rFonts w:hint="eastAsia"/>
        </w:rPr>
        <w:t>不能履行义务的，我方不承担保证责任</w:t>
      </w:r>
      <w:r>
        <w:rPr>
          <w:rFonts w:hint="eastAsia" w:ascii="宋体" w:hAnsi="宋体"/>
        </w:rPr>
        <w:t>。</w:t>
      </w:r>
    </w:p>
    <w:p w14:paraId="26439CD5">
      <w:pPr>
        <w:spacing w:line="400" w:lineRule="exact"/>
        <w:ind w:firstLine="420" w:firstLineChars="200"/>
        <w:rPr>
          <w:rFonts w:ascii="黑体" w:eastAsia="黑体"/>
        </w:rPr>
      </w:pPr>
      <w:r>
        <w:rPr>
          <w:rFonts w:hint="eastAsia" w:ascii="黑体" w:eastAsia="黑体"/>
        </w:rPr>
        <w:t>七、争议的解决</w:t>
      </w:r>
    </w:p>
    <w:p w14:paraId="2A60D9F2">
      <w:pPr>
        <w:spacing w:line="400" w:lineRule="exact"/>
        <w:ind w:firstLine="420" w:firstLineChars="200"/>
        <w:rPr>
          <w:rFonts w:ascii="宋体"/>
        </w:rPr>
      </w:pPr>
      <w:r>
        <w:rPr>
          <w:rFonts w:hint="eastAsia"/>
        </w:rPr>
        <w:t>因本保函发生的纠纷，由贵我双方协商解决，协商不成的，任何一方均可提请</w:t>
      </w:r>
      <w:r>
        <w:rPr>
          <w:rFonts w:ascii="宋体"/>
          <w:u w:val="single"/>
        </w:rPr>
        <w:t>/</w:t>
      </w:r>
      <w:r>
        <w:rPr>
          <w:rFonts w:hint="eastAsia" w:ascii="宋体"/>
        </w:rPr>
        <w:t>仲裁委员会仲裁。</w:t>
      </w:r>
    </w:p>
    <w:p w14:paraId="4605AEFD">
      <w:pPr>
        <w:spacing w:line="400" w:lineRule="exact"/>
        <w:ind w:firstLine="420" w:firstLineChars="200"/>
        <w:rPr>
          <w:rFonts w:ascii="黑体" w:eastAsia="黑体"/>
        </w:rPr>
      </w:pPr>
      <w:r>
        <w:rPr>
          <w:rFonts w:hint="eastAsia" w:ascii="黑体" w:eastAsia="黑体"/>
        </w:rPr>
        <w:t>八、保函的生效</w:t>
      </w:r>
    </w:p>
    <w:p w14:paraId="3C4C1E12">
      <w:pPr>
        <w:spacing w:line="400" w:lineRule="exact"/>
        <w:ind w:firstLine="420" w:firstLineChars="200"/>
      </w:pPr>
      <w:r>
        <w:rPr>
          <w:rFonts w:hint="eastAsia"/>
        </w:rPr>
        <w:t>本保函自我方法定代表人（或其授权代理人）签字或加盖公章并交付你方之日起生效。</w:t>
      </w:r>
    </w:p>
    <w:p w14:paraId="1B3A002B">
      <w:pPr>
        <w:spacing w:line="400" w:lineRule="exact"/>
        <w:ind w:firstLine="420" w:firstLineChars="200"/>
      </w:pPr>
      <w:r>
        <w:rPr>
          <w:rFonts w:hint="eastAsia"/>
        </w:rPr>
        <w:t>本条所称交付是指：</w:t>
      </w:r>
      <w:r>
        <w:rPr>
          <w:u w:val="single"/>
        </w:rPr>
        <w:t>/</w:t>
      </w:r>
      <w:r>
        <w:rPr>
          <w:rFonts w:hint="eastAsia"/>
        </w:rPr>
        <w:t>。</w:t>
      </w:r>
    </w:p>
    <w:p w14:paraId="5FE1F309">
      <w:pPr>
        <w:spacing w:line="400" w:lineRule="exact"/>
        <w:ind w:firstLine="720"/>
      </w:pPr>
    </w:p>
    <w:p w14:paraId="438F745A">
      <w:pPr>
        <w:spacing w:line="400" w:lineRule="exact"/>
        <w:ind w:firstLine="2940" w:firstLineChars="1400"/>
        <w:jc w:val="left"/>
        <w:rPr>
          <w:szCs w:val="21"/>
        </w:rPr>
      </w:pPr>
      <w:r>
        <w:rPr>
          <w:rFonts w:hint="eastAsia" w:ascii="黑体" w:eastAsia="黑体"/>
          <w:szCs w:val="21"/>
        </w:rPr>
        <w:t>担保人</w:t>
      </w:r>
      <w:r>
        <w:rPr>
          <w:szCs w:val="21"/>
        </w:rPr>
        <w:t>：</w:t>
      </w:r>
      <w:r>
        <w:rPr>
          <w:szCs w:val="21"/>
          <w:u w:val="single"/>
        </w:rPr>
        <w:t>/</w:t>
      </w:r>
      <w:r>
        <w:rPr>
          <w:szCs w:val="21"/>
        </w:rPr>
        <w:t>（盖单位章）</w:t>
      </w:r>
    </w:p>
    <w:p w14:paraId="11069500">
      <w:pPr>
        <w:spacing w:line="400" w:lineRule="exact"/>
        <w:ind w:firstLine="2940" w:firstLineChars="1400"/>
        <w:jc w:val="left"/>
        <w:rPr>
          <w:szCs w:val="21"/>
        </w:rPr>
      </w:pPr>
      <w:r>
        <w:rPr>
          <w:rFonts w:hint="eastAsia" w:ascii="黑体" w:eastAsia="黑体"/>
          <w:szCs w:val="21"/>
        </w:rPr>
        <w:t>法定代表人或其委托代理人</w:t>
      </w:r>
      <w:r>
        <w:rPr>
          <w:szCs w:val="21"/>
        </w:rPr>
        <w:t>：</w:t>
      </w:r>
      <w:r>
        <w:rPr>
          <w:szCs w:val="21"/>
          <w:u w:val="single"/>
        </w:rPr>
        <w:t>/</w:t>
      </w:r>
      <w:r>
        <w:rPr>
          <w:szCs w:val="21"/>
        </w:rPr>
        <w:t>（签字）</w:t>
      </w:r>
    </w:p>
    <w:p w14:paraId="6430FB2A">
      <w:pPr>
        <w:spacing w:line="400" w:lineRule="exact"/>
        <w:ind w:firstLine="2940" w:firstLineChars="1400"/>
        <w:jc w:val="left"/>
        <w:rPr>
          <w:szCs w:val="21"/>
        </w:rPr>
      </w:pPr>
      <w:r>
        <w:rPr>
          <w:rFonts w:hint="eastAsia" w:ascii="黑体" w:eastAsia="黑体"/>
          <w:szCs w:val="21"/>
        </w:rPr>
        <w:t>地    址</w:t>
      </w:r>
      <w:r>
        <w:rPr>
          <w:szCs w:val="21"/>
        </w:rPr>
        <w:t>：</w:t>
      </w:r>
      <w:r>
        <w:rPr>
          <w:szCs w:val="21"/>
          <w:u w:val="single"/>
        </w:rPr>
        <w:tab/>
      </w:r>
      <w:r>
        <w:rPr>
          <w:szCs w:val="21"/>
          <w:u w:val="single"/>
        </w:rPr>
        <w:tab/>
      </w:r>
      <w:r>
        <w:rPr>
          <w:szCs w:val="21"/>
          <w:u w:val="single"/>
        </w:rPr>
        <w:tab/>
      </w:r>
      <w:r>
        <w:rPr>
          <w:szCs w:val="21"/>
          <w:u w:val="single"/>
        </w:rPr>
        <w:t>/</w:t>
      </w:r>
      <w:r>
        <w:rPr>
          <w:szCs w:val="21"/>
          <w:u w:val="single"/>
        </w:rPr>
        <w:tab/>
      </w:r>
    </w:p>
    <w:p w14:paraId="027E4B8B">
      <w:pPr>
        <w:spacing w:line="400" w:lineRule="exact"/>
        <w:ind w:firstLine="2940" w:firstLineChars="1400"/>
        <w:jc w:val="left"/>
        <w:rPr>
          <w:szCs w:val="21"/>
          <w:u w:val="single"/>
        </w:rPr>
      </w:pPr>
      <w:r>
        <w:rPr>
          <w:rFonts w:hint="eastAsia" w:ascii="黑体" w:eastAsia="黑体"/>
          <w:szCs w:val="21"/>
        </w:rPr>
        <w:t>邮政编码</w:t>
      </w:r>
      <w:r>
        <w:rPr>
          <w:szCs w:val="21"/>
        </w:rPr>
        <w:t>：</w:t>
      </w:r>
      <w:r>
        <w:rPr>
          <w:szCs w:val="21"/>
          <w:u w:val="single"/>
        </w:rPr>
        <w:tab/>
      </w:r>
      <w:r>
        <w:rPr>
          <w:szCs w:val="21"/>
          <w:u w:val="single"/>
        </w:rPr>
        <w:tab/>
      </w:r>
      <w:r>
        <w:rPr>
          <w:szCs w:val="21"/>
          <w:u w:val="single"/>
        </w:rPr>
        <w:tab/>
      </w:r>
      <w:r>
        <w:rPr>
          <w:szCs w:val="21"/>
          <w:u w:val="single"/>
        </w:rPr>
        <w:tab/>
      </w:r>
      <w:r>
        <w:rPr>
          <w:szCs w:val="21"/>
          <w:u w:val="single"/>
        </w:rPr>
        <w:t>/</w:t>
      </w:r>
      <w:r>
        <w:rPr>
          <w:szCs w:val="21"/>
          <w:u w:val="single"/>
        </w:rPr>
        <w:tab/>
      </w:r>
      <w:r>
        <w:rPr>
          <w:szCs w:val="21"/>
          <w:u w:val="single"/>
        </w:rPr>
        <w:tab/>
      </w:r>
    </w:p>
    <w:p w14:paraId="072AFA51">
      <w:pPr>
        <w:spacing w:line="400" w:lineRule="exact"/>
        <w:ind w:firstLine="2940" w:firstLineChars="1400"/>
        <w:jc w:val="left"/>
        <w:rPr>
          <w:szCs w:val="21"/>
          <w:u w:val="single"/>
        </w:rPr>
      </w:pPr>
      <w:r>
        <w:rPr>
          <w:rFonts w:hint="eastAsia" w:ascii="黑体" w:eastAsia="黑体"/>
          <w:szCs w:val="21"/>
        </w:rPr>
        <w:t>电    话</w:t>
      </w:r>
      <w:r>
        <w:rPr>
          <w:szCs w:val="21"/>
        </w:rPr>
        <w:t>：</w:t>
      </w:r>
      <w:r>
        <w:rPr>
          <w:szCs w:val="21"/>
          <w:u w:val="single"/>
        </w:rPr>
        <w:t>/</w:t>
      </w:r>
    </w:p>
    <w:p w14:paraId="5F484B6D">
      <w:pPr>
        <w:spacing w:line="400" w:lineRule="exact"/>
        <w:ind w:firstLine="2940" w:firstLineChars="1400"/>
        <w:jc w:val="left"/>
        <w:rPr>
          <w:szCs w:val="21"/>
          <w:u w:val="single"/>
        </w:rPr>
      </w:pPr>
      <w:r>
        <w:rPr>
          <w:rFonts w:hint="eastAsia" w:ascii="黑体" w:eastAsia="黑体"/>
          <w:szCs w:val="21"/>
        </w:rPr>
        <w:t>传    真</w:t>
      </w:r>
      <w:r>
        <w:rPr>
          <w:szCs w:val="21"/>
        </w:rPr>
        <w:t>：</w:t>
      </w:r>
      <w:r>
        <w:rPr>
          <w:szCs w:val="21"/>
          <w:u w:val="single"/>
        </w:rPr>
        <w:t>/</w:t>
      </w:r>
    </w:p>
    <w:p w14:paraId="79AE9A63">
      <w:pPr>
        <w:spacing w:line="400" w:lineRule="exact"/>
        <w:ind w:firstLine="4620" w:firstLineChars="2200"/>
        <w:jc w:val="left"/>
        <w:rPr>
          <w:szCs w:val="21"/>
          <w:u w:val="single"/>
        </w:rPr>
      </w:pPr>
      <w:r>
        <w:rPr>
          <w:szCs w:val="21"/>
          <w:u w:val="single"/>
        </w:rPr>
        <w:t>/</w:t>
      </w:r>
      <w:r>
        <w:rPr>
          <w:szCs w:val="21"/>
        </w:rPr>
        <w:t>年</w:t>
      </w:r>
      <w:r>
        <w:rPr>
          <w:szCs w:val="21"/>
          <w:u w:val="single"/>
        </w:rPr>
        <w:t>/</w:t>
      </w:r>
      <w:r>
        <w:rPr>
          <w:szCs w:val="21"/>
        </w:rPr>
        <w:t>月</w:t>
      </w:r>
      <w:r>
        <w:rPr>
          <w:szCs w:val="21"/>
          <w:u w:val="single"/>
        </w:rPr>
        <w:t>/</w:t>
      </w:r>
      <w:r>
        <w:rPr>
          <w:szCs w:val="21"/>
        </w:rPr>
        <w:t>日</w:t>
      </w:r>
    </w:p>
    <w:p w14:paraId="5A458C8C">
      <w:pPr>
        <w:spacing w:line="400" w:lineRule="exact"/>
        <w:rPr>
          <w:rFonts w:ascii="黑体" w:eastAsia="黑体"/>
          <w:szCs w:val="21"/>
        </w:rPr>
      </w:pPr>
    </w:p>
    <w:p w14:paraId="429A83DF">
      <w:pPr>
        <w:spacing w:line="400" w:lineRule="exact"/>
        <w:rPr>
          <w:rFonts w:eastAsia="黑体"/>
          <w:sz w:val="28"/>
        </w:rPr>
      </w:pPr>
      <w:r>
        <w:rPr>
          <w:rFonts w:hint="eastAsia" w:ascii="黑体" w:eastAsia="黑体"/>
          <w:szCs w:val="21"/>
        </w:rPr>
        <w:t>备注：</w:t>
      </w:r>
      <w:r>
        <w:rPr>
          <w:rFonts w:hint="eastAsia"/>
          <w:szCs w:val="21"/>
        </w:rPr>
        <w:t>本支付担保格式可采用经乙方同意的其他格式，但相关约定应当与履约担保对等。</w:t>
      </w:r>
    </w:p>
    <w:p w14:paraId="5BEEA459">
      <w:pPr>
        <w:rPr>
          <w:rFonts w:eastAsia="黑体"/>
          <w:sz w:val="28"/>
        </w:rPr>
      </w:pPr>
      <w:r>
        <w:rPr>
          <w:rFonts w:hint="eastAsia" w:eastAsia="黑体"/>
          <w:sz w:val="28"/>
        </w:rPr>
        <w:br w:type="page"/>
      </w:r>
    </w:p>
    <w:p w14:paraId="34DB5009">
      <w:pPr>
        <w:tabs>
          <w:tab w:val="left" w:pos="3855"/>
        </w:tabs>
        <w:spacing w:line="400" w:lineRule="exact"/>
        <w:jc w:val="center"/>
        <w:rPr>
          <w:rFonts w:eastAsia="黑体"/>
          <w:sz w:val="28"/>
        </w:rPr>
      </w:pPr>
      <w:r>
        <w:rPr>
          <w:rFonts w:hint="eastAsia" w:eastAsia="黑体"/>
          <w:sz w:val="28"/>
        </w:rPr>
        <w:t>房屋建筑工程质量保修书</w:t>
      </w:r>
    </w:p>
    <w:p w14:paraId="25D87AA5">
      <w:pPr>
        <w:spacing w:line="400" w:lineRule="exact"/>
      </w:pPr>
    </w:p>
    <w:p w14:paraId="13FF4B03">
      <w:pPr>
        <w:spacing w:line="400" w:lineRule="exact"/>
        <w:ind w:firstLine="488"/>
        <w:rPr>
          <w:rFonts w:hint="eastAsia" w:ascii="宋体" w:hAnsi="宋体"/>
          <w:u w:val="single"/>
        </w:rPr>
      </w:pPr>
      <w:r>
        <w:rPr>
          <w:rFonts w:hint="eastAsia" w:ascii="宋体" w:hAnsi="宋体"/>
        </w:rPr>
        <w:t>甲方：</w:t>
      </w:r>
      <w:r>
        <w:rPr>
          <w:rFonts w:hint="eastAsia" w:ascii="宋体" w:hAnsi="宋体"/>
          <w:u w:val="single"/>
        </w:rPr>
        <w:t>中国音乐学院</w:t>
      </w:r>
    </w:p>
    <w:p w14:paraId="41FDD74F">
      <w:pPr>
        <w:spacing w:line="400" w:lineRule="exact"/>
        <w:ind w:firstLine="488"/>
        <w:rPr>
          <w:rFonts w:hint="eastAsia" w:ascii="宋体" w:hAnsi="宋体"/>
          <w:u w:val="single"/>
        </w:rPr>
      </w:pPr>
      <w:r>
        <w:rPr>
          <w:rFonts w:hint="eastAsia" w:ascii="宋体" w:hAnsi="宋体"/>
        </w:rPr>
        <w:t>乙方：</w:t>
      </w:r>
      <w:r>
        <w:rPr>
          <w:rFonts w:hint="eastAsia" w:ascii="宋体" w:hAnsi="宋体"/>
          <w:bCs/>
          <w:sz w:val="36"/>
          <w:szCs w:val="36"/>
          <w:u w:val="single"/>
        </w:rPr>
        <w:t xml:space="preserve">            </w:t>
      </w:r>
    </w:p>
    <w:p w14:paraId="54D498EC">
      <w:pPr>
        <w:wordWrap w:val="0"/>
        <w:topLinePunct/>
        <w:spacing w:line="360" w:lineRule="auto"/>
        <w:ind w:firstLine="490"/>
        <w:rPr>
          <w:rFonts w:hint="eastAsia" w:ascii="宋体" w:hAnsi="宋体"/>
        </w:rPr>
      </w:pPr>
      <w:r>
        <w:rPr>
          <w:rFonts w:hint="eastAsia" w:ascii="宋体" w:hAnsi="宋体"/>
        </w:rPr>
        <w:t>甲方、乙方根据《中华人民共和国建筑法》、《建设工程质量管理条例》和《房屋建筑工程质量保修办法》，经协商一致，对学院</w:t>
      </w:r>
      <w:r>
        <w:rPr>
          <w:rFonts w:hint="eastAsia" w:ascii="宋体" w:hAnsi="宋体"/>
          <w:bCs/>
          <w:sz w:val="36"/>
          <w:szCs w:val="36"/>
          <w:u w:val="single"/>
        </w:rPr>
        <w:t xml:space="preserve">           </w:t>
      </w:r>
      <w:r>
        <w:rPr>
          <w:rFonts w:hint="eastAsia" w:ascii="宋体" w:hAnsi="宋体"/>
        </w:rPr>
        <w:t>（工程名称）签订保修书。</w:t>
      </w:r>
    </w:p>
    <w:p w14:paraId="230854C8">
      <w:pPr>
        <w:wordWrap w:val="0"/>
        <w:topLinePunct/>
        <w:spacing w:line="400" w:lineRule="exact"/>
        <w:ind w:firstLine="525" w:firstLineChars="250"/>
        <w:rPr>
          <w:rFonts w:ascii="黑体" w:eastAsia="黑体"/>
        </w:rPr>
      </w:pPr>
      <w:r>
        <w:rPr>
          <w:rFonts w:hint="eastAsia" w:ascii="黑体" w:eastAsia="黑体"/>
        </w:rPr>
        <w:t>一、工程保修范围和内容</w:t>
      </w:r>
    </w:p>
    <w:p w14:paraId="1DCA82CA">
      <w:pPr>
        <w:wordWrap w:val="0"/>
        <w:topLinePunct/>
        <w:spacing w:line="400" w:lineRule="exact"/>
        <w:ind w:firstLine="490"/>
        <w:rPr>
          <w:rFonts w:hint="eastAsia" w:ascii="宋体" w:hAnsi="宋体"/>
        </w:rPr>
      </w:pPr>
      <w:r>
        <w:rPr>
          <w:rFonts w:hint="eastAsia" w:ascii="宋体" w:hAnsi="宋体"/>
        </w:rPr>
        <w:t>乙方在保修期内，按照有关法律、法规、规章的管理规定和双方约定，承担本工程保修责任。</w:t>
      </w:r>
    </w:p>
    <w:p w14:paraId="12BEBE7E">
      <w:pPr>
        <w:wordWrap w:val="0"/>
        <w:topLinePunct/>
        <w:spacing w:line="400" w:lineRule="exact"/>
        <w:ind w:firstLine="490"/>
        <w:rPr>
          <w:rFonts w:hint="eastAsia" w:ascii="宋体" w:hAnsi="宋体"/>
        </w:rPr>
      </w:pPr>
      <w:r>
        <w:rPr>
          <w:rFonts w:hint="eastAsia" w:ascii="宋体" w:hAnsi="宋体"/>
        </w:rPr>
        <w:t>保修责任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169A9991">
      <w:pPr>
        <w:wordWrap w:val="0"/>
        <w:topLinePunct/>
        <w:spacing w:line="400" w:lineRule="exact"/>
        <w:rPr>
          <w:rFonts w:hint="eastAsia" w:ascii="宋体" w:hAnsi="宋体"/>
          <w:u w:val="single"/>
        </w:rPr>
      </w:pPr>
      <w:r>
        <w:rPr>
          <w:rFonts w:ascii="宋体" w:hAnsi="宋体"/>
          <w:u w:val="single"/>
        </w:rPr>
        <w:t>/</w:t>
      </w:r>
    </w:p>
    <w:p w14:paraId="6FFF3CAD">
      <w:pPr>
        <w:wordWrap w:val="0"/>
        <w:topLinePunct/>
        <w:spacing w:line="400" w:lineRule="exact"/>
        <w:rPr>
          <w:rFonts w:hint="eastAsia" w:ascii="宋体" w:hAnsi="宋体"/>
          <w:u w:val="single"/>
        </w:rPr>
      </w:pPr>
      <w:r>
        <w:rPr>
          <w:rFonts w:ascii="宋体" w:hAnsi="宋体"/>
          <w:u w:val="single"/>
        </w:rPr>
        <w:t>/</w:t>
      </w:r>
    </w:p>
    <w:p w14:paraId="1DB18606">
      <w:pPr>
        <w:wordWrap w:val="0"/>
        <w:topLinePunct/>
        <w:spacing w:line="400" w:lineRule="exact"/>
        <w:rPr>
          <w:rFonts w:hint="eastAsia" w:ascii="宋体" w:hAnsi="宋体"/>
        </w:rPr>
      </w:pPr>
      <w:r>
        <w:rPr>
          <w:rFonts w:ascii="宋体" w:hAnsi="宋体"/>
          <w:u w:val="single"/>
        </w:rPr>
        <w:t>//</w:t>
      </w:r>
      <w:r>
        <w:rPr>
          <w:rFonts w:hint="eastAsia" w:ascii="宋体" w:hAnsi="宋体"/>
        </w:rPr>
        <w:t>。</w:t>
      </w:r>
    </w:p>
    <w:p w14:paraId="7567A365">
      <w:pPr>
        <w:wordWrap w:val="0"/>
        <w:topLinePunct/>
        <w:spacing w:line="400" w:lineRule="exact"/>
        <w:ind w:firstLine="420" w:firstLineChars="200"/>
        <w:rPr>
          <w:rFonts w:ascii="黑体" w:eastAsia="黑体"/>
        </w:rPr>
      </w:pPr>
      <w:r>
        <w:rPr>
          <w:rFonts w:hint="eastAsia" w:ascii="黑体" w:eastAsia="黑体"/>
        </w:rPr>
        <w:t>二、保修期</w:t>
      </w:r>
    </w:p>
    <w:p w14:paraId="608D5995">
      <w:pPr>
        <w:wordWrap w:val="0"/>
        <w:topLinePunct/>
        <w:spacing w:line="400" w:lineRule="exact"/>
        <w:ind w:left="420"/>
        <w:rPr>
          <w:rFonts w:hint="eastAsia" w:ascii="宋体" w:hAnsi="宋体"/>
        </w:rPr>
      </w:pPr>
      <w:r>
        <w:rPr>
          <w:rFonts w:hint="eastAsia" w:ascii="宋体" w:hAnsi="宋体"/>
        </w:rPr>
        <w:t>双方根据《建设工程质量管理条例》及有关规定，约定本工程的保修期如下：</w:t>
      </w:r>
    </w:p>
    <w:p w14:paraId="1E67A2B5">
      <w:pPr>
        <w:numPr>
          <w:ilvl w:val="1"/>
          <w:numId w:val="11"/>
        </w:numPr>
        <w:tabs>
          <w:tab w:val="left" w:pos="800"/>
          <w:tab w:val="left" w:pos="1200"/>
          <w:tab w:val="left" w:pos="1740"/>
          <w:tab w:val="clear" w:pos="1620"/>
        </w:tabs>
        <w:wordWrap w:val="0"/>
        <w:topLinePunct/>
        <w:spacing w:line="400" w:lineRule="exact"/>
        <w:ind w:left="1200"/>
        <w:rPr>
          <w:rFonts w:hint="eastAsia" w:ascii="宋体" w:hAnsi="宋体"/>
        </w:rPr>
      </w:pPr>
      <w:r>
        <w:rPr>
          <w:rFonts w:hint="eastAsia" w:ascii="宋体" w:hAnsi="宋体"/>
        </w:rPr>
        <w:t>地基基础工程和主体结构工程为设计文件规定的该工程合理使用年限；</w:t>
      </w:r>
    </w:p>
    <w:p w14:paraId="3CB16011">
      <w:pPr>
        <w:numPr>
          <w:ilvl w:val="1"/>
          <w:numId w:val="11"/>
        </w:numPr>
        <w:tabs>
          <w:tab w:val="left" w:pos="800"/>
          <w:tab w:val="left" w:pos="1200"/>
          <w:tab w:val="left" w:pos="1740"/>
          <w:tab w:val="clear" w:pos="1620"/>
        </w:tabs>
        <w:wordWrap w:val="0"/>
        <w:topLinePunct/>
        <w:spacing w:line="400" w:lineRule="exact"/>
        <w:ind w:left="1200"/>
        <w:rPr>
          <w:rFonts w:hint="eastAsia" w:ascii="宋体" w:hAnsi="宋体"/>
        </w:rPr>
      </w:pPr>
      <w:r>
        <w:rPr>
          <w:rFonts w:hint="eastAsia" w:ascii="宋体" w:hAnsi="宋体"/>
        </w:rPr>
        <w:t>屋面防水工程、有防水要求的卫生间、房间和外墙面的防渗漏为</w:t>
      </w:r>
      <w:r>
        <w:rPr>
          <w:rFonts w:ascii="宋体" w:hAnsi="宋体"/>
          <w:u w:val="single"/>
        </w:rPr>
        <w:t>/</w:t>
      </w:r>
      <w:r>
        <w:rPr>
          <w:rFonts w:hint="eastAsia" w:ascii="宋体" w:hAnsi="宋体"/>
        </w:rPr>
        <w:t>年；</w:t>
      </w:r>
    </w:p>
    <w:p w14:paraId="51CC6474">
      <w:pPr>
        <w:numPr>
          <w:ilvl w:val="1"/>
          <w:numId w:val="11"/>
        </w:numPr>
        <w:tabs>
          <w:tab w:val="left" w:pos="800"/>
          <w:tab w:val="left" w:pos="1200"/>
          <w:tab w:val="left" w:pos="1740"/>
          <w:tab w:val="clear" w:pos="1620"/>
        </w:tabs>
        <w:wordWrap w:val="0"/>
        <w:topLinePunct/>
        <w:spacing w:line="400" w:lineRule="exact"/>
        <w:ind w:left="1200"/>
        <w:rPr>
          <w:rFonts w:hint="eastAsia" w:ascii="宋体" w:hAnsi="宋体"/>
        </w:rPr>
      </w:pPr>
      <w:r>
        <w:rPr>
          <w:rFonts w:hint="eastAsia" w:ascii="宋体" w:hAnsi="宋体"/>
        </w:rPr>
        <w:t>外窗工程为</w:t>
      </w:r>
      <w:r>
        <w:rPr>
          <w:rFonts w:ascii="宋体" w:hAnsi="宋体"/>
          <w:u w:val="single"/>
        </w:rPr>
        <w:t>/</w:t>
      </w:r>
      <w:r>
        <w:rPr>
          <w:rFonts w:hint="eastAsia" w:ascii="宋体" w:hAnsi="宋体"/>
        </w:rPr>
        <w:t>年，外窗防渗漏为</w:t>
      </w:r>
      <w:r>
        <w:rPr>
          <w:rFonts w:ascii="宋体" w:hAnsi="宋体"/>
          <w:u w:val="single"/>
        </w:rPr>
        <w:t>/</w:t>
      </w:r>
      <w:r>
        <w:rPr>
          <w:rFonts w:hint="eastAsia" w:ascii="宋体" w:hAnsi="宋体"/>
        </w:rPr>
        <w:t>年；</w:t>
      </w:r>
    </w:p>
    <w:p w14:paraId="7438A3A4">
      <w:pPr>
        <w:numPr>
          <w:ilvl w:val="1"/>
          <w:numId w:val="11"/>
        </w:numPr>
        <w:tabs>
          <w:tab w:val="left" w:pos="800"/>
          <w:tab w:val="left" w:pos="1200"/>
          <w:tab w:val="left" w:pos="1740"/>
          <w:tab w:val="clear" w:pos="1620"/>
        </w:tabs>
        <w:wordWrap w:val="0"/>
        <w:topLinePunct/>
        <w:spacing w:line="400" w:lineRule="exact"/>
        <w:ind w:left="1200"/>
        <w:rPr>
          <w:rFonts w:hint="eastAsia" w:ascii="宋体" w:hAnsi="宋体"/>
        </w:rPr>
      </w:pPr>
      <w:r>
        <w:rPr>
          <w:rFonts w:hint="eastAsia" w:ascii="宋体" w:hAnsi="宋体"/>
        </w:rPr>
        <w:t>装修工程为</w:t>
      </w:r>
      <w:r>
        <w:rPr>
          <w:rFonts w:hint="eastAsia" w:ascii="宋体" w:hAnsi="宋体"/>
          <w:u w:val="single"/>
        </w:rPr>
        <w:t xml:space="preserve"> </w:t>
      </w:r>
      <w:r>
        <w:rPr>
          <w:rFonts w:hint="eastAsia" w:ascii="宋体" w:hAnsi="宋体"/>
        </w:rPr>
        <w:t>年；</w:t>
      </w:r>
    </w:p>
    <w:p w14:paraId="6380E851">
      <w:pPr>
        <w:numPr>
          <w:ilvl w:val="1"/>
          <w:numId w:val="11"/>
        </w:numPr>
        <w:tabs>
          <w:tab w:val="left" w:pos="800"/>
          <w:tab w:val="left" w:pos="1200"/>
          <w:tab w:val="left" w:pos="1740"/>
          <w:tab w:val="clear" w:pos="1620"/>
        </w:tabs>
        <w:wordWrap w:val="0"/>
        <w:topLinePunct/>
        <w:spacing w:line="400" w:lineRule="exact"/>
        <w:ind w:left="1200"/>
        <w:rPr>
          <w:rFonts w:hint="eastAsia" w:ascii="宋体" w:hAnsi="宋体"/>
        </w:rPr>
      </w:pPr>
      <w:r>
        <w:rPr>
          <w:rFonts w:hint="eastAsia" w:ascii="宋体" w:hAnsi="宋体"/>
        </w:rPr>
        <w:t>电气管线、给排水管道、设备安装工程为</w:t>
      </w:r>
      <w:r>
        <w:rPr>
          <w:rFonts w:ascii="宋体" w:hAnsi="宋体"/>
          <w:u w:val="single"/>
        </w:rPr>
        <w:t>2</w:t>
      </w:r>
      <w:r>
        <w:rPr>
          <w:rFonts w:hint="eastAsia" w:ascii="宋体" w:hAnsi="宋体"/>
        </w:rPr>
        <w:t>年；</w:t>
      </w:r>
    </w:p>
    <w:p w14:paraId="34040446">
      <w:pPr>
        <w:numPr>
          <w:ilvl w:val="1"/>
          <w:numId w:val="11"/>
        </w:numPr>
        <w:tabs>
          <w:tab w:val="left" w:pos="800"/>
          <w:tab w:val="left" w:pos="1200"/>
          <w:tab w:val="left" w:pos="1740"/>
          <w:tab w:val="clear" w:pos="1620"/>
        </w:tabs>
        <w:wordWrap w:val="0"/>
        <w:topLinePunct/>
        <w:spacing w:line="400" w:lineRule="exact"/>
        <w:ind w:left="1200"/>
        <w:rPr>
          <w:rFonts w:hint="eastAsia" w:ascii="宋体" w:hAnsi="宋体"/>
        </w:rPr>
      </w:pPr>
      <w:r>
        <w:rPr>
          <w:rFonts w:hint="eastAsia" w:ascii="宋体" w:hAnsi="宋体"/>
        </w:rPr>
        <w:t>供热与供冷系统为</w:t>
      </w:r>
      <w:r>
        <w:rPr>
          <w:rFonts w:hint="eastAsia" w:ascii="宋体" w:hAnsi="宋体"/>
          <w:u w:val="single"/>
        </w:rPr>
        <w:t xml:space="preserve">  </w:t>
      </w:r>
      <w:r>
        <w:rPr>
          <w:rFonts w:hint="eastAsia" w:ascii="宋体" w:hAnsi="宋体"/>
        </w:rPr>
        <w:t>个采暖期、供冷期；</w:t>
      </w:r>
    </w:p>
    <w:p w14:paraId="0D38550D">
      <w:pPr>
        <w:numPr>
          <w:ilvl w:val="1"/>
          <w:numId w:val="11"/>
        </w:numPr>
        <w:tabs>
          <w:tab w:val="left" w:pos="800"/>
          <w:tab w:val="left" w:pos="1200"/>
          <w:tab w:val="left" w:pos="1740"/>
          <w:tab w:val="clear" w:pos="1620"/>
        </w:tabs>
        <w:wordWrap w:val="0"/>
        <w:topLinePunct/>
        <w:spacing w:line="400" w:lineRule="exact"/>
        <w:ind w:left="1200"/>
        <w:rPr>
          <w:rFonts w:hint="eastAsia" w:ascii="宋体" w:hAnsi="宋体"/>
        </w:rPr>
      </w:pPr>
      <w:r>
        <w:rPr>
          <w:rFonts w:hint="eastAsia" w:ascii="宋体" w:hAnsi="宋体"/>
        </w:rPr>
        <w:t>住宅小区内的给排水设施、道路等配套工程为</w:t>
      </w:r>
      <w:r>
        <w:rPr>
          <w:rFonts w:hint="eastAsia" w:ascii="宋体" w:hAnsi="宋体"/>
          <w:u w:val="single"/>
        </w:rPr>
        <w:t xml:space="preserve">  </w:t>
      </w:r>
      <w:r>
        <w:rPr>
          <w:rFonts w:hint="eastAsia" w:ascii="宋体" w:hAnsi="宋体"/>
        </w:rPr>
        <w:t>年；</w:t>
      </w:r>
    </w:p>
    <w:p w14:paraId="2E4F3488">
      <w:pPr>
        <w:numPr>
          <w:ilvl w:val="1"/>
          <w:numId w:val="11"/>
        </w:numPr>
        <w:tabs>
          <w:tab w:val="left" w:pos="800"/>
          <w:tab w:val="left" w:pos="1200"/>
          <w:tab w:val="left" w:pos="1740"/>
          <w:tab w:val="clear" w:pos="1620"/>
        </w:tabs>
        <w:wordWrap w:val="0"/>
        <w:topLinePunct/>
        <w:spacing w:line="400" w:lineRule="exact"/>
        <w:ind w:left="1200"/>
        <w:rPr>
          <w:rFonts w:hint="eastAsia" w:ascii="宋体" w:hAnsi="宋体"/>
        </w:rPr>
      </w:pPr>
      <w:r>
        <w:rPr>
          <w:rFonts w:hint="eastAsia" w:ascii="宋体" w:hAnsi="宋体"/>
        </w:rPr>
        <w:t>其他项目保修期限约定如下：</w:t>
      </w:r>
    </w:p>
    <w:p w14:paraId="5578D999">
      <w:pPr>
        <w:spacing w:line="400" w:lineRule="exact"/>
        <w:rPr>
          <w:rFonts w:hint="eastAsia" w:ascii="宋体" w:hAnsi="宋体"/>
          <w:u w:val="single"/>
        </w:rPr>
      </w:pPr>
      <w:r>
        <w:rPr>
          <w:rFonts w:ascii="宋体" w:hAnsi="宋体"/>
          <w:u w:val="single"/>
        </w:rPr>
        <w:t>/</w:t>
      </w:r>
    </w:p>
    <w:p w14:paraId="0B50CD28">
      <w:pPr>
        <w:spacing w:line="400" w:lineRule="exact"/>
        <w:rPr>
          <w:rFonts w:hint="eastAsia" w:ascii="宋体" w:hAnsi="宋体"/>
          <w:u w:val="single"/>
        </w:rPr>
      </w:pPr>
      <w:r>
        <w:rPr>
          <w:rFonts w:ascii="宋体" w:hAnsi="宋体"/>
          <w:u w:val="single"/>
        </w:rPr>
        <w:t>/</w:t>
      </w:r>
    </w:p>
    <w:p w14:paraId="358BDC5E">
      <w:pPr>
        <w:spacing w:line="400" w:lineRule="exact"/>
        <w:rPr>
          <w:rFonts w:hint="eastAsia" w:ascii="宋体" w:hAnsi="宋体"/>
        </w:rPr>
      </w:pPr>
      <w:r>
        <w:rPr>
          <w:rFonts w:ascii="宋体" w:hAnsi="宋体"/>
          <w:u w:val="single"/>
        </w:rPr>
        <w:t>/</w:t>
      </w:r>
      <w:r>
        <w:rPr>
          <w:rFonts w:hint="eastAsia" w:ascii="宋体" w:hAnsi="宋体"/>
        </w:rPr>
        <w:t>。</w:t>
      </w:r>
    </w:p>
    <w:p w14:paraId="63347B68">
      <w:pPr>
        <w:spacing w:line="400" w:lineRule="exact"/>
        <w:ind w:firstLine="420" w:firstLineChars="200"/>
        <w:rPr>
          <w:rFonts w:ascii="黑体" w:eastAsia="黑体"/>
        </w:rPr>
      </w:pPr>
      <w:r>
        <w:rPr>
          <w:rFonts w:hint="eastAsia" w:ascii="黑体" w:eastAsia="黑体"/>
        </w:rPr>
        <w:t>三、保修责任</w:t>
      </w:r>
    </w:p>
    <w:p w14:paraId="1EC72D1C">
      <w:pPr>
        <w:tabs>
          <w:tab w:val="left" w:pos="1740"/>
        </w:tabs>
        <w:spacing w:line="400" w:lineRule="exact"/>
        <w:ind w:firstLine="420" w:firstLineChars="200"/>
        <w:rPr>
          <w:rFonts w:hint="eastAsia" w:ascii="宋体" w:hAnsi="宋体"/>
        </w:rPr>
      </w:pPr>
      <w:r>
        <w:rPr>
          <w:rFonts w:hint="eastAsia" w:ascii="宋体" w:hAnsi="宋体"/>
        </w:rPr>
        <w:t>1、属于责任范围、内容的项目，乙方应当在接到保修通知之日起7天内派人保修。乙方不在约定期限内派人保修的，甲方可以委托他人修理。</w:t>
      </w:r>
    </w:p>
    <w:p w14:paraId="35314F79">
      <w:pPr>
        <w:tabs>
          <w:tab w:val="left" w:pos="1740"/>
        </w:tabs>
        <w:spacing w:line="400" w:lineRule="exact"/>
        <w:ind w:firstLine="420" w:firstLineChars="200"/>
        <w:rPr>
          <w:rFonts w:hint="eastAsia" w:ascii="宋体" w:hAnsi="宋体"/>
        </w:rPr>
      </w:pPr>
      <w:r>
        <w:rPr>
          <w:rFonts w:hint="eastAsia" w:ascii="宋体" w:hAnsi="宋体"/>
        </w:rPr>
        <w:t>2、发生紧急抢修事故的，乙方在接到事故通知后，应当立即到达事故现场抢修。</w:t>
      </w:r>
    </w:p>
    <w:p w14:paraId="4DC8EE7D">
      <w:pPr>
        <w:tabs>
          <w:tab w:val="left" w:pos="1740"/>
        </w:tabs>
        <w:spacing w:line="400" w:lineRule="exact"/>
        <w:ind w:firstLine="420" w:firstLineChars="200"/>
        <w:rPr>
          <w:rFonts w:hint="eastAsia" w:ascii="宋体" w:hAnsi="宋体"/>
        </w:rPr>
      </w:pPr>
      <w:r>
        <w:rPr>
          <w:rFonts w:hint="eastAsia" w:ascii="宋体" w:hAnsi="宋体"/>
        </w:rPr>
        <w:t>3、对于涉及结构安全的质量问题，应当按照《房屋建筑工程质量保修办法》的规定，立即向当地建设行政主管部门报告，采取安全防范措施；由原设计人或者具有相应资质等级的设计人提出保修方案，乙方实施保修。</w:t>
      </w:r>
    </w:p>
    <w:p w14:paraId="6681757C">
      <w:pPr>
        <w:tabs>
          <w:tab w:val="left" w:pos="1740"/>
        </w:tabs>
        <w:spacing w:line="400" w:lineRule="exact"/>
        <w:ind w:firstLine="420" w:firstLineChars="200"/>
        <w:rPr>
          <w:rFonts w:hint="eastAsia" w:ascii="宋体" w:hAnsi="宋体"/>
        </w:rPr>
      </w:pPr>
      <w:r>
        <w:rPr>
          <w:rFonts w:hint="eastAsia" w:ascii="宋体" w:hAnsi="宋体"/>
        </w:rPr>
        <w:t>4、质量保修完成后，由甲方组织验收。</w:t>
      </w:r>
    </w:p>
    <w:p w14:paraId="717E9E9D">
      <w:pPr>
        <w:spacing w:line="400" w:lineRule="exact"/>
        <w:ind w:firstLine="420" w:firstLineChars="200"/>
        <w:rPr>
          <w:rFonts w:ascii="黑体" w:eastAsia="黑体"/>
        </w:rPr>
      </w:pPr>
      <w:r>
        <w:rPr>
          <w:rFonts w:hint="eastAsia" w:ascii="黑体" w:eastAsia="黑体"/>
        </w:rPr>
        <w:t>四、保修费用</w:t>
      </w:r>
    </w:p>
    <w:p w14:paraId="287E0AD3">
      <w:pPr>
        <w:spacing w:line="400" w:lineRule="exact"/>
        <w:ind w:left="420"/>
        <w:rPr>
          <w:rFonts w:hint="eastAsia" w:ascii="宋体" w:hAnsi="宋体"/>
          <w:u w:val="single"/>
        </w:rPr>
      </w:pPr>
      <w:r>
        <w:rPr>
          <w:rFonts w:hint="eastAsia" w:ascii="宋体" w:hAnsi="宋体"/>
        </w:rPr>
        <w:t>保修费用由造成质量缺陷的责任方承担。</w:t>
      </w:r>
    </w:p>
    <w:p w14:paraId="34B858EE">
      <w:pPr>
        <w:spacing w:line="400" w:lineRule="exact"/>
        <w:ind w:firstLine="420" w:firstLineChars="200"/>
        <w:rPr>
          <w:rFonts w:ascii="黑体" w:eastAsia="黑体"/>
        </w:rPr>
      </w:pPr>
      <w:r>
        <w:rPr>
          <w:rFonts w:hint="eastAsia" w:ascii="黑体" w:eastAsia="黑体"/>
        </w:rPr>
        <w:t>五、其他</w:t>
      </w:r>
    </w:p>
    <w:p w14:paraId="5F33B32A">
      <w:pPr>
        <w:spacing w:line="400" w:lineRule="exact"/>
        <w:ind w:left="420"/>
        <w:rPr>
          <w:rFonts w:hint="eastAsia" w:ascii="宋体" w:hAnsi="宋体"/>
        </w:rPr>
      </w:pPr>
      <w:r>
        <w:rPr>
          <w:rFonts w:hint="eastAsia" w:ascii="宋体" w:hAnsi="宋体"/>
        </w:rPr>
        <w:t>双方约定的其他工程保修责任事项：</w:t>
      </w:r>
    </w:p>
    <w:p w14:paraId="1C88A436">
      <w:pPr>
        <w:spacing w:line="400" w:lineRule="exact"/>
        <w:rPr>
          <w:rFonts w:hint="eastAsia" w:ascii="宋体" w:hAnsi="宋体"/>
          <w:u w:val="single"/>
        </w:rPr>
      </w:pPr>
      <w:r>
        <w:rPr>
          <w:rFonts w:ascii="宋体" w:hAnsi="宋体"/>
          <w:u w:val="single"/>
        </w:rPr>
        <w:t>/</w:t>
      </w:r>
    </w:p>
    <w:p w14:paraId="10E57FD0">
      <w:pPr>
        <w:spacing w:line="400" w:lineRule="exact"/>
        <w:ind w:firstLine="420"/>
        <w:rPr>
          <w:rFonts w:hint="eastAsia" w:ascii="宋体" w:hAnsi="宋体"/>
        </w:rPr>
      </w:pPr>
      <w:r>
        <w:rPr>
          <w:rFonts w:hint="eastAsia" w:ascii="宋体" w:hAnsi="宋体"/>
        </w:rPr>
        <w:t>本工程保修书，由施工合同甲方、乙方双方在竣工验收前共同签署，作为施工合同附件，其有效期限至保修期满。</w:t>
      </w:r>
    </w:p>
    <w:p w14:paraId="32590910">
      <w:pPr>
        <w:spacing w:line="400" w:lineRule="exact"/>
        <w:ind w:left="420"/>
        <w:rPr>
          <w:rFonts w:hint="eastAsia" w:ascii="宋体" w:hAnsi="宋体"/>
        </w:rPr>
      </w:pPr>
    </w:p>
    <w:p w14:paraId="029B27EE">
      <w:pPr>
        <w:spacing w:line="480" w:lineRule="auto"/>
        <w:ind w:firstLine="420" w:firstLineChars="200"/>
        <w:rPr>
          <w:rFonts w:hint="eastAsia" w:ascii="宋体" w:hAnsi="宋体"/>
        </w:rPr>
      </w:pPr>
      <w:r>
        <w:rPr>
          <w:rFonts w:hint="eastAsia" w:ascii="宋体" w:hAnsi="宋体"/>
        </w:rPr>
        <w:t>甲方：</w:t>
      </w:r>
      <w:r>
        <w:rPr>
          <w:rFonts w:hint="eastAsia" w:ascii="宋体" w:hAnsi="宋体" w:cs="宋体"/>
          <w:sz w:val="24"/>
          <w:u w:val="single"/>
          <w:shd w:val="clear" w:color="auto" w:fill="FFFFFF"/>
        </w:rPr>
        <w:t>中国音乐学院</w:t>
      </w:r>
      <w:r>
        <w:rPr>
          <w:rFonts w:hint="eastAsia" w:ascii="宋体" w:hAnsi="宋体"/>
        </w:rPr>
        <w:t>（公章）</w:t>
      </w:r>
      <w:r>
        <w:rPr>
          <w:rFonts w:hint="eastAsia" w:ascii="宋体" w:hAnsi="宋体"/>
        </w:rPr>
        <w:tab/>
      </w:r>
      <w:r>
        <w:rPr>
          <w:rFonts w:ascii="宋体" w:hAnsi="宋体"/>
        </w:rPr>
        <w:t xml:space="preserve"> </w:t>
      </w:r>
      <w:r>
        <w:rPr>
          <w:rFonts w:hint="eastAsia" w:ascii="宋体" w:hAnsi="宋体"/>
        </w:rPr>
        <w:t xml:space="preserve">      乙方：</w:t>
      </w:r>
      <w:r>
        <w:rPr>
          <w:rFonts w:hint="eastAsia" w:ascii="宋体" w:hAnsi="宋体"/>
          <w:bCs/>
          <w:sz w:val="24"/>
          <w:u w:val="single"/>
        </w:rPr>
        <w:t xml:space="preserve"> </w:t>
      </w:r>
      <w:r>
        <w:rPr>
          <w:rFonts w:hint="eastAsia" w:ascii="宋体" w:hAnsi="宋体"/>
          <w:bCs/>
          <w:sz w:val="36"/>
          <w:szCs w:val="36"/>
          <w:u w:val="single"/>
        </w:rPr>
        <w:t xml:space="preserve">      </w:t>
      </w:r>
      <w:r>
        <w:rPr>
          <w:rFonts w:hint="eastAsia" w:ascii="宋体" w:hAnsi="宋体" w:cs="宋体"/>
          <w:sz w:val="24"/>
          <w:u w:val="single"/>
          <w:shd w:val="clear" w:color="auto" w:fill="FFFFFF"/>
        </w:rPr>
        <w:t xml:space="preserve"> </w:t>
      </w:r>
      <w:r>
        <w:rPr>
          <w:rFonts w:hint="eastAsia" w:ascii="宋体" w:hAnsi="宋体"/>
        </w:rPr>
        <w:t xml:space="preserve">（公章） </w:t>
      </w:r>
    </w:p>
    <w:p w14:paraId="2B62808A">
      <w:pPr>
        <w:tabs>
          <w:tab w:val="left" w:pos="3855"/>
        </w:tabs>
        <w:ind w:left="5250" w:leftChars="200" w:hanging="4830" w:hangingChars="2300"/>
        <w:rPr>
          <w:rFonts w:hint="eastAsia" w:ascii="宋体" w:hAnsi="宋体"/>
        </w:rPr>
      </w:pPr>
      <w:r>
        <w:rPr>
          <w:rFonts w:hint="eastAsia" w:ascii="宋体" w:hAnsi="宋体"/>
        </w:rPr>
        <w:t>法定地址：</w:t>
      </w:r>
      <w:r>
        <w:rPr>
          <w:rFonts w:hint="eastAsia" w:ascii="宋体" w:hAnsi="宋体" w:cs="宋体"/>
          <w:sz w:val="24"/>
          <w:u w:val="single"/>
          <w:shd w:val="clear" w:color="auto" w:fill="FFFFFF"/>
        </w:rPr>
        <w:t>北京市朝阳区安翔路</w:t>
      </w:r>
      <w:r>
        <w:rPr>
          <w:rFonts w:ascii="宋体" w:hAnsi="宋体" w:cs="宋体"/>
          <w:sz w:val="24"/>
          <w:u w:val="single"/>
          <w:shd w:val="clear" w:color="auto" w:fill="FFFFFF"/>
        </w:rPr>
        <w:t>1号</w:t>
      </w:r>
      <w:r>
        <w:rPr>
          <w:rFonts w:ascii="宋体" w:hAnsi="宋体"/>
        </w:rPr>
        <w:t xml:space="preserve"> </w:t>
      </w:r>
      <w:r>
        <w:rPr>
          <w:rFonts w:hint="eastAsia" w:ascii="宋体" w:hAnsi="宋体"/>
        </w:rPr>
        <w:t xml:space="preserve"> 法定地址：</w:t>
      </w:r>
      <w:r>
        <w:rPr>
          <w:rFonts w:hint="eastAsia" w:ascii="宋体" w:hAnsi="宋体"/>
          <w:bCs/>
          <w:sz w:val="36"/>
          <w:szCs w:val="36"/>
          <w:u w:val="single"/>
        </w:rPr>
        <w:t xml:space="preserve">            </w:t>
      </w:r>
    </w:p>
    <w:p w14:paraId="77B14C0A">
      <w:pPr>
        <w:tabs>
          <w:tab w:val="left" w:pos="4275"/>
        </w:tabs>
        <w:spacing w:line="400" w:lineRule="exact"/>
        <w:ind w:firstLine="420" w:firstLineChars="200"/>
        <w:rPr>
          <w:rFonts w:hint="eastAsia" w:ascii="宋体" w:hAnsi="宋体"/>
        </w:rPr>
      </w:pPr>
      <w:r>
        <w:rPr>
          <w:rFonts w:hint="eastAsia" w:ascii="宋体" w:hAnsi="宋体"/>
        </w:rPr>
        <w:t>法定代表人或其                       法定代表人或其</w:t>
      </w:r>
    </w:p>
    <w:p w14:paraId="6EAB5030">
      <w:pPr>
        <w:spacing w:after="360" w:afterLines="150" w:line="400" w:lineRule="exact"/>
        <w:ind w:firstLine="420" w:firstLineChars="200"/>
        <w:rPr>
          <w:rFonts w:hint="eastAsia" w:ascii="宋体" w:hAnsi="宋体"/>
          <w:u w:val="single"/>
        </w:rPr>
      </w:pPr>
      <w:r>
        <w:rPr>
          <w:rFonts w:hint="eastAsia" w:ascii="宋体" w:hAnsi="宋体"/>
        </w:rPr>
        <w:t>委托代理人：（签字）</w:t>
      </w:r>
      <w:r>
        <w:rPr>
          <w:rFonts w:hint="eastAsia" w:ascii="宋体" w:hAnsi="宋体"/>
          <w:u w:val="single"/>
        </w:rPr>
        <w:t xml:space="preserve"> </w:t>
      </w:r>
      <w:r>
        <w:rPr>
          <w:rFonts w:ascii="宋体" w:hAnsi="宋体"/>
          <w:u w:val="single"/>
        </w:rPr>
        <w:t xml:space="preserve">            </w:t>
      </w:r>
      <w:r>
        <w:rPr>
          <w:rFonts w:hint="eastAsia" w:ascii="宋体" w:hAnsi="宋体"/>
          <w:u w:val="single"/>
        </w:rPr>
        <w:t xml:space="preserve"> </w:t>
      </w:r>
      <w:r>
        <w:rPr>
          <w:rFonts w:ascii="宋体" w:hAnsi="宋体"/>
        </w:rPr>
        <w:t xml:space="preserve"> </w:t>
      </w:r>
      <w:r>
        <w:rPr>
          <w:rFonts w:hint="eastAsia" w:ascii="宋体" w:hAnsi="宋体"/>
        </w:rPr>
        <w:t xml:space="preserve">  委托代理人：（签字）</w:t>
      </w:r>
      <w:r>
        <w:rPr>
          <w:rFonts w:hint="eastAsia" w:ascii="宋体" w:hAnsi="宋体"/>
          <w:u w:val="single"/>
        </w:rPr>
        <w:t xml:space="preserve"> </w:t>
      </w:r>
      <w:r>
        <w:rPr>
          <w:rFonts w:ascii="宋体" w:hAnsi="宋体"/>
          <w:u w:val="single"/>
        </w:rPr>
        <w:t xml:space="preserve">              </w:t>
      </w:r>
    </w:p>
    <w:p w14:paraId="40F3A1B5">
      <w:pPr>
        <w:tabs>
          <w:tab w:val="left" w:pos="4275"/>
        </w:tabs>
        <w:spacing w:line="480" w:lineRule="auto"/>
        <w:ind w:firstLine="420" w:firstLineChars="200"/>
        <w:rPr>
          <w:rFonts w:hint="eastAsia" w:ascii="宋体" w:hAnsi="宋体"/>
        </w:rPr>
      </w:pPr>
      <w:r>
        <w:rPr>
          <w:rFonts w:hint="eastAsia" w:ascii="宋体" w:hAnsi="宋体"/>
        </w:rPr>
        <w:t>电话：</w:t>
      </w:r>
      <w:r>
        <w:rPr>
          <w:rFonts w:ascii="宋体" w:hAnsi="宋体" w:cs="宋体"/>
          <w:sz w:val="24"/>
          <w:u w:val="single"/>
          <w:shd w:val="clear" w:color="auto" w:fill="FFFFFF"/>
        </w:rPr>
        <w:t>64879881-21</w:t>
      </w:r>
      <w:r>
        <w:rPr>
          <w:rFonts w:hint="eastAsia" w:ascii="宋体" w:hAnsi="宋体"/>
        </w:rPr>
        <w:tab/>
      </w:r>
      <w:r>
        <w:rPr>
          <w:rFonts w:hint="eastAsia" w:ascii="宋体" w:hAnsi="宋体"/>
        </w:rPr>
        <w:t>电话：</w:t>
      </w:r>
      <w:r>
        <w:rPr>
          <w:rFonts w:hint="eastAsia" w:ascii="宋体" w:hAnsi="宋体" w:cs="宋体"/>
          <w:sz w:val="24"/>
          <w:u w:val="single"/>
        </w:rPr>
        <w:t xml:space="preserve"> </w:t>
      </w:r>
      <w:r>
        <w:rPr>
          <w:rFonts w:hint="eastAsia"/>
          <w:bCs/>
          <w:u w:val="single"/>
        </w:rPr>
        <w:t xml:space="preserve"> </w:t>
      </w:r>
      <w:r>
        <w:rPr>
          <w:rFonts w:hint="eastAsia" w:ascii="宋体" w:hAnsi="宋体"/>
          <w:bCs/>
          <w:sz w:val="24"/>
          <w:u w:val="single"/>
        </w:rPr>
        <w:t xml:space="preserve"> </w:t>
      </w:r>
      <w:r>
        <w:rPr>
          <w:rFonts w:hint="eastAsia" w:ascii="宋体" w:hAnsi="宋体"/>
          <w:bCs/>
          <w:sz w:val="36"/>
          <w:szCs w:val="36"/>
          <w:u w:val="single"/>
        </w:rPr>
        <w:t xml:space="preserve">      </w:t>
      </w:r>
      <w:r>
        <w:rPr>
          <w:rFonts w:hint="eastAsia" w:ascii="宋体" w:hAnsi="宋体" w:cs="宋体"/>
          <w:sz w:val="24"/>
          <w:u w:val="single"/>
        </w:rPr>
        <w:t xml:space="preserve"> </w:t>
      </w:r>
    </w:p>
    <w:p w14:paraId="34BE4240">
      <w:pPr>
        <w:tabs>
          <w:tab w:val="left" w:pos="4275"/>
        </w:tabs>
        <w:spacing w:line="480" w:lineRule="auto"/>
        <w:ind w:firstLine="420" w:firstLineChars="200"/>
        <w:rPr>
          <w:rFonts w:hint="eastAsia" w:ascii="宋体" w:hAnsi="宋体"/>
        </w:rPr>
      </w:pPr>
      <w:r>
        <w:rPr>
          <w:rFonts w:hint="eastAsia" w:ascii="宋体" w:hAnsi="宋体"/>
        </w:rPr>
        <w:t>传真：</w:t>
      </w:r>
      <w:r>
        <w:rPr>
          <w:rFonts w:hint="eastAsia" w:ascii="宋体" w:hAnsi="宋体"/>
          <w:u w:val="single"/>
        </w:rPr>
        <w:t xml:space="preserve">   /         </w:t>
      </w:r>
      <w:r>
        <w:rPr>
          <w:rFonts w:hint="eastAsia" w:ascii="宋体" w:hAnsi="宋体"/>
        </w:rPr>
        <w:tab/>
      </w:r>
      <w:r>
        <w:rPr>
          <w:rFonts w:hint="eastAsia" w:ascii="宋体" w:hAnsi="宋体"/>
        </w:rPr>
        <w:t>传真：</w:t>
      </w:r>
      <w:r>
        <w:rPr>
          <w:rFonts w:hint="eastAsia" w:ascii="宋体" w:hAnsi="宋体" w:cs="宋体"/>
          <w:sz w:val="24"/>
          <w:u w:val="single"/>
        </w:rPr>
        <w:t xml:space="preserve"> </w:t>
      </w:r>
      <w:r>
        <w:rPr>
          <w:rFonts w:hint="eastAsia" w:ascii="宋体" w:hAnsi="宋体"/>
          <w:bCs/>
          <w:sz w:val="24"/>
          <w:u w:val="single"/>
        </w:rPr>
        <w:t xml:space="preserve"> </w:t>
      </w:r>
      <w:r>
        <w:rPr>
          <w:rFonts w:hint="eastAsia" w:ascii="宋体" w:hAnsi="宋体"/>
          <w:bCs/>
          <w:sz w:val="36"/>
          <w:szCs w:val="36"/>
          <w:u w:val="single"/>
        </w:rPr>
        <w:t xml:space="preserve">      </w:t>
      </w:r>
      <w:r>
        <w:rPr>
          <w:rFonts w:hint="eastAsia" w:ascii="宋体" w:hAnsi="宋体" w:cs="宋体"/>
          <w:sz w:val="24"/>
          <w:u w:val="single"/>
        </w:rPr>
        <w:t xml:space="preserve"> </w:t>
      </w:r>
    </w:p>
    <w:p w14:paraId="6D97F4E0">
      <w:pPr>
        <w:tabs>
          <w:tab w:val="left" w:pos="4700"/>
        </w:tabs>
        <w:spacing w:line="480" w:lineRule="auto"/>
        <w:ind w:firstLine="420" w:firstLineChars="200"/>
        <w:rPr>
          <w:rFonts w:hint="eastAsia" w:ascii="宋体" w:hAnsi="宋体"/>
        </w:rPr>
      </w:pPr>
      <w:r>
        <w:rPr>
          <w:rFonts w:hint="eastAsia" w:ascii="宋体" w:hAnsi="宋体"/>
        </w:rPr>
        <w:t>电子邮箱：</w:t>
      </w:r>
      <w:r>
        <w:rPr>
          <w:rFonts w:hint="eastAsia" w:ascii="宋体" w:hAnsi="宋体"/>
          <w:u w:val="single"/>
        </w:rPr>
        <w:t xml:space="preserve">    /      </w:t>
      </w:r>
      <w:r>
        <w:rPr>
          <w:rFonts w:hint="eastAsia" w:ascii="宋体" w:hAnsi="宋体"/>
        </w:rPr>
        <w:t xml:space="preserve">    </w:t>
      </w:r>
      <w:r>
        <w:rPr>
          <w:rFonts w:ascii="宋体" w:hAnsi="宋体"/>
        </w:rPr>
        <w:t xml:space="preserve">            </w:t>
      </w:r>
      <w:r>
        <w:rPr>
          <w:rFonts w:hint="eastAsia" w:ascii="宋体" w:hAnsi="宋体"/>
        </w:rPr>
        <w:t>电子邮箱：</w:t>
      </w:r>
      <w:r>
        <w:rPr>
          <w:rFonts w:hint="eastAsia" w:ascii="宋体" w:hAnsi="宋体"/>
          <w:u w:val="single"/>
        </w:rPr>
        <w:t xml:space="preserve">    </w:t>
      </w:r>
      <w:r>
        <w:rPr>
          <w:rFonts w:ascii="宋体" w:hAnsi="宋体"/>
          <w:u w:val="single"/>
        </w:rPr>
        <w:t>/</w:t>
      </w:r>
      <w:r>
        <w:rPr>
          <w:rFonts w:hint="eastAsia" w:ascii="宋体" w:hAnsi="宋体"/>
          <w:u w:val="single"/>
        </w:rPr>
        <w:t xml:space="preserve">    </w:t>
      </w:r>
    </w:p>
    <w:p w14:paraId="213A0164">
      <w:pPr>
        <w:tabs>
          <w:tab w:val="left" w:pos="4275"/>
        </w:tabs>
        <w:spacing w:line="480" w:lineRule="auto"/>
        <w:ind w:left="4200" w:leftChars="200" w:hanging="3780" w:hangingChars="1800"/>
        <w:rPr>
          <w:rFonts w:hint="eastAsia" w:ascii="宋体" w:hAnsi="宋体" w:cs="宋体"/>
          <w:sz w:val="24"/>
          <w:u w:val="single"/>
          <w:shd w:val="clear" w:color="auto" w:fill="FFFFFF"/>
        </w:rPr>
      </w:pPr>
      <w:r>
        <w:rPr>
          <w:rFonts w:hint="eastAsia" w:ascii="宋体" w:hAnsi="宋体"/>
        </w:rPr>
        <w:t>开户银行：</w:t>
      </w:r>
      <w:r>
        <w:rPr>
          <w:rFonts w:hint="eastAsia" w:ascii="宋体" w:hAnsi="宋体" w:cs="宋体"/>
          <w:sz w:val="24"/>
          <w:u w:val="single"/>
          <w:shd w:val="clear" w:color="auto" w:fill="FFFFFF"/>
        </w:rPr>
        <w:t>交通银行北京安翔里支行</w:t>
      </w:r>
      <w:r>
        <w:rPr>
          <w:rFonts w:hint="eastAsia" w:ascii="宋体" w:hAnsi="宋体"/>
        </w:rPr>
        <w:tab/>
      </w:r>
      <w:r>
        <w:rPr>
          <w:rFonts w:hint="eastAsia" w:ascii="宋体" w:hAnsi="宋体"/>
        </w:rPr>
        <w:t xml:space="preserve"> 开户银行：</w:t>
      </w:r>
      <w:r>
        <w:rPr>
          <w:rFonts w:hint="eastAsia" w:ascii="宋体" w:hAnsi="宋体"/>
          <w:bCs/>
          <w:sz w:val="36"/>
          <w:szCs w:val="36"/>
          <w:u w:val="single"/>
        </w:rPr>
        <w:t xml:space="preserve">            </w:t>
      </w:r>
    </w:p>
    <w:p w14:paraId="1FE3C191">
      <w:pPr>
        <w:tabs>
          <w:tab w:val="left" w:pos="4275"/>
        </w:tabs>
        <w:spacing w:line="480" w:lineRule="auto"/>
        <w:ind w:firstLine="420" w:firstLineChars="200"/>
        <w:rPr>
          <w:rFonts w:hint="eastAsia" w:ascii="宋体" w:hAnsi="宋体"/>
        </w:rPr>
      </w:pPr>
      <w:r>
        <w:rPr>
          <w:rFonts w:hint="eastAsia" w:ascii="宋体" w:hAnsi="宋体"/>
        </w:rPr>
        <w:t>帐号：</w:t>
      </w:r>
      <w:r>
        <w:rPr>
          <w:rFonts w:ascii="宋体" w:hAnsi="宋体" w:cs="宋体"/>
          <w:sz w:val="24"/>
          <w:u w:val="single"/>
          <w:shd w:val="clear" w:color="auto" w:fill="FFFFFF"/>
        </w:rPr>
        <w:t>110060868012015002317 </w:t>
      </w:r>
      <w:r>
        <w:rPr>
          <w:rFonts w:hint="eastAsia" w:ascii="宋体" w:hAnsi="宋体"/>
        </w:rPr>
        <w:tab/>
      </w:r>
      <w:r>
        <w:rPr>
          <w:rFonts w:hint="eastAsia" w:ascii="宋体" w:hAnsi="宋体"/>
        </w:rPr>
        <w:t xml:space="preserve"> 帐号：</w:t>
      </w:r>
      <w:r>
        <w:rPr>
          <w:rFonts w:hint="eastAsia" w:ascii="宋体" w:hAnsi="宋体" w:cs="宋体"/>
          <w:kern w:val="0"/>
          <w:sz w:val="24"/>
          <w:u w:val="single"/>
          <w:lang w:bidi="ar"/>
        </w:rPr>
        <w:t xml:space="preserve"> </w:t>
      </w:r>
      <w:r>
        <w:rPr>
          <w:rFonts w:hint="eastAsia" w:ascii="宋体" w:hAnsi="宋体"/>
          <w:bCs/>
          <w:sz w:val="24"/>
          <w:u w:val="single"/>
        </w:rPr>
        <w:t xml:space="preserve"> </w:t>
      </w:r>
      <w:r>
        <w:rPr>
          <w:rFonts w:hint="eastAsia" w:ascii="宋体" w:hAnsi="宋体"/>
          <w:bCs/>
          <w:sz w:val="36"/>
          <w:szCs w:val="36"/>
          <w:u w:val="single"/>
        </w:rPr>
        <w:t xml:space="preserve">      </w:t>
      </w:r>
      <w:r>
        <w:rPr>
          <w:rFonts w:hint="eastAsia" w:ascii="宋体" w:hAnsi="宋体" w:cs="宋体"/>
          <w:kern w:val="0"/>
          <w:sz w:val="24"/>
          <w:u w:val="single"/>
          <w:lang w:bidi="ar"/>
        </w:rPr>
        <w:t xml:space="preserve">  </w:t>
      </w:r>
    </w:p>
    <w:p w14:paraId="5D9AE00E">
      <w:pPr>
        <w:pStyle w:val="19"/>
        <w:spacing w:line="480" w:lineRule="auto"/>
      </w:pPr>
      <w:r>
        <w:rPr>
          <w:rFonts w:hint="eastAsia" w:hAnsi="宋体"/>
        </w:rPr>
        <w:t xml:space="preserve">邮政编码：/ </w:t>
      </w:r>
      <w:r>
        <w:rPr>
          <w:rFonts w:hAnsi="宋体"/>
        </w:rPr>
        <w:t xml:space="preserve">                    </w:t>
      </w:r>
      <w:r>
        <w:rPr>
          <w:rFonts w:hint="eastAsia" w:hAnsi="宋体"/>
        </w:rPr>
        <w:t>邮政编码</w:t>
      </w:r>
      <w:r>
        <w:rPr>
          <w:rFonts w:hint="eastAsia"/>
        </w:rPr>
        <w:t>：</w:t>
      </w:r>
      <w:r>
        <w:rPr>
          <w:rFonts w:ascii="宋体" w:hAnsi="宋体"/>
          <w:u w:val="single"/>
        </w:rPr>
        <w:t>/</w:t>
      </w:r>
    </w:p>
    <w:p w14:paraId="71DB7995">
      <w:pPr>
        <w:jc w:val="center"/>
        <w:rPr>
          <w:rFonts w:hint="eastAsia" w:ascii="黑体" w:hAnsi="宋体" w:eastAsia="黑体"/>
          <w:sz w:val="28"/>
        </w:rPr>
      </w:pPr>
    </w:p>
    <w:p w14:paraId="10964028">
      <w:pPr>
        <w:jc w:val="center"/>
        <w:rPr>
          <w:rFonts w:hint="eastAsia" w:ascii="黑体" w:hAnsi="宋体" w:eastAsia="黑体"/>
          <w:sz w:val="28"/>
        </w:rPr>
      </w:pPr>
    </w:p>
    <w:p w14:paraId="192665DF">
      <w:pPr>
        <w:jc w:val="center"/>
        <w:rPr>
          <w:rFonts w:hint="eastAsia" w:ascii="黑体" w:hAnsi="宋体" w:eastAsia="黑体"/>
          <w:sz w:val="28"/>
        </w:rPr>
      </w:pPr>
    </w:p>
    <w:p w14:paraId="49DA137F">
      <w:pPr>
        <w:jc w:val="center"/>
        <w:rPr>
          <w:rFonts w:hint="eastAsia" w:ascii="黑体" w:hAnsi="宋体" w:eastAsia="黑体"/>
          <w:sz w:val="28"/>
        </w:rPr>
      </w:pPr>
      <w:r>
        <w:rPr>
          <w:rFonts w:hint="eastAsia" w:ascii="黑体" w:hAnsi="宋体" w:eastAsia="黑体"/>
          <w:sz w:val="28"/>
        </w:rPr>
        <w:br w:type="page"/>
      </w:r>
      <w:r>
        <w:rPr>
          <w:rFonts w:hint="eastAsia" w:ascii="黑体" w:hAnsi="宋体" w:eastAsia="黑体"/>
          <w:sz w:val="28"/>
        </w:rPr>
        <w:t>建设工程廉政责任书</w:t>
      </w:r>
    </w:p>
    <w:p w14:paraId="7EBF096F">
      <w:pPr>
        <w:spacing w:line="400" w:lineRule="exact"/>
        <w:ind w:firstLine="488"/>
        <w:rPr>
          <w:rFonts w:hint="eastAsia" w:ascii="宋体" w:hAnsi="宋体"/>
          <w:u w:val="single"/>
        </w:rPr>
      </w:pPr>
      <w:r>
        <w:rPr>
          <w:rFonts w:hint="eastAsia" w:ascii="宋体" w:hAnsi="宋体"/>
        </w:rPr>
        <w:t>甲方：</w:t>
      </w:r>
      <w:r>
        <w:rPr>
          <w:rFonts w:hint="eastAsia" w:ascii="宋体" w:hAnsi="宋体"/>
          <w:u w:val="single"/>
        </w:rPr>
        <w:t>中国音乐学院</w:t>
      </w:r>
    </w:p>
    <w:p w14:paraId="60FBC118">
      <w:pPr>
        <w:spacing w:line="400" w:lineRule="exact"/>
        <w:ind w:firstLine="488"/>
        <w:rPr>
          <w:rFonts w:hint="eastAsia" w:ascii="宋体" w:hAnsi="宋体"/>
        </w:rPr>
      </w:pPr>
      <w:r>
        <w:rPr>
          <w:rFonts w:hint="eastAsia" w:ascii="宋体" w:hAnsi="宋体"/>
        </w:rPr>
        <w:t>乙方：</w:t>
      </w:r>
      <w:r>
        <w:rPr>
          <w:rFonts w:hint="eastAsia" w:ascii="宋体" w:hAnsi="宋体"/>
          <w:bCs/>
          <w:sz w:val="36"/>
          <w:szCs w:val="36"/>
          <w:u w:val="single"/>
        </w:rPr>
        <w:t xml:space="preserve">            </w:t>
      </w:r>
    </w:p>
    <w:p w14:paraId="22E82FE6">
      <w:pPr>
        <w:spacing w:line="400" w:lineRule="exact"/>
        <w:ind w:firstLine="420" w:firstLineChars="200"/>
        <w:rPr>
          <w:rFonts w:ascii="宋体"/>
          <w:szCs w:val="28"/>
        </w:rPr>
      </w:pPr>
      <w:r>
        <w:rPr>
          <w:rFonts w:ascii="宋体"/>
          <w:szCs w:val="28"/>
        </w:rPr>
        <w:t>为加强建设工程廉政建设，规范</w:t>
      </w:r>
      <w:r>
        <w:rPr>
          <w:rFonts w:hint="eastAsia" w:ascii="宋体"/>
          <w:szCs w:val="28"/>
        </w:rPr>
        <w:t>建设工程</w:t>
      </w:r>
      <w:r>
        <w:rPr>
          <w:rFonts w:ascii="宋体"/>
          <w:szCs w:val="28"/>
        </w:rPr>
        <w:t>各项活动</w:t>
      </w:r>
      <w:r>
        <w:rPr>
          <w:rFonts w:hint="eastAsia" w:ascii="宋体"/>
          <w:szCs w:val="28"/>
        </w:rPr>
        <w:t>中甲方乙方双方的行为</w:t>
      </w:r>
      <w:r>
        <w:rPr>
          <w:rFonts w:ascii="宋体"/>
          <w:szCs w:val="28"/>
        </w:rPr>
        <w:t>，防止谋取不正当利益的违法违纪</w:t>
      </w:r>
      <w:r>
        <w:rPr>
          <w:rFonts w:hint="eastAsia" w:ascii="宋体"/>
          <w:szCs w:val="28"/>
        </w:rPr>
        <w:t>现象的</w:t>
      </w:r>
      <w:r>
        <w:rPr>
          <w:rFonts w:ascii="宋体"/>
          <w:szCs w:val="28"/>
        </w:rPr>
        <w:t>发生，保护国家、集体和当事人的合法权益，根据国家有关工程建设的法律法规和廉政建设</w:t>
      </w:r>
      <w:r>
        <w:rPr>
          <w:rFonts w:hint="eastAsia" w:ascii="宋体"/>
          <w:szCs w:val="28"/>
        </w:rPr>
        <w:t>的有关规定</w:t>
      </w:r>
      <w:r>
        <w:rPr>
          <w:rFonts w:ascii="宋体"/>
          <w:szCs w:val="28"/>
        </w:rPr>
        <w:t>，订立本廉政责任书。</w:t>
      </w:r>
    </w:p>
    <w:p w14:paraId="0A66C43C">
      <w:pPr>
        <w:spacing w:line="400" w:lineRule="exact"/>
        <w:ind w:firstLine="420" w:firstLineChars="200"/>
        <w:rPr>
          <w:rFonts w:hint="eastAsia" w:ascii="黑体" w:hAnsi="宋体" w:eastAsia="黑体"/>
        </w:rPr>
      </w:pPr>
      <w:r>
        <w:rPr>
          <w:rFonts w:hint="eastAsia" w:ascii="黑体" w:hAnsi="宋体" w:eastAsia="黑体"/>
        </w:rPr>
        <w:t>一、双方的责任</w:t>
      </w:r>
    </w:p>
    <w:p w14:paraId="69DA9A08">
      <w:pPr>
        <w:spacing w:line="400" w:lineRule="exact"/>
        <w:ind w:firstLine="420" w:firstLineChars="200"/>
        <w:rPr>
          <w:rFonts w:ascii="宋体"/>
          <w:szCs w:val="28"/>
        </w:rPr>
      </w:pPr>
      <w:r>
        <w:rPr>
          <w:rFonts w:hint="eastAsia" w:ascii="宋体"/>
          <w:szCs w:val="28"/>
        </w:rPr>
        <w:t>1</w:t>
      </w:r>
      <w:r>
        <w:rPr>
          <w:rFonts w:ascii="宋体"/>
          <w:szCs w:val="28"/>
        </w:rPr>
        <w:t>.1应严格遵守国家关于</w:t>
      </w:r>
      <w:r>
        <w:rPr>
          <w:rFonts w:hint="eastAsia" w:ascii="宋体"/>
          <w:szCs w:val="28"/>
        </w:rPr>
        <w:t>建设工程</w:t>
      </w:r>
      <w:r>
        <w:rPr>
          <w:rFonts w:ascii="宋体"/>
          <w:szCs w:val="28"/>
        </w:rPr>
        <w:t>的有关法律、法规，相关政策，以及廉政建设的各项规定。</w:t>
      </w:r>
    </w:p>
    <w:p w14:paraId="591720E2">
      <w:pPr>
        <w:spacing w:line="400" w:lineRule="exact"/>
        <w:ind w:firstLine="420" w:firstLineChars="200"/>
        <w:rPr>
          <w:rFonts w:ascii="宋体"/>
          <w:szCs w:val="28"/>
        </w:rPr>
      </w:pPr>
      <w:r>
        <w:rPr>
          <w:rFonts w:hint="eastAsia" w:ascii="宋体"/>
          <w:szCs w:val="28"/>
        </w:rPr>
        <w:t>1</w:t>
      </w:r>
      <w:r>
        <w:rPr>
          <w:rFonts w:ascii="宋体"/>
          <w:szCs w:val="28"/>
        </w:rPr>
        <w:t>.</w:t>
      </w:r>
      <w:r>
        <w:rPr>
          <w:rFonts w:hint="eastAsia" w:ascii="宋体"/>
          <w:szCs w:val="28"/>
        </w:rPr>
        <w:t xml:space="preserve">2 </w:t>
      </w:r>
      <w:r>
        <w:rPr>
          <w:rFonts w:ascii="宋体"/>
          <w:szCs w:val="28"/>
        </w:rPr>
        <w:t>严格执行建设工程合同文件，自觉按合同办事。</w:t>
      </w:r>
    </w:p>
    <w:p w14:paraId="1D8926AB">
      <w:pPr>
        <w:spacing w:line="400" w:lineRule="exact"/>
        <w:ind w:firstLine="420" w:firstLineChars="200"/>
        <w:rPr>
          <w:rFonts w:ascii="宋体"/>
          <w:szCs w:val="28"/>
        </w:rPr>
      </w:pPr>
      <w:r>
        <w:rPr>
          <w:rFonts w:hint="eastAsia" w:ascii="宋体"/>
          <w:szCs w:val="28"/>
        </w:rPr>
        <w:t>1</w:t>
      </w:r>
      <w:r>
        <w:rPr>
          <w:rFonts w:ascii="宋体"/>
          <w:szCs w:val="28"/>
        </w:rPr>
        <w:t>.</w:t>
      </w:r>
      <w:r>
        <w:rPr>
          <w:rFonts w:hint="eastAsia" w:ascii="宋体"/>
          <w:szCs w:val="28"/>
        </w:rPr>
        <w:t>3 各项</w:t>
      </w:r>
      <w:r>
        <w:rPr>
          <w:rFonts w:ascii="宋体"/>
          <w:szCs w:val="28"/>
        </w:rPr>
        <w:t>活动必须坚持公开、公平、公正、诚信、透明的原则（除法律法规另有规定者外），不得为获取不正当的利益，损害国家、集体和对方利益，不得违反建设工程管理的规章制度。</w:t>
      </w:r>
    </w:p>
    <w:p w14:paraId="4820EAF5">
      <w:pPr>
        <w:spacing w:line="400" w:lineRule="exact"/>
        <w:ind w:firstLine="420" w:firstLineChars="200"/>
        <w:rPr>
          <w:rFonts w:ascii="宋体"/>
          <w:szCs w:val="28"/>
        </w:rPr>
      </w:pPr>
      <w:r>
        <w:rPr>
          <w:rFonts w:hint="eastAsia" w:ascii="宋体"/>
          <w:szCs w:val="28"/>
        </w:rPr>
        <w:t>1</w:t>
      </w:r>
      <w:r>
        <w:rPr>
          <w:rFonts w:ascii="宋体"/>
          <w:szCs w:val="28"/>
        </w:rPr>
        <w:t>.</w:t>
      </w:r>
      <w:r>
        <w:rPr>
          <w:rFonts w:hint="eastAsia" w:ascii="宋体"/>
          <w:szCs w:val="28"/>
        </w:rPr>
        <w:t xml:space="preserve">4 </w:t>
      </w:r>
      <w:r>
        <w:rPr>
          <w:rFonts w:ascii="宋体"/>
          <w:szCs w:val="28"/>
        </w:rPr>
        <w:t>发现对方在业务活动中有违规、违纪、违法行为的，应及时提醒对方，情节严重的，应向其上级主管部门或纪检监察、司法等有关机关举报。</w:t>
      </w:r>
    </w:p>
    <w:p w14:paraId="4AA6A7D9">
      <w:pPr>
        <w:spacing w:line="400" w:lineRule="exact"/>
        <w:ind w:firstLine="420" w:firstLineChars="200"/>
        <w:rPr>
          <w:rFonts w:hint="eastAsia" w:ascii="黑体" w:hAnsi="宋体" w:eastAsia="黑体"/>
        </w:rPr>
      </w:pPr>
      <w:r>
        <w:rPr>
          <w:rFonts w:hint="eastAsia" w:ascii="黑体" w:hAnsi="宋体" w:eastAsia="黑体"/>
        </w:rPr>
        <w:t>二、甲方责任</w:t>
      </w:r>
    </w:p>
    <w:p w14:paraId="0A8B6C14">
      <w:pPr>
        <w:spacing w:line="400" w:lineRule="exact"/>
        <w:ind w:firstLine="420" w:firstLineChars="200"/>
        <w:rPr>
          <w:rFonts w:ascii="宋体"/>
          <w:szCs w:val="28"/>
        </w:rPr>
      </w:pPr>
      <w:r>
        <w:rPr>
          <w:rFonts w:ascii="宋体"/>
          <w:szCs w:val="28"/>
        </w:rPr>
        <w:t>甲方的领导和从事该建设工程项目的工作人员，在工程建设的事前、事中、事后应遵守以下规定：</w:t>
      </w:r>
    </w:p>
    <w:p w14:paraId="289ED7DC">
      <w:pPr>
        <w:spacing w:line="400" w:lineRule="exact"/>
        <w:ind w:firstLine="420" w:firstLineChars="200"/>
        <w:rPr>
          <w:rFonts w:ascii="宋体"/>
          <w:szCs w:val="28"/>
        </w:rPr>
      </w:pPr>
      <w:r>
        <w:rPr>
          <w:rFonts w:hint="eastAsia" w:ascii="宋体"/>
          <w:szCs w:val="28"/>
        </w:rPr>
        <w:t>2</w:t>
      </w:r>
      <w:r>
        <w:rPr>
          <w:rFonts w:ascii="宋体"/>
          <w:szCs w:val="28"/>
        </w:rPr>
        <w:t>.</w:t>
      </w:r>
      <w:r>
        <w:rPr>
          <w:rFonts w:hint="eastAsia" w:ascii="宋体"/>
          <w:szCs w:val="28"/>
        </w:rPr>
        <w:t>1</w:t>
      </w:r>
      <w:r>
        <w:rPr>
          <w:rFonts w:ascii="宋体"/>
          <w:szCs w:val="28"/>
        </w:rPr>
        <w:t>不得向乙方和相关单位索要或接受回扣、礼金、有价证券、贵重物品和好处费、感谢费等。</w:t>
      </w:r>
    </w:p>
    <w:p w14:paraId="51C3F4B8">
      <w:pPr>
        <w:spacing w:line="400" w:lineRule="exact"/>
        <w:rPr>
          <w:rFonts w:ascii="宋体"/>
          <w:szCs w:val="28"/>
        </w:rPr>
      </w:pPr>
      <w:r>
        <w:rPr>
          <w:rFonts w:hint="eastAsia" w:ascii="宋体"/>
          <w:szCs w:val="28"/>
        </w:rPr>
        <w:t>2</w:t>
      </w:r>
      <w:r>
        <w:rPr>
          <w:rFonts w:ascii="宋体"/>
          <w:szCs w:val="28"/>
        </w:rPr>
        <w:t>.</w:t>
      </w:r>
      <w:r>
        <w:rPr>
          <w:rFonts w:hint="eastAsia" w:ascii="宋体"/>
          <w:szCs w:val="28"/>
        </w:rPr>
        <w:t xml:space="preserve">2 </w:t>
      </w:r>
      <w:r>
        <w:rPr>
          <w:rFonts w:ascii="宋体"/>
          <w:szCs w:val="28"/>
        </w:rPr>
        <w:t>不得在乙方和相关单位报销任何应由甲方或个人支付的费用。</w:t>
      </w:r>
    </w:p>
    <w:p w14:paraId="14CD0F8B">
      <w:pPr>
        <w:spacing w:line="400" w:lineRule="exact"/>
        <w:ind w:firstLine="420" w:firstLineChars="200"/>
        <w:rPr>
          <w:rFonts w:ascii="宋体"/>
          <w:szCs w:val="28"/>
        </w:rPr>
      </w:pPr>
      <w:r>
        <w:rPr>
          <w:rFonts w:hint="eastAsia" w:ascii="宋体"/>
          <w:szCs w:val="28"/>
        </w:rPr>
        <w:t>2</w:t>
      </w:r>
      <w:r>
        <w:rPr>
          <w:rFonts w:ascii="宋体"/>
          <w:szCs w:val="28"/>
        </w:rPr>
        <w:t>.</w:t>
      </w:r>
      <w:r>
        <w:rPr>
          <w:rFonts w:hint="eastAsia" w:ascii="宋体"/>
          <w:szCs w:val="28"/>
        </w:rPr>
        <w:t xml:space="preserve">3 </w:t>
      </w:r>
      <w:r>
        <w:rPr>
          <w:rFonts w:ascii="宋体"/>
          <w:szCs w:val="28"/>
        </w:rPr>
        <w:t>不得要求、暗示或接受乙方和相关单位为个人装修住房、婚丧嫁娶、配偶子女的工作安排以及出国（境）、旅游等提供方便。</w:t>
      </w:r>
    </w:p>
    <w:p w14:paraId="01D722BC">
      <w:pPr>
        <w:spacing w:line="400" w:lineRule="exact"/>
        <w:ind w:firstLine="420" w:firstLineChars="200"/>
        <w:rPr>
          <w:rFonts w:ascii="宋体"/>
          <w:szCs w:val="28"/>
        </w:rPr>
      </w:pPr>
      <w:r>
        <w:rPr>
          <w:rFonts w:hint="eastAsia" w:ascii="宋体"/>
          <w:szCs w:val="28"/>
        </w:rPr>
        <w:t>2</w:t>
      </w:r>
      <w:r>
        <w:rPr>
          <w:rFonts w:ascii="宋体"/>
          <w:szCs w:val="28"/>
        </w:rPr>
        <w:t>.</w:t>
      </w:r>
      <w:r>
        <w:rPr>
          <w:rFonts w:hint="eastAsia" w:ascii="宋体"/>
          <w:szCs w:val="28"/>
        </w:rPr>
        <w:t xml:space="preserve">4 </w:t>
      </w:r>
      <w:r>
        <w:rPr>
          <w:rFonts w:ascii="宋体"/>
          <w:szCs w:val="28"/>
        </w:rPr>
        <w:t>不得参加有可能影响公正执行公务的乙方和相关单位的宴请、健身、娱乐等活动。</w:t>
      </w:r>
    </w:p>
    <w:p w14:paraId="513BE3E3">
      <w:pPr>
        <w:spacing w:line="400" w:lineRule="exact"/>
        <w:ind w:firstLine="420" w:firstLineChars="200"/>
        <w:rPr>
          <w:rFonts w:ascii="宋体"/>
          <w:szCs w:val="28"/>
        </w:rPr>
      </w:pPr>
      <w:r>
        <w:rPr>
          <w:rFonts w:hint="eastAsia" w:ascii="宋体"/>
          <w:szCs w:val="28"/>
        </w:rPr>
        <w:t>2</w:t>
      </w:r>
      <w:r>
        <w:rPr>
          <w:rFonts w:ascii="宋体"/>
          <w:szCs w:val="28"/>
        </w:rPr>
        <w:t>.</w:t>
      </w:r>
      <w:r>
        <w:rPr>
          <w:rFonts w:hint="eastAsia" w:ascii="宋体"/>
          <w:szCs w:val="28"/>
        </w:rPr>
        <w:t xml:space="preserve">5 </w:t>
      </w:r>
      <w:r>
        <w:rPr>
          <w:rFonts w:ascii="宋体"/>
          <w:szCs w:val="28"/>
        </w:rPr>
        <w:t>不得向乙方和相关单位介绍或为配偶、子女、亲属参与同甲方</w:t>
      </w:r>
      <w:r>
        <w:rPr>
          <w:rFonts w:hint="eastAsia" w:ascii="宋体"/>
          <w:szCs w:val="28"/>
        </w:rPr>
        <w:t>工程建设管理</w:t>
      </w:r>
      <w:r>
        <w:rPr>
          <w:rFonts w:ascii="宋体"/>
          <w:szCs w:val="28"/>
        </w:rPr>
        <w:t>合同有关的业务活动</w:t>
      </w:r>
      <w:r>
        <w:rPr>
          <w:rFonts w:hint="eastAsia" w:ascii="宋体"/>
          <w:szCs w:val="28"/>
        </w:rPr>
        <w:t>；</w:t>
      </w:r>
      <w:r>
        <w:rPr>
          <w:rFonts w:ascii="宋体"/>
          <w:szCs w:val="28"/>
        </w:rPr>
        <w:t>不得以任何理由要求乙方和相关单位使用某种产品、材料和设备。</w:t>
      </w:r>
    </w:p>
    <w:p w14:paraId="79E2F45A">
      <w:pPr>
        <w:spacing w:line="400" w:lineRule="exact"/>
        <w:ind w:firstLine="420" w:firstLineChars="200"/>
        <w:rPr>
          <w:rFonts w:ascii="黑体" w:eastAsia="黑体"/>
        </w:rPr>
      </w:pPr>
      <w:r>
        <w:rPr>
          <w:rFonts w:hint="eastAsia" w:ascii="黑体" w:hAnsi="宋体" w:eastAsia="黑体"/>
        </w:rPr>
        <w:t>三、乙方责任</w:t>
      </w:r>
    </w:p>
    <w:p w14:paraId="3F3EC663">
      <w:pPr>
        <w:spacing w:line="400" w:lineRule="exact"/>
        <w:ind w:firstLine="420" w:firstLineChars="200"/>
        <w:rPr>
          <w:rFonts w:ascii="宋体"/>
          <w:szCs w:val="28"/>
        </w:rPr>
      </w:pPr>
      <w:r>
        <w:rPr>
          <w:rFonts w:ascii="宋体"/>
          <w:szCs w:val="28"/>
        </w:rPr>
        <w:t>应与甲方保持正常的业务交往，按照有关法律法规和程序开展业务工作，严格执行工程建设的有关方针、政策，</w:t>
      </w:r>
      <w:r>
        <w:rPr>
          <w:rFonts w:hint="eastAsia" w:ascii="宋体"/>
          <w:szCs w:val="28"/>
        </w:rPr>
        <w:t>执行工程建设</w:t>
      </w:r>
      <w:r>
        <w:rPr>
          <w:rFonts w:ascii="宋体"/>
          <w:szCs w:val="28"/>
        </w:rPr>
        <w:t>强制性标准，并遵守以下规定：</w:t>
      </w:r>
    </w:p>
    <w:p w14:paraId="7A523AD9">
      <w:pPr>
        <w:spacing w:line="400" w:lineRule="exact"/>
        <w:ind w:firstLine="420" w:firstLineChars="200"/>
        <w:rPr>
          <w:rFonts w:ascii="宋体"/>
          <w:szCs w:val="28"/>
        </w:rPr>
      </w:pPr>
      <w:r>
        <w:rPr>
          <w:rFonts w:hint="eastAsia" w:ascii="宋体"/>
          <w:szCs w:val="28"/>
        </w:rPr>
        <w:t>3</w:t>
      </w:r>
      <w:r>
        <w:rPr>
          <w:rFonts w:ascii="宋体"/>
          <w:szCs w:val="28"/>
        </w:rPr>
        <w:t>.</w:t>
      </w:r>
      <w:r>
        <w:rPr>
          <w:rFonts w:hint="eastAsia" w:ascii="宋体"/>
          <w:szCs w:val="28"/>
        </w:rPr>
        <w:t xml:space="preserve">1 </w:t>
      </w:r>
      <w:r>
        <w:rPr>
          <w:rFonts w:ascii="宋体"/>
          <w:szCs w:val="28"/>
        </w:rPr>
        <w:t>不得以任何理由向甲方及其工作人员索要、接受或赠送礼金、有价证券、贵重物品及回扣、好处费、感谢费等。</w:t>
      </w:r>
    </w:p>
    <w:p w14:paraId="0A4F506A">
      <w:pPr>
        <w:spacing w:line="400" w:lineRule="exact"/>
        <w:ind w:firstLine="420" w:firstLineChars="200"/>
        <w:rPr>
          <w:rFonts w:ascii="宋体"/>
          <w:szCs w:val="28"/>
        </w:rPr>
      </w:pPr>
      <w:r>
        <w:rPr>
          <w:rFonts w:hint="eastAsia" w:ascii="宋体"/>
          <w:szCs w:val="28"/>
        </w:rPr>
        <w:t>3</w:t>
      </w:r>
      <w:r>
        <w:rPr>
          <w:rFonts w:ascii="宋体"/>
          <w:szCs w:val="28"/>
        </w:rPr>
        <w:t>.</w:t>
      </w:r>
      <w:r>
        <w:rPr>
          <w:rFonts w:hint="eastAsia" w:ascii="宋体"/>
          <w:szCs w:val="28"/>
        </w:rPr>
        <w:t>2</w:t>
      </w:r>
      <w:r>
        <w:rPr>
          <w:rFonts w:ascii="宋体"/>
          <w:szCs w:val="28"/>
        </w:rPr>
        <w:t>不得以任何理由为甲方和相关单位报销应由对方或个人支付的费用。</w:t>
      </w:r>
    </w:p>
    <w:p w14:paraId="4CBC3515">
      <w:pPr>
        <w:spacing w:line="400" w:lineRule="exact"/>
        <w:ind w:firstLine="420" w:firstLineChars="200"/>
        <w:rPr>
          <w:rFonts w:ascii="宋体"/>
          <w:szCs w:val="28"/>
        </w:rPr>
      </w:pPr>
      <w:r>
        <w:rPr>
          <w:rFonts w:hint="eastAsia" w:ascii="宋体"/>
          <w:szCs w:val="28"/>
        </w:rPr>
        <w:t>3</w:t>
      </w:r>
      <w:r>
        <w:rPr>
          <w:rFonts w:ascii="宋体"/>
          <w:szCs w:val="28"/>
        </w:rPr>
        <w:t>.</w:t>
      </w:r>
      <w:r>
        <w:rPr>
          <w:rFonts w:hint="eastAsia" w:ascii="宋体"/>
          <w:szCs w:val="28"/>
        </w:rPr>
        <w:t>3</w:t>
      </w:r>
      <w:r>
        <w:rPr>
          <w:rFonts w:ascii="宋体"/>
          <w:szCs w:val="28"/>
        </w:rPr>
        <w:t>不得接受或暗示为甲方、相关单位或个人装修住房、婚丧嫁娶、配偶子女的工作安排以及出国（境）、旅游等提供方便。</w:t>
      </w:r>
    </w:p>
    <w:p w14:paraId="749DC73D">
      <w:pPr>
        <w:spacing w:line="400" w:lineRule="exact"/>
        <w:ind w:firstLine="420" w:firstLineChars="200"/>
        <w:rPr>
          <w:rFonts w:ascii="宋体"/>
          <w:szCs w:val="28"/>
        </w:rPr>
      </w:pPr>
      <w:r>
        <w:rPr>
          <w:rFonts w:hint="eastAsia" w:ascii="宋体"/>
          <w:szCs w:val="28"/>
        </w:rPr>
        <w:t>3</w:t>
      </w:r>
      <w:r>
        <w:rPr>
          <w:rFonts w:ascii="宋体"/>
          <w:szCs w:val="28"/>
        </w:rPr>
        <w:t>.</w:t>
      </w:r>
      <w:r>
        <w:rPr>
          <w:rFonts w:hint="eastAsia" w:ascii="宋体"/>
          <w:szCs w:val="28"/>
        </w:rPr>
        <w:t>4</w:t>
      </w:r>
      <w:r>
        <w:rPr>
          <w:rFonts w:ascii="宋体"/>
          <w:szCs w:val="28"/>
        </w:rPr>
        <w:t>不得以任何理由为甲方、相关单位或个人组织有可能影响公正执行公务的宴请、健身、娱乐等活动。</w:t>
      </w:r>
    </w:p>
    <w:p w14:paraId="7C9E3E30">
      <w:pPr>
        <w:spacing w:line="400" w:lineRule="exact"/>
        <w:ind w:firstLine="420" w:firstLineChars="200"/>
        <w:rPr>
          <w:rFonts w:ascii="黑体" w:eastAsia="黑体"/>
        </w:rPr>
      </w:pPr>
      <w:r>
        <w:rPr>
          <w:rFonts w:hint="eastAsia" w:ascii="黑体" w:eastAsia="黑体"/>
        </w:rPr>
        <w:t>四、违约责任</w:t>
      </w:r>
    </w:p>
    <w:p w14:paraId="4C6D57FA">
      <w:pPr>
        <w:spacing w:line="400" w:lineRule="exact"/>
        <w:ind w:firstLine="420" w:firstLineChars="200"/>
        <w:rPr>
          <w:rFonts w:ascii="宋体"/>
          <w:szCs w:val="28"/>
        </w:rPr>
      </w:pPr>
      <w:r>
        <w:rPr>
          <w:rFonts w:hint="eastAsia" w:ascii="宋体"/>
          <w:szCs w:val="28"/>
        </w:rPr>
        <w:t>4</w:t>
      </w:r>
      <w:r>
        <w:rPr>
          <w:rFonts w:ascii="宋体"/>
          <w:szCs w:val="28"/>
        </w:rPr>
        <w:t>.</w:t>
      </w:r>
      <w:r>
        <w:rPr>
          <w:rFonts w:hint="eastAsia" w:ascii="宋体"/>
          <w:szCs w:val="28"/>
        </w:rPr>
        <w:t>1</w:t>
      </w:r>
      <w:r>
        <w:rPr>
          <w:rFonts w:ascii="宋体"/>
          <w:szCs w:val="28"/>
        </w:rPr>
        <w:t>甲方工作人员有违反本责任书第一、二条责任行为的，依据有关法律</w:t>
      </w:r>
      <w:r>
        <w:rPr>
          <w:rFonts w:hint="eastAsia" w:ascii="宋体"/>
          <w:szCs w:val="28"/>
        </w:rPr>
        <w:t>、</w:t>
      </w:r>
      <w:r>
        <w:rPr>
          <w:rFonts w:ascii="宋体"/>
          <w:szCs w:val="28"/>
        </w:rPr>
        <w:t>法规给予处理；涉嫌犯罪的，移交司法机关追究刑事责任；给乙方单位造成经济损失的，应予以赔偿。</w:t>
      </w:r>
    </w:p>
    <w:p w14:paraId="566E432F">
      <w:pPr>
        <w:spacing w:line="400" w:lineRule="exact"/>
        <w:ind w:firstLine="420" w:firstLineChars="200"/>
        <w:rPr>
          <w:rFonts w:ascii="宋体"/>
          <w:szCs w:val="28"/>
        </w:rPr>
      </w:pPr>
      <w:r>
        <w:rPr>
          <w:rFonts w:hint="eastAsia" w:ascii="宋体"/>
          <w:szCs w:val="28"/>
        </w:rPr>
        <w:t>4</w:t>
      </w:r>
      <w:r>
        <w:rPr>
          <w:rFonts w:ascii="宋体"/>
          <w:szCs w:val="28"/>
        </w:rPr>
        <w:t>.</w:t>
      </w:r>
      <w:r>
        <w:rPr>
          <w:rFonts w:hint="eastAsia" w:ascii="宋体"/>
          <w:szCs w:val="28"/>
        </w:rPr>
        <w:t xml:space="preserve">2 </w:t>
      </w:r>
      <w:r>
        <w:rPr>
          <w:rFonts w:ascii="宋体"/>
          <w:szCs w:val="28"/>
        </w:rPr>
        <w:t>乙方工作人员有违反本责任书第一、三条责任行为的，依据有关法律法规处理；涉嫌犯罪的，移交司法机关追究刑事责任；给甲方单位造成经济损失的，应予以赔偿。</w:t>
      </w:r>
    </w:p>
    <w:p w14:paraId="67BC1CE5">
      <w:pPr>
        <w:spacing w:line="400" w:lineRule="exact"/>
        <w:ind w:firstLine="420" w:firstLineChars="200"/>
        <w:rPr>
          <w:rFonts w:ascii="仿宋_GB2312" w:eastAsia="仿宋_GB2312"/>
          <w:szCs w:val="28"/>
        </w:rPr>
      </w:pPr>
      <w:r>
        <w:rPr>
          <w:rFonts w:hint="eastAsia" w:ascii="宋体"/>
          <w:szCs w:val="28"/>
        </w:rPr>
        <w:t>4</w:t>
      </w:r>
      <w:r>
        <w:rPr>
          <w:rFonts w:ascii="宋体"/>
          <w:szCs w:val="28"/>
        </w:rPr>
        <w:t>.</w:t>
      </w:r>
      <w:r>
        <w:rPr>
          <w:rFonts w:hint="eastAsia" w:ascii="宋体"/>
          <w:szCs w:val="28"/>
        </w:rPr>
        <w:t xml:space="preserve">3 </w:t>
      </w:r>
      <w:r>
        <w:rPr>
          <w:rFonts w:ascii="宋体"/>
          <w:szCs w:val="28"/>
        </w:rPr>
        <w:t>本责任书作为</w:t>
      </w:r>
      <w:r>
        <w:rPr>
          <w:rFonts w:hint="eastAsia" w:ascii="宋体"/>
          <w:szCs w:val="28"/>
        </w:rPr>
        <w:t>建设</w:t>
      </w:r>
      <w:r>
        <w:rPr>
          <w:rFonts w:ascii="宋体"/>
          <w:szCs w:val="28"/>
        </w:rPr>
        <w:t>工程合同的</w:t>
      </w:r>
      <w:r>
        <w:rPr>
          <w:rFonts w:hint="eastAsia" w:ascii="宋体"/>
          <w:szCs w:val="28"/>
        </w:rPr>
        <w:t>组成部分</w:t>
      </w:r>
      <w:r>
        <w:rPr>
          <w:rFonts w:ascii="宋体"/>
          <w:szCs w:val="28"/>
        </w:rPr>
        <w:t>，与</w:t>
      </w:r>
      <w:r>
        <w:rPr>
          <w:rFonts w:hint="eastAsia" w:ascii="宋体"/>
          <w:szCs w:val="28"/>
        </w:rPr>
        <w:t>建设</w:t>
      </w:r>
      <w:r>
        <w:rPr>
          <w:rFonts w:ascii="宋体"/>
          <w:szCs w:val="28"/>
        </w:rPr>
        <w:t>工程合同具有同等法律效力。经双方签署后立即生效。</w:t>
      </w:r>
    </w:p>
    <w:p w14:paraId="6B4562E3">
      <w:pPr>
        <w:spacing w:line="400" w:lineRule="exact"/>
        <w:ind w:firstLine="420" w:firstLineChars="200"/>
        <w:rPr>
          <w:rFonts w:ascii="黑体" w:eastAsia="黑体"/>
        </w:rPr>
      </w:pPr>
      <w:r>
        <w:rPr>
          <w:rFonts w:hint="eastAsia" w:ascii="黑体" w:eastAsia="黑体"/>
        </w:rPr>
        <w:t>五、责任书有效期</w:t>
      </w:r>
    </w:p>
    <w:p w14:paraId="7793CDE0">
      <w:pPr>
        <w:spacing w:line="400" w:lineRule="exact"/>
        <w:ind w:firstLine="420" w:firstLineChars="200"/>
        <w:rPr>
          <w:rFonts w:ascii="仿宋_GB2312" w:eastAsia="仿宋_GB2312"/>
          <w:szCs w:val="28"/>
        </w:rPr>
      </w:pPr>
      <w:r>
        <w:rPr>
          <w:rFonts w:ascii="宋体"/>
          <w:szCs w:val="28"/>
        </w:rPr>
        <w:t>本责任书的有效期为双方签署之日起至该工程项目竣工验收合格时止。</w:t>
      </w:r>
    </w:p>
    <w:p w14:paraId="04DBB94A">
      <w:pPr>
        <w:spacing w:line="400" w:lineRule="exact"/>
        <w:ind w:firstLine="420" w:firstLineChars="200"/>
        <w:rPr>
          <w:rFonts w:ascii="黑体" w:eastAsia="黑体"/>
        </w:rPr>
      </w:pPr>
      <w:r>
        <w:rPr>
          <w:rFonts w:hint="eastAsia" w:ascii="黑体" w:eastAsia="黑体"/>
        </w:rPr>
        <w:t>六、责任书份数</w:t>
      </w:r>
    </w:p>
    <w:p w14:paraId="565F26F1">
      <w:pPr>
        <w:spacing w:line="400" w:lineRule="exact"/>
        <w:ind w:firstLine="420" w:firstLineChars="200"/>
        <w:rPr>
          <w:rFonts w:ascii="仿宋_GB2312" w:eastAsia="仿宋_GB2312"/>
          <w:szCs w:val="28"/>
        </w:rPr>
      </w:pPr>
      <w:r>
        <w:rPr>
          <w:rFonts w:ascii="宋体"/>
          <w:szCs w:val="28"/>
        </w:rPr>
        <w:t>本责任书一式</w:t>
      </w:r>
      <w:r>
        <w:rPr>
          <w:rFonts w:hint="eastAsia" w:ascii="宋体"/>
          <w:szCs w:val="28"/>
        </w:rPr>
        <w:t>二</w:t>
      </w:r>
      <w:r>
        <w:rPr>
          <w:rFonts w:ascii="宋体"/>
          <w:szCs w:val="28"/>
        </w:rPr>
        <w:t>份，</w:t>
      </w:r>
      <w:r>
        <w:rPr>
          <w:rFonts w:hint="eastAsia" w:ascii="宋体"/>
          <w:szCs w:val="28"/>
        </w:rPr>
        <w:t>甲方乙方</w:t>
      </w:r>
      <w:r>
        <w:rPr>
          <w:rFonts w:ascii="宋体"/>
          <w:szCs w:val="28"/>
        </w:rPr>
        <w:t>各执一份，</w:t>
      </w:r>
      <w:r>
        <w:rPr>
          <w:rFonts w:hint="eastAsia" w:ascii="宋体"/>
          <w:szCs w:val="28"/>
        </w:rPr>
        <w:t>具有同等效力</w:t>
      </w:r>
      <w:r>
        <w:rPr>
          <w:rFonts w:ascii="宋体"/>
          <w:szCs w:val="28"/>
        </w:rPr>
        <w:t>。</w:t>
      </w:r>
    </w:p>
    <w:p w14:paraId="3F5EEE29">
      <w:pPr>
        <w:spacing w:line="480" w:lineRule="auto"/>
        <w:ind w:firstLine="420" w:firstLineChars="200"/>
        <w:rPr>
          <w:rFonts w:hint="eastAsia" w:ascii="宋体" w:hAnsi="宋体"/>
        </w:rPr>
      </w:pPr>
      <w:r>
        <w:rPr>
          <w:rFonts w:hint="eastAsia" w:ascii="宋体" w:hAnsi="宋体"/>
        </w:rPr>
        <w:t>甲方：</w:t>
      </w:r>
      <w:r>
        <w:rPr>
          <w:rFonts w:hint="eastAsia" w:ascii="宋体" w:hAnsi="宋体" w:cs="宋体"/>
          <w:sz w:val="24"/>
          <w:u w:val="single"/>
          <w:shd w:val="clear" w:color="auto" w:fill="FFFFFF"/>
        </w:rPr>
        <w:t>中国音乐学院</w:t>
      </w:r>
      <w:r>
        <w:rPr>
          <w:rFonts w:hint="eastAsia" w:ascii="宋体" w:hAnsi="宋体"/>
        </w:rPr>
        <w:t>（公章）</w:t>
      </w:r>
      <w:r>
        <w:rPr>
          <w:rFonts w:hint="eastAsia" w:ascii="宋体" w:hAnsi="宋体"/>
        </w:rPr>
        <w:tab/>
      </w:r>
      <w:r>
        <w:rPr>
          <w:rFonts w:ascii="宋体" w:hAnsi="宋体"/>
        </w:rPr>
        <w:t xml:space="preserve">      </w:t>
      </w:r>
      <w:r>
        <w:rPr>
          <w:rFonts w:hint="eastAsia" w:ascii="宋体" w:hAnsi="宋体"/>
        </w:rPr>
        <w:t>乙方：</w:t>
      </w:r>
      <w:r>
        <w:rPr>
          <w:rFonts w:hint="eastAsia" w:ascii="宋体" w:hAnsi="宋体" w:cs="宋体"/>
          <w:sz w:val="24"/>
          <w:u w:val="single"/>
          <w:shd w:val="clear" w:color="auto" w:fill="FFFFFF"/>
        </w:rPr>
        <w:t xml:space="preserve">  </w:t>
      </w:r>
      <w:r>
        <w:rPr>
          <w:rFonts w:hint="eastAsia" w:ascii="宋体" w:hAnsi="宋体"/>
          <w:bCs/>
          <w:sz w:val="24"/>
          <w:u w:val="single"/>
        </w:rPr>
        <w:t xml:space="preserve"> </w:t>
      </w:r>
      <w:r>
        <w:rPr>
          <w:rFonts w:hint="eastAsia" w:ascii="宋体" w:hAnsi="宋体"/>
          <w:bCs/>
          <w:sz w:val="36"/>
          <w:szCs w:val="36"/>
          <w:u w:val="single"/>
        </w:rPr>
        <w:t xml:space="preserve">      </w:t>
      </w:r>
      <w:r>
        <w:rPr>
          <w:rFonts w:hint="eastAsia" w:ascii="宋体" w:hAnsi="宋体" w:cs="宋体"/>
          <w:sz w:val="24"/>
          <w:u w:val="single"/>
          <w:shd w:val="clear" w:color="auto" w:fill="FFFFFF"/>
        </w:rPr>
        <w:t xml:space="preserve"> </w:t>
      </w:r>
      <w:r>
        <w:rPr>
          <w:rFonts w:hint="eastAsia" w:ascii="宋体" w:hAnsi="宋体"/>
        </w:rPr>
        <w:t xml:space="preserve">（公章） </w:t>
      </w:r>
    </w:p>
    <w:p w14:paraId="54A40A67">
      <w:pPr>
        <w:tabs>
          <w:tab w:val="left" w:pos="3855"/>
        </w:tabs>
        <w:ind w:left="5250" w:leftChars="200" w:hanging="4830" w:hangingChars="2300"/>
        <w:rPr>
          <w:rFonts w:hint="eastAsia" w:ascii="宋体" w:hAnsi="宋体"/>
        </w:rPr>
      </w:pPr>
      <w:r>
        <w:rPr>
          <w:rFonts w:hint="eastAsia" w:ascii="宋体" w:hAnsi="宋体"/>
        </w:rPr>
        <w:t>法定地址：</w:t>
      </w:r>
      <w:r>
        <w:rPr>
          <w:rFonts w:hint="eastAsia" w:ascii="宋体" w:hAnsi="宋体" w:cs="宋体"/>
          <w:sz w:val="24"/>
          <w:u w:val="single"/>
          <w:shd w:val="clear" w:color="auto" w:fill="FFFFFF"/>
        </w:rPr>
        <w:t>北京市朝阳区安翔路</w:t>
      </w:r>
      <w:r>
        <w:rPr>
          <w:rFonts w:ascii="宋体" w:hAnsi="宋体" w:cs="宋体"/>
          <w:sz w:val="24"/>
          <w:u w:val="single"/>
          <w:shd w:val="clear" w:color="auto" w:fill="FFFFFF"/>
        </w:rPr>
        <w:t>1号</w:t>
      </w:r>
      <w:r>
        <w:rPr>
          <w:rFonts w:ascii="宋体" w:hAnsi="宋体"/>
        </w:rPr>
        <w:t xml:space="preserve"> </w:t>
      </w:r>
      <w:r>
        <w:rPr>
          <w:rFonts w:hint="eastAsia" w:ascii="宋体" w:hAnsi="宋体"/>
        </w:rPr>
        <w:t>法定地址：</w:t>
      </w:r>
      <w:r>
        <w:rPr>
          <w:rFonts w:hint="eastAsia" w:ascii="宋体" w:hAnsi="宋体" w:cs="宋体"/>
          <w:sz w:val="24"/>
          <w:u w:val="single"/>
          <w:shd w:val="clear" w:color="auto" w:fill="FFFFFF"/>
        </w:rPr>
        <w:t xml:space="preserve"> </w:t>
      </w:r>
      <w:r>
        <w:rPr>
          <w:rFonts w:hint="eastAsia" w:ascii="宋体" w:hAnsi="宋体"/>
          <w:bCs/>
          <w:sz w:val="24"/>
          <w:u w:val="single"/>
        </w:rPr>
        <w:t xml:space="preserve"> </w:t>
      </w:r>
      <w:r>
        <w:rPr>
          <w:rFonts w:hint="eastAsia" w:ascii="宋体" w:hAnsi="宋体"/>
          <w:bCs/>
          <w:sz w:val="36"/>
          <w:szCs w:val="36"/>
          <w:u w:val="single"/>
        </w:rPr>
        <w:t xml:space="preserve">      </w:t>
      </w:r>
      <w:r>
        <w:rPr>
          <w:rFonts w:hint="eastAsia" w:ascii="宋体" w:hAnsi="宋体" w:cs="宋体"/>
          <w:sz w:val="24"/>
          <w:u w:val="single"/>
          <w:shd w:val="clear" w:color="auto" w:fill="FFFFFF"/>
        </w:rPr>
        <w:t xml:space="preserve">    </w:t>
      </w:r>
    </w:p>
    <w:p w14:paraId="75045524">
      <w:pPr>
        <w:tabs>
          <w:tab w:val="left" w:pos="4275"/>
        </w:tabs>
        <w:spacing w:line="400" w:lineRule="exact"/>
        <w:ind w:firstLine="420" w:firstLineChars="200"/>
        <w:rPr>
          <w:rFonts w:hint="eastAsia" w:ascii="宋体" w:hAnsi="宋体"/>
        </w:rPr>
      </w:pPr>
      <w:r>
        <w:rPr>
          <w:rFonts w:hint="eastAsia" w:ascii="宋体" w:hAnsi="宋体"/>
        </w:rPr>
        <w:t>法定代表人或其                      法定代表人或其</w:t>
      </w:r>
    </w:p>
    <w:p w14:paraId="5516D1A3">
      <w:pPr>
        <w:spacing w:after="360" w:afterLines="150" w:line="400" w:lineRule="exact"/>
        <w:ind w:firstLine="420" w:firstLineChars="200"/>
        <w:rPr>
          <w:rFonts w:hint="eastAsia" w:ascii="宋体" w:hAnsi="宋体"/>
        </w:rPr>
      </w:pPr>
      <w:r>
        <w:rPr>
          <w:rFonts w:hint="eastAsia" w:ascii="宋体" w:hAnsi="宋体"/>
        </w:rPr>
        <w:t>委托代理人：（签字）</w:t>
      </w:r>
      <w:r>
        <w:rPr>
          <w:rFonts w:hint="eastAsia" w:ascii="宋体" w:hAnsi="宋体"/>
        </w:rPr>
        <w:tab/>
      </w:r>
      <w:r>
        <w:rPr>
          <w:rFonts w:hint="eastAsia" w:ascii="宋体" w:hAnsi="宋体"/>
        </w:rPr>
        <w:t xml:space="preserve"> </w:t>
      </w:r>
      <w:r>
        <w:rPr>
          <w:rFonts w:ascii="宋体" w:hAnsi="宋体"/>
        </w:rPr>
        <w:t xml:space="preserve">           </w:t>
      </w:r>
      <w:r>
        <w:rPr>
          <w:rFonts w:hint="eastAsia" w:ascii="宋体" w:hAnsi="宋体"/>
        </w:rPr>
        <w:t>委托代理人：（签字）</w:t>
      </w:r>
    </w:p>
    <w:p w14:paraId="6C2E94AA">
      <w:pPr>
        <w:tabs>
          <w:tab w:val="left" w:pos="4275"/>
        </w:tabs>
        <w:spacing w:line="480" w:lineRule="auto"/>
        <w:ind w:firstLine="420" w:firstLineChars="200"/>
        <w:rPr>
          <w:rFonts w:hint="eastAsia" w:ascii="宋体" w:hAnsi="宋体"/>
        </w:rPr>
      </w:pPr>
      <w:r>
        <w:rPr>
          <w:rFonts w:hint="eastAsia" w:ascii="宋体" w:hAnsi="宋体"/>
        </w:rPr>
        <w:t>电话：</w:t>
      </w:r>
      <w:r>
        <w:rPr>
          <w:rFonts w:ascii="宋体" w:hAnsi="宋体" w:cs="宋体"/>
          <w:sz w:val="24"/>
          <w:u w:val="single"/>
          <w:shd w:val="clear" w:color="auto" w:fill="FFFFFF"/>
        </w:rPr>
        <w:t>64879881-21</w:t>
      </w:r>
      <w:r>
        <w:rPr>
          <w:rFonts w:hint="eastAsia" w:ascii="宋体" w:hAnsi="宋体"/>
        </w:rPr>
        <w:tab/>
      </w:r>
      <w:r>
        <w:rPr>
          <w:rFonts w:hint="eastAsia" w:ascii="宋体" w:hAnsi="宋体"/>
        </w:rPr>
        <w:t>电话：</w:t>
      </w:r>
      <w:r>
        <w:rPr>
          <w:rFonts w:hint="eastAsia"/>
          <w:bCs/>
          <w:u w:val="single"/>
        </w:rPr>
        <w:t xml:space="preserve"> </w:t>
      </w:r>
      <w:r>
        <w:rPr>
          <w:rFonts w:hint="eastAsia" w:ascii="宋体" w:hAnsi="宋体"/>
          <w:bCs/>
          <w:sz w:val="24"/>
          <w:u w:val="single"/>
        </w:rPr>
        <w:t xml:space="preserve"> </w:t>
      </w:r>
      <w:r>
        <w:rPr>
          <w:rFonts w:hint="eastAsia" w:ascii="宋体" w:hAnsi="宋体"/>
          <w:bCs/>
          <w:sz w:val="36"/>
          <w:szCs w:val="36"/>
          <w:u w:val="single"/>
        </w:rPr>
        <w:t xml:space="preserve">      </w:t>
      </w:r>
      <w:r>
        <w:rPr>
          <w:rFonts w:hint="eastAsia" w:ascii="宋体" w:hAnsi="宋体" w:cs="宋体"/>
          <w:sz w:val="24"/>
          <w:u w:val="single"/>
        </w:rPr>
        <w:t xml:space="preserve"> </w:t>
      </w:r>
    </w:p>
    <w:p w14:paraId="5A06CC64">
      <w:pPr>
        <w:tabs>
          <w:tab w:val="left" w:pos="4275"/>
        </w:tabs>
        <w:spacing w:line="480" w:lineRule="auto"/>
        <w:ind w:firstLine="420" w:firstLineChars="200"/>
        <w:rPr>
          <w:rFonts w:hint="eastAsia" w:ascii="宋体" w:hAnsi="宋体"/>
        </w:rPr>
      </w:pPr>
      <w:r>
        <w:rPr>
          <w:rFonts w:hint="eastAsia" w:ascii="宋体" w:hAnsi="宋体"/>
        </w:rPr>
        <w:t>传真：</w:t>
      </w:r>
      <w:r>
        <w:rPr>
          <w:rFonts w:hint="eastAsia" w:ascii="宋体" w:hAnsi="宋体"/>
          <w:u w:val="single"/>
        </w:rPr>
        <w:t xml:space="preserve">   /         </w:t>
      </w:r>
      <w:r>
        <w:rPr>
          <w:rFonts w:hint="eastAsia" w:ascii="宋体" w:hAnsi="宋体"/>
        </w:rPr>
        <w:tab/>
      </w:r>
      <w:r>
        <w:rPr>
          <w:rFonts w:hint="eastAsia" w:ascii="宋体" w:hAnsi="宋体"/>
        </w:rPr>
        <w:t>传真：</w:t>
      </w:r>
      <w:r>
        <w:rPr>
          <w:rFonts w:hint="eastAsia" w:ascii="宋体" w:hAnsi="宋体" w:cs="宋体"/>
          <w:sz w:val="24"/>
          <w:u w:val="single"/>
        </w:rPr>
        <w:t xml:space="preserve"> </w:t>
      </w:r>
      <w:r>
        <w:rPr>
          <w:rFonts w:hint="eastAsia" w:ascii="宋体" w:hAnsi="宋体"/>
          <w:bCs/>
          <w:sz w:val="24"/>
          <w:u w:val="single"/>
        </w:rPr>
        <w:t xml:space="preserve"> </w:t>
      </w:r>
      <w:r>
        <w:rPr>
          <w:rFonts w:hint="eastAsia" w:ascii="宋体" w:hAnsi="宋体"/>
          <w:bCs/>
          <w:sz w:val="36"/>
          <w:szCs w:val="36"/>
          <w:u w:val="single"/>
        </w:rPr>
        <w:t xml:space="preserve">      </w:t>
      </w:r>
    </w:p>
    <w:p w14:paraId="510C9554">
      <w:pPr>
        <w:tabs>
          <w:tab w:val="left" w:pos="4700"/>
        </w:tabs>
        <w:spacing w:line="480" w:lineRule="auto"/>
        <w:ind w:firstLine="420" w:firstLineChars="200"/>
        <w:rPr>
          <w:rFonts w:hint="eastAsia" w:ascii="宋体" w:hAnsi="宋体"/>
        </w:rPr>
      </w:pPr>
      <w:r>
        <w:rPr>
          <w:rFonts w:hint="eastAsia" w:ascii="宋体" w:hAnsi="宋体"/>
        </w:rPr>
        <w:t>电子邮箱：</w:t>
      </w:r>
      <w:r>
        <w:rPr>
          <w:rFonts w:hint="eastAsia" w:ascii="宋体" w:hAnsi="宋体"/>
          <w:u w:val="single"/>
        </w:rPr>
        <w:t xml:space="preserve">    /    </w:t>
      </w:r>
      <w:r>
        <w:rPr>
          <w:rFonts w:hint="eastAsia" w:ascii="宋体" w:hAnsi="宋体"/>
        </w:rPr>
        <w:t xml:space="preserve">  </w:t>
      </w:r>
      <w:r>
        <w:rPr>
          <w:rFonts w:ascii="宋体" w:hAnsi="宋体"/>
        </w:rPr>
        <w:t xml:space="preserve">                </w:t>
      </w:r>
      <w:r>
        <w:rPr>
          <w:rFonts w:hint="eastAsia" w:ascii="宋体" w:hAnsi="宋体"/>
        </w:rPr>
        <w:t>电子邮箱：</w:t>
      </w:r>
      <w:r>
        <w:rPr>
          <w:rFonts w:hint="eastAsia" w:ascii="宋体" w:hAnsi="宋体"/>
          <w:i/>
          <w:iCs/>
          <w:u w:val="single"/>
        </w:rPr>
        <w:t xml:space="preserve">    </w:t>
      </w:r>
      <w:r>
        <w:rPr>
          <w:rFonts w:ascii="宋体" w:hAnsi="宋体"/>
          <w:u w:val="single"/>
        </w:rPr>
        <w:t>/</w:t>
      </w:r>
      <w:r>
        <w:rPr>
          <w:rFonts w:hint="eastAsia" w:ascii="宋体" w:hAnsi="宋体"/>
          <w:u w:val="single"/>
        </w:rPr>
        <w:t xml:space="preserve">     </w:t>
      </w:r>
      <w:r>
        <w:rPr>
          <w:rFonts w:hint="eastAsia" w:ascii="宋体" w:hAnsi="宋体"/>
        </w:rPr>
        <w:t xml:space="preserve"> </w:t>
      </w:r>
    </w:p>
    <w:p w14:paraId="10DD58CE">
      <w:pPr>
        <w:tabs>
          <w:tab w:val="left" w:pos="4275"/>
        </w:tabs>
        <w:spacing w:line="480" w:lineRule="auto"/>
        <w:ind w:left="4200" w:leftChars="200" w:hanging="3780" w:hangingChars="1800"/>
        <w:rPr>
          <w:rFonts w:hint="eastAsia" w:ascii="宋体" w:hAnsi="宋体" w:cs="宋体"/>
          <w:sz w:val="24"/>
          <w:u w:val="single"/>
          <w:shd w:val="clear" w:color="auto" w:fill="FFFFFF"/>
        </w:rPr>
      </w:pPr>
      <w:r>
        <w:rPr>
          <w:rFonts w:hint="eastAsia" w:ascii="宋体" w:hAnsi="宋体"/>
        </w:rPr>
        <w:t>开户银行：</w:t>
      </w:r>
      <w:r>
        <w:rPr>
          <w:rFonts w:hint="eastAsia" w:ascii="宋体" w:hAnsi="宋体" w:cs="宋体"/>
          <w:sz w:val="24"/>
          <w:u w:val="single"/>
          <w:shd w:val="clear" w:color="auto" w:fill="FFFFFF"/>
        </w:rPr>
        <w:t>交通银行北京安翔里支行</w:t>
      </w:r>
      <w:r>
        <w:rPr>
          <w:rFonts w:hint="eastAsia" w:ascii="宋体" w:hAnsi="宋体" w:cs="宋体"/>
          <w:sz w:val="24"/>
          <w:shd w:val="clear" w:color="auto" w:fill="FFFFFF"/>
        </w:rPr>
        <w:t xml:space="preserve">  </w:t>
      </w:r>
      <w:r>
        <w:rPr>
          <w:rFonts w:hint="eastAsia" w:ascii="宋体" w:hAnsi="宋体"/>
        </w:rPr>
        <w:t>开户银行：</w:t>
      </w:r>
      <w:r>
        <w:rPr>
          <w:rFonts w:hint="eastAsia" w:ascii="宋体" w:hAnsi="宋体"/>
          <w:bCs/>
          <w:sz w:val="24"/>
          <w:u w:val="single"/>
        </w:rPr>
        <w:t xml:space="preserve"> </w:t>
      </w:r>
      <w:r>
        <w:rPr>
          <w:rFonts w:hint="eastAsia" w:ascii="宋体" w:hAnsi="宋体"/>
          <w:bCs/>
          <w:sz w:val="36"/>
          <w:szCs w:val="36"/>
          <w:u w:val="single"/>
        </w:rPr>
        <w:t xml:space="preserve">      </w:t>
      </w:r>
      <w:r>
        <w:rPr>
          <w:rFonts w:hint="eastAsia" w:ascii="宋体" w:hAnsi="宋体"/>
          <w:bCs/>
          <w:sz w:val="24"/>
          <w:u w:val="single"/>
        </w:rPr>
        <w:t xml:space="preserve"> </w:t>
      </w:r>
      <w:r>
        <w:rPr>
          <w:rFonts w:hint="eastAsia" w:ascii="宋体" w:hAnsi="宋体"/>
          <w:bCs/>
          <w:sz w:val="36"/>
          <w:szCs w:val="36"/>
          <w:u w:val="single"/>
        </w:rPr>
        <w:t xml:space="preserve">      </w:t>
      </w:r>
    </w:p>
    <w:p w14:paraId="6B8A1979">
      <w:pPr>
        <w:tabs>
          <w:tab w:val="left" w:pos="4275"/>
        </w:tabs>
        <w:spacing w:line="480" w:lineRule="auto"/>
        <w:ind w:firstLine="420" w:firstLineChars="200"/>
        <w:rPr>
          <w:rFonts w:hint="eastAsia" w:ascii="宋体" w:hAnsi="宋体"/>
        </w:rPr>
      </w:pPr>
      <w:r>
        <w:rPr>
          <w:rFonts w:hint="eastAsia" w:ascii="宋体" w:hAnsi="宋体"/>
        </w:rPr>
        <w:t>帐号：</w:t>
      </w:r>
      <w:r>
        <w:rPr>
          <w:rFonts w:ascii="宋体" w:hAnsi="宋体" w:cs="宋体"/>
          <w:sz w:val="24"/>
          <w:u w:val="single"/>
          <w:shd w:val="clear" w:color="auto" w:fill="FFFFFF"/>
        </w:rPr>
        <w:t>110060868012015002317 </w:t>
      </w:r>
      <w:r>
        <w:rPr>
          <w:rFonts w:hint="eastAsia" w:ascii="宋体" w:hAnsi="宋体"/>
        </w:rPr>
        <w:tab/>
      </w:r>
      <w:r>
        <w:rPr>
          <w:rFonts w:hint="eastAsia" w:ascii="宋体" w:hAnsi="宋体"/>
        </w:rPr>
        <w:t>帐号：</w:t>
      </w:r>
      <w:r>
        <w:rPr>
          <w:rFonts w:hint="eastAsia" w:ascii="宋体" w:hAnsi="宋体" w:cs="宋体"/>
          <w:kern w:val="0"/>
          <w:sz w:val="24"/>
          <w:u w:val="single"/>
          <w:lang w:bidi="ar"/>
        </w:rPr>
        <w:t xml:space="preserve"> </w:t>
      </w:r>
      <w:r>
        <w:rPr>
          <w:rFonts w:hint="eastAsia" w:ascii="宋体" w:hAnsi="宋体"/>
          <w:bCs/>
          <w:sz w:val="24"/>
          <w:u w:val="single"/>
        </w:rPr>
        <w:t xml:space="preserve"> </w:t>
      </w:r>
      <w:r>
        <w:rPr>
          <w:rFonts w:hint="eastAsia" w:ascii="宋体" w:hAnsi="宋体"/>
          <w:bCs/>
          <w:sz w:val="36"/>
          <w:szCs w:val="36"/>
          <w:u w:val="single"/>
        </w:rPr>
        <w:t xml:space="preserve">      </w:t>
      </w:r>
      <w:r>
        <w:rPr>
          <w:rFonts w:hint="eastAsia" w:ascii="宋体" w:hAnsi="宋体" w:cs="宋体"/>
          <w:kern w:val="0"/>
          <w:sz w:val="24"/>
          <w:u w:val="single"/>
          <w:lang w:bidi="ar"/>
        </w:rPr>
        <w:t xml:space="preserve"> </w:t>
      </w:r>
    </w:p>
    <w:p w14:paraId="01E7019F">
      <w:pPr>
        <w:pStyle w:val="19"/>
        <w:spacing w:line="480" w:lineRule="auto"/>
        <w:rPr>
          <w:u w:val="single"/>
        </w:rPr>
      </w:pPr>
      <w:r>
        <w:rPr>
          <w:rFonts w:hint="eastAsia" w:hAnsi="宋体"/>
        </w:rPr>
        <w:t>邮政编码</w:t>
      </w:r>
      <w:r>
        <w:rPr>
          <w:rFonts w:hint="eastAsia" w:hAnsi="宋体"/>
          <w:u w:val="single"/>
        </w:rPr>
        <w:t xml:space="preserve">：/ </w:t>
      </w:r>
      <w:r>
        <w:rPr>
          <w:rFonts w:hAnsi="宋体"/>
          <w:u w:val="single"/>
        </w:rPr>
        <w:t xml:space="preserve">       </w:t>
      </w:r>
      <w:r>
        <w:rPr>
          <w:rFonts w:hAnsi="宋体"/>
        </w:rPr>
        <w:t xml:space="preserve">           </w:t>
      </w:r>
      <w:r>
        <w:rPr>
          <w:rFonts w:hint="eastAsia" w:hAnsi="宋体"/>
        </w:rPr>
        <w:t xml:space="preserve"> 邮政编码</w:t>
      </w:r>
      <w:r>
        <w:rPr>
          <w:rFonts w:hint="eastAsia"/>
        </w:rPr>
        <w:t>：</w:t>
      </w:r>
      <w:r>
        <w:rPr>
          <w:rFonts w:hint="eastAsia"/>
          <w:u w:val="single"/>
        </w:rPr>
        <w:t xml:space="preserve">    </w:t>
      </w:r>
      <w:r>
        <w:rPr>
          <w:rFonts w:ascii="宋体" w:hAnsi="宋体"/>
          <w:u w:val="single"/>
        </w:rPr>
        <w:t>/</w:t>
      </w:r>
      <w:r>
        <w:rPr>
          <w:rFonts w:hint="eastAsia" w:ascii="宋体" w:hAnsi="宋体"/>
          <w:u w:val="single"/>
        </w:rPr>
        <w:t xml:space="preserve">           </w:t>
      </w:r>
    </w:p>
    <w:p w14:paraId="0AAB1AE4">
      <w:pPr>
        <w:pStyle w:val="19"/>
        <w:spacing w:line="480" w:lineRule="auto"/>
      </w:pPr>
      <w:r>
        <w:rPr>
          <w:rFonts w:hint="eastAsia" w:ascii="宋体" w:hAnsi="宋体"/>
        </w:rPr>
        <w:t xml:space="preserve">监督单位：（盖章） </w:t>
      </w:r>
      <w:r>
        <w:rPr>
          <w:rFonts w:ascii="宋体" w:hAnsi="宋体"/>
        </w:rPr>
        <w:t xml:space="preserve">       </w:t>
      </w:r>
      <w:r>
        <w:rPr>
          <w:rFonts w:hint="eastAsia" w:ascii="宋体" w:hAnsi="宋体"/>
        </w:rPr>
        <w:t xml:space="preserve">   </w:t>
      </w:r>
      <w:r>
        <w:rPr>
          <w:rFonts w:ascii="宋体" w:hAnsi="宋体"/>
        </w:rPr>
        <w:t xml:space="preserve">  </w:t>
      </w:r>
      <w:r>
        <w:rPr>
          <w:rFonts w:hint="eastAsia" w:ascii="宋体" w:hAnsi="宋体"/>
        </w:rPr>
        <w:t>监督单位盖章：（盖章）</w:t>
      </w:r>
    </w:p>
    <w:p w14:paraId="10587D8A">
      <w:pPr>
        <w:spacing w:line="360" w:lineRule="auto"/>
        <w:rPr>
          <w:b/>
          <w:sz w:val="24"/>
        </w:rPr>
      </w:pPr>
    </w:p>
    <w:p w14:paraId="771DF528">
      <w:pPr>
        <w:spacing w:line="360" w:lineRule="auto"/>
        <w:ind w:firstLine="482" w:firstLineChars="200"/>
        <w:jc w:val="center"/>
        <w:rPr>
          <w:b/>
          <w:sz w:val="24"/>
        </w:rPr>
      </w:pPr>
      <w:r>
        <w:rPr>
          <w:b/>
          <w:sz w:val="24"/>
        </w:rPr>
        <w:br w:type="page"/>
      </w:r>
      <w:r>
        <w:rPr>
          <w:rFonts w:hint="eastAsia"/>
          <w:b/>
          <w:sz w:val="24"/>
        </w:rPr>
        <w:t>北京市建设工程施工总承包单位法定代表人授权</w:t>
      </w:r>
    </w:p>
    <w:p w14:paraId="6EC4ACFE">
      <w:pPr>
        <w:spacing w:line="360" w:lineRule="auto"/>
        <w:ind w:firstLine="482" w:firstLineChars="200"/>
        <w:jc w:val="center"/>
        <w:rPr>
          <w:rFonts w:ascii="宋体"/>
          <w:b/>
          <w:sz w:val="24"/>
          <w:szCs w:val="28"/>
        </w:rPr>
      </w:pPr>
    </w:p>
    <w:p w14:paraId="44177D8C">
      <w:pPr>
        <w:wordWrap w:val="0"/>
        <w:topLinePunct/>
        <w:spacing w:line="360" w:lineRule="auto"/>
        <w:ind w:firstLine="490"/>
        <w:rPr>
          <w:rFonts w:ascii="宋体"/>
          <w:szCs w:val="28"/>
        </w:rPr>
      </w:pPr>
      <w:r>
        <w:rPr>
          <w:rFonts w:ascii="宋体"/>
          <w:szCs w:val="28"/>
        </w:rPr>
        <w:t>兹授权</w:t>
      </w:r>
      <w:r>
        <w:rPr>
          <w:rFonts w:hint="eastAsia" w:ascii="宋体" w:hAnsi="宋体"/>
          <w:bCs/>
          <w:sz w:val="36"/>
          <w:szCs w:val="36"/>
          <w:u w:val="single"/>
        </w:rPr>
        <w:t xml:space="preserve">      </w:t>
      </w:r>
      <w:r>
        <w:rPr>
          <w:rFonts w:ascii="宋体"/>
          <w:szCs w:val="28"/>
        </w:rPr>
        <w:t>（姓名）担任</w:t>
      </w:r>
      <w:r>
        <w:rPr>
          <w:rFonts w:hint="eastAsia" w:ascii="宋体" w:hAnsi="宋体"/>
          <w:bCs/>
          <w:sz w:val="36"/>
          <w:szCs w:val="36"/>
          <w:u w:val="single"/>
        </w:rPr>
        <w:t xml:space="preserve">                  </w:t>
      </w:r>
      <w:r>
        <w:rPr>
          <w:rFonts w:hint="eastAsia" w:ascii="宋体"/>
          <w:szCs w:val="28"/>
        </w:rPr>
        <w:t>（工程名称）施工总承包单位的项目</w:t>
      </w:r>
      <w:r>
        <w:rPr>
          <w:rFonts w:ascii="宋体"/>
          <w:szCs w:val="28"/>
        </w:rPr>
        <w:t>负责人，对该工程项目的施工工作实施组织管理，依据国家和北京市有关法律法规及标准规范履行职责，并依法对该工程项目在设计使用年限内的工程质量承担相应终身责任。</w:t>
      </w:r>
    </w:p>
    <w:p w14:paraId="777768E3">
      <w:pPr>
        <w:wordWrap w:val="0"/>
        <w:topLinePunct/>
        <w:spacing w:line="360" w:lineRule="auto"/>
        <w:ind w:firstLine="420" w:firstLineChars="200"/>
        <w:rPr>
          <w:rFonts w:ascii="宋体"/>
          <w:szCs w:val="28"/>
        </w:rPr>
      </w:pPr>
      <w:r>
        <w:rPr>
          <w:rFonts w:ascii="宋体"/>
          <w:szCs w:val="28"/>
        </w:rPr>
        <w:t>法定代表人承担被授权人在授权范围内履行职责产生的法律责任。本授权书自授权之日起生效。</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6"/>
        <w:gridCol w:w="1035"/>
        <w:gridCol w:w="2307"/>
        <w:gridCol w:w="988"/>
        <w:gridCol w:w="2606"/>
      </w:tblGrid>
      <w:tr w14:paraId="34C90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22" w:type="dxa"/>
            <w:gridSpan w:val="5"/>
            <w:vAlign w:val="center"/>
          </w:tcPr>
          <w:p w14:paraId="31ACD284">
            <w:pPr>
              <w:pStyle w:val="262"/>
              <w:widowControl w:val="0"/>
              <w:wordWrap w:val="0"/>
              <w:topLinePunct/>
              <w:adjustRightInd w:val="0"/>
              <w:spacing w:before="0" w:after="0"/>
              <w:ind w:firstLine="206"/>
              <w:jc w:val="center"/>
              <w:rPr>
                <w:rFonts w:ascii="宋体"/>
                <w:kern w:val="2"/>
                <w:sz w:val="21"/>
                <w:szCs w:val="28"/>
                <w:lang w:val="en-US" w:eastAsia="zh-CN"/>
              </w:rPr>
            </w:pPr>
            <w:r>
              <w:rPr>
                <w:rFonts w:hint="eastAsia" w:ascii="宋体"/>
                <w:kern w:val="2"/>
                <w:sz w:val="21"/>
                <w:szCs w:val="28"/>
                <w:lang w:val="en-US" w:eastAsia="zh-CN"/>
              </w:rPr>
              <w:t>被授权人基本情况</w:t>
            </w:r>
          </w:p>
        </w:tc>
      </w:tr>
      <w:tr w14:paraId="27491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6" w:type="dxa"/>
            <w:vAlign w:val="center"/>
          </w:tcPr>
          <w:p w14:paraId="0DC4944C">
            <w:pPr>
              <w:wordWrap w:val="0"/>
              <w:topLinePunct/>
              <w:rPr>
                <w:rFonts w:ascii="宋体"/>
                <w:szCs w:val="28"/>
              </w:rPr>
            </w:pPr>
            <w:r>
              <w:rPr>
                <w:rFonts w:hint="eastAsia" w:ascii="宋体"/>
                <w:szCs w:val="28"/>
              </w:rPr>
              <w:t>姓名</w:t>
            </w:r>
          </w:p>
        </w:tc>
        <w:tc>
          <w:tcPr>
            <w:tcW w:w="3342" w:type="dxa"/>
            <w:gridSpan w:val="2"/>
            <w:vAlign w:val="center"/>
          </w:tcPr>
          <w:p w14:paraId="4D659E54">
            <w:pPr>
              <w:wordWrap w:val="0"/>
              <w:topLinePunct/>
              <w:jc w:val="center"/>
              <w:rPr>
                <w:rFonts w:ascii="宋体"/>
                <w:szCs w:val="28"/>
              </w:rPr>
            </w:pPr>
          </w:p>
        </w:tc>
        <w:tc>
          <w:tcPr>
            <w:tcW w:w="3594" w:type="dxa"/>
            <w:gridSpan w:val="2"/>
            <w:vAlign w:val="center"/>
          </w:tcPr>
          <w:p w14:paraId="64D0C89D">
            <w:pPr>
              <w:wordWrap w:val="0"/>
              <w:topLinePunct/>
              <w:rPr>
                <w:rFonts w:ascii="宋体"/>
                <w:szCs w:val="28"/>
              </w:rPr>
            </w:pPr>
            <w:r>
              <w:rPr>
                <w:rFonts w:hint="eastAsia" w:ascii="宋体"/>
                <w:szCs w:val="28"/>
              </w:rPr>
              <w:t>身份证编号：</w:t>
            </w:r>
          </w:p>
        </w:tc>
      </w:tr>
      <w:tr w14:paraId="72801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6" w:type="dxa"/>
            <w:vAlign w:val="center"/>
          </w:tcPr>
          <w:p w14:paraId="02179026">
            <w:pPr>
              <w:wordWrap w:val="0"/>
              <w:topLinePunct/>
              <w:rPr>
                <w:rFonts w:ascii="宋体"/>
                <w:szCs w:val="28"/>
              </w:rPr>
            </w:pPr>
            <w:r>
              <w:rPr>
                <w:rFonts w:hint="eastAsia" w:ascii="宋体"/>
                <w:szCs w:val="28"/>
              </w:rPr>
              <w:t>电话</w:t>
            </w:r>
          </w:p>
        </w:tc>
        <w:tc>
          <w:tcPr>
            <w:tcW w:w="3342" w:type="dxa"/>
            <w:gridSpan w:val="2"/>
            <w:vAlign w:val="center"/>
          </w:tcPr>
          <w:p w14:paraId="32000559">
            <w:pPr>
              <w:wordWrap w:val="0"/>
              <w:topLinePunct/>
              <w:jc w:val="center"/>
              <w:rPr>
                <w:rFonts w:ascii="宋体"/>
                <w:szCs w:val="28"/>
              </w:rPr>
            </w:pPr>
            <w:r>
              <w:rPr>
                <w:rFonts w:hint="eastAsia" w:ascii="宋体"/>
                <w:szCs w:val="28"/>
              </w:rPr>
              <w:t>/</w:t>
            </w:r>
          </w:p>
        </w:tc>
        <w:tc>
          <w:tcPr>
            <w:tcW w:w="3594" w:type="dxa"/>
            <w:gridSpan w:val="2"/>
            <w:vAlign w:val="center"/>
          </w:tcPr>
          <w:p w14:paraId="72C2DF9C">
            <w:pPr>
              <w:wordWrap w:val="0"/>
              <w:topLinePunct/>
              <w:rPr>
                <w:rFonts w:ascii="宋体"/>
                <w:szCs w:val="28"/>
              </w:rPr>
            </w:pPr>
            <w:r>
              <w:rPr>
                <w:rFonts w:hint="eastAsia" w:ascii="宋体"/>
                <w:szCs w:val="28"/>
              </w:rPr>
              <w:t>户籍所在地：</w:t>
            </w:r>
          </w:p>
        </w:tc>
      </w:tr>
      <w:tr w14:paraId="43576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6" w:type="dxa"/>
            <w:vMerge w:val="restart"/>
            <w:vAlign w:val="center"/>
          </w:tcPr>
          <w:p w14:paraId="6FEA1560">
            <w:pPr>
              <w:wordWrap w:val="0"/>
              <w:topLinePunct/>
              <w:rPr>
                <w:rFonts w:ascii="宋体"/>
                <w:szCs w:val="28"/>
              </w:rPr>
            </w:pPr>
            <w:r>
              <w:rPr>
                <w:rFonts w:hint="eastAsia" w:ascii="宋体"/>
                <w:szCs w:val="28"/>
              </w:rPr>
              <w:t>注册证书</w:t>
            </w:r>
          </w:p>
        </w:tc>
        <w:tc>
          <w:tcPr>
            <w:tcW w:w="1035" w:type="dxa"/>
            <w:vAlign w:val="center"/>
          </w:tcPr>
          <w:p w14:paraId="6D8EEC7E">
            <w:pPr>
              <w:wordWrap w:val="0"/>
              <w:topLinePunct/>
              <w:jc w:val="center"/>
              <w:rPr>
                <w:rFonts w:ascii="宋体"/>
                <w:szCs w:val="28"/>
              </w:rPr>
            </w:pPr>
            <w:r>
              <w:rPr>
                <w:rFonts w:hint="eastAsia" w:ascii="宋体"/>
                <w:szCs w:val="28"/>
              </w:rPr>
              <w:t>编号</w:t>
            </w:r>
          </w:p>
        </w:tc>
        <w:tc>
          <w:tcPr>
            <w:tcW w:w="2307" w:type="dxa"/>
            <w:vAlign w:val="center"/>
          </w:tcPr>
          <w:p w14:paraId="252648D5">
            <w:pPr>
              <w:wordWrap w:val="0"/>
              <w:topLinePunct/>
              <w:jc w:val="center"/>
              <w:rPr>
                <w:rFonts w:ascii="宋体"/>
                <w:szCs w:val="28"/>
              </w:rPr>
            </w:pPr>
          </w:p>
        </w:tc>
        <w:tc>
          <w:tcPr>
            <w:tcW w:w="988" w:type="dxa"/>
            <w:vAlign w:val="center"/>
          </w:tcPr>
          <w:p w14:paraId="4AF0A420">
            <w:pPr>
              <w:wordWrap w:val="0"/>
              <w:topLinePunct/>
              <w:jc w:val="center"/>
              <w:rPr>
                <w:rFonts w:ascii="宋体"/>
                <w:szCs w:val="28"/>
              </w:rPr>
            </w:pPr>
            <w:r>
              <w:rPr>
                <w:rFonts w:hint="eastAsia" w:ascii="宋体"/>
                <w:szCs w:val="28"/>
              </w:rPr>
              <w:t>类别</w:t>
            </w:r>
          </w:p>
        </w:tc>
        <w:tc>
          <w:tcPr>
            <w:tcW w:w="2606" w:type="dxa"/>
            <w:vAlign w:val="center"/>
          </w:tcPr>
          <w:p w14:paraId="4AD8FBA2">
            <w:pPr>
              <w:wordWrap w:val="0"/>
              <w:topLinePunct/>
              <w:jc w:val="center"/>
              <w:rPr>
                <w:rFonts w:ascii="宋体"/>
                <w:szCs w:val="28"/>
              </w:rPr>
            </w:pPr>
          </w:p>
        </w:tc>
      </w:tr>
      <w:tr w14:paraId="672A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6" w:type="dxa"/>
            <w:vMerge w:val="continue"/>
            <w:vAlign w:val="center"/>
          </w:tcPr>
          <w:p w14:paraId="31458593">
            <w:pPr>
              <w:wordWrap w:val="0"/>
              <w:topLinePunct/>
              <w:rPr>
                <w:rFonts w:ascii="宋体"/>
                <w:szCs w:val="28"/>
              </w:rPr>
            </w:pPr>
          </w:p>
        </w:tc>
        <w:tc>
          <w:tcPr>
            <w:tcW w:w="1035" w:type="dxa"/>
            <w:vAlign w:val="center"/>
          </w:tcPr>
          <w:p w14:paraId="0352BE0E">
            <w:pPr>
              <w:wordWrap w:val="0"/>
              <w:topLinePunct/>
              <w:jc w:val="center"/>
              <w:rPr>
                <w:rFonts w:ascii="宋体"/>
                <w:szCs w:val="28"/>
              </w:rPr>
            </w:pPr>
            <w:r>
              <w:rPr>
                <w:rFonts w:hint="eastAsia" w:ascii="宋体"/>
                <w:szCs w:val="28"/>
              </w:rPr>
              <w:t>专业</w:t>
            </w:r>
          </w:p>
        </w:tc>
        <w:tc>
          <w:tcPr>
            <w:tcW w:w="2307" w:type="dxa"/>
            <w:vAlign w:val="center"/>
          </w:tcPr>
          <w:p w14:paraId="71DBB0BA">
            <w:pPr>
              <w:wordWrap w:val="0"/>
              <w:topLinePunct/>
              <w:jc w:val="center"/>
              <w:rPr>
                <w:rFonts w:ascii="宋体"/>
                <w:szCs w:val="28"/>
              </w:rPr>
            </w:pPr>
          </w:p>
        </w:tc>
        <w:tc>
          <w:tcPr>
            <w:tcW w:w="988" w:type="dxa"/>
            <w:vAlign w:val="center"/>
          </w:tcPr>
          <w:p w14:paraId="40B0527A">
            <w:pPr>
              <w:wordWrap w:val="0"/>
              <w:topLinePunct/>
              <w:jc w:val="center"/>
              <w:rPr>
                <w:rFonts w:ascii="宋体"/>
                <w:szCs w:val="28"/>
              </w:rPr>
            </w:pPr>
            <w:r>
              <w:rPr>
                <w:rFonts w:hint="eastAsia" w:ascii="宋体"/>
                <w:szCs w:val="28"/>
              </w:rPr>
              <w:t>期限</w:t>
            </w:r>
          </w:p>
        </w:tc>
        <w:tc>
          <w:tcPr>
            <w:tcW w:w="2606" w:type="dxa"/>
            <w:vAlign w:val="center"/>
          </w:tcPr>
          <w:p w14:paraId="1B751D0B">
            <w:pPr>
              <w:wordWrap w:val="0"/>
              <w:topLinePunct/>
              <w:jc w:val="center"/>
              <w:rPr>
                <w:rFonts w:ascii="宋体"/>
                <w:szCs w:val="28"/>
              </w:rPr>
            </w:pPr>
          </w:p>
        </w:tc>
      </w:tr>
      <w:tr w14:paraId="7DCC2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6" w:type="dxa"/>
            <w:vAlign w:val="center"/>
          </w:tcPr>
          <w:p w14:paraId="7BC2C053">
            <w:pPr>
              <w:wordWrap w:val="0"/>
              <w:topLinePunct/>
              <w:rPr>
                <w:rFonts w:ascii="宋体"/>
                <w:szCs w:val="28"/>
              </w:rPr>
            </w:pPr>
            <w:r>
              <w:rPr>
                <w:rFonts w:hint="eastAsia" w:ascii="宋体"/>
                <w:szCs w:val="28"/>
              </w:rPr>
              <w:t>备注</w:t>
            </w:r>
          </w:p>
        </w:tc>
        <w:tc>
          <w:tcPr>
            <w:tcW w:w="6936" w:type="dxa"/>
            <w:gridSpan w:val="4"/>
            <w:vAlign w:val="center"/>
          </w:tcPr>
          <w:p w14:paraId="6414EAA1">
            <w:pPr>
              <w:wordWrap w:val="0"/>
              <w:topLinePunct/>
              <w:jc w:val="center"/>
              <w:rPr>
                <w:rFonts w:ascii="宋体"/>
                <w:szCs w:val="28"/>
              </w:rPr>
            </w:pPr>
          </w:p>
        </w:tc>
      </w:tr>
      <w:tr w14:paraId="47AA9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22" w:type="dxa"/>
            <w:gridSpan w:val="5"/>
            <w:vAlign w:val="center"/>
          </w:tcPr>
          <w:p w14:paraId="68DE168D">
            <w:pPr>
              <w:wordWrap w:val="0"/>
              <w:topLinePunct/>
              <w:jc w:val="center"/>
              <w:rPr>
                <w:rFonts w:ascii="宋体"/>
                <w:szCs w:val="28"/>
              </w:rPr>
            </w:pPr>
          </w:p>
        </w:tc>
      </w:tr>
    </w:tbl>
    <w:p w14:paraId="423463FF">
      <w:pPr>
        <w:spacing w:line="360" w:lineRule="auto"/>
        <w:ind w:right="640" w:firstLine="420" w:firstLineChars="200"/>
        <w:jc w:val="right"/>
        <w:rPr>
          <w:rFonts w:ascii="DDJLFQ+·ÂËÎ" w:hAnsi="DDJLFQ+·ÂËÎ" w:eastAsia="Calibri" w:cs="DDJLFQ+·ÂËÎ"/>
          <w:szCs w:val="21"/>
        </w:rPr>
      </w:pPr>
    </w:p>
    <w:p w14:paraId="20F38525">
      <w:pPr>
        <w:spacing w:line="360" w:lineRule="auto"/>
        <w:ind w:right="640" w:firstLine="420" w:firstLineChars="200"/>
        <w:jc w:val="right"/>
        <w:rPr>
          <w:rFonts w:ascii="DDJLFQ+·ÂËÎ" w:hAnsi="DDJLFQ+·ÂËÎ" w:eastAsia="Calibri" w:cs="DDJLFQ+·ÂËÎ"/>
          <w:szCs w:val="21"/>
        </w:rPr>
      </w:pPr>
    </w:p>
    <w:p w14:paraId="45941978">
      <w:pPr>
        <w:spacing w:line="360" w:lineRule="auto"/>
        <w:ind w:right="640" w:firstLine="420" w:firstLineChars="200"/>
        <w:jc w:val="right"/>
        <w:rPr>
          <w:rFonts w:ascii="RQODRS+·ÂËÎ" w:hAnsi="Calibri"/>
          <w:szCs w:val="21"/>
          <w:u w:val="single"/>
        </w:rPr>
      </w:pPr>
      <w:r>
        <w:rPr>
          <w:rFonts w:ascii="DDJLFQ+·ÂËÎ" w:hAnsi="DDJLFQ+·ÂËÎ" w:eastAsia="Calibri" w:cs="DDJLFQ+·ÂËÎ"/>
          <w:szCs w:val="21"/>
        </w:rPr>
        <w:t>授权单位名称（公章）：</w:t>
      </w:r>
    </w:p>
    <w:p w14:paraId="20ECAEC5">
      <w:pPr>
        <w:spacing w:line="360" w:lineRule="auto"/>
        <w:ind w:right="640" w:firstLine="420" w:firstLineChars="200"/>
        <w:jc w:val="right"/>
        <w:rPr>
          <w:rFonts w:ascii="DDJLFQ+·ÂËÎ" w:hAnsi="DDJLFQ+·ÂËÎ" w:eastAsia="Calibri" w:cs="DDJLFQ+·ÂËÎ"/>
          <w:szCs w:val="21"/>
        </w:rPr>
      </w:pPr>
      <w:r>
        <w:rPr>
          <w:rFonts w:ascii="DDJLFQ+·ÂËÎ" w:hAnsi="DDJLFQ+·ÂËÎ" w:eastAsia="Calibri" w:cs="DDJLFQ+·ÂËÎ"/>
          <w:szCs w:val="21"/>
        </w:rPr>
        <w:t>法定代表人（签字）：</w:t>
      </w:r>
    </w:p>
    <w:p w14:paraId="726AB32D">
      <w:pPr>
        <w:spacing w:line="360" w:lineRule="auto"/>
        <w:ind w:right="30" w:firstLine="420" w:firstLineChars="200"/>
        <w:jc w:val="right"/>
        <w:rPr>
          <w:rFonts w:ascii="RQODRS+·ÂËÎ" w:hAnsi="Calibri" w:eastAsia="Calibri"/>
          <w:szCs w:val="21"/>
        </w:rPr>
      </w:pPr>
      <w:r>
        <w:rPr>
          <w:rFonts w:ascii="DDJLFQ+·ÂËÎ" w:hAnsi="DDJLFQ+·ÂËÎ" w:eastAsia="Calibri" w:cs="DDJLFQ+·ÂËÎ"/>
          <w:szCs w:val="21"/>
        </w:rPr>
        <w:t>授权日期：</w:t>
      </w:r>
      <w:r>
        <w:rPr>
          <w:rFonts w:hint="eastAsia" w:ascii="DDJLFQ+·ÂËÎ" w:hAnsi="DDJLFQ+·ÂËÎ" w:cs="DDJLFQ+·ÂËÎ"/>
          <w:szCs w:val="21"/>
        </w:rPr>
        <w:t xml:space="preserve"> </w:t>
      </w:r>
      <w:r>
        <w:rPr>
          <w:rFonts w:ascii="DDJLFQ+·ÂËÎ" w:hAnsi="DDJLFQ+·ÂËÎ" w:cs="DDJLFQ+·ÂËÎ"/>
          <w:szCs w:val="21"/>
        </w:rPr>
        <w:t xml:space="preserve">  </w:t>
      </w:r>
      <w:r>
        <w:rPr>
          <w:rFonts w:ascii="DDJLFQ+·ÂËÎ" w:hAnsi="DDJLFQ+·ÂËÎ" w:eastAsia="Calibri" w:cs="DDJLFQ+·ÂËÎ"/>
          <w:szCs w:val="21"/>
        </w:rPr>
        <w:t>年</w:t>
      </w:r>
      <w:r>
        <w:rPr>
          <w:rFonts w:hint="eastAsia" w:ascii="DDJLFQ+·ÂËÎ" w:hAnsi="DDJLFQ+·ÂËÎ" w:cs="DDJLFQ+·ÂËÎ"/>
          <w:szCs w:val="21"/>
        </w:rPr>
        <w:t xml:space="preserve"> </w:t>
      </w:r>
      <w:r>
        <w:rPr>
          <w:rFonts w:ascii="DDJLFQ+·ÂËÎ" w:hAnsi="DDJLFQ+·ÂËÎ" w:cs="DDJLFQ+·ÂËÎ"/>
          <w:szCs w:val="21"/>
        </w:rPr>
        <w:t xml:space="preserve">  </w:t>
      </w:r>
      <w:r>
        <w:rPr>
          <w:rFonts w:ascii="DDJLFQ+·ÂËÎ" w:hAnsi="DDJLFQ+·ÂËÎ" w:eastAsia="Calibri" w:cs="DDJLFQ+·ÂËÎ"/>
          <w:szCs w:val="21"/>
        </w:rPr>
        <w:t>月</w:t>
      </w:r>
      <w:r>
        <w:rPr>
          <w:rFonts w:hint="eastAsia" w:ascii="DDJLFQ+·ÂËÎ" w:hAnsi="DDJLFQ+·ÂËÎ" w:cs="DDJLFQ+·ÂËÎ"/>
          <w:szCs w:val="21"/>
        </w:rPr>
        <w:t xml:space="preserve"> </w:t>
      </w:r>
      <w:r>
        <w:rPr>
          <w:rFonts w:ascii="DDJLFQ+·ÂËÎ" w:hAnsi="DDJLFQ+·ÂËÎ" w:cs="DDJLFQ+·ÂËÎ"/>
          <w:szCs w:val="21"/>
        </w:rPr>
        <w:t xml:space="preserve">  </w:t>
      </w:r>
      <w:r>
        <w:rPr>
          <w:rFonts w:ascii="RQODRS+·ÂËÎ" w:hAnsi="Calibri" w:eastAsia="Calibri"/>
          <w:szCs w:val="21"/>
        </w:rPr>
        <w:t>日</w:t>
      </w:r>
    </w:p>
    <w:p w14:paraId="1BFADD6D">
      <w:pPr>
        <w:rPr>
          <w:rFonts w:hint="eastAsia" w:ascii="华文中宋" w:hAnsi="华文中宋" w:eastAsia="华文中宋" w:cs="华文中宋"/>
          <w:b/>
          <w:bCs/>
          <w:sz w:val="48"/>
          <w:szCs w:val="48"/>
        </w:rPr>
      </w:pPr>
    </w:p>
    <w:p w14:paraId="3023B293">
      <w:pPr>
        <w:jc w:val="center"/>
        <w:rPr>
          <w:rFonts w:hint="eastAsia" w:ascii="华文中宋" w:hAnsi="华文中宋" w:eastAsia="华文中宋" w:cs="华文中宋"/>
          <w:b/>
          <w:bCs/>
          <w:sz w:val="15"/>
          <w:szCs w:val="15"/>
        </w:rPr>
      </w:pPr>
      <w:r>
        <w:rPr>
          <w:rFonts w:hint="eastAsia" w:ascii="华文中宋" w:hAnsi="华文中宋" w:eastAsia="华文中宋" w:cs="华文中宋"/>
          <w:b/>
          <w:bCs/>
          <w:sz w:val="48"/>
          <w:szCs w:val="48"/>
        </w:rPr>
        <w:br w:type="page"/>
      </w:r>
      <w:r>
        <w:rPr>
          <w:rFonts w:hint="eastAsia" w:ascii="华文中宋" w:hAnsi="华文中宋" w:eastAsia="华文中宋" w:cs="华文中宋"/>
          <w:b/>
          <w:bCs/>
          <w:sz w:val="48"/>
          <w:szCs w:val="48"/>
        </w:rPr>
        <w:t>北京市建设工程施工总承包单位</w:t>
      </w:r>
    </w:p>
    <w:p w14:paraId="0F47FC35">
      <w:pPr>
        <w:jc w:val="center"/>
        <w:rPr>
          <w:rFonts w:hint="eastAsia" w:ascii="华文中宋" w:hAnsi="华文中宋" w:eastAsia="华文中宋" w:cs="华文中宋"/>
          <w:b/>
          <w:bCs/>
          <w:sz w:val="15"/>
          <w:szCs w:val="15"/>
        </w:rPr>
      </w:pPr>
    </w:p>
    <w:p w14:paraId="6F09EEAE">
      <w:pPr>
        <w:jc w:val="center"/>
        <w:rPr>
          <w:rFonts w:hint="eastAsia" w:ascii="华文中宋" w:hAnsi="华文中宋" w:eastAsia="华文中宋" w:cs="华文中宋"/>
          <w:b/>
          <w:bCs/>
          <w:sz w:val="48"/>
          <w:szCs w:val="48"/>
        </w:rPr>
      </w:pPr>
      <w:r>
        <w:rPr>
          <w:rFonts w:hint="eastAsia" w:ascii="华文中宋" w:hAnsi="华文中宋" w:eastAsia="华文中宋" w:cs="华文中宋"/>
          <w:b/>
          <w:bCs/>
          <w:sz w:val="48"/>
          <w:szCs w:val="48"/>
        </w:rPr>
        <w:t>项目负责人工程质量终身责任</w:t>
      </w:r>
    </w:p>
    <w:p w14:paraId="34DA5778">
      <w:pPr>
        <w:jc w:val="center"/>
        <w:rPr>
          <w:rFonts w:hint="eastAsia" w:ascii="华文中宋" w:hAnsi="华文中宋" w:eastAsia="华文中宋" w:cs="华文中宋"/>
          <w:b/>
          <w:bCs/>
          <w:sz w:val="72"/>
          <w:szCs w:val="72"/>
        </w:rPr>
      </w:pPr>
    </w:p>
    <w:p w14:paraId="112A316F">
      <w:pPr>
        <w:jc w:val="center"/>
        <w:rPr>
          <w:rFonts w:hint="eastAsia" w:ascii="华文中宋" w:hAnsi="华文中宋" w:eastAsia="华文中宋" w:cs="华文中宋"/>
          <w:b/>
          <w:bCs/>
          <w:sz w:val="72"/>
          <w:szCs w:val="72"/>
        </w:rPr>
      </w:pPr>
      <w:r>
        <w:rPr>
          <w:rFonts w:hint="eastAsia" w:ascii="华文中宋" w:hAnsi="华文中宋" w:eastAsia="华文中宋" w:cs="华文中宋"/>
          <w:b/>
          <w:bCs/>
          <w:sz w:val="72"/>
          <w:szCs w:val="72"/>
        </w:rPr>
        <w:t>承</w:t>
      </w:r>
    </w:p>
    <w:p w14:paraId="70CC389D">
      <w:pPr>
        <w:jc w:val="center"/>
        <w:rPr>
          <w:rFonts w:hint="eastAsia" w:ascii="华文中宋" w:hAnsi="华文中宋" w:eastAsia="华文中宋" w:cs="华文中宋"/>
          <w:b/>
          <w:bCs/>
          <w:sz w:val="72"/>
          <w:szCs w:val="72"/>
        </w:rPr>
      </w:pPr>
    </w:p>
    <w:p w14:paraId="28A334B7">
      <w:pPr>
        <w:jc w:val="center"/>
        <w:rPr>
          <w:rFonts w:hint="eastAsia" w:ascii="华文中宋" w:hAnsi="华文中宋" w:eastAsia="华文中宋" w:cs="华文中宋"/>
          <w:b/>
          <w:bCs/>
          <w:sz w:val="72"/>
          <w:szCs w:val="72"/>
        </w:rPr>
      </w:pPr>
      <w:r>
        <w:rPr>
          <w:rFonts w:hint="eastAsia" w:ascii="华文中宋" w:hAnsi="华文中宋" w:eastAsia="华文中宋" w:cs="华文中宋"/>
          <w:b/>
          <w:bCs/>
          <w:sz w:val="72"/>
          <w:szCs w:val="72"/>
        </w:rPr>
        <w:t>诺</w:t>
      </w:r>
    </w:p>
    <w:p w14:paraId="3F936C0D">
      <w:pPr>
        <w:jc w:val="center"/>
        <w:rPr>
          <w:rFonts w:hint="eastAsia" w:ascii="华文中宋" w:hAnsi="华文中宋" w:eastAsia="华文中宋" w:cs="华文中宋"/>
          <w:b/>
          <w:bCs/>
          <w:sz w:val="72"/>
          <w:szCs w:val="72"/>
        </w:rPr>
      </w:pPr>
    </w:p>
    <w:p w14:paraId="73B515CB">
      <w:pPr>
        <w:jc w:val="center"/>
        <w:rPr>
          <w:rFonts w:hint="eastAsia" w:ascii="华文中宋" w:hAnsi="华文中宋" w:eastAsia="华文中宋" w:cs="华文中宋"/>
          <w:b/>
          <w:bCs/>
          <w:sz w:val="72"/>
          <w:szCs w:val="72"/>
        </w:rPr>
      </w:pPr>
      <w:r>
        <w:rPr>
          <w:rFonts w:hint="eastAsia" w:ascii="华文中宋" w:hAnsi="华文中宋" w:eastAsia="华文中宋" w:cs="华文中宋"/>
          <w:b/>
          <w:bCs/>
          <w:sz w:val="72"/>
          <w:szCs w:val="72"/>
        </w:rPr>
        <w:t>书</w:t>
      </w:r>
    </w:p>
    <w:p w14:paraId="5590468E">
      <w:pPr>
        <w:spacing w:line="360" w:lineRule="auto"/>
        <w:rPr>
          <w:rFonts w:hint="eastAsia" w:ascii="华文中宋" w:hAnsi="华文中宋" w:eastAsia="华文中宋" w:cs="华文中宋"/>
          <w:b/>
          <w:bCs/>
          <w:sz w:val="36"/>
          <w:szCs w:val="36"/>
        </w:rPr>
      </w:pPr>
    </w:p>
    <w:p w14:paraId="5EEED5E9">
      <w:pPr>
        <w:spacing w:line="360" w:lineRule="auto"/>
        <w:rPr>
          <w:rFonts w:hint="eastAsia" w:ascii="华文中宋" w:hAnsi="华文中宋" w:eastAsia="华文中宋" w:cs="华文中宋"/>
          <w:b/>
          <w:bCs/>
          <w:sz w:val="18"/>
          <w:szCs w:val="18"/>
        </w:rPr>
      </w:pPr>
      <w:r>
        <w:rPr>
          <w:rFonts w:hint="eastAsia" w:ascii="华文中宋" w:hAnsi="华文中宋" w:eastAsia="华文中宋" w:cs="华文中宋"/>
          <w:b/>
          <w:bCs/>
          <w:sz w:val="36"/>
          <w:szCs w:val="36"/>
        </w:rPr>
        <w:t>工程名称：</w:t>
      </w:r>
    </w:p>
    <w:p w14:paraId="183B9155">
      <w:pPr>
        <w:jc w:val="left"/>
        <w:rPr>
          <w:rFonts w:hint="eastAsia" w:ascii="华文中宋" w:hAnsi="华文中宋" w:eastAsia="华文中宋" w:cs="华文中宋"/>
          <w:b/>
          <w:bCs/>
          <w:sz w:val="18"/>
          <w:szCs w:val="18"/>
        </w:rPr>
      </w:pPr>
      <w:r>
        <w:rPr>
          <w:rFonts w:hint="eastAsia" w:ascii="华文中宋" w:hAnsi="华文中宋" w:eastAsia="华文中宋" w:cs="华文中宋"/>
          <w:b/>
          <w:bCs/>
          <w:sz w:val="36"/>
          <w:szCs w:val="36"/>
        </w:rPr>
        <w:t>施工总承包单位：</w:t>
      </w:r>
    </w:p>
    <w:p w14:paraId="46AD58A2">
      <w:pPr>
        <w:jc w:val="left"/>
        <w:rPr>
          <w:rFonts w:hint="eastAsia" w:ascii="华文中宋" w:hAnsi="华文中宋" w:eastAsia="华文中宋" w:cs="华文中宋"/>
          <w:b/>
          <w:bCs/>
          <w:sz w:val="18"/>
          <w:szCs w:val="18"/>
        </w:rPr>
      </w:pPr>
      <w:r>
        <w:rPr>
          <w:rFonts w:hint="eastAsia" w:ascii="华文中宋" w:hAnsi="华文中宋" w:eastAsia="华文中宋" w:cs="华文中宋"/>
          <w:b/>
          <w:bCs/>
          <w:sz w:val="36"/>
          <w:szCs w:val="36"/>
        </w:rPr>
        <w:t>法定代表人：</w:t>
      </w:r>
    </w:p>
    <w:p w14:paraId="7FB30F50">
      <w:pPr>
        <w:rPr>
          <w:rFonts w:hint="eastAsia" w:ascii="华文中宋" w:hAnsi="华文中宋" w:eastAsia="华文中宋" w:cs="华文中宋"/>
          <w:b/>
          <w:bCs/>
          <w:sz w:val="36"/>
          <w:szCs w:val="36"/>
        </w:rPr>
      </w:pPr>
      <w:r>
        <w:rPr>
          <w:rFonts w:hint="eastAsia" w:ascii="华文中宋" w:hAnsi="华文中宋" w:eastAsia="华文中宋" w:cs="华文中宋"/>
          <w:b/>
          <w:bCs/>
          <w:sz w:val="36"/>
          <w:szCs w:val="36"/>
        </w:rPr>
        <w:t>项目负责人：</w:t>
      </w:r>
    </w:p>
    <w:p w14:paraId="12F20787">
      <w:pPr>
        <w:spacing w:line="360" w:lineRule="auto"/>
        <w:jc w:val="center"/>
        <w:rPr>
          <w:sz w:val="28"/>
          <w:szCs w:val="28"/>
        </w:rPr>
      </w:pPr>
      <w:r>
        <w:rPr>
          <w:rFonts w:cs="宋体"/>
          <w:b/>
          <w:bCs/>
          <w:sz w:val="28"/>
          <w:szCs w:val="28"/>
        </w:rPr>
        <w:br w:type="page"/>
      </w:r>
      <w:r>
        <w:rPr>
          <w:rFonts w:hint="eastAsia" w:cs="宋体"/>
          <w:b/>
          <w:bCs/>
          <w:sz w:val="28"/>
          <w:szCs w:val="28"/>
        </w:rPr>
        <w:t>承诺书</w:t>
      </w:r>
    </w:p>
    <w:p w14:paraId="2A46F1A4">
      <w:pPr>
        <w:wordWrap w:val="0"/>
        <w:topLinePunct/>
        <w:spacing w:line="360" w:lineRule="auto"/>
        <w:ind w:firstLine="420" w:firstLineChars="200"/>
        <w:rPr>
          <w:rFonts w:hint="eastAsia" w:ascii="MS Mincho" w:hAnsi="MS Mincho" w:cs="MS Mincho"/>
          <w:szCs w:val="21"/>
        </w:rPr>
      </w:pPr>
      <w:r>
        <w:rPr>
          <w:rFonts w:hint="eastAsia" w:ascii="宋体" w:hAnsi="宋体" w:cs="宋体"/>
          <w:szCs w:val="21"/>
        </w:rPr>
        <w:t>本人</w:t>
      </w:r>
      <w:r>
        <w:rPr>
          <w:rFonts w:hint="eastAsia" w:ascii="宋体" w:hAnsi="宋体"/>
          <w:bCs/>
          <w:sz w:val="36"/>
          <w:szCs w:val="36"/>
          <w:u w:val="single"/>
        </w:rPr>
        <w:t xml:space="preserve">     </w:t>
      </w:r>
      <w:r>
        <w:rPr>
          <w:rFonts w:hint="eastAsia" w:ascii="宋体" w:hAnsi="宋体" w:cs="MS Mincho"/>
          <w:szCs w:val="21"/>
        </w:rPr>
        <w:t>（</w:t>
      </w:r>
      <w:r>
        <w:rPr>
          <w:rFonts w:hint="eastAsia" w:ascii="宋体" w:hAnsi="宋体" w:cs="宋体"/>
          <w:szCs w:val="21"/>
        </w:rPr>
        <w:t>身份证编号</w:t>
      </w:r>
      <w:r>
        <w:rPr>
          <w:rFonts w:hint="eastAsia" w:ascii="宋体" w:hAnsi="宋体"/>
          <w:bCs/>
          <w:sz w:val="36"/>
          <w:szCs w:val="36"/>
          <w:u w:val="single"/>
        </w:rPr>
        <w:t xml:space="preserve">     </w:t>
      </w:r>
      <w:r>
        <w:rPr>
          <w:rFonts w:hint="eastAsia" w:ascii="宋体" w:hAnsi="宋体" w:cs="宋体"/>
          <w:szCs w:val="21"/>
        </w:rPr>
        <w:t>）受单位（法定代表人：</w:t>
      </w:r>
      <w:r>
        <w:rPr>
          <w:rFonts w:hint="eastAsia" w:ascii="宋体" w:hAnsi="宋体"/>
          <w:bCs/>
          <w:sz w:val="36"/>
          <w:szCs w:val="36"/>
          <w:u w:val="single"/>
        </w:rPr>
        <w:t xml:space="preserve">     </w:t>
      </w:r>
      <w:r>
        <w:rPr>
          <w:rFonts w:hint="eastAsia" w:ascii="宋体" w:hAnsi="宋体" w:cs="宋体"/>
          <w:szCs w:val="21"/>
        </w:rPr>
        <w:t>授权），担任</w:t>
      </w:r>
      <w:r>
        <w:rPr>
          <w:rFonts w:hint="eastAsia" w:ascii="宋体" w:hAnsi="宋体"/>
          <w:bCs/>
          <w:sz w:val="36"/>
          <w:szCs w:val="36"/>
          <w:u w:val="single"/>
        </w:rPr>
        <w:t xml:space="preserve">            </w:t>
      </w:r>
      <w:r>
        <w:rPr>
          <w:rFonts w:hint="eastAsia" w:ascii="宋体" w:hAnsi="宋体" w:cs="宋体"/>
          <w:szCs w:val="21"/>
        </w:rPr>
        <w:t>（工程名称）的施工总承包单位项目负责人</w:t>
      </w:r>
      <w:r>
        <w:rPr>
          <w:rFonts w:hint="eastAsia" w:ascii="MS Mincho" w:hAnsi="MS Mincho" w:eastAsia="MS Mincho" w:cs="MS Mincho"/>
          <w:szCs w:val="21"/>
        </w:rPr>
        <w:t>（</w:t>
      </w:r>
      <w:r>
        <w:rPr>
          <w:rFonts w:hint="eastAsia" w:ascii="宋体" w:hAnsi="宋体" w:cs="宋体"/>
          <w:szCs w:val="21"/>
        </w:rPr>
        <w:t>项目经理</w:t>
      </w:r>
      <w:r>
        <w:rPr>
          <w:rFonts w:hint="eastAsia" w:ascii="MS Mincho" w:hAnsi="MS Mincho" w:eastAsia="MS Mincho" w:cs="MS Mincho"/>
          <w:szCs w:val="21"/>
        </w:rPr>
        <w:t>），</w:t>
      </w:r>
      <w:r>
        <w:rPr>
          <w:rFonts w:hint="eastAsia" w:ascii="宋体" w:hAnsi="宋体" w:cs="宋体"/>
          <w:szCs w:val="21"/>
        </w:rPr>
        <w:t>对该工程项目的施工工作实施组织管理</w:t>
      </w:r>
      <w:r>
        <w:rPr>
          <w:rFonts w:hint="eastAsia" w:ascii="MS Mincho" w:hAnsi="MS Mincho" w:eastAsia="MS Mincho" w:cs="MS Mincho"/>
          <w:szCs w:val="21"/>
        </w:rPr>
        <w:t>，</w:t>
      </w:r>
      <w:r>
        <w:rPr>
          <w:rFonts w:hint="eastAsia" w:ascii="宋体" w:hAnsi="宋体" w:cs="宋体"/>
          <w:szCs w:val="21"/>
        </w:rPr>
        <w:t>并依法对该工程项目在设计使用年限内的工程质量承担相应终身责任。本人将严格遵守职业道德</w:t>
      </w:r>
      <w:r>
        <w:rPr>
          <w:rFonts w:hint="eastAsia" w:ascii="MS Mincho" w:hAnsi="MS Mincho" w:eastAsia="MS Mincho" w:cs="MS Mincho"/>
          <w:szCs w:val="21"/>
        </w:rPr>
        <w:t>，</w:t>
      </w:r>
      <w:r>
        <w:rPr>
          <w:rFonts w:hint="eastAsia" w:ascii="宋体" w:hAnsi="宋体" w:cs="宋体"/>
          <w:szCs w:val="21"/>
        </w:rPr>
        <w:t>并代表施工总承包单位和我本人作出如下郑重承诺</w:t>
      </w:r>
      <w:r>
        <w:rPr>
          <w:rFonts w:hint="eastAsia" w:ascii="MS Mincho" w:hAnsi="MS Mincho" w:eastAsia="MS Mincho" w:cs="MS Mincho"/>
          <w:szCs w:val="21"/>
        </w:rPr>
        <w:t>：</w:t>
      </w:r>
    </w:p>
    <w:p w14:paraId="3060ADDF">
      <w:pPr>
        <w:wordWrap w:val="0"/>
        <w:topLinePunct/>
        <w:spacing w:line="360" w:lineRule="auto"/>
        <w:ind w:firstLine="420" w:firstLineChars="200"/>
        <w:rPr>
          <w:rFonts w:hint="eastAsia" w:ascii="宋体" w:hAnsi="宋体" w:cs="宋体"/>
          <w:szCs w:val="21"/>
        </w:rPr>
      </w:pPr>
      <w:r>
        <w:rPr>
          <w:rFonts w:hint="eastAsia" w:ascii="宋体" w:hAnsi="宋体" w:cs="宋体"/>
          <w:szCs w:val="21"/>
        </w:rPr>
        <w:t>一、严格按照《建筑法》、《中华人民共和国城乡规划法》、《建设工程质量管理条例》等国家和北京市有关建设工程的法律法规、标准规范、文件规定和工程设计文件、合同约定</w:t>
      </w:r>
      <w:r>
        <w:rPr>
          <w:rFonts w:hint="eastAsia" w:ascii="MS Mincho" w:hAnsi="MS Mincho" w:eastAsia="MS Mincho" w:cs="MS Mincho"/>
          <w:szCs w:val="21"/>
        </w:rPr>
        <w:t>，</w:t>
      </w:r>
      <w:r>
        <w:rPr>
          <w:rFonts w:hint="eastAsia" w:ascii="宋体" w:hAnsi="宋体" w:cs="宋体"/>
          <w:szCs w:val="21"/>
        </w:rPr>
        <w:t>认真履行施工总承包单位项目负责人的职责和义务。保证不违反法律法规和标准规范，不降低建设工程施工质量。</w:t>
      </w:r>
    </w:p>
    <w:p w14:paraId="72AAD903">
      <w:pPr>
        <w:wordWrap w:val="0"/>
        <w:topLinePunct/>
        <w:spacing w:line="360" w:lineRule="auto"/>
        <w:ind w:firstLine="420" w:firstLineChars="200"/>
        <w:rPr>
          <w:rFonts w:hint="eastAsia" w:ascii="宋体" w:hAnsi="宋体" w:cs="宋体"/>
          <w:szCs w:val="21"/>
        </w:rPr>
      </w:pPr>
      <w:r>
        <w:rPr>
          <w:rFonts w:hint="eastAsia" w:ascii="宋体" w:hAnsi="宋体" w:cs="宋体"/>
          <w:szCs w:val="21"/>
        </w:rPr>
        <w:t>二、本人持有符合规定且有效的执业资格注册证书，在符合注册许可范围和聘用单位资质等级许可范围内进行执业。保证不以他人名义执业，不让其他人员借名替代，不超越许可范围执业。保证不违法分包，不与分包单位串通、弄虚作假、降低工程质量。</w:t>
      </w:r>
    </w:p>
    <w:p w14:paraId="3ED5C3A0">
      <w:pPr>
        <w:wordWrap w:val="0"/>
        <w:topLinePunct/>
        <w:spacing w:line="360" w:lineRule="auto"/>
        <w:ind w:firstLine="420" w:firstLineChars="200"/>
        <w:rPr>
          <w:rFonts w:hint="eastAsia" w:ascii="宋体" w:hAnsi="宋体" w:cs="宋体"/>
          <w:szCs w:val="21"/>
        </w:rPr>
      </w:pPr>
      <w:r>
        <w:rPr>
          <w:rFonts w:hint="eastAsia" w:ascii="宋体" w:hAnsi="宋体" w:cs="宋体"/>
          <w:szCs w:val="21"/>
        </w:rPr>
        <w:t>三、建立健全质量管理体系，按有关规定配备施工现场管理人员，保证相关人员持证上岗，落实质量责任制，保证不让分包单位以包代管；建立健全教育培训制度，保证不让未经教育培训或者考核不合格的人员上岗作业。</w:t>
      </w:r>
    </w:p>
    <w:p w14:paraId="4D00ACF1">
      <w:pPr>
        <w:wordWrap w:val="0"/>
        <w:topLinePunct/>
        <w:spacing w:line="360" w:lineRule="auto"/>
        <w:ind w:firstLine="420" w:firstLineChars="200"/>
        <w:rPr>
          <w:rFonts w:hint="eastAsia" w:ascii="宋体" w:hAnsi="宋体" w:cs="宋体"/>
          <w:szCs w:val="21"/>
        </w:rPr>
      </w:pPr>
      <w:r>
        <w:rPr>
          <w:rFonts w:hint="eastAsia" w:ascii="宋体" w:hAnsi="宋体" w:cs="宋体"/>
          <w:szCs w:val="21"/>
        </w:rPr>
        <w:t>四、对应当实行抽样检测的建筑材料、商品混凝土、混凝土预制构件、建筑构配件和设备等，在建设单位或者监理单位见证下取样送检，经检测合格后使用；保证取样、封样、送检工作不弄虚作假；未经检验、检验不合格或者未经签字确认的，保证不在工程上使用或者安装。</w:t>
      </w:r>
    </w:p>
    <w:p w14:paraId="1B485BEC">
      <w:pPr>
        <w:wordWrap w:val="0"/>
        <w:topLinePunct/>
        <w:spacing w:line="360" w:lineRule="auto"/>
        <w:ind w:firstLine="420" w:firstLineChars="200"/>
        <w:rPr>
          <w:rFonts w:hint="eastAsia" w:ascii="宋体" w:hAnsi="宋体" w:cs="宋体"/>
          <w:szCs w:val="21"/>
        </w:rPr>
      </w:pPr>
      <w:r>
        <w:rPr>
          <w:rFonts w:hint="eastAsia" w:ascii="宋体" w:hAnsi="宋体" w:cs="宋体"/>
          <w:szCs w:val="21"/>
        </w:rPr>
        <w:t>五、严格按照工程设计和施工技术标准施工，保证关键部位、关键工序施工过程中施工管理人员到岗履职。隐蔽工程、上道工序未经验收或者验收不合格，保证不擅自隐蔽、不进行下一道工序；保证不擅自修改工程设计，不偷工减料；发现设计文件和图纸有差错的，保证及时提出意见和建议。</w:t>
      </w:r>
    </w:p>
    <w:p w14:paraId="022F664B">
      <w:pPr>
        <w:wordWrap w:val="0"/>
        <w:topLinePunct/>
        <w:spacing w:line="360" w:lineRule="auto"/>
        <w:ind w:firstLine="420" w:firstLineChars="200"/>
        <w:rPr>
          <w:rFonts w:hint="eastAsia" w:ascii="宋体" w:hAnsi="宋体" w:cs="宋体"/>
          <w:szCs w:val="21"/>
        </w:rPr>
      </w:pPr>
      <w:r>
        <w:rPr>
          <w:rFonts w:hint="eastAsia" w:ascii="宋体" w:hAnsi="宋体" w:cs="宋体"/>
          <w:szCs w:val="21"/>
        </w:rPr>
        <w:t>六、保证使用北京市工商局和市住房和城乡建设委联合监制的《北京市预拌混凝土买卖合同》，签订后，严格执行。保证不签订阴阳合同，不在混凝土拌合物中加水或其它组分。</w:t>
      </w:r>
    </w:p>
    <w:p w14:paraId="58D00662">
      <w:pPr>
        <w:wordWrap w:val="0"/>
        <w:topLinePunct/>
        <w:spacing w:line="360" w:lineRule="auto"/>
        <w:ind w:firstLine="420" w:firstLineChars="200"/>
        <w:rPr>
          <w:rFonts w:hint="eastAsia" w:ascii="宋体" w:hAnsi="宋体" w:cs="宋体"/>
          <w:szCs w:val="21"/>
        </w:rPr>
      </w:pPr>
      <w:r>
        <w:rPr>
          <w:rFonts w:hint="eastAsia" w:ascii="宋体" w:hAnsi="宋体" w:cs="宋体"/>
          <w:szCs w:val="21"/>
        </w:rPr>
        <w:t>七、愿意接受政府建设主管部门和有关单位的检查、考核、指导。保证对存在的问题和隐患按要求整改，并按规定接受处理。</w:t>
      </w:r>
    </w:p>
    <w:p w14:paraId="784FA933">
      <w:pPr>
        <w:wordWrap w:val="0"/>
        <w:topLinePunct/>
        <w:jc w:val="center"/>
        <w:rPr>
          <w:rFonts w:hint="eastAsia" w:ascii="华文中宋" w:hAnsi="华文中宋" w:eastAsia="华文中宋" w:cs="华文中宋"/>
          <w:b/>
          <w:bCs/>
          <w:sz w:val="44"/>
          <w:szCs w:val="44"/>
        </w:rPr>
      </w:pPr>
      <w:r>
        <w:rPr>
          <w:rFonts w:ascii="华文中宋" w:hAnsi="华文中宋" w:eastAsia="华文中宋" w:cs="华文中宋"/>
          <w:b/>
          <w:bCs/>
          <w:sz w:val="44"/>
          <w:szCs w:val="44"/>
        </w:rPr>
        <w:br w:type="page"/>
      </w:r>
      <w:r>
        <w:rPr>
          <w:rFonts w:hint="eastAsia" w:ascii="华文中宋" w:hAnsi="华文中宋" w:eastAsia="华文中宋" w:cs="华文中宋"/>
          <w:b/>
          <w:bCs/>
          <w:sz w:val="44"/>
          <w:szCs w:val="44"/>
        </w:rPr>
        <w:t>承诺人信息</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065"/>
        <w:gridCol w:w="1733"/>
        <w:gridCol w:w="988"/>
        <w:gridCol w:w="2606"/>
      </w:tblGrid>
      <w:tr w14:paraId="6A4B0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14:paraId="4ED7DCFE">
            <w:pPr>
              <w:pStyle w:val="262"/>
              <w:widowControl w:val="0"/>
              <w:autoSpaceDE w:val="0"/>
              <w:autoSpaceDN w:val="0"/>
              <w:adjustRightInd w:val="0"/>
              <w:spacing w:before="0" w:after="0" w:line="281" w:lineRule="exact"/>
              <w:ind w:firstLine="206"/>
              <w:jc w:val="center"/>
              <w:rPr>
                <w:rFonts w:ascii="宋体" w:eastAsia="宋体"/>
                <w:kern w:val="2"/>
                <w:sz w:val="21"/>
                <w:szCs w:val="24"/>
                <w:lang w:val="en-US" w:eastAsia="zh-CN"/>
              </w:rPr>
            </w:pPr>
            <w:r>
              <w:rPr>
                <w:kern w:val="2"/>
                <w:sz w:val="21"/>
                <w:szCs w:val="24"/>
                <w:lang w:val="en-US" w:eastAsia="zh-CN"/>
              </w:rPr>
              <w:t>被授权人基本情况</w:t>
            </w:r>
          </w:p>
        </w:tc>
      </w:tr>
      <w:tr w14:paraId="491F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14:paraId="2B4C6774">
            <w:pPr>
              <w:spacing w:line="360" w:lineRule="auto"/>
              <w:rPr>
                <w:rFonts w:ascii="宋体"/>
              </w:rPr>
            </w:pPr>
            <w:r>
              <w:rPr>
                <w:rFonts w:hint="eastAsia" w:ascii="宋体"/>
              </w:rPr>
              <w:t>姓名</w:t>
            </w:r>
          </w:p>
        </w:tc>
        <w:tc>
          <w:tcPr>
            <w:tcW w:w="2798" w:type="dxa"/>
            <w:gridSpan w:val="2"/>
            <w:tcBorders>
              <w:top w:val="single" w:color="auto" w:sz="4" w:space="0"/>
              <w:left w:val="single" w:color="auto" w:sz="4" w:space="0"/>
              <w:bottom w:val="single" w:color="auto" w:sz="4" w:space="0"/>
              <w:right w:val="single" w:color="auto" w:sz="4" w:space="0"/>
            </w:tcBorders>
          </w:tcPr>
          <w:p w14:paraId="468B70D5">
            <w:pPr>
              <w:spacing w:line="360" w:lineRule="auto"/>
              <w:rPr>
                <w:rFonts w:ascii="宋体"/>
              </w:rPr>
            </w:pPr>
          </w:p>
        </w:tc>
        <w:tc>
          <w:tcPr>
            <w:tcW w:w="3594" w:type="dxa"/>
            <w:gridSpan w:val="2"/>
            <w:tcBorders>
              <w:top w:val="single" w:color="auto" w:sz="4" w:space="0"/>
              <w:left w:val="single" w:color="auto" w:sz="4" w:space="0"/>
              <w:bottom w:val="single" w:color="auto" w:sz="4" w:space="0"/>
              <w:right w:val="single" w:color="auto" w:sz="4" w:space="0"/>
            </w:tcBorders>
          </w:tcPr>
          <w:p w14:paraId="0A725125">
            <w:pPr>
              <w:spacing w:line="360" w:lineRule="auto"/>
              <w:rPr>
                <w:rFonts w:ascii="宋体"/>
              </w:rPr>
            </w:pPr>
            <w:r>
              <w:rPr>
                <w:rFonts w:hint="eastAsia" w:ascii="宋体"/>
              </w:rPr>
              <w:t>身份证编号：</w:t>
            </w:r>
          </w:p>
        </w:tc>
      </w:tr>
      <w:tr w14:paraId="421AA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14:paraId="22341EB4">
            <w:pPr>
              <w:spacing w:line="360" w:lineRule="auto"/>
              <w:rPr>
                <w:rFonts w:ascii="宋体"/>
              </w:rPr>
            </w:pPr>
            <w:r>
              <w:rPr>
                <w:rFonts w:hint="eastAsia" w:ascii="宋体"/>
              </w:rPr>
              <w:t>电话</w:t>
            </w:r>
          </w:p>
        </w:tc>
        <w:tc>
          <w:tcPr>
            <w:tcW w:w="2798" w:type="dxa"/>
            <w:gridSpan w:val="2"/>
            <w:tcBorders>
              <w:top w:val="single" w:color="auto" w:sz="4" w:space="0"/>
              <w:left w:val="single" w:color="auto" w:sz="4" w:space="0"/>
              <w:bottom w:val="single" w:color="auto" w:sz="4" w:space="0"/>
              <w:right w:val="single" w:color="auto" w:sz="4" w:space="0"/>
            </w:tcBorders>
          </w:tcPr>
          <w:p w14:paraId="7B10A18E">
            <w:pPr>
              <w:spacing w:line="360" w:lineRule="auto"/>
              <w:rPr>
                <w:rFonts w:ascii="宋体"/>
              </w:rPr>
            </w:pPr>
          </w:p>
        </w:tc>
        <w:tc>
          <w:tcPr>
            <w:tcW w:w="3594" w:type="dxa"/>
            <w:gridSpan w:val="2"/>
            <w:tcBorders>
              <w:top w:val="single" w:color="auto" w:sz="4" w:space="0"/>
              <w:left w:val="single" w:color="auto" w:sz="4" w:space="0"/>
              <w:bottom w:val="single" w:color="auto" w:sz="4" w:space="0"/>
              <w:right w:val="single" w:color="auto" w:sz="4" w:space="0"/>
            </w:tcBorders>
          </w:tcPr>
          <w:p w14:paraId="4E082507">
            <w:pPr>
              <w:spacing w:line="360" w:lineRule="auto"/>
              <w:rPr>
                <w:rFonts w:ascii="宋体"/>
              </w:rPr>
            </w:pPr>
            <w:r>
              <w:rPr>
                <w:rFonts w:hint="eastAsia" w:ascii="宋体"/>
              </w:rPr>
              <w:t xml:space="preserve">户籍所在地： </w:t>
            </w:r>
          </w:p>
        </w:tc>
      </w:tr>
      <w:tr w14:paraId="204AE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14:paraId="21C0A5A5">
            <w:pPr>
              <w:spacing w:line="360" w:lineRule="auto"/>
              <w:rPr>
                <w:rFonts w:ascii="宋体"/>
              </w:rPr>
            </w:pPr>
            <w:r>
              <w:rPr>
                <w:rFonts w:hint="eastAsia" w:ascii="宋体"/>
              </w:rPr>
              <w:t>注册证书</w:t>
            </w:r>
          </w:p>
        </w:tc>
        <w:tc>
          <w:tcPr>
            <w:tcW w:w="1065" w:type="dxa"/>
            <w:tcBorders>
              <w:top w:val="single" w:color="auto" w:sz="4" w:space="0"/>
              <w:left w:val="single" w:color="auto" w:sz="4" w:space="0"/>
              <w:bottom w:val="single" w:color="auto" w:sz="4" w:space="0"/>
              <w:right w:val="single" w:color="auto" w:sz="4" w:space="0"/>
            </w:tcBorders>
          </w:tcPr>
          <w:p w14:paraId="016CFEAA">
            <w:pPr>
              <w:spacing w:line="360" w:lineRule="auto"/>
              <w:rPr>
                <w:rFonts w:ascii="宋体"/>
              </w:rPr>
            </w:pPr>
            <w:r>
              <w:rPr>
                <w:rFonts w:hint="eastAsia" w:ascii="宋体"/>
              </w:rPr>
              <w:t>编号</w:t>
            </w:r>
          </w:p>
        </w:tc>
        <w:tc>
          <w:tcPr>
            <w:tcW w:w="1733" w:type="dxa"/>
            <w:tcBorders>
              <w:top w:val="single" w:color="auto" w:sz="4" w:space="0"/>
              <w:left w:val="single" w:color="auto" w:sz="4" w:space="0"/>
              <w:bottom w:val="single" w:color="auto" w:sz="4" w:space="0"/>
              <w:right w:val="single" w:color="auto" w:sz="4" w:space="0"/>
            </w:tcBorders>
          </w:tcPr>
          <w:p w14:paraId="34221B25">
            <w:pPr>
              <w:spacing w:line="360" w:lineRule="auto"/>
              <w:jc w:val="center"/>
              <w:rPr>
                <w:rFonts w:ascii="宋体"/>
              </w:rPr>
            </w:pPr>
          </w:p>
        </w:tc>
        <w:tc>
          <w:tcPr>
            <w:tcW w:w="988" w:type="dxa"/>
            <w:tcBorders>
              <w:top w:val="single" w:color="auto" w:sz="4" w:space="0"/>
              <w:left w:val="single" w:color="auto" w:sz="4" w:space="0"/>
              <w:bottom w:val="single" w:color="auto" w:sz="4" w:space="0"/>
              <w:right w:val="single" w:color="auto" w:sz="4" w:space="0"/>
            </w:tcBorders>
          </w:tcPr>
          <w:p w14:paraId="4B46FB37">
            <w:pPr>
              <w:spacing w:line="360" w:lineRule="auto"/>
              <w:rPr>
                <w:rFonts w:ascii="宋体"/>
              </w:rPr>
            </w:pPr>
            <w:r>
              <w:rPr>
                <w:rFonts w:hint="eastAsia" w:ascii="宋体"/>
              </w:rPr>
              <w:t>类别</w:t>
            </w:r>
          </w:p>
        </w:tc>
        <w:tc>
          <w:tcPr>
            <w:tcW w:w="2606" w:type="dxa"/>
            <w:tcBorders>
              <w:top w:val="single" w:color="auto" w:sz="4" w:space="0"/>
              <w:left w:val="single" w:color="auto" w:sz="4" w:space="0"/>
              <w:bottom w:val="single" w:color="auto" w:sz="4" w:space="0"/>
              <w:right w:val="single" w:color="auto" w:sz="4" w:space="0"/>
            </w:tcBorders>
          </w:tcPr>
          <w:p w14:paraId="5FDAE7F6">
            <w:pPr>
              <w:spacing w:line="360" w:lineRule="auto"/>
              <w:rPr>
                <w:rFonts w:ascii="宋体"/>
              </w:rPr>
            </w:pPr>
          </w:p>
        </w:tc>
      </w:tr>
      <w:tr w14:paraId="23CC2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14:paraId="268101E4">
            <w:pPr>
              <w:spacing w:line="360" w:lineRule="auto"/>
              <w:rPr>
                <w:rFonts w:ascii="宋体"/>
              </w:rPr>
            </w:pPr>
          </w:p>
        </w:tc>
        <w:tc>
          <w:tcPr>
            <w:tcW w:w="1065" w:type="dxa"/>
            <w:tcBorders>
              <w:top w:val="single" w:color="auto" w:sz="4" w:space="0"/>
              <w:left w:val="single" w:color="auto" w:sz="4" w:space="0"/>
              <w:bottom w:val="single" w:color="auto" w:sz="4" w:space="0"/>
              <w:right w:val="single" w:color="auto" w:sz="4" w:space="0"/>
            </w:tcBorders>
          </w:tcPr>
          <w:p w14:paraId="00A4A3DB">
            <w:pPr>
              <w:spacing w:line="360" w:lineRule="auto"/>
              <w:rPr>
                <w:rFonts w:ascii="宋体"/>
              </w:rPr>
            </w:pPr>
            <w:r>
              <w:rPr>
                <w:rFonts w:hint="eastAsia" w:ascii="宋体"/>
              </w:rPr>
              <w:t>专业</w:t>
            </w:r>
          </w:p>
        </w:tc>
        <w:tc>
          <w:tcPr>
            <w:tcW w:w="1733" w:type="dxa"/>
            <w:tcBorders>
              <w:top w:val="single" w:color="auto" w:sz="4" w:space="0"/>
              <w:left w:val="single" w:color="auto" w:sz="4" w:space="0"/>
              <w:bottom w:val="single" w:color="auto" w:sz="4" w:space="0"/>
              <w:right w:val="single" w:color="auto" w:sz="4" w:space="0"/>
            </w:tcBorders>
          </w:tcPr>
          <w:p w14:paraId="4B6DA7FC">
            <w:pPr>
              <w:spacing w:line="360" w:lineRule="auto"/>
              <w:rPr>
                <w:rFonts w:ascii="宋体"/>
              </w:rPr>
            </w:pPr>
          </w:p>
        </w:tc>
        <w:tc>
          <w:tcPr>
            <w:tcW w:w="988" w:type="dxa"/>
            <w:tcBorders>
              <w:top w:val="single" w:color="auto" w:sz="4" w:space="0"/>
              <w:left w:val="single" w:color="auto" w:sz="4" w:space="0"/>
              <w:bottom w:val="single" w:color="auto" w:sz="4" w:space="0"/>
              <w:right w:val="single" w:color="auto" w:sz="4" w:space="0"/>
            </w:tcBorders>
          </w:tcPr>
          <w:p w14:paraId="27641626">
            <w:pPr>
              <w:spacing w:line="360" w:lineRule="auto"/>
              <w:rPr>
                <w:rFonts w:ascii="宋体"/>
              </w:rPr>
            </w:pPr>
            <w:r>
              <w:rPr>
                <w:rFonts w:hint="eastAsia" w:ascii="宋体"/>
              </w:rPr>
              <w:t>期限</w:t>
            </w:r>
          </w:p>
        </w:tc>
        <w:tc>
          <w:tcPr>
            <w:tcW w:w="2606" w:type="dxa"/>
            <w:tcBorders>
              <w:top w:val="single" w:color="auto" w:sz="4" w:space="0"/>
              <w:left w:val="single" w:color="auto" w:sz="4" w:space="0"/>
              <w:bottom w:val="single" w:color="auto" w:sz="4" w:space="0"/>
              <w:right w:val="single" w:color="auto" w:sz="4" w:space="0"/>
            </w:tcBorders>
          </w:tcPr>
          <w:p w14:paraId="27C7AD94">
            <w:pPr>
              <w:spacing w:line="360" w:lineRule="auto"/>
              <w:rPr>
                <w:rFonts w:ascii="宋体"/>
              </w:rPr>
            </w:pPr>
          </w:p>
        </w:tc>
      </w:tr>
      <w:tr w14:paraId="520AC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4" w:space="0"/>
              <w:left w:val="single" w:color="auto" w:sz="4" w:space="0"/>
              <w:bottom w:val="single" w:color="auto" w:sz="4" w:space="0"/>
              <w:right w:val="single" w:color="auto" w:sz="4" w:space="0"/>
            </w:tcBorders>
          </w:tcPr>
          <w:p w14:paraId="2933DF5A">
            <w:pPr>
              <w:spacing w:line="360" w:lineRule="auto"/>
              <w:rPr>
                <w:rFonts w:ascii="宋体"/>
              </w:rPr>
            </w:pPr>
            <w:r>
              <w:rPr>
                <w:rFonts w:hint="eastAsia" w:ascii="宋体"/>
              </w:rPr>
              <w:t>备注</w:t>
            </w:r>
          </w:p>
        </w:tc>
        <w:tc>
          <w:tcPr>
            <w:tcW w:w="6392" w:type="dxa"/>
            <w:gridSpan w:val="4"/>
            <w:tcBorders>
              <w:top w:val="single" w:color="auto" w:sz="4" w:space="0"/>
              <w:left w:val="single" w:color="auto" w:sz="4" w:space="0"/>
              <w:bottom w:val="single" w:color="auto" w:sz="4" w:space="0"/>
              <w:right w:val="single" w:color="auto" w:sz="4" w:space="0"/>
            </w:tcBorders>
          </w:tcPr>
          <w:p w14:paraId="2BFC2312">
            <w:pPr>
              <w:spacing w:line="360" w:lineRule="auto"/>
              <w:rPr>
                <w:rFonts w:ascii="宋体"/>
              </w:rPr>
            </w:pPr>
          </w:p>
        </w:tc>
      </w:tr>
      <w:tr w14:paraId="1624C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Borders>
              <w:top w:val="single" w:color="auto" w:sz="4" w:space="0"/>
              <w:left w:val="single" w:color="auto" w:sz="4" w:space="0"/>
              <w:bottom w:val="single" w:color="auto" w:sz="4" w:space="0"/>
              <w:right w:val="single" w:color="auto" w:sz="4" w:space="0"/>
            </w:tcBorders>
          </w:tcPr>
          <w:p w14:paraId="7CD6E948">
            <w:pPr>
              <w:spacing w:line="360" w:lineRule="auto"/>
              <w:rPr>
                <w:rFonts w:ascii="宋体"/>
              </w:rPr>
            </w:pPr>
          </w:p>
        </w:tc>
      </w:tr>
    </w:tbl>
    <w:p w14:paraId="29342125">
      <w:pPr>
        <w:topLinePunct/>
        <w:jc w:val="center"/>
        <w:rPr>
          <w:rFonts w:hint="eastAsia" w:ascii="华文中宋" w:hAnsi="华文中宋" w:eastAsia="华文中宋" w:cs="华文中宋"/>
          <w:b/>
          <w:bCs/>
          <w:sz w:val="36"/>
          <w:szCs w:val="36"/>
        </w:rPr>
      </w:pPr>
    </w:p>
    <w:p w14:paraId="71D738CC">
      <w:pPr>
        <w:spacing w:line="360" w:lineRule="auto"/>
        <w:ind w:firstLine="420" w:firstLineChars="200"/>
        <w:rPr>
          <w:rFonts w:ascii="宋体"/>
          <w:szCs w:val="28"/>
        </w:rPr>
      </w:pPr>
    </w:p>
    <w:p w14:paraId="4E24B505">
      <w:pPr>
        <w:spacing w:line="360" w:lineRule="auto"/>
        <w:ind w:right="640" w:firstLine="480" w:firstLineChars="200"/>
        <w:jc w:val="right"/>
        <w:rPr>
          <w:rFonts w:hint="eastAsia" w:ascii="DDJLFQ+·ÂËÎ" w:hAnsi="DDJLFQ+·ÂËÎ" w:cs="DDJLFQ+·ÂËÎ"/>
          <w:sz w:val="24"/>
        </w:rPr>
      </w:pPr>
    </w:p>
    <w:p w14:paraId="62097A9A">
      <w:pPr>
        <w:ind w:firstLine="630" w:firstLineChars="300"/>
        <w:rPr>
          <w:rFonts w:hint="eastAsia" w:ascii="宋体" w:hAnsi="宋体"/>
          <w:szCs w:val="21"/>
        </w:rPr>
      </w:pPr>
      <w:r>
        <w:drawing>
          <wp:anchor distT="0" distB="0" distL="114300" distR="114300" simplePos="0" relativeHeight="251659264" behindDoc="0" locked="0" layoutInCell="1" allowOverlap="1">
            <wp:simplePos x="0" y="0"/>
            <wp:positionH relativeFrom="column">
              <wp:posOffset>-383540</wp:posOffset>
            </wp:positionH>
            <wp:positionV relativeFrom="paragraph">
              <wp:posOffset>-186690</wp:posOffset>
            </wp:positionV>
            <wp:extent cx="5724525" cy="3317240"/>
            <wp:effectExtent l="0" t="0" r="9525" b="1651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9"/>
                    <a:stretch>
                      <a:fillRect/>
                    </a:stretch>
                  </pic:blipFill>
                  <pic:spPr>
                    <a:xfrm>
                      <a:off x="0" y="0"/>
                      <a:ext cx="5724525" cy="3317240"/>
                    </a:xfrm>
                    <a:prstGeom prst="rect">
                      <a:avLst/>
                    </a:prstGeom>
                    <a:noFill/>
                    <a:ln>
                      <a:noFill/>
                    </a:ln>
                  </pic:spPr>
                </pic:pic>
              </a:graphicData>
            </a:graphic>
          </wp:anchor>
        </w:drawing>
      </w:r>
    </w:p>
    <w:p w14:paraId="0465DDF2">
      <w:pPr>
        <w:ind w:firstLine="630" w:firstLineChars="300"/>
        <w:rPr>
          <w:rFonts w:hint="eastAsia" w:ascii="宋体" w:hAnsi="宋体"/>
          <w:szCs w:val="21"/>
        </w:rPr>
      </w:pPr>
    </w:p>
    <w:p w14:paraId="3E0F23E3">
      <w:pPr>
        <w:ind w:firstLine="630" w:firstLineChars="300"/>
        <w:rPr>
          <w:rFonts w:hint="eastAsia" w:ascii="宋体" w:hAnsi="宋体"/>
          <w:szCs w:val="21"/>
        </w:rPr>
      </w:pPr>
    </w:p>
    <w:p w14:paraId="7F3DE34A">
      <w:pPr>
        <w:ind w:firstLine="630" w:firstLineChars="300"/>
        <w:rPr>
          <w:rFonts w:hint="eastAsia" w:ascii="宋体" w:hAnsi="宋体"/>
          <w:szCs w:val="21"/>
        </w:rPr>
      </w:pPr>
    </w:p>
    <w:p w14:paraId="3B0E2A59">
      <w:pPr>
        <w:ind w:firstLine="630" w:firstLineChars="300"/>
        <w:rPr>
          <w:rFonts w:hint="eastAsia" w:ascii="宋体" w:hAnsi="宋体"/>
          <w:szCs w:val="21"/>
        </w:rPr>
      </w:pPr>
    </w:p>
    <w:p w14:paraId="32FC5B75">
      <w:pPr>
        <w:ind w:firstLine="630" w:firstLineChars="300"/>
        <w:rPr>
          <w:rFonts w:hint="eastAsia" w:ascii="宋体" w:hAnsi="宋体"/>
          <w:szCs w:val="21"/>
        </w:rPr>
      </w:pPr>
    </w:p>
    <w:p w14:paraId="744892BB">
      <w:pPr>
        <w:ind w:firstLine="630" w:firstLineChars="300"/>
        <w:rPr>
          <w:rFonts w:hint="eastAsia" w:ascii="宋体" w:hAnsi="宋体"/>
          <w:szCs w:val="21"/>
        </w:rPr>
      </w:pPr>
    </w:p>
    <w:p w14:paraId="480B3416">
      <w:pPr>
        <w:ind w:firstLine="630" w:firstLineChars="300"/>
        <w:rPr>
          <w:rFonts w:hint="eastAsia" w:ascii="宋体" w:hAnsi="宋体"/>
          <w:szCs w:val="21"/>
        </w:rPr>
      </w:pPr>
    </w:p>
    <w:p w14:paraId="64A35032">
      <w:pPr>
        <w:ind w:firstLine="630" w:firstLineChars="300"/>
        <w:rPr>
          <w:rFonts w:hint="eastAsia" w:ascii="宋体" w:hAnsi="宋体"/>
          <w:szCs w:val="21"/>
        </w:rPr>
      </w:pPr>
    </w:p>
    <w:p w14:paraId="1098181E">
      <w:pPr>
        <w:ind w:firstLine="630" w:firstLineChars="300"/>
        <w:rPr>
          <w:rFonts w:hint="eastAsia" w:ascii="宋体" w:hAnsi="宋体"/>
          <w:szCs w:val="21"/>
        </w:rPr>
      </w:pPr>
    </w:p>
    <w:p w14:paraId="71B25D9F">
      <w:pPr>
        <w:ind w:firstLine="630" w:firstLineChars="300"/>
        <w:rPr>
          <w:rFonts w:hint="eastAsia" w:ascii="宋体" w:hAnsi="宋体"/>
          <w:szCs w:val="21"/>
        </w:rPr>
      </w:pPr>
    </w:p>
    <w:p w14:paraId="2200FE97">
      <w:pPr>
        <w:ind w:firstLine="630" w:firstLineChars="300"/>
        <w:rPr>
          <w:rFonts w:hint="eastAsia" w:ascii="宋体" w:hAnsi="宋体"/>
          <w:szCs w:val="21"/>
        </w:rPr>
      </w:pPr>
    </w:p>
    <w:p w14:paraId="181F241A">
      <w:pPr>
        <w:ind w:firstLine="630" w:firstLineChars="300"/>
        <w:rPr>
          <w:rFonts w:hint="eastAsia" w:ascii="宋体" w:hAnsi="宋体"/>
          <w:szCs w:val="21"/>
        </w:rPr>
      </w:pPr>
    </w:p>
    <w:p w14:paraId="17CB61E7">
      <w:pPr>
        <w:ind w:firstLine="630" w:firstLineChars="300"/>
        <w:rPr>
          <w:rFonts w:hint="eastAsia" w:ascii="宋体" w:hAnsi="宋体"/>
          <w:szCs w:val="21"/>
        </w:rPr>
      </w:pPr>
    </w:p>
    <w:p w14:paraId="14FA22B0">
      <w:pPr>
        <w:ind w:firstLine="630" w:firstLineChars="300"/>
        <w:rPr>
          <w:rFonts w:hint="eastAsia" w:ascii="宋体" w:hAnsi="宋体"/>
          <w:szCs w:val="21"/>
        </w:rPr>
      </w:pPr>
    </w:p>
    <w:p w14:paraId="7BF4DAC9">
      <w:pPr>
        <w:ind w:firstLine="630" w:firstLineChars="300"/>
        <w:rPr>
          <w:rFonts w:hint="eastAsia" w:ascii="宋体" w:hAnsi="宋体"/>
          <w:szCs w:val="21"/>
        </w:rPr>
      </w:pPr>
    </w:p>
    <w:p w14:paraId="053D4CAB">
      <w:pPr>
        <w:ind w:firstLine="630" w:firstLineChars="300"/>
        <w:rPr>
          <w:rFonts w:hint="eastAsia" w:ascii="宋体" w:hAnsi="宋体"/>
          <w:szCs w:val="21"/>
        </w:rPr>
      </w:pPr>
    </w:p>
    <w:p w14:paraId="2CC81848">
      <w:pPr>
        <w:ind w:firstLine="630" w:firstLineChars="300"/>
        <w:rPr>
          <w:rFonts w:hint="eastAsia" w:ascii="宋体" w:hAnsi="宋体"/>
          <w:szCs w:val="21"/>
        </w:rPr>
      </w:pPr>
    </w:p>
    <w:p w14:paraId="44E1BA0A">
      <w:pPr>
        <w:rPr>
          <w:rFonts w:hint="eastAsia" w:ascii="宋体" w:hAnsi="宋体"/>
          <w:szCs w:val="21"/>
        </w:rPr>
      </w:pPr>
    </w:p>
    <w:p w14:paraId="374C83F8">
      <w:pPr>
        <w:rPr>
          <w:rFonts w:hint="eastAsia" w:ascii="宋体" w:hAnsi="宋体" w:cs="宋体"/>
          <w:szCs w:val="21"/>
        </w:rPr>
      </w:pPr>
    </w:p>
    <w:p w14:paraId="0AF19A66">
      <w:pPr>
        <w:rPr>
          <w:rFonts w:hint="eastAsia" w:ascii="宋体" w:hAnsi="宋体" w:cs="宋体"/>
          <w:szCs w:val="21"/>
        </w:rPr>
      </w:pPr>
      <w:r>
        <w:rPr>
          <w:rFonts w:hint="eastAsia" w:ascii="宋体" w:hAnsi="宋体" w:cs="宋体"/>
          <w:szCs w:val="21"/>
        </w:rPr>
        <w:t>承诺人（签字）            法定代表人（签字）          单位盖章（公章）</w:t>
      </w:r>
    </w:p>
    <w:p w14:paraId="08F504F9">
      <w:pPr>
        <w:pStyle w:val="18"/>
        <w:adjustRightInd w:val="0"/>
        <w:snapToGrid w:val="0"/>
        <w:spacing w:before="0" w:line="360" w:lineRule="auto"/>
        <w:rPr>
          <w:rFonts w:hint="eastAsia"/>
          <w:snapToGrid w:val="0"/>
        </w:rPr>
      </w:pPr>
    </w:p>
    <w:p w14:paraId="33F54B00">
      <w:pPr>
        <w:rPr>
          <w:sz w:val="32"/>
          <w:szCs w:val="36"/>
        </w:rPr>
      </w:pPr>
      <w:r>
        <w:br w:type="page"/>
      </w:r>
      <w:r>
        <w:rPr>
          <w:rFonts w:hint="eastAsia"/>
          <w:sz w:val="32"/>
          <w:szCs w:val="36"/>
        </w:rPr>
        <w:t>已标价工程量清单及图纸</w:t>
      </w:r>
    </w:p>
    <w:p w14:paraId="0FF1D8D3">
      <w:pPr>
        <w:rPr>
          <w:rFonts w:hint="eastAsia" w:ascii="宋体" w:hAnsi="宋体" w:cs="宋体"/>
          <w:color w:val="000000"/>
          <w:sz w:val="18"/>
          <w:szCs w:val="18"/>
        </w:rPr>
      </w:pPr>
      <w:r>
        <w:rPr>
          <w:sz w:val="32"/>
          <w:szCs w:val="36"/>
        </w:rPr>
        <w:br w:type="page"/>
      </w:r>
      <w:r>
        <w:rPr>
          <w:rFonts w:hint="eastAsia"/>
          <w:sz w:val="32"/>
          <w:szCs w:val="36"/>
        </w:rPr>
        <w:t>其他合同文件</w:t>
      </w:r>
    </w:p>
    <w:p w14:paraId="134E2A11">
      <w:pPr>
        <w:tabs>
          <w:tab w:val="left" w:pos="900"/>
          <w:tab w:val="left" w:pos="1080"/>
        </w:tabs>
        <w:snapToGrid w:val="0"/>
        <w:spacing w:line="360" w:lineRule="auto"/>
        <w:rPr>
          <w:b/>
          <w:sz w:val="36"/>
          <w:szCs w:val="36"/>
        </w:rPr>
      </w:pPr>
      <w:r>
        <w:rPr>
          <w:rFonts w:ascii="宋体" w:hAnsi="宋体" w:cs="仿宋"/>
          <w:sz w:val="24"/>
        </w:rPr>
        <w:br w:type="page"/>
      </w:r>
    </w:p>
    <w:p w14:paraId="5C421C66">
      <w:pPr>
        <w:spacing w:line="360" w:lineRule="auto"/>
        <w:jc w:val="center"/>
        <w:outlineLvl w:val="0"/>
        <w:rPr>
          <w:b/>
          <w:sz w:val="36"/>
          <w:szCs w:val="36"/>
        </w:rPr>
      </w:pPr>
      <w:bookmarkStart w:id="687" w:name="_Toc28381"/>
      <w:bookmarkStart w:id="688" w:name="_Toc30193"/>
      <w:r>
        <w:rPr>
          <w:b/>
          <w:sz w:val="36"/>
          <w:szCs w:val="36"/>
        </w:rPr>
        <w:t>第六章   响应文件格式</w:t>
      </w:r>
      <w:bookmarkEnd w:id="684"/>
      <w:bookmarkEnd w:id="687"/>
      <w:bookmarkEnd w:id="688"/>
    </w:p>
    <w:p w14:paraId="79878EE6">
      <w:pPr>
        <w:widowControl/>
        <w:spacing w:line="360" w:lineRule="auto"/>
        <w:jc w:val="left"/>
        <w:rPr>
          <w:b/>
          <w:sz w:val="24"/>
        </w:rPr>
      </w:pPr>
    </w:p>
    <w:p w14:paraId="0879F641">
      <w:pPr>
        <w:tabs>
          <w:tab w:val="left" w:pos="900"/>
          <w:tab w:val="left" w:pos="1980"/>
        </w:tabs>
        <w:snapToGrid w:val="0"/>
        <w:spacing w:line="360" w:lineRule="auto"/>
        <w:rPr>
          <w:b/>
          <w:kern w:val="0"/>
          <w:sz w:val="24"/>
        </w:rPr>
      </w:pPr>
      <w:r>
        <w:rPr>
          <w:b/>
          <w:kern w:val="0"/>
          <w:sz w:val="24"/>
        </w:rPr>
        <w:t>供应商编制文件须知</w:t>
      </w:r>
    </w:p>
    <w:p w14:paraId="665EE49A">
      <w:pPr>
        <w:tabs>
          <w:tab w:val="left" w:pos="900"/>
          <w:tab w:val="left" w:pos="1980"/>
        </w:tabs>
        <w:snapToGrid w:val="0"/>
        <w:spacing w:line="360" w:lineRule="auto"/>
        <w:rPr>
          <w:sz w:val="24"/>
        </w:rPr>
      </w:pPr>
      <w:r>
        <w:rPr>
          <w:sz w:val="24"/>
        </w:rPr>
        <w:t>1、供应商按照本部分的顺序编制响应文件，编制中涉及格式资料的，应按照本部分提供的内容和格式（所有表格的格式可扩展）填写提交。</w:t>
      </w:r>
    </w:p>
    <w:p w14:paraId="0F06E750">
      <w:pPr>
        <w:tabs>
          <w:tab w:val="left" w:pos="900"/>
          <w:tab w:val="left" w:pos="1980"/>
        </w:tabs>
        <w:snapToGrid w:val="0"/>
        <w:spacing w:line="360" w:lineRule="auto"/>
        <w:rPr>
          <w:kern w:val="0"/>
          <w:sz w:val="24"/>
        </w:rPr>
      </w:pPr>
      <w:r>
        <w:rPr>
          <w:sz w:val="24"/>
        </w:rPr>
        <w:t>2、</w:t>
      </w:r>
      <w:r>
        <w:rPr>
          <w:kern w:val="0"/>
          <w:sz w:val="24"/>
        </w:rPr>
        <w:t>对于竞争性磋商文件中标记了“实质性格式”文件的，供应商</w:t>
      </w:r>
      <w:r>
        <w:rPr>
          <w:sz w:val="24"/>
        </w:rPr>
        <w:t>不得改变格式中给定的文字所表达的含义，不得删减格式中的实质性内容，不得自行添加与格式中给定的文字内容相矛盾的内容，不得对应当填写的空格不填写或不实质性响应，</w:t>
      </w:r>
      <w:r>
        <w:rPr>
          <w:b/>
          <w:kern w:val="0"/>
          <w:sz w:val="24"/>
        </w:rPr>
        <w:t>否则响应无效</w:t>
      </w:r>
      <w:r>
        <w:rPr>
          <w:kern w:val="0"/>
          <w:sz w:val="24"/>
        </w:rPr>
        <w:t>。未标记“实质性格式”的文件和竞争性磋商文件未提供格式的内容，可由供应商自行编写。</w:t>
      </w:r>
    </w:p>
    <w:p w14:paraId="4C1C6045">
      <w:pPr>
        <w:tabs>
          <w:tab w:val="left" w:pos="900"/>
          <w:tab w:val="left" w:pos="1980"/>
        </w:tabs>
        <w:snapToGrid w:val="0"/>
        <w:spacing w:line="360" w:lineRule="auto"/>
        <w:rPr>
          <w:sz w:val="24"/>
        </w:rPr>
      </w:pPr>
      <w:r>
        <w:rPr>
          <w:sz w:val="24"/>
        </w:rPr>
        <w:t>3、全部声明和问题的回答及所附材料必须是真实的、准确的和完整的。</w:t>
      </w:r>
    </w:p>
    <w:p w14:paraId="746B7FCA">
      <w:pPr>
        <w:widowControl/>
        <w:jc w:val="left"/>
        <w:rPr>
          <w:sz w:val="24"/>
        </w:rPr>
      </w:pPr>
      <w:r>
        <w:rPr>
          <w:sz w:val="24"/>
        </w:rPr>
        <w:br w:type="page"/>
      </w:r>
    </w:p>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14:paraId="4E799D28">
      <w:pPr>
        <w:rPr>
          <w:b/>
          <w:sz w:val="24"/>
        </w:rPr>
      </w:pPr>
      <w:r>
        <w:rPr>
          <w:b/>
          <w:spacing w:val="20"/>
          <w:sz w:val="24"/>
        </w:rPr>
        <w:t>响应文件</w:t>
      </w:r>
      <w:r>
        <w:rPr>
          <w:b/>
          <w:sz w:val="24"/>
        </w:rPr>
        <w:t>封面（非实质性格式）</w:t>
      </w:r>
    </w:p>
    <w:p w14:paraId="4509D9E5">
      <w:pPr>
        <w:rPr>
          <w:b/>
          <w:sz w:val="24"/>
        </w:rPr>
      </w:pPr>
    </w:p>
    <w:p w14:paraId="6116101A">
      <w:pPr>
        <w:jc w:val="center"/>
        <w:rPr>
          <w:szCs w:val="21"/>
        </w:rPr>
      </w:pPr>
    </w:p>
    <w:p w14:paraId="15A47CBC">
      <w:pPr>
        <w:jc w:val="center"/>
        <w:rPr>
          <w:b/>
          <w:spacing w:val="60"/>
          <w:sz w:val="84"/>
          <w:szCs w:val="84"/>
        </w:rPr>
      </w:pPr>
      <w:r>
        <w:rPr>
          <w:b/>
          <w:spacing w:val="60"/>
          <w:sz w:val="84"/>
          <w:szCs w:val="84"/>
        </w:rPr>
        <w:t>响 应 文 件</w:t>
      </w:r>
    </w:p>
    <w:p w14:paraId="66A94709">
      <w:pPr>
        <w:jc w:val="center"/>
        <w:rPr>
          <w:b/>
          <w:spacing w:val="60"/>
          <w:sz w:val="52"/>
          <w:szCs w:val="52"/>
        </w:rPr>
      </w:pPr>
    </w:p>
    <w:p w14:paraId="615C64D7">
      <w:pPr>
        <w:ind w:firstLine="542" w:firstLineChars="150"/>
        <w:rPr>
          <w:b/>
          <w:spacing w:val="20"/>
          <w:sz w:val="32"/>
          <w:szCs w:val="32"/>
        </w:rPr>
      </w:pPr>
    </w:p>
    <w:p w14:paraId="2081F04C">
      <w:pPr>
        <w:ind w:firstLine="542" w:firstLineChars="150"/>
        <w:rPr>
          <w:b/>
          <w:spacing w:val="20"/>
          <w:sz w:val="32"/>
          <w:szCs w:val="32"/>
        </w:rPr>
      </w:pPr>
    </w:p>
    <w:p w14:paraId="73E9D8EF">
      <w:pPr>
        <w:ind w:firstLine="542" w:firstLineChars="150"/>
        <w:rPr>
          <w:b/>
          <w:spacing w:val="20"/>
          <w:sz w:val="32"/>
          <w:szCs w:val="32"/>
        </w:rPr>
      </w:pPr>
      <w:r>
        <w:rPr>
          <w:b/>
          <w:spacing w:val="20"/>
          <w:sz w:val="32"/>
          <w:szCs w:val="32"/>
        </w:rPr>
        <w:t>项目名称：</w:t>
      </w:r>
      <w:r>
        <w:rPr>
          <w:rFonts w:hint="eastAsia"/>
          <w:b/>
          <w:spacing w:val="20"/>
          <w:sz w:val="32"/>
          <w:szCs w:val="32"/>
        </w:rPr>
        <w:t>改善办学保障条件-基础设施改造-新校区雨污水、暖气管线及相关工程改造项目</w:t>
      </w:r>
    </w:p>
    <w:p w14:paraId="10FBEC6C">
      <w:pPr>
        <w:ind w:firstLine="542" w:firstLineChars="150"/>
        <w:rPr>
          <w:b/>
          <w:spacing w:val="20"/>
          <w:sz w:val="32"/>
          <w:szCs w:val="32"/>
        </w:rPr>
      </w:pPr>
      <w:r>
        <w:rPr>
          <w:b/>
          <w:spacing w:val="20"/>
          <w:sz w:val="32"/>
          <w:szCs w:val="32"/>
        </w:rPr>
        <w:t>项目编号：</w:t>
      </w:r>
      <w:r>
        <w:rPr>
          <w:rFonts w:hint="eastAsia"/>
          <w:b/>
          <w:spacing w:val="20"/>
          <w:sz w:val="32"/>
          <w:szCs w:val="32"/>
        </w:rPr>
        <w:t>ZRGY-CCGP-26030104</w:t>
      </w:r>
    </w:p>
    <w:p w14:paraId="74785350">
      <w:pPr>
        <w:ind w:firstLine="542" w:firstLineChars="150"/>
        <w:rPr>
          <w:b/>
          <w:spacing w:val="20"/>
          <w:sz w:val="32"/>
          <w:szCs w:val="32"/>
        </w:rPr>
      </w:pPr>
    </w:p>
    <w:p w14:paraId="6D9EFC81">
      <w:pPr>
        <w:ind w:firstLine="542" w:firstLineChars="150"/>
        <w:rPr>
          <w:b/>
          <w:spacing w:val="20"/>
          <w:sz w:val="32"/>
          <w:szCs w:val="32"/>
        </w:rPr>
      </w:pPr>
    </w:p>
    <w:p w14:paraId="592C0418">
      <w:pPr>
        <w:jc w:val="center"/>
        <w:rPr>
          <w:b/>
          <w:sz w:val="32"/>
          <w:szCs w:val="32"/>
        </w:rPr>
      </w:pPr>
    </w:p>
    <w:p w14:paraId="07890473">
      <w:pPr>
        <w:jc w:val="center"/>
        <w:rPr>
          <w:b/>
          <w:sz w:val="32"/>
          <w:szCs w:val="32"/>
        </w:rPr>
      </w:pPr>
    </w:p>
    <w:p w14:paraId="0B90A828">
      <w:pPr>
        <w:jc w:val="center"/>
        <w:rPr>
          <w:b/>
          <w:sz w:val="32"/>
          <w:szCs w:val="32"/>
        </w:rPr>
      </w:pPr>
    </w:p>
    <w:p w14:paraId="72E32BA8">
      <w:pPr>
        <w:jc w:val="center"/>
        <w:rPr>
          <w:b/>
          <w:spacing w:val="20"/>
          <w:sz w:val="32"/>
          <w:szCs w:val="32"/>
        </w:rPr>
      </w:pPr>
    </w:p>
    <w:p w14:paraId="675099BB">
      <w:pPr>
        <w:jc w:val="center"/>
        <w:rPr>
          <w:b/>
          <w:spacing w:val="20"/>
          <w:sz w:val="32"/>
          <w:szCs w:val="32"/>
        </w:rPr>
      </w:pPr>
    </w:p>
    <w:p w14:paraId="1B22F76F">
      <w:pPr>
        <w:jc w:val="center"/>
        <w:rPr>
          <w:b/>
          <w:spacing w:val="20"/>
          <w:sz w:val="32"/>
          <w:szCs w:val="32"/>
        </w:rPr>
      </w:pPr>
    </w:p>
    <w:p w14:paraId="06F986C7">
      <w:pPr>
        <w:spacing w:line="360" w:lineRule="auto"/>
        <w:ind w:firstLine="1445" w:firstLineChars="400"/>
        <w:jc w:val="left"/>
        <w:rPr>
          <w:b/>
          <w:spacing w:val="20"/>
          <w:sz w:val="32"/>
          <w:szCs w:val="32"/>
        </w:rPr>
      </w:pPr>
      <w:r>
        <w:rPr>
          <w:b/>
          <w:spacing w:val="20"/>
          <w:sz w:val="32"/>
          <w:szCs w:val="32"/>
        </w:rPr>
        <w:t>供应商名称：</w:t>
      </w:r>
    </w:p>
    <w:p w14:paraId="4355FFE4">
      <w:pPr>
        <w:jc w:val="center"/>
        <w:rPr>
          <w:b/>
          <w:sz w:val="32"/>
          <w:szCs w:val="32"/>
        </w:rPr>
      </w:pPr>
    </w:p>
    <w:p w14:paraId="521E0975">
      <w:pPr>
        <w:outlineLvl w:val="1"/>
        <w:rPr>
          <w:sz w:val="24"/>
        </w:rPr>
      </w:pPr>
      <w:r>
        <w:rPr>
          <w:b/>
          <w:spacing w:val="20"/>
          <w:sz w:val="32"/>
          <w:szCs w:val="32"/>
        </w:rPr>
        <w:br w:type="page"/>
      </w:r>
      <w:r>
        <w:rPr>
          <w:sz w:val="24"/>
        </w:rPr>
        <w:t>1 满足《中华人民共和国政府采购法》第二十二条规定</w:t>
      </w:r>
    </w:p>
    <w:p w14:paraId="2FBBBFC9">
      <w:pPr>
        <w:spacing w:line="360" w:lineRule="auto"/>
        <w:outlineLvl w:val="2"/>
        <w:rPr>
          <w:color w:val="000000"/>
          <w:sz w:val="24"/>
        </w:rPr>
      </w:pPr>
      <w:r>
        <w:rPr>
          <w:color w:val="000000"/>
          <w:sz w:val="24"/>
        </w:rPr>
        <w:t>1-1 营业执照等证明文件</w:t>
      </w:r>
    </w:p>
    <w:p w14:paraId="618B713F">
      <w:pPr>
        <w:tabs>
          <w:tab w:val="left" w:pos="1080"/>
        </w:tabs>
        <w:snapToGrid w:val="0"/>
        <w:rPr>
          <w:sz w:val="24"/>
        </w:rPr>
      </w:pPr>
    </w:p>
    <w:p w14:paraId="42840C07">
      <w:pPr>
        <w:widowControl/>
        <w:jc w:val="left"/>
        <w:rPr>
          <w:bCs/>
          <w:color w:val="000000"/>
        </w:rPr>
      </w:pPr>
      <w:r>
        <w:rPr>
          <w:color w:val="000000"/>
          <w:sz w:val="24"/>
        </w:rPr>
        <w:br w:type="page"/>
      </w:r>
      <w:r>
        <w:rPr>
          <w:color w:val="000000"/>
        </w:rPr>
        <w:t>1-2 供应商资格声明书</w:t>
      </w:r>
    </w:p>
    <w:p w14:paraId="19291D2E">
      <w:pPr>
        <w:jc w:val="center"/>
        <w:rPr>
          <w:sz w:val="24"/>
        </w:rPr>
      </w:pPr>
      <w:r>
        <w:rPr>
          <w:b/>
          <w:color w:val="000000"/>
          <w:sz w:val="36"/>
          <w:szCs w:val="36"/>
        </w:rPr>
        <w:t>供应商资格声明书</w:t>
      </w:r>
    </w:p>
    <w:p w14:paraId="115D7441">
      <w:pPr>
        <w:tabs>
          <w:tab w:val="left" w:pos="5580"/>
        </w:tabs>
        <w:spacing w:line="360" w:lineRule="auto"/>
        <w:rPr>
          <w:sz w:val="24"/>
        </w:rPr>
      </w:pPr>
      <w:r>
        <w:rPr>
          <w:sz w:val="24"/>
        </w:rPr>
        <w:t>致：</w:t>
      </w:r>
      <w:r>
        <w:rPr>
          <w:rFonts w:hint="eastAsia"/>
          <w:sz w:val="24"/>
          <w:u w:val="single"/>
        </w:rPr>
        <w:t>中国音乐学院</w:t>
      </w:r>
    </w:p>
    <w:p w14:paraId="32644FB9">
      <w:pPr>
        <w:spacing w:line="360" w:lineRule="auto"/>
        <w:ind w:firstLine="480" w:firstLineChars="200"/>
        <w:rPr>
          <w:sz w:val="24"/>
        </w:rPr>
      </w:pPr>
      <w:r>
        <w:rPr>
          <w:sz w:val="24"/>
        </w:rPr>
        <w:t>在参与本次项目磋商中，我单位承诺：</w:t>
      </w:r>
    </w:p>
    <w:p w14:paraId="01AF6DEB">
      <w:pPr>
        <w:spacing w:line="360" w:lineRule="auto"/>
        <w:ind w:left="1134" w:hanging="720"/>
        <w:rPr>
          <w:sz w:val="24"/>
          <w:szCs w:val="22"/>
        </w:rPr>
      </w:pPr>
      <w:r>
        <w:rPr>
          <w:sz w:val="24"/>
          <w:szCs w:val="22"/>
        </w:rPr>
        <w:t>（一）具有良好的商业信誉和健全的财务会计制度；</w:t>
      </w:r>
    </w:p>
    <w:p w14:paraId="26449B7F">
      <w:pPr>
        <w:spacing w:line="360" w:lineRule="auto"/>
        <w:ind w:left="1134" w:hanging="720"/>
        <w:rPr>
          <w:sz w:val="24"/>
          <w:szCs w:val="22"/>
        </w:rPr>
      </w:pPr>
      <w:r>
        <w:rPr>
          <w:sz w:val="24"/>
          <w:szCs w:val="22"/>
        </w:rPr>
        <w:t>（二）具有履行合同所必需的设备和专业技术能力；</w:t>
      </w:r>
    </w:p>
    <w:p w14:paraId="10972064">
      <w:pPr>
        <w:spacing w:line="360" w:lineRule="auto"/>
        <w:ind w:left="1134" w:hanging="720"/>
        <w:rPr>
          <w:sz w:val="24"/>
          <w:szCs w:val="22"/>
        </w:rPr>
      </w:pPr>
      <w:r>
        <w:rPr>
          <w:sz w:val="24"/>
          <w:szCs w:val="22"/>
        </w:rPr>
        <w:t>（三）有依法缴纳税收和社会保障资金的良好记录；</w:t>
      </w:r>
    </w:p>
    <w:p w14:paraId="1B2965E8">
      <w:pPr>
        <w:spacing w:line="360" w:lineRule="auto"/>
        <w:ind w:left="1134" w:hanging="720"/>
        <w:rPr>
          <w:sz w:val="24"/>
          <w:szCs w:val="22"/>
        </w:rPr>
      </w:pPr>
      <w:r>
        <w:rPr>
          <w:sz w:val="24"/>
          <w:szCs w:val="22"/>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0B25706A">
      <w:pPr>
        <w:spacing w:line="360" w:lineRule="auto"/>
        <w:ind w:left="1134" w:hanging="720"/>
        <w:rPr>
          <w:sz w:val="24"/>
          <w:szCs w:val="22"/>
        </w:rPr>
      </w:pPr>
      <w:r>
        <w:rPr>
          <w:sz w:val="24"/>
          <w:szCs w:val="22"/>
        </w:rPr>
        <w:t>（五）我单位不属于政府采购法律、行政法规规定的公益一类事业单位、或使用事业编制且由财政拨款保障的群团组织（仅适用于政府购买服务项目）；</w:t>
      </w:r>
    </w:p>
    <w:p w14:paraId="293C4EFA">
      <w:pPr>
        <w:spacing w:line="360" w:lineRule="auto"/>
        <w:ind w:left="1134" w:hanging="720"/>
        <w:rPr>
          <w:sz w:val="24"/>
          <w:szCs w:val="22"/>
        </w:rPr>
      </w:pPr>
      <w:r>
        <w:rPr>
          <w:sz w:val="24"/>
          <w:szCs w:val="22"/>
        </w:rPr>
        <w:t>（六）我单位不存在为采购项目提供整体设计、规范编制或者项目管理、监理、检测等服务后，再参加该采购项目的其他采购活动的情形（单一来源采购项目除外）；</w:t>
      </w:r>
    </w:p>
    <w:p w14:paraId="1B1D7291">
      <w:pPr>
        <w:spacing w:line="360" w:lineRule="auto"/>
        <w:ind w:left="1134" w:hanging="720"/>
        <w:rPr>
          <w:sz w:val="24"/>
          <w:szCs w:val="22"/>
        </w:rPr>
      </w:pPr>
      <w:r>
        <w:rPr>
          <w:sz w:val="24"/>
          <w:szCs w:val="22"/>
        </w:rPr>
        <w:t>（七）与我单位存在“单位负责人为同一人或者存在直接控股、管理关系”的其他法人单位信息如下（如有，不论其是否参加同一合同项下的政府采购活动均须填写）：</w:t>
      </w:r>
    </w:p>
    <w:tbl>
      <w:tblPr>
        <w:tblStyle w:val="4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0"/>
        <w:gridCol w:w="4574"/>
        <w:gridCol w:w="2976"/>
      </w:tblGrid>
      <w:tr w14:paraId="4D1E4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7FF08586">
            <w:pPr>
              <w:jc w:val="center"/>
              <w:rPr>
                <w:sz w:val="24"/>
              </w:rPr>
            </w:pPr>
            <w:r>
              <w:rPr>
                <w:sz w:val="24"/>
              </w:rPr>
              <w:t>序号</w:t>
            </w:r>
          </w:p>
        </w:tc>
        <w:tc>
          <w:tcPr>
            <w:tcW w:w="4574" w:type="dxa"/>
            <w:vAlign w:val="center"/>
          </w:tcPr>
          <w:p w14:paraId="6B69F0AA">
            <w:pPr>
              <w:jc w:val="center"/>
              <w:rPr>
                <w:sz w:val="24"/>
              </w:rPr>
            </w:pPr>
            <w:r>
              <w:rPr>
                <w:sz w:val="24"/>
              </w:rPr>
              <w:t>单位名称</w:t>
            </w:r>
          </w:p>
        </w:tc>
        <w:tc>
          <w:tcPr>
            <w:tcW w:w="2976" w:type="dxa"/>
            <w:vAlign w:val="center"/>
          </w:tcPr>
          <w:p w14:paraId="054E44A3">
            <w:pPr>
              <w:jc w:val="center"/>
              <w:rPr>
                <w:sz w:val="24"/>
              </w:rPr>
            </w:pPr>
            <w:r>
              <w:rPr>
                <w:sz w:val="24"/>
              </w:rPr>
              <w:t>相互关系</w:t>
            </w:r>
          </w:p>
        </w:tc>
      </w:tr>
      <w:tr w14:paraId="7CBA5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52926E83">
            <w:pPr>
              <w:jc w:val="center"/>
              <w:rPr>
                <w:sz w:val="24"/>
              </w:rPr>
            </w:pPr>
            <w:r>
              <w:rPr>
                <w:sz w:val="24"/>
              </w:rPr>
              <w:t>1</w:t>
            </w:r>
          </w:p>
        </w:tc>
        <w:tc>
          <w:tcPr>
            <w:tcW w:w="4574" w:type="dxa"/>
            <w:vAlign w:val="center"/>
          </w:tcPr>
          <w:p w14:paraId="14EE904C">
            <w:pPr>
              <w:jc w:val="center"/>
              <w:rPr>
                <w:sz w:val="24"/>
              </w:rPr>
            </w:pPr>
          </w:p>
        </w:tc>
        <w:tc>
          <w:tcPr>
            <w:tcW w:w="2976" w:type="dxa"/>
            <w:vAlign w:val="center"/>
          </w:tcPr>
          <w:p w14:paraId="66182B43">
            <w:pPr>
              <w:jc w:val="center"/>
              <w:rPr>
                <w:sz w:val="24"/>
              </w:rPr>
            </w:pPr>
          </w:p>
        </w:tc>
      </w:tr>
      <w:tr w14:paraId="38136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2106665C">
            <w:pPr>
              <w:jc w:val="center"/>
              <w:rPr>
                <w:sz w:val="24"/>
              </w:rPr>
            </w:pPr>
            <w:r>
              <w:rPr>
                <w:sz w:val="24"/>
              </w:rPr>
              <w:t>2</w:t>
            </w:r>
          </w:p>
        </w:tc>
        <w:tc>
          <w:tcPr>
            <w:tcW w:w="4574" w:type="dxa"/>
            <w:vAlign w:val="center"/>
          </w:tcPr>
          <w:p w14:paraId="567F0ADC">
            <w:pPr>
              <w:jc w:val="center"/>
              <w:rPr>
                <w:sz w:val="24"/>
              </w:rPr>
            </w:pPr>
          </w:p>
        </w:tc>
        <w:tc>
          <w:tcPr>
            <w:tcW w:w="2976" w:type="dxa"/>
            <w:vAlign w:val="center"/>
          </w:tcPr>
          <w:p w14:paraId="26692C2B">
            <w:pPr>
              <w:jc w:val="center"/>
              <w:rPr>
                <w:sz w:val="24"/>
              </w:rPr>
            </w:pPr>
          </w:p>
        </w:tc>
      </w:tr>
      <w:tr w14:paraId="533F3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3FEDCC92">
            <w:pPr>
              <w:jc w:val="center"/>
              <w:rPr>
                <w:sz w:val="24"/>
              </w:rPr>
            </w:pPr>
            <w:r>
              <w:rPr>
                <w:sz w:val="24"/>
              </w:rPr>
              <w:t>…</w:t>
            </w:r>
          </w:p>
        </w:tc>
        <w:tc>
          <w:tcPr>
            <w:tcW w:w="4574" w:type="dxa"/>
            <w:vAlign w:val="center"/>
          </w:tcPr>
          <w:p w14:paraId="488FB2D6">
            <w:pPr>
              <w:jc w:val="center"/>
              <w:rPr>
                <w:sz w:val="24"/>
              </w:rPr>
            </w:pPr>
          </w:p>
        </w:tc>
        <w:tc>
          <w:tcPr>
            <w:tcW w:w="2976" w:type="dxa"/>
            <w:vAlign w:val="center"/>
          </w:tcPr>
          <w:p w14:paraId="6C72876B">
            <w:pPr>
              <w:jc w:val="center"/>
              <w:rPr>
                <w:sz w:val="24"/>
              </w:rPr>
            </w:pPr>
          </w:p>
        </w:tc>
      </w:tr>
    </w:tbl>
    <w:p w14:paraId="216CCEB3"/>
    <w:p w14:paraId="536864C5">
      <w:pPr>
        <w:ind w:firstLine="480" w:firstLineChars="200"/>
        <w:rPr>
          <w:sz w:val="24"/>
          <w:szCs w:val="22"/>
        </w:rPr>
      </w:pPr>
      <w:r>
        <w:rPr>
          <w:sz w:val="24"/>
        </w:rPr>
        <w:t>上述声明真实有效，否则我方负全部责任。</w:t>
      </w:r>
    </w:p>
    <w:p w14:paraId="7147FEE1">
      <w:pPr>
        <w:spacing w:line="360" w:lineRule="auto"/>
        <w:rPr>
          <w:sz w:val="24"/>
        </w:rPr>
      </w:pPr>
    </w:p>
    <w:p w14:paraId="1868D1E0">
      <w:pPr>
        <w:autoSpaceDE w:val="0"/>
        <w:autoSpaceDN w:val="0"/>
        <w:adjustRightInd w:val="0"/>
        <w:snapToGrid w:val="0"/>
        <w:spacing w:before="25" w:after="25" w:line="360" w:lineRule="auto"/>
        <w:ind w:right="360"/>
        <w:jc w:val="right"/>
        <w:rPr>
          <w:color w:val="000000"/>
          <w:sz w:val="24"/>
          <w:lang w:val="zh-CN"/>
        </w:rPr>
      </w:pPr>
      <w:r>
        <w:rPr>
          <w:color w:val="000000"/>
          <w:sz w:val="24"/>
        </w:rPr>
        <w:t>供应商名称（加盖公章）</w:t>
      </w:r>
      <w:r>
        <w:rPr>
          <w:color w:val="000000"/>
          <w:sz w:val="24"/>
          <w:lang w:val="zh-CN"/>
        </w:rPr>
        <w:t>：</w:t>
      </w:r>
      <w:r>
        <w:rPr>
          <w:sz w:val="24"/>
        </w:rPr>
        <w:t>______</w:t>
      </w:r>
    </w:p>
    <w:p w14:paraId="6759DF0B">
      <w:pPr>
        <w:spacing w:line="360" w:lineRule="auto"/>
        <w:ind w:right="360" w:firstLine="480"/>
        <w:jc w:val="right"/>
        <w:rPr>
          <w:sz w:val="24"/>
        </w:rPr>
      </w:pPr>
      <w:r>
        <w:rPr>
          <w:color w:val="000000"/>
          <w:sz w:val="24"/>
          <w:szCs w:val="20"/>
        </w:rPr>
        <w:t xml:space="preserve">日期：____年____月____日 </w:t>
      </w:r>
    </w:p>
    <w:p w14:paraId="53B5B810">
      <w:pPr>
        <w:spacing w:line="360" w:lineRule="auto"/>
        <w:rPr>
          <w:sz w:val="24"/>
        </w:rPr>
      </w:pPr>
      <w:r>
        <w:rPr>
          <w:sz w:val="24"/>
        </w:rPr>
        <w:t>说明：供应商承诺不实的，依据《政府采购法》第七十七条“提供虚假材料谋取中标、成交的”有关规定予以处理。</w:t>
      </w:r>
    </w:p>
    <w:p w14:paraId="00215863">
      <w:pPr>
        <w:tabs>
          <w:tab w:val="left" w:pos="5580"/>
        </w:tabs>
        <w:spacing w:line="360" w:lineRule="auto"/>
        <w:rPr>
          <w:sz w:val="24"/>
        </w:rPr>
        <w:sectPr>
          <w:headerReference r:id="rId17" w:type="first"/>
          <w:footerReference r:id="rId20" w:type="first"/>
          <w:headerReference r:id="rId15" w:type="default"/>
          <w:footerReference r:id="rId18" w:type="default"/>
          <w:headerReference r:id="rId16" w:type="even"/>
          <w:footerReference r:id="rId19" w:type="even"/>
          <w:pgSz w:w="11907" w:h="16840"/>
          <w:pgMar w:top="1440" w:right="1800" w:bottom="1440" w:left="1800" w:header="851" w:footer="851" w:gutter="0"/>
          <w:cols w:space="720" w:num="1"/>
          <w:docGrid w:linePitch="462" w:charSpace="0"/>
        </w:sectPr>
      </w:pPr>
    </w:p>
    <w:p w14:paraId="41F53C3B">
      <w:pPr>
        <w:tabs>
          <w:tab w:val="left" w:pos="360"/>
        </w:tabs>
        <w:snapToGrid w:val="0"/>
        <w:spacing w:line="360" w:lineRule="auto"/>
        <w:outlineLvl w:val="1"/>
        <w:rPr>
          <w:sz w:val="24"/>
        </w:rPr>
      </w:pPr>
      <w:r>
        <w:rPr>
          <w:sz w:val="24"/>
        </w:rPr>
        <w:t>2 落实政府采购政策需满足的资格要求（如有）</w:t>
      </w:r>
    </w:p>
    <w:p w14:paraId="47F6FBFD">
      <w:pPr>
        <w:spacing w:line="360" w:lineRule="auto"/>
        <w:outlineLvl w:val="2"/>
        <w:rPr>
          <w:color w:val="000000"/>
          <w:sz w:val="24"/>
          <w:szCs w:val="20"/>
        </w:rPr>
      </w:pPr>
      <w:r>
        <w:rPr>
          <w:color w:val="000000"/>
          <w:sz w:val="24"/>
          <w:szCs w:val="20"/>
        </w:rPr>
        <w:t>2-1 中小企业</w:t>
      </w:r>
      <w:r>
        <w:rPr>
          <w:rFonts w:hint="eastAsia"/>
          <w:color w:val="000000"/>
          <w:sz w:val="24"/>
          <w:szCs w:val="20"/>
        </w:rPr>
        <w:t>政策</w:t>
      </w:r>
      <w:r>
        <w:rPr>
          <w:color w:val="000000"/>
          <w:sz w:val="24"/>
          <w:szCs w:val="20"/>
        </w:rPr>
        <w:t>证明文件</w:t>
      </w:r>
    </w:p>
    <w:p w14:paraId="12837994">
      <w:pPr>
        <w:tabs>
          <w:tab w:val="left" w:pos="5580"/>
        </w:tabs>
        <w:spacing w:line="360" w:lineRule="auto"/>
        <w:rPr>
          <w:sz w:val="24"/>
        </w:rPr>
      </w:pPr>
      <w:r>
        <w:rPr>
          <w:sz w:val="24"/>
        </w:rPr>
        <w:t>说明：</w:t>
      </w:r>
    </w:p>
    <w:p w14:paraId="0D82DC7D">
      <w:pPr>
        <w:tabs>
          <w:tab w:val="left" w:pos="5580"/>
        </w:tabs>
        <w:spacing w:line="360" w:lineRule="auto"/>
        <w:rPr>
          <w:sz w:val="24"/>
        </w:rPr>
      </w:pPr>
      <w:r>
        <w:rPr>
          <w:sz w:val="24"/>
        </w:rPr>
        <w:t>（1）如本项目（包）不专门面向中小企业预留采购份额，供应商无须提供《中小企业声明函》或《残疾人福利性单位声明函》或由省级以上监狱管理局、戒毒管理局（含新疆生产建设兵团）出具的属于监狱企业的证明文件；当供应商拟享受中小企业扶持政策时，仍应提供上述证明文件，</w:t>
      </w:r>
      <w:r>
        <w:rPr>
          <w:color w:val="000000"/>
          <w:sz w:val="24"/>
        </w:rPr>
        <w:t>否则不享受相关中小企业扶持政策</w:t>
      </w:r>
      <w:r>
        <w:rPr>
          <w:sz w:val="24"/>
        </w:rPr>
        <w:t>。</w:t>
      </w:r>
    </w:p>
    <w:p w14:paraId="770979D1">
      <w:pPr>
        <w:tabs>
          <w:tab w:val="left" w:pos="5580"/>
        </w:tabs>
        <w:spacing w:line="360" w:lineRule="auto"/>
        <w:rPr>
          <w:sz w:val="24"/>
        </w:rPr>
      </w:pPr>
      <w:r>
        <w:rPr>
          <w:sz w:val="24"/>
        </w:rPr>
        <w:t>（2）如本项目（包）专门面向中小企业采购，响应文件中须提供《中小企业声明函》或《残疾人福利性单位声明函》，或提供由省级以上监狱管理局、戒毒管理局（含新疆生产建设兵团）出具的属于监狱企业的证明文件。</w:t>
      </w:r>
    </w:p>
    <w:p w14:paraId="5689D9B7">
      <w:pPr>
        <w:tabs>
          <w:tab w:val="left" w:pos="5580"/>
        </w:tabs>
        <w:spacing w:line="360" w:lineRule="auto"/>
        <w:rPr>
          <w:sz w:val="24"/>
        </w:rPr>
      </w:pPr>
      <w:r>
        <w:rPr>
          <w:sz w:val="24"/>
        </w:rPr>
        <w:t>（3）如本项目（包）预留部分采购项目预算专门面向中小企业采购，且要求获得采购合同的供应商将采购项目中的一定比例分包给一家或者多家中小企业或要求供应商以联合体形式参加采购活动，响应文件中须提供《中小企业声明函》或《残疾人福利性单位声明函》或由省级以上监狱管理局、戒毒管理局（含新疆生产建设兵团）出具的属于监狱企业的证明文件。</w:t>
      </w:r>
    </w:p>
    <w:p w14:paraId="6F9C5111">
      <w:pPr>
        <w:tabs>
          <w:tab w:val="left" w:pos="5580"/>
        </w:tabs>
        <w:spacing w:line="360" w:lineRule="auto"/>
        <w:rPr>
          <w:sz w:val="24"/>
        </w:rPr>
      </w:pPr>
      <w:r>
        <w:rPr>
          <w:sz w:val="24"/>
        </w:rPr>
        <w:t>（4）中小企业声明函填写注意事项</w:t>
      </w:r>
    </w:p>
    <w:p w14:paraId="1C5A3BF2">
      <w:pPr>
        <w:tabs>
          <w:tab w:val="left" w:pos="5580"/>
        </w:tabs>
        <w:spacing w:line="360" w:lineRule="auto"/>
        <w:rPr>
          <w:sz w:val="24"/>
        </w:rPr>
      </w:pPr>
      <w:r>
        <w:rPr>
          <w:sz w:val="24"/>
        </w:rPr>
        <w:t>1）《中小企业声明函》由参加政府采购活动的供应商出具。联合体参与的，《中小企业声明函》可由牵头人出具。</w:t>
      </w:r>
    </w:p>
    <w:p w14:paraId="200A8C0F">
      <w:pPr>
        <w:tabs>
          <w:tab w:val="left" w:pos="5580"/>
        </w:tabs>
        <w:spacing w:line="360" w:lineRule="auto"/>
        <w:rPr>
          <w:sz w:val="24"/>
        </w:rPr>
      </w:pPr>
      <w:r>
        <w:rPr>
          <w:sz w:val="24"/>
        </w:rPr>
        <w:t>2）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02FDA460">
      <w:pPr>
        <w:tabs>
          <w:tab w:val="left" w:pos="5580"/>
        </w:tabs>
        <w:spacing w:line="360" w:lineRule="auto"/>
        <w:rPr>
          <w:sz w:val="24"/>
        </w:rPr>
      </w:pPr>
      <w:r>
        <w:rPr>
          <w:sz w:val="24"/>
        </w:rPr>
        <w:t>3）对于多标的采购项目，供应商应充分、准确地了解所提供货物的制造企业、提供服务的承接企业信息。对相关情况了解不清楚的，不建议填报本声明函。</w:t>
      </w:r>
    </w:p>
    <w:p w14:paraId="78E3E0FC">
      <w:pPr>
        <w:tabs>
          <w:tab w:val="left" w:pos="5580"/>
        </w:tabs>
        <w:spacing w:line="360" w:lineRule="auto"/>
        <w:rPr>
          <w:sz w:val="24"/>
        </w:rPr>
      </w:pPr>
      <w:r>
        <w:rPr>
          <w:sz w:val="24"/>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资料表》，如在该程序中未找到本项目文件规定的中小企业划分标准所属行业，则按照《关于印发中小企业划型标准规定的通知（工信部联企业﹝2011﹞300号）》及</w:t>
      </w:r>
      <w:r>
        <w:rPr>
          <w:rFonts w:hint="eastAsia"/>
          <w:sz w:val="24"/>
        </w:rPr>
        <w:t>《金融业企业划型标准规定》（〔</w:t>
      </w:r>
      <w:r>
        <w:rPr>
          <w:sz w:val="24"/>
        </w:rPr>
        <w:t>2015</w:t>
      </w:r>
      <w:r>
        <w:rPr>
          <w:rFonts w:hint="eastAsia"/>
          <w:sz w:val="24"/>
        </w:rPr>
        <w:t>〕</w:t>
      </w:r>
      <w:r>
        <w:rPr>
          <w:sz w:val="24"/>
        </w:rPr>
        <w:t xml:space="preserve">309 </w:t>
      </w:r>
      <w:r>
        <w:rPr>
          <w:rFonts w:hint="eastAsia"/>
          <w:sz w:val="24"/>
        </w:rPr>
        <w:t>号）等国务院批准的中小企业划分标准执行</w:t>
      </w:r>
      <w:r>
        <w:rPr>
          <w:sz w:val="24"/>
        </w:rPr>
        <w:t>。</w:t>
      </w:r>
    </w:p>
    <w:p w14:paraId="40E717B3">
      <w:pPr>
        <w:rPr>
          <w:sz w:val="24"/>
        </w:rPr>
      </w:pPr>
      <w:r>
        <w:rPr>
          <w:sz w:val="24"/>
        </w:rPr>
        <w:br w:type="page"/>
      </w:r>
    </w:p>
    <w:p w14:paraId="0C2C9BBE">
      <w:pPr>
        <w:pStyle w:val="6"/>
        <w:rPr>
          <w:rFonts w:ascii="Times New Roman" w:hAnsi="Times New Roman" w:eastAsia="宋体"/>
          <w:sz w:val="24"/>
          <w:szCs w:val="24"/>
        </w:rPr>
      </w:pPr>
      <w:r>
        <w:rPr>
          <w:rFonts w:ascii="Times New Roman" w:hAnsi="Times New Roman" w:eastAsia="宋体"/>
          <w:sz w:val="24"/>
          <w:szCs w:val="24"/>
        </w:rPr>
        <w:t>2-1-1 中小企业</w:t>
      </w:r>
      <w:r>
        <w:rPr>
          <w:rFonts w:hint="eastAsia" w:ascii="Times New Roman" w:hAnsi="Times New Roman" w:eastAsia="宋体"/>
          <w:sz w:val="24"/>
          <w:szCs w:val="24"/>
        </w:rPr>
        <w:t>证明文件</w:t>
      </w:r>
    </w:p>
    <w:p w14:paraId="6CD760F1">
      <w:pPr>
        <w:spacing w:before="240" w:beforeLines="100" w:after="240" w:afterLines="100" w:line="360" w:lineRule="auto"/>
        <w:jc w:val="center"/>
        <w:rPr>
          <w:b/>
          <w:bCs/>
          <w:color w:val="000000"/>
          <w:sz w:val="36"/>
          <w:szCs w:val="36"/>
        </w:rPr>
      </w:pPr>
      <w:r>
        <w:rPr>
          <w:b/>
          <w:bCs/>
          <w:color w:val="000000"/>
          <w:sz w:val="36"/>
          <w:szCs w:val="36"/>
        </w:rPr>
        <w:t>中小企业声明函（工程、服务）格式</w:t>
      </w:r>
    </w:p>
    <w:p w14:paraId="4EC249A0">
      <w:pPr>
        <w:wordWrap w:val="0"/>
        <w:topLinePunct/>
        <w:spacing w:line="360" w:lineRule="auto"/>
        <w:ind w:firstLine="504"/>
        <w:rPr>
          <w:spacing w:val="6"/>
          <w:sz w:val="24"/>
        </w:rPr>
      </w:pPr>
      <w:r>
        <w:rPr>
          <w:spacing w:val="6"/>
          <w:sz w:val="24"/>
        </w:rPr>
        <w:t>本公司（联合体）郑重声明，根据《政府采购促进中小企业发展管理办法》（财库﹝2020﹞46 号）的规定，本公司（联合体）参加</w:t>
      </w:r>
      <w:r>
        <w:rPr>
          <w:spacing w:val="6"/>
          <w:sz w:val="24"/>
          <w:u w:val="single"/>
        </w:rPr>
        <w:t>中国音乐学院</w:t>
      </w:r>
      <w:r>
        <w:rPr>
          <w:spacing w:val="6"/>
          <w:sz w:val="24"/>
        </w:rPr>
        <w:t>的</w:t>
      </w:r>
      <w:r>
        <w:rPr>
          <w:rFonts w:hint="eastAsia"/>
          <w:spacing w:val="6"/>
          <w:sz w:val="24"/>
          <w:u w:val="single"/>
        </w:rPr>
        <w:t>改善办学保障条件</w:t>
      </w:r>
      <w:r>
        <w:rPr>
          <w:spacing w:val="6"/>
          <w:sz w:val="24"/>
          <w:u w:val="single"/>
        </w:rPr>
        <w:t>-</w:t>
      </w:r>
      <w:r>
        <w:rPr>
          <w:rFonts w:hint="eastAsia"/>
          <w:spacing w:val="6"/>
          <w:sz w:val="24"/>
          <w:u w:val="single"/>
        </w:rPr>
        <w:t>基础设施改造</w:t>
      </w:r>
      <w:r>
        <w:rPr>
          <w:spacing w:val="6"/>
          <w:sz w:val="24"/>
          <w:u w:val="single"/>
        </w:rPr>
        <w:t>-</w:t>
      </w:r>
      <w:r>
        <w:rPr>
          <w:rFonts w:hint="eastAsia"/>
          <w:spacing w:val="6"/>
          <w:sz w:val="24"/>
          <w:u w:val="single"/>
        </w:rPr>
        <w:t>新校区雨污水、暖气管线及相关工程改造项目</w:t>
      </w:r>
      <w:r>
        <w:rPr>
          <w:spacing w:val="6"/>
          <w:sz w:val="24"/>
        </w:rPr>
        <w:t>采购活动，工程的施工单位全部为符合政策要求的中小企业（或者：服务全部由符合政策要求的中小企业承接）。相关企业（含联合体中的中小企业、签订分包意向协议的中小企业）的具体情况如下：</w:t>
      </w:r>
    </w:p>
    <w:p w14:paraId="2E84DDDA">
      <w:pPr>
        <w:wordWrap w:val="0"/>
        <w:topLinePunct/>
        <w:spacing w:line="360" w:lineRule="auto"/>
        <w:ind w:firstLine="504"/>
        <w:rPr>
          <w:spacing w:val="6"/>
          <w:sz w:val="24"/>
        </w:rPr>
      </w:pPr>
      <w:r>
        <w:rPr>
          <w:spacing w:val="6"/>
          <w:sz w:val="24"/>
        </w:rPr>
        <w:t>1.</w:t>
      </w:r>
      <w:r>
        <w:rPr>
          <w:rFonts w:hint="eastAsia"/>
          <w:spacing w:val="6"/>
          <w:sz w:val="24"/>
          <w:u w:val="single"/>
        </w:rPr>
        <w:t>改善办学保障条件</w:t>
      </w:r>
      <w:r>
        <w:rPr>
          <w:spacing w:val="6"/>
          <w:sz w:val="24"/>
          <w:u w:val="single"/>
        </w:rPr>
        <w:t>-</w:t>
      </w:r>
      <w:r>
        <w:rPr>
          <w:rFonts w:hint="eastAsia"/>
          <w:spacing w:val="6"/>
          <w:sz w:val="24"/>
          <w:u w:val="single"/>
        </w:rPr>
        <w:t>基础设施改造</w:t>
      </w:r>
      <w:r>
        <w:rPr>
          <w:spacing w:val="6"/>
          <w:sz w:val="24"/>
          <w:u w:val="single"/>
        </w:rPr>
        <w:t>-</w:t>
      </w:r>
      <w:r>
        <w:rPr>
          <w:rFonts w:hint="eastAsia"/>
          <w:spacing w:val="6"/>
          <w:sz w:val="24"/>
          <w:u w:val="single"/>
        </w:rPr>
        <w:t>新校区雨污水、暖气管线及相关工程改造项目</w:t>
      </w:r>
      <w:r>
        <w:rPr>
          <w:spacing w:val="6"/>
          <w:sz w:val="24"/>
        </w:rPr>
        <w:t>，属于</w:t>
      </w:r>
      <w:r>
        <w:rPr>
          <w:rFonts w:hint="eastAsia"/>
          <w:spacing w:val="6"/>
          <w:sz w:val="24"/>
          <w:u w:val="single"/>
        </w:rPr>
        <w:t xml:space="preserve"> 建筑业 </w:t>
      </w:r>
      <w:r>
        <w:rPr>
          <w:spacing w:val="6"/>
          <w:sz w:val="24"/>
        </w:rPr>
        <w:t>行业；承建（承接）企业为</w:t>
      </w:r>
      <w:r>
        <w:rPr>
          <w:spacing w:val="6"/>
          <w:sz w:val="24"/>
          <w:u w:val="single"/>
        </w:rPr>
        <w:t>（企业名称）</w:t>
      </w:r>
      <w:r>
        <w:rPr>
          <w:spacing w:val="6"/>
          <w:sz w:val="24"/>
        </w:rPr>
        <w:t>，从业人员</w:t>
      </w:r>
      <w:r>
        <w:rPr>
          <w:sz w:val="24"/>
        </w:rPr>
        <w:t>______</w:t>
      </w:r>
      <w:r>
        <w:rPr>
          <w:spacing w:val="6"/>
          <w:sz w:val="24"/>
        </w:rPr>
        <w:t>人，营业收入为</w:t>
      </w:r>
      <w:r>
        <w:rPr>
          <w:sz w:val="24"/>
        </w:rPr>
        <w:t>______</w:t>
      </w:r>
      <w:r>
        <w:rPr>
          <w:spacing w:val="6"/>
          <w:sz w:val="24"/>
        </w:rPr>
        <w:t>万元，资产总额为</w:t>
      </w:r>
      <w:r>
        <w:rPr>
          <w:sz w:val="24"/>
        </w:rPr>
        <w:t>______</w:t>
      </w:r>
      <w:r>
        <w:rPr>
          <w:spacing w:val="6"/>
          <w:sz w:val="24"/>
        </w:rPr>
        <w:t>万元</w:t>
      </w:r>
      <w:r>
        <w:rPr>
          <w:spacing w:val="6"/>
          <w:sz w:val="24"/>
          <w:vertAlign w:val="superscript"/>
        </w:rPr>
        <w:t>1</w:t>
      </w:r>
      <w:r>
        <w:rPr>
          <w:spacing w:val="6"/>
          <w:sz w:val="24"/>
        </w:rPr>
        <w:t>，属于（</w:t>
      </w:r>
      <w:r>
        <w:rPr>
          <w:spacing w:val="6"/>
          <w:sz w:val="24"/>
          <w:u w:val="single"/>
        </w:rPr>
        <w:t>中型企业、小型企业、微型企业</w:t>
      </w:r>
      <w:r>
        <w:rPr>
          <w:spacing w:val="6"/>
          <w:sz w:val="24"/>
        </w:rPr>
        <w:t>）；</w:t>
      </w:r>
    </w:p>
    <w:p w14:paraId="7A88A2EE">
      <w:pPr>
        <w:wordWrap w:val="0"/>
        <w:topLinePunct/>
        <w:spacing w:line="360" w:lineRule="auto"/>
        <w:ind w:firstLine="504"/>
        <w:rPr>
          <w:spacing w:val="6"/>
          <w:sz w:val="24"/>
        </w:rPr>
      </w:pPr>
      <w:r>
        <w:rPr>
          <w:spacing w:val="6"/>
          <w:sz w:val="24"/>
        </w:rPr>
        <w:t>……</w:t>
      </w:r>
    </w:p>
    <w:p w14:paraId="036278B7">
      <w:pPr>
        <w:wordWrap w:val="0"/>
        <w:topLinePunct/>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14:paraId="009EA108">
      <w:pPr>
        <w:wordWrap w:val="0"/>
        <w:topLinePunct/>
        <w:spacing w:line="360" w:lineRule="auto"/>
        <w:ind w:firstLine="504"/>
        <w:rPr>
          <w:spacing w:val="6"/>
          <w:sz w:val="24"/>
        </w:rPr>
      </w:pPr>
      <w:r>
        <w:rPr>
          <w:spacing w:val="6"/>
          <w:sz w:val="24"/>
        </w:rPr>
        <w:t>本企业对上述声明内容的真实性负责。如有虚假，将依法承担相应责任。</w:t>
      </w:r>
    </w:p>
    <w:p w14:paraId="6CD27433">
      <w:pPr>
        <w:wordWrap w:val="0"/>
        <w:topLinePunct/>
        <w:spacing w:line="360" w:lineRule="auto"/>
        <w:ind w:right="360" w:firstLine="480"/>
        <w:jc w:val="right"/>
        <w:rPr>
          <w:color w:val="000000"/>
          <w:sz w:val="24"/>
        </w:rPr>
      </w:pPr>
    </w:p>
    <w:p w14:paraId="70B28F5C">
      <w:pPr>
        <w:wordWrap w:val="0"/>
        <w:topLinePunct/>
        <w:spacing w:line="360" w:lineRule="auto"/>
        <w:ind w:right="360" w:firstLine="480"/>
        <w:jc w:val="right"/>
        <w:rPr>
          <w:color w:val="000000"/>
          <w:sz w:val="24"/>
        </w:rPr>
      </w:pPr>
      <w:r>
        <w:rPr>
          <w:color w:val="000000"/>
          <w:sz w:val="24"/>
        </w:rPr>
        <w:t>企业名称（盖章）：</w:t>
      </w:r>
      <w:r>
        <w:rPr>
          <w:sz w:val="24"/>
        </w:rPr>
        <w:t>______</w:t>
      </w:r>
    </w:p>
    <w:p w14:paraId="0D762937">
      <w:pPr>
        <w:wordWrap w:val="0"/>
        <w:topLinePunct/>
        <w:spacing w:line="360" w:lineRule="auto"/>
        <w:ind w:right="360" w:firstLine="480"/>
        <w:jc w:val="right"/>
        <w:rPr>
          <w:color w:val="000000"/>
          <w:sz w:val="24"/>
        </w:rPr>
      </w:pPr>
      <w:r>
        <w:rPr>
          <w:color w:val="000000"/>
          <w:sz w:val="24"/>
        </w:rPr>
        <w:t>日 期：</w:t>
      </w:r>
      <w:r>
        <w:rPr>
          <w:sz w:val="24"/>
        </w:rPr>
        <w:t>______</w:t>
      </w:r>
    </w:p>
    <w:p w14:paraId="44DA7DF9">
      <w:pPr>
        <w:wordWrap w:val="0"/>
        <w:topLinePunct/>
        <w:adjustRightInd w:val="0"/>
        <w:snapToGrid w:val="0"/>
        <w:jc w:val="left"/>
        <w:rPr>
          <w:color w:val="000000"/>
          <w:sz w:val="24"/>
          <w:szCs w:val="21"/>
        </w:rPr>
      </w:pPr>
    </w:p>
    <w:p w14:paraId="13297CCC">
      <w:pPr>
        <w:wordWrap w:val="0"/>
        <w:topLinePunct/>
        <w:adjustRightInd w:val="0"/>
        <w:snapToGrid w:val="0"/>
        <w:jc w:val="left"/>
        <w:rPr>
          <w:color w:val="000000"/>
          <w:sz w:val="24"/>
          <w:szCs w:val="21"/>
        </w:rPr>
      </w:pPr>
    </w:p>
    <w:tbl>
      <w:tblPr>
        <w:tblStyle w:val="43"/>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946"/>
      </w:tblGrid>
      <w:tr w14:paraId="55F345BC">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tcPr>
          <w:p w14:paraId="1D22E9A9">
            <w:pPr>
              <w:wordWrap w:val="0"/>
              <w:topLinePunct/>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3E6E534B">
      <w:pPr>
        <w:wordWrap w:val="0"/>
        <w:topLinePunct/>
        <w:spacing w:line="360" w:lineRule="auto"/>
        <w:ind w:right="360"/>
        <w:rPr>
          <w:color w:val="000000"/>
          <w:sz w:val="24"/>
        </w:rPr>
      </w:pPr>
    </w:p>
    <w:p w14:paraId="1C72831F">
      <w:pPr>
        <w:spacing w:line="360" w:lineRule="auto"/>
        <w:ind w:right="360" w:firstLine="480"/>
        <w:jc w:val="center"/>
        <w:rPr>
          <w:color w:val="000000"/>
          <w:sz w:val="24"/>
          <w:szCs w:val="20"/>
        </w:rPr>
      </w:pPr>
      <w:r>
        <w:rPr>
          <w:color w:val="000000"/>
          <w:sz w:val="24"/>
          <w:szCs w:val="20"/>
        </w:rPr>
        <w:br w:type="page"/>
      </w:r>
    </w:p>
    <w:p w14:paraId="154C35AC">
      <w:pPr>
        <w:spacing w:before="240" w:beforeLines="100" w:after="240" w:afterLines="100" w:line="360" w:lineRule="auto"/>
        <w:jc w:val="center"/>
        <w:rPr>
          <w:b/>
          <w:color w:val="000000"/>
          <w:sz w:val="36"/>
          <w:szCs w:val="36"/>
        </w:rPr>
      </w:pPr>
      <w:r>
        <w:rPr>
          <w:b/>
          <w:bCs/>
          <w:color w:val="000000"/>
          <w:sz w:val="36"/>
          <w:szCs w:val="36"/>
        </w:rPr>
        <w:t>残疾人福利性单位声明函格式</w:t>
      </w:r>
    </w:p>
    <w:p w14:paraId="672B44A7">
      <w:pPr>
        <w:spacing w:line="588" w:lineRule="exact"/>
        <w:ind w:firstLine="504"/>
        <w:rPr>
          <w:spacing w:val="6"/>
          <w:sz w:val="24"/>
        </w:rPr>
      </w:pPr>
      <w:r>
        <w:rPr>
          <w:spacing w:val="6"/>
          <w:sz w:val="24"/>
        </w:rPr>
        <w:t>本单位郑重声明，根据《财政部 民政部 中国残疾人联合会关于促进残疾人就业政府采购政策的通知》（财库</w:t>
      </w:r>
      <w:r>
        <w:rPr>
          <w:sz w:val="24"/>
        </w:rPr>
        <w:t>〔2017〕 141</w:t>
      </w:r>
      <w:r>
        <w:rPr>
          <w:spacing w:val="6"/>
          <w:sz w:val="24"/>
        </w:rPr>
        <w:t>号）的规定，本单位</w:t>
      </w:r>
      <w:r>
        <w:rPr>
          <w:b/>
          <w:sz w:val="24"/>
        </w:rPr>
        <w:t>（请进行选择）</w:t>
      </w:r>
      <w:r>
        <w:rPr>
          <w:spacing w:val="6"/>
          <w:sz w:val="24"/>
        </w:rPr>
        <w:t>：</w:t>
      </w:r>
    </w:p>
    <w:p w14:paraId="5063DBD1">
      <w:pPr>
        <w:spacing w:line="588" w:lineRule="exact"/>
        <w:ind w:firstLine="482"/>
        <w:rPr>
          <w:b/>
          <w:spacing w:val="6"/>
          <w:sz w:val="24"/>
        </w:rPr>
      </w:pPr>
      <w:r>
        <w:rPr>
          <w:rFonts w:hint="eastAsia"/>
          <w:b/>
          <w:sz w:val="24"/>
        </w:rPr>
        <w:t>□</w:t>
      </w:r>
      <w:r>
        <w:rPr>
          <w:b/>
          <w:spacing w:val="6"/>
          <w:sz w:val="24"/>
        </w:rPr>
        <w:t>不属于符合条件的残疾人福利性单位。</w:t>
      </w:r>
    </w:p>
    <w:p w14:paraId="19125851">
      <w:pPr>
        <w:spacing w:line="588" w:lineRule="exact"/>
        <w:ind w:firstLine="482"/>
        <w:rPr>
          <w:spacing w:val="6"/>
          <w:sz w:val="24"/>
        </w:rPr>
      </w:pPr>
      <w:r>
        <w:rPr>
          <w:rFonts w:hint="eastAsia"/>
          <w:b/>
          <w:sz w:val="24"/>
        </w:rPr>
        <w:t>□</w:t>
      </w:r>
      <w:r>
        <w:rPr>
          <w:b/>
          <w:spacing w:val="6"/>
          <w:sz w:val="24"/>
        </w:rPr>
        <w:t>属于符合条件的残疾人福利性单位，</w:t>
      </w:r>
      <w:r>
        <w:rPr>
          <w:spacing w:val="6"/>
          <w:sz w:val="24"/>
        </w:rPr>
        <w:t>且本单位参加</w:t>
      </w:r>
      <w:r>
        <w:rPr>
          <w:sz w:val="24"/>
        </w:rPr>
        <w:t>______</w:t>
      </w:r>
      <w:r>
        <w:rPr>
          <w:spacing w:val="6"/>
          <w:sz w:val="24"/>
        </w:rPr>
        <w:t>单位的</w:t>
      </w:r>
      <w:r>
        <w:rPr>
          <w:sz w:val="24"/>
        </w:rPr>
        <w:t>______</w:t>
      </w:r>
      <w:r>
        <w:rPr>
          <w:spacing w:val="6"/>
          <w:sz w:val="24"/>
        </w:rPr>
        <w:t>项目采购活动提供本单位制造的货物（由本单位承担工程/提供服务），或者提供其他残疾人福利性单位制造的货物（不包括使用非残疾人福利性单位注册商标的货物）。</w:t>
      </w:r>
    </w:p>
    <w:p w14:paraId="1AEC1682">
      <w:pPr>
        <w:spacing w:line="588" w:lineRule="exact"/>
        <w:ind w:firstLine="506" w:firstLineChars="200"/>
        <w:rPr>
          <w:spacing w:val="6"/>
          <w:sz w:val="24"/>
        </w:rPr>
      </w:pPr>
      <w:r>
        <w:rPr>
          <w:b/>
          <w:spacing w:val="6"/>
          <w:sz w:val="24"/>
        </w:rPr>
        <w:t>本单位对上述声明的真实性负责。如有虚假，将依法承担相应责任。</w:t>
      </w:r>
    </w:p>
    <w:p w14:paraId="364B58E8">
      <w:pPr>
        <w:spacing w:line="588" w:lineRule="exact"/>
        <w:ind w:firstLine="504" w:firstLineChars="200"/>
        <w:rPr>
          <w:spacing w:val="6"/>
          <w:sz w:val="24"/>
        </w:rPr>
      </w:pPr>
    </w:p>
    <w:p w14:paraId="34758555">
      <w:pPr>
        <w:spacing w:line="588" w:lineRule="exact"/>
        <w:ind w:firstLine="504" w:firstLineChars="200"/>
        <w:rPr>
          <w:spacing w:val="6"/>
          <w:sz w:val="24"/>
        </w:rPr>
      </w:pPr>
    </w:p>
    <w:p w14:paraId="69D4FFD3">
      <w:pPr>
        <w:tabs>
          <w:tab w:val="left" w:pos="4860"/>
        </w:tabs>
        <w:spacing w:line="588" w:lineRule="exact"/>
        <w:ind w:right="1560" w:firstLine="504" w:firstLineChars="200"/>
        <w:jc w:val="right"/>
        <w:rPr>
          <w:spacing w:val="6"/>
          <w:sz w:val="24"/>
        </w:rPr>
      </w:pPr>
      <w:r>
        <w:rPr>
          <w:spacing w:val="6"/>
          <w:sz w:val="24"/>
        </w:rPr>
        <w:t xml:space="preserve">          单位名称（盖章）：</w:t>
      </w:r>
      <w:r>
        <w:rPr>
          <w:sz w:val="24"/>
        </w:rPr>
        <w:t>______</w:t>
      </w:r>
    </w:p>
    <w:p w14:paraId="34D40B8B">
      <w:pPr>
        <w:tabs>
          <w:tab w:val="left" w:pos="4860"/>
        </w:tabs>
        <w:spacing w:line="588" w:lineRule="exact"/>
        <w:ind w:right="1560" w:firstLine="504" w:firstLineChars="200"/>
        <w:jc w:val="right"/>
        <w:rPr>
          <w:spacing w:val="6"/>
          <w:sz w:val="24"/>
        </w:rPr>
      </w:pPr>
      <w:r>
        <w:rPr>
          <w:spacing w:val="6"/>
          <w:sz w:val="24"/>
        </w:rPr>
        <w:t xml:space="preserve">       日  期：</w:t>
      </w:r>
      <w:r>
        <w:rPr>
          <w:sz w:val="24"/>
        </w:rPr>
        <w:t>______</w:t>
      </w:r>
    </w:p>
    <w:p w14:paraId="13AECBEF">
      <w:pPr>
        <w:spacing w:line="360" w:lineRule="auto"/>
        <w:outlineLvl w:val="2"/>
        <w:rPr>
          <w:color w:val="000000"/>
          <w:sz w:val="24"/>
          <w:szCs w:val="20"/>
        </w:rPr>
      </w:pPr>
      <w:r>
        <w:rPr>
          <w:color w:val="000000"/>
          <w:sz w:val="24"/>
          <w:szCs w:val="20"/>
        </w:rPr>
        <w:br w:type="page"/>
      </w:r>
      <w:r>
        <w:rPr>
          <w:color w:val="000000"/>
          <w:sz w:val="24"/>
          <w:szCs w:val="20"/>
        </w:rPr>
        <w:t xml:space="preserve">2-2 </w:t>
      </w:r>
      <w:r>
        <w:rPr>
          <w:sz w:val="24"/>
        </w:rPr>
        <w:t>其它落实政府采购政策的资格要求</w:t>
      </w:r>
      <w:r>
        <w:rPr>
          <w:color w:val="000000"/>
          <w:sz w:val="24"/>
          <w:szCs w:val="20"/>
        </w:rPr>
        <w:t>（如有）</w:t>
      </w:r>
    </w:p>
    <w:p w14:paraId="1A284E10">
      <w:pPr>
        <w:widowControl/>
        <w:jc w:val="left"/>
        <w:rPr>
          <w:sz w:val="24"/>
        </w:rPr>
      </w:pPr>
    </w:p>
    <w:p w14:paraId="0249B57D">
      <w:pPr>
        <w:rPr>
          <w:sz w:val="24"/>
        </w:rPr>
      </w:pPr>
      <w:r>
        <w:rPr>
          <w:sz w:val="24"/>
        </w:rPr>
        <w:br w:type="page"/>
      </w:r>
    </w:p>
    <w:p w14:paraId="48AB530F">
      <w:pPr>
        <w:widowControl/>
        <w:jc w:val="left"/>
        <w:outlineLvl w:val="1"/>
        <w:rPr>
          <w:sz w:val="24"/>
        </w:rPr>
      </w:pPr>
      <w:r>
        <w:rPr>
          <w:sz w:val="24"/>
        </w:rPr>
        <w:t>3 本项目的特定资格要求（如有）</w:t>
      </w:r>
    </w:p>
    <w:p w14:paraId="6AC755CA">
      <w:pPr>
        <w:widowControl/>
        <w:jc w:val="left"/>
        <w:rPr>
          <w:sz w:val="24"/>
        </w:rPr>
      </w:pPr>
    </w:p>
    <w:p w14:paraId="4AFF2789">
      <w:pPr>
        <w:spacing w:line="360" w:lineRule="auto"/>
        <w:outlineLvl w:val="2"/>
        <w:rPr>
          <w:sz w:val="24"/>
          <w:szCs w:val="20"/>
        </w:rPr>
      </w:pPr>
      <w:r>
        <w:rPr>
          <w:color w:val="000000"/>
          <w:sz w:val="24"/>
          <w:szCs w:val="20"/>
        </w:rPr>
        <w:t>3-</w:t>
      </w:r>
      <w:r>
        <w:rPr>
          <w:rFonts w:hint="eastAsia"/>
          <w:color w:val="000000"/>
          <w:sz w:val="24"/>
          <w:szCs w:val="20"/>
        </w:rPr>
        <w:t>1</w:t>
      </w:r>
      <w:r>
        <w:rPr>
          <w:color w:val="000000"/>
          <w:sz w:val="24"/>
          <w:szCs w:val="20"/>
        </w:rPr>
        <w:t xml:space="preserve"> 其他</w:t>
      </w:r>
      <w:r>
        <w:rPr>
          <w:sz w:val="24"/>
          <w:szCs w:val="20"/>
        </w:rPr>
        <w:t>特定资格要求</w:t>
      </w:r>
    </w:p>
    <w:p w14:paraId="3DEBF064">
      <w:pPr>
        <w:tabs>
          <w:tab w:val="left" w:pos="5580"/>
        </w:tabs>
        <w:spacing w:line="360" w:lineRule="auto"/>
        <w:rPr>
          <w:sz w:val="24"/>
        </w:rPr>
      </w:pPr>
      <w:r>
        <w:rPr>
          <w:rFonts w:hint="eastAsia"/>
          <w:sz w:val="24"/>
        </w:rPr>
        <w:t>（1）供应商具备市政公用工程施工总承包资质三级及以上资质，外地来京建筑企业须办理进京备案；</w:t>
      </w:r>
    </w:p>
    <w:p w14:paraId="300B65F9">
      <w:pPr>
        <w:rPr>
          <w:sz w:val="24"/>
        </w:rPr>
      </w:pPr>
      <w:r>
        <w:rPr>
          <w:rFonts w:hint="eastAsia"/>
          <w:sz w:val="24"/>
        </w:rPr>
        <w:br w:type="page"/>
      </w:r>
    </w:p>
    <w:p w14:paraId="317C2EBD">
      <w:pPr>
        <w:tabs>
          <w:tab w:val="left" w:pos="5580"/>
        </w:tabs>
        <w:spacing w:line="360" w:lineRule="auto"/>
        <w:rPr>
          <w:sz w:val="24"/>
        </w:rPr>
      </w:pPr>
      <w:r>
        <w:rPr>
          <w:rFonts w:hint="eastAsia"/>
          <w:sz w:val="24"/>
        </w:rPr>
        <w:t>（2）供应商须具备有效的安全生产许可证；</w:t>
      </w:r>
    </w:p>
    <w:p w14:paraId="42BD2604">
      <w:pPr>
        <w:rPr>
          <w:sz w:val="24"/>
        </w:rPr>
      </w:pPr>
      <w:r>
        <w:rPr>
          <w:rFonts w:hint="eastAsia"/>
          <w:sz w:val="24"/>
        </w:rPr>
        <w:br w:type="page"/>
      </w:r>
    </w:p>
    <w:p w14:paraId="2EFC2671">
      <w:pPr>
        <w:tabs>
          <w:tab w:val="left" w:pos="5580"/>
        </w:tabs>
        <w:spacing w:line="360" w:lineRule="auto"/>
        <w:rPr>
          <w:sz w:val="24"/>
        </w:rPr>
      </w:pPr>
      <w:r>
        <w:rPr>
          <w:rFonts w:hint="eastAsia"/>
          <w:sz w:val="24"/>
        </w:rPr>
        <w:t>（3）供应商拟派项目经理须具备市政公用工程专业二级（含）以上注册建造师执业资格，具备有效的安全生产考核合格证书（B本），且在确定成交人时不得担任其他在施建设工程项目的项目经理；</w:t>
      </w:r>
    </w:p>
    <w:p w14:paraId="1E96635B">
      <w:pPr>
        <w:widowControl/>
        <w:jc w:val="left"/>
        <w:outlineLvl w:val="1"/>
        <w:rPr>
          <w:sz w:val="24"/>
        </w:rPr>
      </w:pPr>
      <w:r>
        <w:rPr>
          <w:sz w:val="24"/>
          <w:szCs w:val="20"/>
        </w:rPr>
        <w:br w:type="page"/>
      </w:r>
      <w:r>
        <w:rPr>
          <w:sz w:val="24"/>
        </w:rPr>
        <w:t xml:space="preserve">4 </w:t>
      </w:r>
      <w:r>
        <w:rPr>
          <w:rFonts w:hint="eastAsia"/>
          <w:sz w:val="24"/>
        </w:rPr>
        <w:t xml:space="preserve"> </w:t>
      </w:r>
      <w:r>
        <w:rPr>
          <w:sz w:val="24"/>
        </w:rPr>
        <w:t>磋商保证金</w:t>
      </w:r>
      <w:r>
        <w:rPr>
          <w:rFonts w:hint="eastAsia"/>
          <w:sz w:val="24"/>
        </w:rPr>
        <w:t>证明材料</w:t>
      </w:r>
    </w:p>
    <w:p w14:paraId="2B8188A5">
      <w:pPr>
        <w:widowControl/>
        <w:jc w:val="left"/>
        <w:outlineLvl w:val="1"/>
        <w:rPr>
          <w:sz w:val="24"/>
        </w:rPr>
      </w:pPr>
      <w:r>
        <w:rPr>
          <w:b/>
          <w:sz w:val="24"/>
        </w:rPr>
        <w:br w:type="page"/>
      </w:r>
      <w:bookmarkStart w:id="689" w:name="_Hlt520274121"/>
      <w:bookmarkEnd w:id="689"/>
      <w:bookmarkStart w:id="690" w:name="_Hlt520274065"/>
      <w:bookmarkEnd w:id="690"/>
      <w:bookmarkStart w:id="691" w:name="_Hlt520273711"/>
      <w:bookmarkEnd w:id="691"/>
      <w:bookmarkStart w:id="692" w:name="_Hlt520343000"/>
      <w:bookmarkEnd w:id="692"/>
      <w:bookmarkStart w:id="693" w:name="_Hlt520343392"/>
      <w:bookmarkEnd w:id="693"/>
      <w:bookmarkStart w:id="694" w:name="_Hlt520350918"/>
      <w:bookmarkEnd w:id="694"/>
      <w:bookmarkStart w:id="695" w:name="_Hlt520355504"/>
      <w:bookmarkEnd w:id="695"/>
      <w:bookmarkStart w:id="696" w:name="_Hlt520271212"/>
      <w:bookmarkEnd w:id="696"/>
      <w:bookmarkStart w:id="697" w:name="_Hlt520274393"/>
      <w:bookmarkEnd w:id="697"/>
      <w:bookmarkStart w:id="698" w:name="_Hlt520274407"/>
      <w:bookmarkEnd w:id="698"/>
      <w:bookmarkStart w:id="699" w:name="_Toc480942349"/>
      <w:bookmarkStart w:id="700" w:name="_Ref467988698"/>
      <w:bookmarkStart w:id="701" w:name="_Toc226965746"/>
      <w:bookmarkStart w:id="702" w:name="_Toc195842921"/>
      <w:bookmarkStart w:id="703" w:name="_Toc127151556"/>
      <w:bookmarkStart w:id="704" w:name="_Toc150774761"/>
      <w:bookmarkStart w:id="705" w:name="_Toc226337252"/>
      <w:bookmarkStart w:id="706" w:name="_Toc226309800"/>
      <w:bookmarkStart w:id="707" w:name="_Toc520356217"/>
      <w:bookmarkStart w:id="708" w:name="_Toc142311058"/>
      <w:bookmarkStart w:id="709" w:name="_Toc150480794"/>
      <w:bookmarkStart w:id="710" w:name="_Toc226965829"/>
      <w:r>
        <w:rPr>
          <w:sz w:val="24"/>
        </w:rPr>
        <w:t xml:space="preserve">5  </w:t>
      </w:r>
      <w:bookmarkEnd w:id="699"/>
      <w:bookmarkEnd w:id="700"/>
      <w:r>
        <w:rPr>
          <w:sz w:val="24"/>
        </w:rPr>
        <w:t>响应书</w:t>
      </w:r>
      <w:bookmarkEnd w:id="701"/>
      <w:bookmarkEnd w:id="702"/>
      <w:bookmarkEnd w:id="703"/>
      <w:bookmarkEnd w:id="704"/>
      <w:bookmarkEnd w:id="705"/>
      <w:bookmarkEnd w:id="706"/>
      <w:bookmarkEnd w:id="707"/>
      <w:bookmarkEnd w:id="708"/>
      <w:bookmarkEnd w:id="709"/>
      <w:bookmarkEnd w:id="710"/>
      <w:r>
        <w:rPr>
          <w:sz w:val="24"/>
        </w:rPr>
        <w:t>（实质性格式）</w:t>
      </w:r>
    </w:p>
    <w:p w14:paraId="4897E7B8">
      <w:pPr>
        <w:tabs>
          <w:tab w:val="left" w:pos="5580"/>
        </w:tabs>
        <w:spacing w:line="360" w:lineRule="auto"/>
        <w:rPr>
          <w:color w:val="000000"/>
          <w:sz w:val="24"/>
        </w:rPr>
      </w:pPr>
    </w:p>
    <w:p w14:paraId="046E61F2">
      <w:pPr>
        <w:spacing w:line="360" w:lineRule="auto"/>
        <w:jc w:val="center"/>
        <w:rPr>
          <w:b/>
          <w:color w:val="000000"/>
          <w:sz w:val="36"/>
          <w:szCs w:val="36"/>
        </w:rPr>
      </w:pPr>
      <w:r>
        <w:rPr>
          <w:b/>
          <w:color w:val="000000"/>
          <w:sz w:val="36"/>
          <w:szCs w:val="36"/>
        </w:rPr>
        <w:t>响应书</w:t>
      </w:r>
    </w:p>
    <w:p w14:paraId="559C433B">
      <w:pPr>
        <w:tabs>
          <w:tab w:val="left" w:pos="5580"/>
        </w:tabs>
        <w:spacing w:line="360" w:lineRule="auto"/>
        <w:rPr>
          <w:color w:val="000000"/>
          <w:sz w:val="24"/>
        </w:rPr>
      </w:pPr>
      <w:r>
        <w:rPr>
          <w:color w:val="000000"/>
          <w:sz w:val="24"/>
        </w:rPr>
        <w:t>致：</w:t>
      </w:r>
      <w:r>
        <w:rPr>
          <w:color w:val="000000"/>
          <w:sz w:val="24"/>
          <w:u w:val="single"/>
        </w:rPr>
        <w:t>中国音乐学院</w:t>
      </w:r>
    </w:p>
    <w:p w14:paraId="4683FD8E">
      <w:pPr>
        <w:tabs>
          <w:tab w:val="left" w:pos="5580"/>
        </w:tabs>
        <w:spacing w:line="360" w:lineRule="auto"/>
        <w:rPr>
          <w:color w:val="000000"/>
          <w:sz w:val="24"/>
          <w:szCs w:val="20"/>
        </w:rPr>
      </w:pPr>
    </w:p>
    <w:p w14:paraId="49D21F01">
      <w:pPr>
        <w:tabs>
          <w:tab w:val="left" w:pos="5580"/>
        </w:tabs>
        <w:spacing w:line="360" w:lineRule="auto"/>
        <w:ind w:firstLine="408"/>
        <w:rPr>
          <w:color w:val="000000"/>
          <w:sz w:val="24"/>
          <w:szCs w:val="20"/>
        </w:rPr>
      </w:pPr>
      <w:r>
        <w:rPr>
          <w:color w:val="000000"/>
          <w:sz w:val="24"/>
          <w:szCs w:val="20"/>
        </w:rPr>
        <w:t>我方参加你方就</w:t>
      </w:r>
      <w:r>
        <w:rPr>
          <w:sz w:val="24"/>
        </w:rPr>
        <w:t>______</w:t>
      </w:r>
      <w:r>
        <w:rPr>
          <w:color w:val="000000"/>
          <w:sz w:val="24"/>
          <w:szCs w:val="20"/>
        </w:rPr>
        <w:t>（项目名称，项目编号）组织的采购活动，并对此项目进行磋商。</w:t>
      </w:r>
    </w:p>
    <w:p w14:paraId="5A056B2B">
      <w:pPr>
        <w:tabs>
          <w:tab w:val="left" w:pos="5580"/>
        </w:tabs>
        <w:spacing w:line="360" w:lineRule="auto"/>
        <w:ind w:firstLine="408"/>
        <w:rPr>
          <w:color w:val="000000"/>
          <w:sz w:val="24"/>
          <w:szCs w:val="20"/>
        </w:rPr>
      </w:pPr>
      <w:r>
        <w:rPr>
          <w:color w:val="000000"/>
          <w:sz w:val="24"/>
          <w:szCs w:val="20"/>
        </w:rPr>
        <w:t>1. 我方</w:t>
      </w:r>
      <w:r>
        <w:rPr>
          <w:color w:val="000000"/>
          <w:sz w:val="24"/>
        </w:rPr>
        <w:t>已详细审查全部竞争性磋商文件</w:t>
      </w:r>
      <w:r>
        <w:rPr>
          <w:color w:val="000000"/>
          <w:sz w:val="24"/>
          <w:szCs w:val="20"/>
        </w:rPr>
        <w:t>，自愿参与磋商并承诺如下：</w:t>
      </w:r>
    </w:p>
    <w:p w14:paraId="19489ECF">
      <w:pPr>
        <w:tabs>
          <w:tab w:val="left" w:pos="720"/>
          <w:tab w:val="left" w:pos="900"/>
        </w:tabs>
        <w:spacing w:line="360" w:lineRule="auto"/>
        <w:ind w:left="360" w:firstLine="72" w:firstLineChars="30"/>
        <w:rPr>
          <w:color w:val="000000"/>
          <w:sz w:val="24"/>
          <w:szCs w:val="20"/>
        </w:rPr>
      </w:pPr>
      <w:r>
        <w:rPr>
          <w:color w:val="000000"/>
          <w:sz w:val="24"/>
          <w:szCs w:val="20"/>
        </w:rPr>
        <w:t>（1）本响应有效期为自响应文件提交截止之日起</w:t>
      </w:r>
      <w:r>
        <w:rPr>
          <w:rFonts w:hint="eastAsia"/>
          <w:sz w:val="24"/>
          <w:u w:val="single"/>
        </w:rPr>
        <w:t xml:space="preserve"> 180 </w:t>
      </w:r>
      <w:r>
        <w:rPr>
          <w:color w:val="000000"/>
          <w:sz w:val="24"/>
          <w:szCs w:val="20"/>
        </w:rPr>
        <w:t>个日历日。</w:t>
      </w:r>
    </w:p>
    <w:p w14:paraId="6D59F7FE">
      <w:pPr>
        <w:tabs>
          <w:tab w:val="left" w:pos="720"/>
          <w:tab w:val="left" w:pos="900"/>
        </w:tabs>
        <w:spacing w:line="360" w:lineRule="auto"/>
        <w:ind w:left="360" w:firstLine="72" w:firstLineChars="30"/>
        <w:rPr>
          <w:color w:val="000000"/>
          <w:sz w:val="24"/>
          <w:szCs w:val="20"/>
        </w:rPr>
      </w:pPr>
      <w:r>
        <w:rPr>
          <w:color w:val="000000"/>
          <w:sz w:val="24"/>
          <w:szCs w:val="20"/>
        </w:rPr>
        <w:t>（2）除合同条款及采购需求偏离表列出的偏离外，我方响应竞争性磋商文件的全部要求。</w:t>
      </w:r>
    </w:p>
    <w:p w14:paraId="4DFE4462">
      <w:pPr>
        <w:tabs>
          <w:tab w:val="left" w:pos="5580"/>
        </w:tabs>
        <w:spacing w:line="360" w:lineRule="auto"/>
        <w:ind w:firstLine="420" w:firstLineChars="175"/>
        <w:rPr>
          <w:color w:val="000000"/>
          <w:sz w:val="24"/>
          <w:szCs w:val="20"/>
        </w:rPr>
      </w:pPr>
      <w:r>
        <w:rPr>
          <w:color w:val="000000"/>
          <w:sz w:val="24"/>
          <w:szCs w:val="20"/>
        </w:rPr>
        <w:t>（3）我方已提供的全部文件资料是真实、准确的，并对此承担一切法律后果。</w:t>
      </w:r>
    </w:p>
    <w:p w14:paraId="54637B73">
      <w:pPr>
        <w:tabs>
          <w:tab w:val="left" w:pos="5580"/>
        </w:tabs>
        <w:spacing w:line="360" w:lineRule="auto"/>
        <w:ind w:firstLine="420" w:firstLineChars="175"/>
        <w:rPr>
          <w:color w:val="000000"/>
          <w:sz w:val="24"/>
        </w:rPr>
      </w:pPr>
      <w:r>
        <w:rPr>
          <w:color w:val="000000"/>
          <w:sz w:val="24"/>
          <w:szCs w:val="20"/>
        </w:rPr>
        <w:t>（4）如我方成交，我方将在法律规定的期限内与你方签订合同，按照竞争性磋商文件要求提交履约保证金，并在合同约定的期限内完成合同规定的全部义务。</w:t>
      </w:r>
    </w:p>
    <w:p w14:paraId="258981A7">
      <w:pPr>
        <w:spacing w:line="360" w:lineRule="auto"/>
        <w:ind w:left="420"/>
        <w:rPr>
          <w:color w:val="000000"/>
          <w:sz w:val="24"/>
        </w:rPr>
      </w:pPr>
      <w:r>
        <w:rPr>
          <w:rFonts w:hint="eastAsia"/>
          <w:color w:val="000000"/>
          <w:sz w:val="24"/>
        </w:rPr>
        <w:t>2. 其他补充条款：</w:t>
      </w:r>
    </w:p>
    <w:p w14:paraId="43C54B62">
      <w:pPr>
        <w:spacing w:line="360" w:lineRule="auto"/>
        <w:ind w:firstLine="480" w:firstLineChars="200"/>
        <w:rPr>
          <w:color w:val="000000"/>
          <w:sz w:val="24"/>
        </w:rPr>
      </w:pPr>
      <w:r>
        <w:rPr>
          <w:rFonts w:hint="eastAsia"/>
          <w:color w:val="000000"/>
          <w:sz w:val="24"/>
        </w:rPr>
        <w:t>（1）我方承诺，我方拟派到本项目的项目经理</w:t>
      </w:r>
      <w:r>
        <w:rPr>
          <w:rFonts w:hint="eastAsia"/>
          <w:color w:val="000000"/>
          <w:sz w:val="24"/>
          <w:u w:val="single"/>
        </w:rPr>
        <w:t>（姓名）（身份证号）</w:t>
      </w:r>
      <w:r>
        <w:rPr>
          <w:rFonts w:hint="eastAsia"/>
          <w:color w:val="000000"/>
          <w:sz w:val="24"/>
        </w:rPr>
        <w:t>未经采购人同意在工程施工过程中不更换，且</w:t>
      </w:r>
      <w:r>
        <w:rPr>
          <w:rFonts w:hint="eastAsia"/>
          <w:sz w:val="24"/>
        </w:rPr>
        <w:t>在确定成交人时未担任其他在施建设工程项目的项目经理</w:t>
      </w:r>
      <w:r>
        <w:rPr>
          <w:rFonts w:hint="eastAsia"/>
          <w:color w:val="000000"/>
          <w:sz w:val="24"/>
        </w:rPr>
        <w:t>。若我方未经采购人批准更换项目负责人或项目负责人在其他项目任职，我方愿承担相应的违约责任，并同意采购人可据此情况解除施工合同。</w:t>
      </w:r>
    </w:p>
    <w:p w14:paraId="0BB0D700">
      <w:pPr>
        <w:spacing w:line="360" w:lineRule="auto"/>
        <w:ind w:firstLine="480" w:firstLineChars="200"/>
        <w:rPr>
          <w:color w:val="000000"/>
          <w:sz w:val="24"/>
        </w:rPr>
      </w:pPr>
      <w:r>
        <w:rPr>
          <w:rFonts w:hint="eastAsia"/>
          <w:color w:val="000000"/>
          <w:sz w:val="24"/>
        </w:rPr>
        <w:t>（2）如果我方中标，我方保证在</w:t>
      </w:r>
      <w:r>
        <w:rPr>
          <w:rFonts w:hint="eastAsia"/>
          <w:color w:val="000000"/>
          <w:sz w:val="24"/>
          <w:u w:val="single"/>
        </w:rPr>
        <w:t xml:space="preserve">      </w:t>
      </w:r>
      <w:r>
        <w:rPr>
          <w:rFonts w:hint="eastAsia"/>
          <w:color w:val="000000"/>
          <w:sz w:val="24"/>
        </w:rPr>
        <w:t>（日历日）内完成本工程，并确保工程质量达到</w:t>
      </w:r>
      <w:r>
        <w:rPr>
          <w:rFonts w:hint="eastAsia"/>
          <w:color w:val="000000"/>
          <w:sz w:val="24"/>
          <w:u w:val="single"/>
        </w:rPr>
        <w:t xml:space="preserve">      </w:t>
      </w:r>
      <w:r>
        <w:rPr>
          <w:rFonts w:hint="eastAsia"/>
          <w:color w:val="000000"/>
          <w:sz w:val="24"/>
        </w:rPr>
        <w:t>标准，施工现场安全生产标准化管理目标等级：</w:t>
      </w:r>
      <w:r>
        <w:rPr>
          <w:rFonts w:hint="eastAsia"/>
          <w:color w:val="000000"/>
          <w:sz w:val="24"/>
          <w:u w:val="single"/>
        </w:rPr>
        <w:t xml:space="preserve">      </w:t>
      </w:r>
      <w:r>
        <w:rPr>
          <w:rFonts w:hint="eastAsia"/>
          <w:color w:val="000000"/>
          <w:sz w:val="24"/>
        </w:rPr>
        <w:t>。</w:t>
      </w:r>
    </w:p>
    <w:p w14:paraId="1979038A">
      <w:pPr>
        <w:spacing w:line="360" w:lineRule="auto"/>
        <w:ind w:firstLine="480" w:firstLineChars="200"/>
        <w:rPr>
          <w:color w:val="000000"/>
          <w:sz w:val="24"/>
        </w:rPr>
      </w:pPr>
      <w:r>
        <w:rPr>
          <w:rFonts w:hint="eastAsia"/>
          <w:color w:val="000000"/>
          <w:sz w:val="24"/>
        </w:rPr>
        <w:t>（3）单位工程的分部分项工程合价为：</w:t>
      </w:r>
      <w:r>
        <w:rPr>
          <w:rFonts w:hint="eastAsia"/>
          <w:color w:val="000000"/>
          <w:sz w:val="24"/>
          <w:u w:val="single"/>
        </w:rPr>
        <w:t xml:space="preserve">           </w:t>
      </w:r>
      <w:r>
        <w:rPr>
          <w:rFonts w:hint="eastAsia"/>
          <w:color w:val="000000"/>
          <w:sz w:val="24"/>
        </w:rPr>
        <w:t>元（除税）；</w:t>
      </w:r>
    </w:p>
    <w:p w14:paraId="63078543">
      <w:pPr>
        <w:spacing w:line="360" w:lineRule="auto"/>
        <w:ind w:firstLine="480" w:firstLineChars="200"/>
        <w:rPr>
          <w:color w:val="000000"/>
          <w:sz w:val="24"/>
        </w:rPr>
      </w:pPr>
      <w:r>
        <w:rPr>
          <w:rFonts w:hint="eastAsia"/>
          <w:color w:val="000000"/>
          <w:sz w:val="24"/>
        </w:rPr>
        <w:t>措施项目合价为：</w:t>
      </w:r>
      <w:r>
        <w:rPr>
          <w:rFonts w:hint="eastAsia"/>
          <w:color w:val="000000"/>
          <w:sz w:val="24"/>
          <w:u w:val="single"/>
        </w:rPr>
        <w:t xml:space="preserve">             </w:t>
      </w:r>
      <w:r>
        <w:rPr>
          <w:rFonts w:hint="eastAsia"/>
          <w:color w:val="000000"/>
          <w:sz w:val="24"/>
        </w:rPr>
        <w:t>元（除税）；</w:t>
      </w:r>
    </w:p>
    <w:p w14:paraId="762B9A02">
      <w:pPr>
        <w:spacing w:line="360" w:lineRule="auto"/>
        <w:ind w:firstLine="480" w:firstLineChars="200"/>
        <w:rPr>
          <w:color w:val="000000"/>
          <w:sz w:val="24"/>
        </w:rPr>
      </w:pPr>
      <w:r>
        <w:rPr>
          <w:rFonts w:hint="eastAsia"/>
          <w:color w:val="000000"/>
          <w:sz w:val="24"/>
        </w:rPr>
        <w:t>安全生产标准化措施费：</w:t>
      </w:r>
      <w:r>
        <w:rPr>
          <w:rFonts w:hint="eastAsia"/>
          <w:color w:val="000000"/>
          <w:sz w:val="24"/>
          <w:u w:val="single"/>
        </w:rPr>
        <w:t xml:space="preserve">           </w:t>
      </w:r>
      <w:r>
        <w:rPr>
          <w:rFonts w:hint="eastAsia"/>
          <w:color w:val="000000"/>
          <w:sz w:val="24"/>
        </w:rPr>
        <w:t>元（除税）；</w:t>
      </w:r>
    </w:p>
    <w:p w14:paraId="2171060A">
      <w:pPr>
        <w:spacing w:line="360" w:lineRule="auto"/>
        <w:ind w:firstLine="480" w:firstLineChars="200"/>
        <w:rPr>
          <w:color w:val="000000"/>
          <w:sz w:val="24"/>
        </w:rPr>
      </w:pPr>
      <w:r>
        <w:rPr>
          <w:rFonts w:hint="eastAsia"/>
          <w:color w:val="000000"/>
          <w:sz w:val="24"/>
        </w:rPr>
        <w:t>其他项目（暂列金额、专业工程暂估价，均除税）合价为：</w:t>
      </w:r>
      <w:r>
        <w:rPr>
          <w:rFonts w:hint="eastAsia"/>
          <w:color w:val="000000"/>
          <w:sz w:val="24"/>
          <w:u w:val="single"/>
        </w:rPr>
        <w:t xml:space="preserve">     </w:t>
      </w:r>
      <w:r>
        <w:rPr>
          <w:rFonts w:hint="eastAsia"/>
          <w:color w:val="000000"/>
          <w:sz w:val="24"/>
        </w:rPr>
        <w:t>元；</w:t>
      </w:r>
    </w:p>
    <w:p w14:paraId="0406EA1B">
      <w:pPr>
        <w:spacing w:line="360" w:lineRule="auto"/>
        <w:ind w:firstLine="480" w:firstLineChars="200"/>
        <w:rPr>
          <w:color w:val="000000"/>
          <w:sz w:val="24"/>
        </w:rPr>
      </w:pPr>
      <w:r>
        <w:rPr>
          <w:rFonts w:hint="eastAsia"/>
          <w:color w:val="000000"/>
          <w:sz w:val="24"/>
        </w:rPr>
        <w:t>暂列金额：</w:t>
      </w:r>
      <w:r>
        <w:rPr>
          <w:rFonts w:hint="eastAsia"/>
          <w:color w:val="000000"/>
          <w:sz w:val="24"/>
          <w:u w:val="single"/>
        </w:rPr>
        <w:t xml:space="preserve">           </w:t>
      </w:r>
      <w:r>
        <w:rPr>
          <w:rFonts w:hint="eastAsia"/>
          <w:color w:val="000000"/>
          <w:sz w:val="24"/>
        </w:rPr>
        <w:t>元（除税）；</w:t>
      </w:r>
    </w:p>
    <w:p w14:paraId="53BBE515">
      <w:pPr>
        <w:spacing w:line="360" w:lineRule="auto"/>
        <w:ind w:firstLine="480" w:firstLineChars="200"/>
        <w:rPr>
          <w:color w:val="000000"/>
          <w:sz w:val="24"/>
        </w:rPr>
      </w:pPr>
      <w:r>
        <w:rPr>
          <w:rFonts w:hint="eastAsia"/>
          <w:color w:val="000000"/>
          <w:sz w:val="24"/>
        </w:rPr>
        <w:t>增值税为：</w:t>
      </w:r>
      <w:r>
        <w:rPr>
          <w:rFonts w:hint="eastAsia"/>
          <w:color w:val="000000"/>
          <w:sz w:val="24"/>
          <w:u w:val="single"/>
        </w:rPr>
        <w:t xml:space="preserve">           </w:t>
      </w:r>
      <w:r>
        <w:rPr>
          <w:rFonts w:hint="eastAsia"/>
          <w:color w:val="000000"/>
          <w:sz w:val="24"/>
        </w:rPr>
        <w:t>元。</w:t>
      </w:r>
    </w:p>
    <w:p w14:paraId="3F692718">
      <w:pPr>
        <w:spacing w:line="360" w:lineRule="auto"/>
        <w:ind w:firstLine="480" w:firstLineChars="200"/>
        <w:rPr>
          <w:color w:val="000000"/>
          <w:sz w:val="24"/>
        </w:rPr>
      </w:pPr>
    </w:p>
    <w:p w14:paraId="2FB20370">
      <w:pPr>
        <w:spacing w:line="360" w:lineRule="auto"/>
        <w:ind w:firstLine="480" w:firstLineChars="200"/>
        <w:rPr>
          <w:color w:val="000000"/>
          <w:sz w:val="24"/>
        </w:rPr>
      </w:pPr>
    </w:p>
    <w:p w14:paraId="640F1CB5">
      <w:pPr>
        <w:spacing w:line="360" w:lineRule="auto"/>
        <w:ind w:firstLine="480" w:firstLineChars="200"/>
        <w:rPr>
          <w:color w:val="000000"/>
          <w:sz w:val="24"/>
        </w:rPr>
      </w:pPr>
      <w:r>
        <w:rPr>
          <w:color w:val="000000"/>
          <w:sz w:val="24"/>
        </w:rPr>
        <w:t>与本磋商有关的一切正式往来信函请寄：</w:t>
      </w:r>
    </w:p>
    <w:p w14:paraId="62E9BA4D">
      <w:pPr>
        <w:tabs>
          <w:tab w:val="left" w:pos="5580"/>
        </w:tabs>
        <w:spacing w:line="360" w:lineRule="auto"/>
        <w:ind w:left="420"/>
        <w:rPr>
          <w:color w:val="000000"/>
          <w:sz w:val="24"/>
          <w:szCs w:val="20"/>
        </w:rPr>
      </w:pPr>
    </w:p>
    <w:p w14:paraId="522F4D91">
      <w:pPr>
        <w:tabs>
          <w:tab w:val="left" w:pos="5580"/>
        </w:tabs>
        <w:spacing w:line="360" w:lineRule="auto"/>
        <w:ind w:left="420"/>
        <w:rPr>
          <w:color w:val="000000"/>
          <w:sz w:val="24"/>
          <w:szCs w:val="20"/>
        </w:rPr>
      </w:pPr>
      <w:r>
        <w:rPr>
          <w:color w:val="000000"/>
          <w:sz w:val="24"/>
          <w:szCs w:val="20"/>
        </w:rPr>
        <w:t>地址</w:t>
      </w:r>
      <w:r>
        <w:rPr>
          <w:bCs/>
          <w:color w:val="000000"/>
          <w:sz w:val="24"/>
        </w:rPr>
        <w:t>_________________________</w:t>
      </w:r>
      <w:r>
        <w:rPr>
          <w:color w:val="000000"/>
          <w:sz w:val="24"/>
          <w:szCs w:val="20"/>
        </w:rPr>
        <w:t xml:space="preserve">   传   真</w:t>
      </w:r>
      <w:r>
        <w:rPr>
          <w:bCs/>
          <w:color w:val="000000"/>
          <w:sz w:val="24"/>
        </w:rPr>
        <w:t>_________________________</w:t>
      </w:r>
    </w:p>
    <w:p w14:paraId="09E7C0EB">
      <w:pPr>
        <w:tabs>
          <w:tab w:val="left" w:pos="5580"/>
        </w:tabs>
        <w:spacing w:line="360" w:lineRule="auto"/>
        <w:ind w:left="420"/>
        <w:rPr>
          <w:color w:val="000000"/>
          <w:sz w:val="24"/>
          <w:szCs w:val="20"/>
        </w:rPr>
      </w:pPr>
      <w:r>
        <w:rPr>
          <w:color w:val="000000"/>
          <w:sz w:val="24"/>
          <w:szCs w:val="20"/>
        </w:rPr>
        <w:t>电话</w:t>
      </w:r>
      <w:r>
        <w:rPr>
          <w:bCs/>
          <w:color w:val="000000"/>
          <w:sz w:val="24"/>
        </w:rPr>
        <w:t>_________________________</w:t>
      </w:r>
      <w:r>
        <w:rPr>
          <w:color w:val="000000"/>
          <w:sz w:val="24"/>
          <w:szCs w:val="20"/>
        </w:rPr>
        <w:t xml:space="preserve">   电子函件</w:t>
      </w:r>
      <w:r>
        <w:rPr>
          <w:bCs/>
          <w:color w:val="000000"/>
          <w:sz w:val="24"/>
        </w:rPr>
        <w:t>_________________________</w:t>
      </w:r>
    </w:p>
    <w:p w14:paraId="4B66A26B">
      <w:pPr>
        <w:tabs>
          <w:tab w:val="left" w:pos="5580"/>
        </w:tabs>
        <w:spacing w:line="360" w:lineRule="auto"/>
        <w:ind w:left="420"/>
        <w:rPr>
          <w:color w:val="000000"/>
          <w:sz w:val="24"/>
          <w:szCs w:val="20"/>
        </w:rPr>
      </w:pPr>
    </w:p>
    <w:p w14:paraId="123D6E3E">
      <w:pPr>
        <w:tabs>
          <w:tab w:val="left" w:pos="5580"/>
        </w:tabs>
        <w:spacing w:line="360" w:lineRule="auto"/>
        <w:ind w:left="420"/>
        <w:rPr>
          <w:color w:val="000000"/>
          <w:sz w:val="24"/>
          <w:szCs w:val="20"/>
        </w:rPr>
      </w:pPr>
    </w:p>
    <w:p w14:paraId="31AED823">
      <w:pPr>
        <w:tabs>
          <w:tab w:val="left" w:pos="5580"/>
        </w:tabs>
        <w:spacing w:line="360" w:lineRule="auto"/>
        <w:ind w:left="420"/>
        <w:rPr>
          <w:color w:val="000000"/>
          <w:sz w:val="24"/>
          <w:szCs w:val="20"/>
        </w:rPr>
      </w:pPr>
    </w:p>
    <w:p w14:paraId="4C04FC78">
      <w:pPr>
        <w:autoSpaceDE w:val="0"/>
        <w:autoSpaceDN w:val="0"/>
        <w:adjustRightInd w:val="0"/>
        <w:snapToGrid w:val="0"/>
        <w:spacing w:before="25" w:after="25" w:line="360" w:lineRule="auto"/>
        <w:ind w:right="360" w:firstLine="360" w:firstLineChars="150"/>
        <w:rPr>
          <w:color w:val="000000"/>
          <w:sz w:val="24"/>
          <w:lang w:val="zh-CN"/>
        </w:rPr>
      </w:pPr>
      <w:r>
        <w:rPr>
          <w:color w:val="000000"/>
          <w:sz w:val="24"/>
        </w:rPr>
        <w:t>供应商名称（加盖公章）</w:t>
      </w:r>
      <w:r>
        <w:rPr>
          <w:color w:val="000000"/>
          <w:sz w:val="24"/>
          <w:lang w:val="zh-CN"/>
        </w:rPr>
        <w:t>：</w:t>
      </w:r>
      <w:r>
        <w:rPr>
          <w:sz w:val="24"/>
        </w:rPr>
        <w:t>______</w:t>
      </w:r>
    </w:p>
    <w:p w14:paraId="30E3A4C9">
      <w:pPr>
        <w:tabs>
          <w:tab w:val="left" w:pos="5580"/>
        </w:tabs>
        <w:spacing w:line="360" w:lineRule="auto"/>
        <w:ind w:firstLine="360" w:firstLineChars="150"/>
        <w:rPr>
          <w:color w:val="000000"/>
          <w:sz w:val="24"/>
          <w:szCs w:val="20"/>
        </w:rPr>
      </w:pPr>
      <w:r>
        <w:rPr>
          <w:color w:val="000000"/>
          <w:sz w:val="24"/>
          <w:szCs w:val="20"/>
        </w:rPr>
        <w:t>日期：____年____月____日</w:t>
      </w:r>
    </w:p>
    <w:p w14:paraId="5FA86E9B">
      <w:pPr>
        <w:tabs>
          <w:tab w:val="left" w:pos="5580"/>
        </w:tabs>
        <w:spacing w:line="360" w:lineRule="auto"/>
        <w:ind w:left="420"/>
        <w:jc w:val="left"/>
        <w:rPr>
          <w:color w:val="000000"/>
          <w:sz w:val="24"/>
          <w:szCs w:val="20"/>
        </w:rPr>
      </w:pPr>
    </w:p>
    <w:p w14:paraId="591D2CEA">
      <w:pPr>
        <w:widowControl/>
        <w:jc w:val="left"/>
        <w:outlineLvl w:val="1"/>
        <w:rPr>
          <w:sz w:val="24"/>
        </w:rPr>
      </w:pPr>
      <w:r>
        <w:rPr>
          <w:b/>
          <w:color w:val="000000"/>
          <w:sz w:val="24"/>
          <w:szCs w:val="20"/>
        </w:rPr>
        <w:br w:type="page"/>
      </w:r>
      <w:bookmarkStart w:id="711" w:name="_Hlt520356243"/>
      <w:bookmarkEnd w:id="711"/>
      <w:bookmarkStart w:id="712" w:name="_Hlt520355938"/>
      <w:bookmarkEnd w:id="712"/>
      <w:bookmarkStart w:id="713" w:name="_Toc480942350"/>
      <w:bookmarkStart w:id="714" w:name="_Toc150774762"/>
      <w:bookmarkStart w:id="715" w:name="_Toc127151557"/>
      <w:bookmarkStart w:id="716" w:name="_Toc226309801"/>
      <w:bookmarkStart w:id="717" w:name="_Toc265228395"/>
      <w:bookmarkStart w:id="718" w:name="_Toc150480795"/>
      <w:bookmarkStart w:id="719" w:name="_Toc305158825"/>
      <w:bookmarkStart w:id="720" w:name="_Toc195842922"/>
      <w:bookmarkStart w:id="721" w:name="_Toc264969247"/>
      <w:bookmarkStart w:id="722" w:name="_Toc226965747"/>
      <w:bookmarkStart w:id="723" w:name="_Ref467988705"/>
      <w:bookmarkStart w:id="724" w:name="_Toc520356218"/>
      <w:bookmarkStart w:id="725" w:name="_Toc142311059"/>
      <w:bookmarkStart w:id="726" w:name="_Toc226965830"/>
      <w:bookmarkStart w:id="727" w:name="_Toc226337253"/>
      <w:bookmarkStart w:id="728" w:name="_Toc305158899"/>
      <w:r>
        <w:rPr>
          <w:sz w:val="24"/>
        </w:rPr>
        <w:t>6  授权委托书（实质性格式）</w:t>
      </w:r>
    </w:p>
    <w:p w14:paraId="676EA463">
      <w:pPr>
        <w:autoSpaceDE w:val="0"/>
        <w:autoSpaceDN w:val="0"/>
        <w:adjustRightInd w:val="0"/>
        <w:spacing w:line="360" w:lineRule="auto"/>
        <w:jc w:val="center"/>
        <w:rPr>
          <w:b/>
          <w:color w:val="000000"/>
          <w:sz w:val="36"/>
          <w:szCs w:val="36"/>
        </w:rPr>
      </w:pPr>
      <w:r>
        <w:rPr>
          <w:b/>
          <w:color w:val="000000"/>
          <w:sz w:val="36"/>
          <w:szCs w:val="36"/>
        </w:rPr>
        <w:t>授权委托书</w:t>
      </w:r>
    </w:p>
    <w:p w14:paraId="34FEF63A">
      <w:pPr>
        <w:wordWrap w:val="0"/>
        <w:spacing w:line="360" w:lineRule="auto"/>
        <w:ind w:firstLine="420"/>
        <w:rPr>
          <w:color w:val="000000"/>
          <w:sz w:val="24"/>
          <w:szCs w:val="20"/>
        </w:rPr>
      </w:pPr>
      <w:r>
        <w:rPr>
          <w:color w:val="000000"/>
          <w:sz w:val="24"/>
          <w:szCs w:val="20"/>
        </w:rPr>
        <w:t>本人</w:t>
      </w:r>
      <w:r>
        <w:rPr>
          <w:rFonts w:hint="eastAsia"/>
          <w:color w:val="000000"/>
          <w:sz w:val="24"/>
          <w:szCs w:val="20"/>
          <w:u w:val="single"/>
        </w:rPr>
        <w:t xml:space="preserve">      </w:t>
      </w:r>
      <w:r>
        <w:rPr>
          <w:color w:val="000000"/>
          <w:sz w:val="24"/>
          <w:szCs w:val="20"/>
        </w:rPr>
        <w:t>（姓名）系</w:t>
      </w:r>
      <w:r>
        <w:rPr>
          <w:rFonts w:hint="eastAsia"/>
          <w:color w:val="000000"/>
          <w:sz w:val="24"/>
          <w:szCs w:val="20"/>
          <w:u w:val="single"/>
        </w:rPr>
        <w:t xml:space="preserve">      </w:t>
      </w:r>
      <w:r>
        <w:rPr>
          <w:color w:val="000000"/>
          <w:sz w:val="24"/>
          <w:szCs w:val="20"/>
        </w:rPr>
        <w:t>（供应商名称）的法定代表人（单位负责人），现委托</w:t>
      </w:r>
      <w:r>
        <w:rPr>
          <w:rFonts w:hint="eastAsia"/>
          <w:color w:val="000000"/>
          <w:sz w:val="24"/>
          <w:szCs w:val="20"/>
          <w:u w:val="single"/>
        </w:rPr>
        <w:t xml:space="preserve">      </w:t>
      </w:r>
      <w:r>
        <w:rPr>
          <w:color w:val="000000"/>
          <w:sz w:val="24"/>
          <w:szCs w:val="20"/>
        </w:rPr>
        <w:t>（姓名）为我方代理人。代理人根据授权，以我方名义签署、澄清确认、提交、撤回、修改</w:t>
      </w:r>
      <w:r>
        <w:rPr>
          <w:rFonts w:hint="eastAsia"/>
          <w:color w:val="000000"/>
          <w:sz w:val="24"/>
          <w:szCs w:val="20"/>
          <w:u w:val="single"/>
        </w:rPr>
        <w:t xml:space="preserve">      </w:t>
      </w:r>
      <w:r>
        <w:rPr>
          <w:color w:val="000000"/>
          <w:sz w:val="24"/>
          <w:szCs w:val="20"/>
        </w:rPr>
        <w:t>（项目名称）响应文件和处理有关事宜，其法律后果由我方承担。</w:t>
      </w:r>
    </w:p>
    <w:p w14:paraId="7AA0E77D">
      <w:pPr>
        <w:wordWrap w:val="0"/>
        <w:spacing w:line="360" w:lineRule="auto"/>
        <w:ind w:firstLine="420"/>
        <w:rPr>
          <w:color w:val="000000"/>
          <w:sz w:val="24"/>
          <w:szCs w:val="20"/>
        </w:rPr>
      </w:pPr>
      <w:r>
        <w:rPr>
          <w:color w:val="000000"/>
          <w:sz w:val="24"/>
          <w:szCs w:val="20"/>
        </w:rPr>
        <w:t>委托期限：自本授权委托书签署之日起至响应有效期届满之日止。</w:t>
      </w:r>
    </w:p>
    <w:p w14:paraId="66A28F47">
      <w:pPr>
        <w:wordWrap w:val="0"/>
        <w:spacing w:line="360" w:lineRule="auto"/>
        <w:ind w:firstLine="420"/>
        <w:rPr>
          <w:color w:val="000000"/>
          <w:sz w:val="24"/>
          <w:szCs w:val="20"/>
        </w:rPr>
      </w:pPr>
      <w:r>
        <w:rPr>
          <w:color w:val="000000"/>
          <w:sz w:val="24"/>
          <w:szCs w:val="20"/>
        </w:rPr>
        <w:t>代理人无转委托权。</w:t>
      </w:r>
      <w:r>
        <w:rPr>
          <w:color w:val="000000"/>
          <w:sz w:val="24"/>
          <w:szCs w:val="20"/>
        </w:rPr>
        <w:cr/>
      </w:r>
    </w:p>
    <w:p w14:paraId="314A6EB6">
      <w:pPr>
        <w:spacing w:line="360" w:lineRule="auto"/>
        <w:rPr>
          <w:color w:val="000000"/>
          <w:sz w:val="24"/>
          <w:lang w:val="zh-CN"/>
        </w:rPr>
      </w:pPr>
      <w:r>
        <w:rPr>
          <w:color w:val="000000"/>
          <w:sz w:val="24"/>
        </w:rPr>
        <w:t>供应商名称（加盖公章）</w:t>
      </w:r>
      <w:r>
        <w:rPr>
          <w:color w:val="000000"/>
          <w:sz w:val="24"/>
          <w:lang w:val="zh-CN"/>
        </w:rPr>
        <w:t>：</w:t>
      </w:r>
      <w:r>
        <w:rPr>
          <w:color w:val="000000"/>
          <w:sz w:val="24"/>
          <w:szCs w:val="20"/>
        </w:rPr>
        <w:t>______________</w:t>
      </w:r>
    </w:p>
    <w:p w14:paraId="2CD69EC0">
      <w:pPr>
        <w:spacing w:line="360" w:lineRule="auto"/>
        <w:rPr>
          <w:color w:val="000000"/>
          <w:sz w:val="24"/>
          <w:szCs w:val="20"/>
        </w:rPr>
      </w:pPr>
      <w:r>
        <w:rPr>
          <w:color w:val="000000"/>
          <w:sz w:val="24"/>
          <w:szCs w:val="20"/>
        </w:rPr>
        <w:t>法定代表人（单位负责人）（</w:t>
      </w:r>
      <w:r>
        <w:rPr>
          <w:rFonts w:hint="eastAsia"/>
          <w:color w:val="000000"/>
          <w:sz w:val="24"/>
          <w:szCs w:val="20"/>
        </w:rPr>
        <w:t>签字或盖章</w:t>
      </w:r>
      <w:r>
        <w:rPr>
          <w:color w:val="000000"/>
          <w:sz w:val="24"/>
          <w:szCs w:val="20"/>
        </w:rPr>
        <w:t>）：______________</w:t>
      </w:r>
    </w:p>
    <w:p w14:paraId="11D6F0FC">
      <w:pPr>
        <w:autoSpaceDE w:val="0"/>
        <w:autoSpaceDN w:val="0"/>
        <w:adjustRightInd w:val="0"/>
        <w:snapToGrid w:val="0"/>
        <w:spacing w:line="360" w:lineRule="auto"/>
        <w:rPr>
          <w:color w:val="000000"/>
          <w:sz w:val="24"/>
          <w:lang w:val="zh-CN"/>
        </w:rPr>
      </w:pPr>
      <w:r>
        <w:rPr>
          <w:color w:val="000000"/>
          <w:sz w:val="24"/>
        </w:rPr>
        <w:t>委托代理人（</w:t>
      </w:r>
      <w:r>
        <w:rPr>
          <w:rFonts w:hint="eastAsia"/>
          <w:color w:val="000000"/>
          <w:sz w:val="24"/>
        </w:rPr>
        <w:t>签字或盖章</w:t>
      </w:r>
      <w:r>
        <w:rPr>
          <w:color w:val="000000"/>
          <w:sz w:val="24"/>
        </w:rPr>
        <w:t>）：</w:t>
      </w:r>
      <w:r>
        <w:rPr>
          <w:color w:val="000000"/>
          <w:sz w:val="24"/>
          <w:szCs w:val="20"/>
        </w:rPr>
        <w:t>______________</w:t>
      </w:r>
    </w:p>
    <w:p w14:paraId="1BA13505">
      <w:pPr>
        <w:autoSpaceDE w:val="0"/>
        <w:autoSpaceDN w:val="0"/>
        <w:adjustRightInd w:val="0"/>
        <w:snapToGrid w:val="0"/>
        <w:spacing w:line="360" w:lineRule="auto"/>
        <w:rPr>
          <w:color w:val="000000"/>
          <w:sz w:val="24"/>
          <w:lang w:val="zh-CN"/>
        </w:rPr>
      </w:pPr>
      <w:r>
        <w:rPr>
          <w:color w:val="000000"/>
          <w:sz w:val="24"/>
        </w:rPr>
        <w:t>日期：</w:t>
      </w:r>
      <w:r>
        <w:rPr>
          <w:color w:val="000000"/>
          <w:sz w:val="24"/>
          <w:szCs w:val="20"/>
        </w:rPr>
        <w:t>____</w:t>
      </w:r>
      <w:r>
        <w:rPr>
          <w:color w:val="000000"/>
          <w:sz w:val="24"/>
        </w:rPr>
        <w:t>年</w:t>
      </w:r>
      <w:r>
        <w:rPr>
          <w:color w:val="000000"/>
          <w:sz w:val="24"/>
          <w:szCs w:val="20"/>
        </w:rPr>
        <w:t>____</w:t>
      </w:r>
      <w:r>
        <w:rPr>
          <w:color w:val="000000"/>
          <w:sz w:val="24"/>
        </w:rPr>
        <w:t>月</w:t>
      </w:r>
      <w:r>
        <w:rPr>
          <w:color w:val="000000"/>
          <w:sz w:val="24"/>
          <w:szCs w:val="20"/>
        </w:rPr>
        <w:t>____</w:t>
      </w:r>
      <w:r>
        <w:rPr>
          <w:color w:val="000000"/>
          <w:sz w:val="24"/>
        </w:rPr>
        <w:t>日</w:t>
      </w:r>
    </w:p>
    <w:p w14:paraId="0FB29907">
      <w:pPr>
        <w:tabs>
          <w:tab w:val="left" w:pos="5580"/>
        </w:tabs>
        <w:spacing w:line="360" w:lineRule="auto"/>
        <w:ind w:firstLine="480" w:firstLineChars="200"/>
        <w:rPr>
          <w:color w:val="000000"/>
          <w:sz w:val="24"/>
          <w:szCs w:val="20"/>
        </w:rPr>
      </w:pPr>
    </w:p>
    <w:p w14:paraId="284241F5">
      <w:pPr>
        <w:tabs>
          <w:tab w:val="left" w:pos="5580"/>
        </w:tabs>
        <w:spacing w:line="360" w:lineRule="auto"/>
        <w:rPr>
          <w:color w:val="000000"/>
          <w:sz w:val="24"/>
          <w:szCs w:val="20"/>
        </w:rPr>
      </w:pPr>
      <w:r>
        <w:rPr>
          <w:rFonts w:hint="eastAsia"/>
          <w:color w:val="000000"/>
          <w:sz w:val="24"/>
          <w:szCs w:val="20"/>
        </w:rPr>
        <w:t>附：</w:t>
      </w:r>
      <w:r>
        <w:rPr>
          <w:color w:val="000000"/>
          <w:sz w:val="24"/>
          <w:szCs w:val="20"/>
        </w:rPr>
        <w:t>法定代表人（单位负责人）有效期内的身份证：</w:t>
      </w:r>
    </w:p>
    <w:tbl>
      <w:tblPr>
        <w:tblStyle w:val="43"/>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60"/>
        <w:gridCol w:w="4261"/>
      </w:tblGrid>
      <w:tr w14:paraId="0AE5D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7" w:hRule="atLeast"/>
          <w:jc w:val="center"/>
        </w:trPr>
        <w:tc>
          <w:tcPr>
            <w:tcW w:w="2500" w:type="pct"/>
          </w:tcPr>
          <w:p w14:paraId="2716F63A">
            <w:pPr>
              <w:tabs>
                <w:tab w:val="left" w:pos="5580"/>
              </w:tabs>
              <w:spacing w:line="360" w:lineRule="auto"/>
              <w:rPr>
                <w:color w:val="000000"/>
                <w:sz w:val="24"/>
                <w:szCs w:val="20"/>
              </w:rPr>
            </w:pPr>
          </w:p>
          <w:p w14:paraId="0A0B51C1">
            <w:pPr>
              <w:tabs>
                <w:tab w:val="left" w:pos="5580"/>
              </w:tabs>
              <w:spacing w:line="360" w:lineRule="auto"/>
              <w:rPr>
                <w:color w:val="000000"/>
                <w:sz w:val="24"/>
                <w:szCs w:val="20"/>
              </w:rPr>
            </w:pPr>
          </w:p>
        </w:tc>
        <w:tc>
          <w:tcPr>
            <w:tcW w:w="2500" w:type="pct"/>
          </w:tcPr>
          <w:p w14:paraId="0D5A4795">
            <w:pPr>
              <w:tabs>
                <w:tab w:val="left" w:pos="5580"/>
              </w:tabs>
              <w:spacing w:line="360" w:lineRule="auto"/>
              <w:rPr>
                <w:color w:val="000000"/>
                <w:sz w:val="24"/>
                <w:szCs w:val="20"/>
              </w:rPr>
            </w:pPr>
          </w:p>
          <w:p w14:paraId="1FC43E50">
            <w:pPr>
              <w:tabs>
                <w:tab w:val="left" w:pos="5580"/>
              </w:tabs>
              <w:spacing w:line="360" w:lineRule="auto"/>
              <w:rPr>
                <w:color w:val="000000"/>
                <w:sz w:val="24"/>
                <w:szCs w:val="20"/>
              </w:rPr>
            </w:pPr>
          </w:p>
          <w:p w14:paraId="2F52AEE0">
            <w:pPr>
              <w:tabs>
                <w:tab w:val="left" w:pos="5580"/>
              </w:tabs>
              <w:spacing w:line="360" w:lineRule="auto"/>
              <w:rPr>
                <w:color w:val="000000"/>
                <w:sz w:val="24"/>
                <w:szCs w:val="20"/>
              </w:rPr>
            </w:pPr>
          </w:p>
        </w:tc>
      </w:tr>
    </w:tbl>
    <w:p w14:paraId="6AA9C8E5">
      <w:pPr>
        <w:tabs>
          <w:tab w:val="left" w:pos="5580"/>
        </w:tabs>
        <w:spacing w:line="360" w:lineRule="auto"/>
        <w:rPr>
          <w:color w:val="000000"/>
          <w:sz w:val="24"/>
          <w:szCs w:val="20"/>
        </w:rPr>
      </w:pPr>
      <w:r>
        <w:rPr>
          <w:color w:val="000000"/>
          <w:sz w:val="24"/>
          <w:szCs w:val="20"/>
        </w:rPr>
        <w:t>委托代理人有效期内的身份证：</w:t>
      </w:r>
    </w:p>
    <w:tbl>
      <w:tblPr>
        <w:tblStyle w:val="43"/>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60"/>
        <w:gridCol w:w="4261"/>
      </w:tblGrid>
      <w:tr w14:paraId="72F23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7" w:hRule="atLeast"/>
          <w:jc w:val="center"/>
        </w:trPr>
        <w:tc>
          <w:tcPr>
            <w:tcW w:w="2500" w:type="pct"/>
          </w:tcPr>
          <w:p w14:paraId="78FB8D85">
            <w:pPr>
              <w:tabs>
                <w:tab w:val="left" w:pos="5580"/>
              </w:tabs>
              <w:spacing w:line="360" w:lineRule="auto"/>
              <w:rPr>
                <w:color w:val="000000"/>
                <w:sz w:val="24"/>
                <w:szCs w:val="20"/>
              </w:rPr>
            </w:pPr>
          </w:p>
          <w:p w14:paraId="59840852">
            <w:pPr>
              <w:tabs>
                <w:tab w:val="left" w:pos="5580"/>
              </w:tabs>
              <w:spacing w:line="360" w:lineRule="auto"/>
              <w:rPr>
                <w:color w:val="000000"/>
                <w:sz w:val="24"/>
                <w:szCs w:val="20"/>
              </w:rPr>
            </w:pPr>
          </w:p>
        </w:tc>
        <w:tc>
          <w:tcPr>
            <w:tcW w:w="2500" w:type="pct"/>
          </w:tcPr>
          <w:p w14:paraId="062C6DE2">
            <w:pPr>
              <w:tabs>
                <w:tab w:val="left" w:pos="5580"/>
              </w:tabs>
              <w:spacing w:line="360" w:lineRule="auto"/>
              <w:rPr>
                <w:color w:val="000000"/>
                <w:sz w:val="24"/>
                <w:szCs w:val="20"/>
              </w:rPr>
            </w:pPr>
          </w:p>
          <w:p w14:paraId="51A6DA84">
            <w:pPr>
              <w:tabs>
                <w:tab w:val="left" w:pos="5580"/>
              </w:tabs>
              <w:spacing w:line="360" w:lineRule="auto"/>
              <w:rPr>
                <w:color w:val="000000"/>
                <w:sz w:val="24"/>
                <w:szCs w:val="20"/>
              </w:rPr>
            </w:pPr>
          </w:p>
          <w:p w14:paraId="5A4E2575">
            <w:pPr>
              <w:tabs>
                <w:tab w:val="left" w:pos="5580"/>
              </w:tabs>
              <w:spacing w:line="360" w:lineRule="auto"/>
              <w:rPr>
                <w:color w:val="000000"/>
                <w:sz w:val="24"/>
                <w:szCs w:val="20"/>
              </w:rPr>
            </w:pPr>
          </w:p>
        </w:tc>
      </w:tr>
    </w:tbl>
    <w:p w14:paraId="4830CA50">
      <w:pPr>
        <w:tabs>
          <w:tab w:val="left" w:pos="5580"/>
        </w:tabs>
        <w:spacing w:line="360" w:lineRule="auto"/>
        <w:jc w:val="left"/>
        <w:rPr>
          <w:color w:val="000000"/>
          <w:sz w:val="24"/>
          <w:szCs w:val="20"/>
        </w:rPr>
      </w:pPr>
    </w:p>
    <w:p w14:paraId="7536526A">
      <w:pPr>
        <w:tabs>
          <w:tab w:val="left" w:pos="5580"/>
        </w:tabs>
        <w:spacing w:line="360" w:lineRule="auto"/>
        <w:jc w:val="left"/>
        <w:rPr>
          <w:color w:val="000000"/>
          <w:sz w:val="24"/>
          <w:szCs w:val="20"/>
        </w:rPr>
      </w:pPr>
      <w:r>
        <w:rPr>
          <w:color w:val="000000"/>
          <w:sz w:val="24"/>
          <w:szCs w:val="20"/>
        </w:rPr>
        <w:t>说明：</w:t>
      </w:r>
    </w:p>
    <w:p w14:paraId="192BE2E5">
      <w:pPr>
        <w:tabs>
          <w:tab w:val="left" w:pos="5580"/>
        </w:tabs>
        <w:spacing w:line="360" w:lineRule="auto"/>
        <w:jc w:val="left"/>
        <w:rPr>
          <w:color w:val="000000"/>
          <w:sz w:val="24"/>
          <w:szCs w:val="20"/>
        </w:rPr>
      </w:pPr>
      <w:r>
        <w:rPr>
          <w:color w:val="000000"/>
          <w:sz w:val="24"/>
          <w:szCs w:val="20"/>
        </w:rPr>
        <w:t>1.若供应商为事业单位或其他组织或分支机构（仅当磋商文件注明允许分支机构响应的），则法定代表人（单位负责人）处的签署人可为单位负责人。</w:t>
      </w:r>
    </w:p>
    <w:p w14:paraId="4FA059CA">
      <w:pPr>
        <w:tabs>
          <w:tab w:val="left" w:pos="5580"/>
        </w:tabs>
        <w:spacing w:line="360" w:lineRule="auto"/>
        <w:jc w:val="left"/>
        <w:rPr>
          <w:color w:val="000000"/>
          <w:sz w:val="24"/>
          <w:szCs w:val="20"/>
        </w:rPr>
      </w:pPr>
      <w:r>
        <w:rPr>
          <w:color w:val="000000"/>
          <w:sz w:val="24"/>
          <w:szCs w:val="20"/>
        </w:rPr>
        <w:t>2.若响应文件中签字之处均为法定代表人（单位负责人）本人签署，则可不提供本《授权委托书》，但须提供《法定代表人（单位负责人）身份证明》（实质性格式）。</w:t>
      </w:r>
    </w:p>
    <w:p w14:paraId="7EDC7E31">
      <w:pPr>
        <w:tabs>
          <w:tab w:val="left" w:pos="5580"/>
        </w:tabs>
        <w:spacing w:line="360" w:lineRule="auto"/>
        <w:jc w:val="left"/>
        <w:rPr>
          <w:color w:val="000000"/>
          <w:sz w:val="30"/>
          <w:szCs w:val="30"/>
        </w:rPr>
      </w:pPr>
      <w:r>
        <w:rPr>
          <w:color w:val="000000"/>
          <w:sz w:val="24"/>
          <w:szCs w:val="20"/>
        </w:rPr>
        <w:t>3.供应商为自然人的情形，可不提供本《授权委托书》。</w:t>
      </w:r>
      <w:r>
        <w:rPr>
          <w:color w:val="000000"/>
          <w:sz w:val="30"/>
          <w:szCs w:val="30"/>
        </w:rPr>
        <w:br w:type="page"/>
      </w:r>
    </w:p>
    <w:p w14:paraId="7FB20BDB">
      <w:pPr>
        <w:autoSpaceDE w:val="0"/>
        <w:autoSpaceDN w:val="0"/>
        <w:adjustRightInd w:val="0"/>
        <w:spacing w:line="360" w:lineRule="auto"/>
        <w:jc w:val="center"/>
        <w:rPr>
          <w:b/>
          <w:color w:val="000000"/>
          <w:sz w:val="36"/>
          <w:szCs w:val="36"/>
        </w:rPr>
      </w:pPr>
      <w:r>
        <w:rPr>
          <w:b/>
          <w:color w:val="000000"/>
          <w:sz w:val="36"/>
          <w:szCs w:val="36"/>
        </w:rPr>
        <w:t>法定代表人（单位负责人）身份证明</w:t>
      </w:r>
    </w:p>
    <w:p w14:paraId="55EE1685">
      <w:pPr>
        <w:kinsoku w:val="0"/>
        <w:overflowPunct w:val="0"/>
        <w:spacing w:line="200" w:lineRule="exact"/>
        <w:rPr>
          <w:sz w:val="20"/>
          <w:szCs w:val="20"/>
        </w:rPr>
      </w:pPr>
    </w:p>
    <w:p w14:paraId="0AD1F87E">
      <w:pPr>
        <w:tabs>
          <w:tab w:val="left" w:pos="5580"/>
        </w:tabs>
        <w:spacing w:line="360" w:lineRule="auto"/>
        <w:rPr>
          <w:color w:val="000000"/>
          <w:sz w:val="24"/>
        </w:rPr>
      </w:pPr>
      <w:r>
        <w:rPr>
          <w:color w:val="000000"/>
          <w:sz w:val="24"/>
        </w:rPr>
        <w:t>致：</w:t>
      </w:r>
      <w:r>
        <w:rPr>
          <w:color w:val="000000"/>
          <w:sz w:val="24"/>
          <w:szCs w:val="20"/>
          <w:u w:val="single"/>
        </w:rPr>
        <w:t>中国音乐学院</w:t>
      </w:r>
      <w:r>
        <w:rPr>
          <w:color w:val="000000"/>
          <w:sz w:val="24"/>
        </w:rPr>
        <w:t>（采购人或采购代理机构）</w:t>
      </w:r>
    </w:p>
    <w:p w14:paraId="4C089D88">
      <w:pPr>
        <w:pStyle w:val="18"/>
        <w:tabs>
          <w:tab w:val="left" w:pos="2412"/>
          <w:tab w:val="left" w:pos="3883"/>
          <w:tab w:val="left" w:pos="5352"/>
          <w:tab w:val="left" w:pos="6821"/>
        </w:tabs>
        <w:kinsoku w:val="0"/>
        <w:overflowPunct w:val="0"/>
        <w:spacing w:line="335" w:lineRule="exact"/>
        <w:ind w:firstLine="480" w:firstLineChars="200"/>
        <w:rPr>
          <w:rFonts w:ascii="Times New Roman" w:hAnsi="Times New Roman"/>
        </w:rPr>
      </w:pPr>
      <w:r>
        <w:rPr>
          <w:rFonts w:ascii="Times New Roman" w:hAnsi="Times New Roman"/>
        </w:rPr>
        <w:t>兹证明，</w:t>
      </w:r>
    </w:p>
    <w:p w14:paraId="248060A3">
      <w:pPr>
        <w:pStyle w:val="18"/>
        <w:tabs>
          <w:tab w:val="left" w:pos="1690"/>
          <w:tab w:val="left" w:pos="3400"/>
          <w:tab w:val="left" w:pos="5110"/>
          <w:tab w:val="left" w:pos="6821"/>
        </w:tabs>
        <w:kinsoku w:val="0"/>
        <w:overflowPunct w:val="0"/>
        <w:spacing w:line="335" w:lineRule="exact"/>
        <w:rPr>
          <w:rFonts w:ascii="Times New Roman" w:hAnsi="Times New Roman"/>
        </w:rPr>
      </w:pPr>
      <w:r>
        <w:rPr>
          <w:rFonts w:ascii="Times New Roman" w:hAnsi="Times New Roman"/>
        </w:rPr>
        <w:t>姓名：</w:t>
      </w:r>
      <w:r>
        <w:rPr>
          <w:rFonts w:ascii="Times New Roman" w:hAnsi="Times New Roman"/>
          <w:color w:val="000000"/>
          <w:szCs w:val="20"/>
        </w:rPr>
        <w:t>____</w:t>
      </w:r>
      <w:r>
        <w:rPr>
          <w:rFonts w:ascii="Times New Roman" w:hAnsi="Times New Roman"/>
        </w:rPr>
        <w:t>性别：</w:t>
      </w:r>
      <w:r>
        <w:rPr>
          <w:rFonts w:ascii="Times New Roman" w:hAnsi="Times New Roman"/>
          <w:color w:val="000000"/>
          <w:szCs w:val="20"/>
        </w:rPr>
        <w:t>____</w:t>
      </w:r>
      <w:r>
        <w:rPr>
          <w:rFonts w:ascii="Times New Roman" w:hAnsi="Times New Roman"/>
        </w:rPr>
        <w:t>年龄：</w:t>
      </w:r>
      <w:r>
        <w:rPr>
          <w:rFonts w:ascii="Times New Roman" w:hAnsi="Times New Roman"/>
          <w:color w:val="000000"/>
          <w:szCs w:val="20"/>
        </w:rPr>
        <w:t>____</w:t>
      </w:r>
      <w:r>
        <w:rPr>
          <w:rFonts w:ascii="Times New Roman" w:hAnsi="Times New Roman"/>
        </w:rPr>
        <w:t>职务：</w:t>
      </w:r>
      <w:r>
        <w:rPr>
          <w:rFonts w:ascii="Times New Roman" w:hAnsi="Times New Roman"/>
          <w:color w:val="000000"/>
          <w:szCs w:val="20"/>
        </w:rPr>
        <w:t>____</w:t>
      </w:r>
    </w:p>
    <w:p w14:paraId="24B6DA09">
      <w:pPr>
        <w:pStyle w:val="18"/>
        <w:tabs>
          <w:tab w:val="left" w:pos="2412"/>
          <w:tab w:val="left" w:pos="3883"/>
          <w:tab w:val="left" w:pos="5352"/>
          <w:tab w:val="left" w:pos="6821"/>
        </w:tabs>
        <w:kinsoku w:val="0"/>
        <w:overflowPunct w:val="0"/>
        <w:spacing w:line="335" w:lineRule="exact"/>
        <w:rPr>
          <w:rFonts w:ascii="Times New Roman" w:hAnsi="Times New Roman"/>
        </w:rPr>
      </w:pPr>
    </w:p>
    <w:p w14:paraId="1E8EB4CC">
      <w:pPr>
        <w:pStyle w:val="18"/>
        <w:tabs>
          <w:tab w:val="left" w:pos="2250"/>
          <w:tab w:val="left" w:pos="2412"/>
          <w:tab w:val="left" w:pos="3883"/>
          <w:tab w:val="left" w:pos="5352"/>
          <w:tab w:val="left" w:pos="6821"/>
          <w:tab w:val="clear" w:pos="567"/>
        </w:tabs>
        <w:kinsoku w:val="0"/>
        <w:overflowPunct w:val="0"/>
        <w:spacing w:line="335" w:lineRule="exact"/>
        <w:rPr>
          <w:rFonts w:ascii="Times New Roman" w:hAnsi="Times New Roman"/>
        </w:rPr>
      </w:pPr>
      <w:r>
        <w:rPr>
          <w:rFonts w:ascii="Times New Roman" w:hAnsi="Times New Roman"/>
        </w:rPr>
        <w:t>系</w:t>
      </w:r>
      <w:r>
        <w:rPr>
          <w:rFonts w:ascii="Times New Roman" w:hAnsi="Times New Roman"/>
          <w:color w:val="000000"/>
          <w:szCs w:val="20"/>
        </w:rPr>
        <w:t>__________</w:t>
      </w:r>
      <w:r>
        <w:rPr>
          <w:rFonts w:ascii="Times New Roman" w:hAnsi="Times New Roman"/>
        </w:rPr>
        <w:t>（供应商名称）的法定代表人（单位负责人）。</w:t>
      </w:r>
    </w:p>
    <w:p w14:paraId="0E30670F">
      <w:pPr>
        <w:pStyle w:val="18"/>
        <w:tabs>
          <w:tab w:val="left" w:pos="2412"/>
          <w:tab w:val="left" w:pos="3883"/>
          <w:tab w:val="left" w:pos="5352"/>
          <w:tab w:val="left" w:pos="6821"/>
        </w:tabs>
        <w:kinsoku w:val="0"/>
        <w:overflowPunct w:val="0"/>
        <w:spacing w:line="335" w:lineRule="exact"/>
        <w:rPr>
          <w:rFonts w:ascii="Times New Roman" w:hAnsi="Times New Roman"/>
        </w:rPr>
      </w:pPr>
    </w:p>
    <w:p w14:paraId="5544ADE6">
      <w:pPr>
        <w:pStyle w:val="18"/>
        <w:tabs>
          <w:tab w:val="left" w:pos="2412"/>
          <w:tab w:val="left" w:pos="3883"/>
          <w:tab w:val="left" w:pos="5352"/>
          <w:tab w:val="left" w:pos="6821"/>
        </w:tabs>
        <w:kinsoku w:val="0"/>
        <w:overflowPunct w:val="0"/>
        <w:spacing w:line="335" w:lineRule="exact"/>
        <w:rPr>
          <w:rFonts w:ascii="Times New Roman" w:hAnsi="Times New Roman"/>
        </w:rPr>
      </w:pPr>
    </w:p>
    <w:p w14:paraId="06440298">
      <w:pPr>
        <w:pStyle w:val="18"/>
        <w:kinsoku w:val="0"/>
        <w:overflowPunct w:val="0"/>
        <w:spacing w:line="583" w:lineRule="auto"/>
        <w:ind w:right="-46"/>
        <w:rPr>
          <w:rFonts w:hint="eastAsia"/>
          <w:color w:val="000000"/>
          <w:szCs w:val="20"/>
        </w:rPr>
      </w:pPr>
      <w:r>
        <w:rPr>
          <w:rFonts w:hint="eastAsia"/>
          <w:color w:val="000000"/>
          <w:szCs w:val="20"/>
        </w:rPr>
        <w:t>附：</w:t>
      </w:r>
      <w:r>
        <w:rPr>
          <w:color w:val="000000"/>
          <w:szCs w:val="20"/>
        </w:rPr>
        <w:t>法定代表人（单位负责人）有效期内的身份证：</w:t>
      </w:r>
    </w:p>
    <w:tbl>
      <w:tblPr>
        <w:tblStyle w:val="43"/>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60"/>
        <w:gridCol w:w="4261"/>
      </w:tblGrid>
      <w:tr w14:paraId="2E7CB4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1" w:hRule="atLeast"/>
          <w:jc w:val="center"/>
        </w:trPr>
        <w:tc>
          <w:tcPr>
            <w:tcW w:w="2500" w:type="pct"/>
          </w:tcPr>
          <w:p w14:paraId="5A993672">
            <w:pPr>
              <w:pStyle w:val="18"/>
              <w:kinsoku w:val="0"/>
              <w:overflowPunct w:val="0"/>
              <w:spacing w:line="583" w:lineRule="auto"/>
              <w:ind w:right="4305"/>
              <w:rPr>
                <w:rFonts w:ascii="Times New Roman" w:hAnsi="Times New Roman"/>
                <w:spacing w:val="-3"/>
              </w:rPr>
            </w:pPr>
          </w:p>
          <w:p w14:paraId="4AB3B57B">
            <w:pPr>
              <w:pStyle w:val="18"/>
              <w:kinsoku w:val="0"/>
              <w:overflowPunct w:val="0"/>
              <w:spacing w:line="583" w:lineRule="auto"/>
              <w:ind w:right="4305"/>
              <w:rPr>
                <w:rFonts w:ascii="Times New Roman" w:hAnsi="Times New Roman"/>
                <w:spacing w:val="-3"/>
              </w:rPr>
            </w:pPr>
          </w:p>
          <w:p w14:paraId="01BE8D7D">
            <w:pPr>
              <w:pStyle w:val="18"/>
              <w:kinsoku w:val="0"/>
              <w:overflowPunct w:val="0"/>
              <w:spacing w:line="583" w:lineRule="auto"/>
              <w:ind w:right="4305"/>
              <w:rPr>
                <w:rFonts w:ascii="Times New Roman" w:hAnsi="Times New Roman"/>
                <w:spacing w:val="-3"/>
              </w:rPr>
            </w:pPr>
          </w:p>
        </w:tc>
        <w:tc>
          <w:tcPr>
            <w:tcW w:w="2500" w:type="pct"/>
          </w:tcPr>
          <w:p w14:paraId="3D758692">
            <w:pPr>
              <w:pStyle w:val="18"/>
              <w:kinsoku w:val="0"/>
              <w:overflowPunct w:val="0"/>
              <w:spacing w:line="583" w:lineRule="auto"/>
              <w:ind w:right="4305"/>
              <w:rPr>
                <w:rFonts w:ascii="Times New Roman" w:hAnsi="Times New Roman"/>
                <w:spacing w:val="-3"/>
              </w:rPr>
            </w:pPr>
          </w:p>
          <w:p w14:paraId="64FACBA9">
            <w:pPr>
              <w:pStyle w:val="18"/>
              <w:kinsoku w:val="0"/>
              <w:overflowPunct w:val="0"/>
              <w:spacing w:line="583" w:lineRule="auto"/>
              <w:ind w:right="4305"/>
              <w:rPr>
                <w:rFonts w:ascii="Times New Roman" w:hAnsi="Times New Roman"/>
                <w:spacing w:val="-3"/>
              </w:rPr>
            </w:pPr>
          </w:p>
          <w:p w14:paraId="344241F8">
            <w:pPr>
              <w:pStyle w:val="18"/>
              <w:kinsoku w:val="0"/>
              <w:overflowPunct w:val="0"/>
              <w:spacing w:line="583" w:lineRule="auto"/>
              <w:ind w:right="4305"/>
              <w:rPr>
                <w:rFonts w:ascii="Times New Roman" w:hAnsi="Times New Roman"/>
                <w:spacing w:val="-3"/>
              </w:rPr>
            </w:pPr>
          </w:p>
        </w:tc>
      </w:tr>
    </w:tbl>
    <w:p w14:paraId="27E49B27">
      <w:pPr>
        <w:pStyle w:val="18"/>
        <w:kinsoku w:val="0"/>
        <w:overflowPunct w:val="0"/>
        <w:spacing w:line="583" w:lineRule="auto"/>
        <w:ind w:right="4305"/>
        <w:rPr>
          <w:rFonts w:ascii="Times New Roman" w:hAnsi="Times New Roman"/>
          <w:spacing w:val="-3"/>
        </w:rPr>
      </w:pPr>
    </w:p>
    <w:p w14:paraId="1ADD92F6">
      <w:pPr>
        <w:autoSpaceDE w:val="0"/>
        <w:autoSpaceDN w:val="0"/>
        <w:adjustRightInd w:val="0"/>
        <w:snapToGrid w:val="0"/>
        <w:spacing w:line="360" w:lineRule="auto"/>
        <w:rPr>
          <w:color w:val="000000"/>
          <w:sz w:val="24"/>
          <w:lang w:val="zh-CN"/>
        </w:rPr>
      </w:pPr>
      <w:r>
        <w:rPr>
          <w:color w:val="000000"/>
          <w:sz w:val="24"/>
        </w:rPr>
        <w:t>供应商名称（加盖公章）</w:t>
      </w:r>
      <w:r>
        <w:rPr>
          <w:color w:val="000000"/>
          <w:sz w:val="24"/>
          <w:lang w:val="zh-CN"/>
        </w:rPr>
        <w:t>：</w:t>
      </w:r>
      <w:r>
        <w:rPr>
          <w:sz w:val="24"/>
        </w:rPr>
        <w:t>______</w:t>
      </w:r>
    </w:p>
    <w:p w14:paraId="7304D978">
      <w:pPr>
        <w:autoSpaceDE w:val="0"/>
        <w:autoSpaceDN w:val="0"/>
        <w:adjustRightInd w:val="0"/>
        <w:snapToGrid w:val="0"/>
        <w:spacing w:line="360" w:lineRule="auto"/>
        <w:rPr>
          <w:color w:val="000000"/>
          <w:sz w:val="24"/>
          <w:lang w:val="zh-CN"/>
        </w:rPr>
      </w:pPr>
      <w:r>
        <w:rPr>
          <w:spacing w:val="-3"/>
          <w:sz w:val="24"/>
        </w:rPr>
        <w:t>法定代表人（</w:t>
      </w:r>
      <w:r>
        <w:rPr>
          <w:sz w:val="24"/>
        </w:rPr>
        <w:t>单位负责人</w:t>
      </w:r>
      <w:r>
        <w:rPr>
          <w:spacing w:val="-3"/>
          <w:sz w:val="24"/>
        </w:rPr>
        <w:t>）（</w:t>
      </w:r>
      <w:r>
        <w:rPr>
          <w:rFonts w:hint="eastAsia"/>
          <w:spacing w:val="-3"/>
          <w:sz w:val="24"/>
        </w:rPr>
        <w:t>签字或盖章</w:t>
      </w:r>
      <w:r>
        <w:rPr>
          <w:spacing w:val="-3"/>
          <w:sz w:val="24"/>
        </w:rPr>
        <w:t>）：</w:t>
      </w:r>
      <w:r>
        <w:rPr>
          <w:sz w:val="24"/>
        </w:rPr>
        <w:t>______</w:t>
      </w:r>
    </w:p>
    <w:p w14:paraId="634AF4B7">
      <w:pPr>
        <w:autoSpaceDE w:val="0"/>
        <w:autoSpaceDN w:val="0"/>
        <w:adjustRightInd w:val="0"/>
        <w:snapToGrid w:val="0"/>
        <w:spacing w:line="360" w:lineRule="auto"/>
        <w:rPr>
          <w:color w:val="000000"/>
          <w:sz w:val="24"/>
          <w:lang w:val="zh-CN"/>
        </w:rPr>
      </w:pPr>
      <w:r>
        <w:rPr>
          <w:color w:val="000000"/>
          <w:sz w:val="24"/>
        </w:rPr>
        <w:t>日期：</w:t>
      </w:r>
      <w:r>
        <w:rPr>
          <w:color w:val="000000"/>
          <w:sz w:val="24"/>
          <w:szCs w:val="20"/>
        </w:rPr>
        <w:t>____年____月____日</w:t>
      </w:r>
    </w:p>
    <w:p w14:paraId="5ECF97E0">
      <w:pPr>
        <w:widowControl/>
        <w:jc w:val="left"/>
        <w:rPr>
          <w:i/>
          <w:color w:val="000000"/>
          <w:sz w:val="24"/>
          <w:szCs w:val="20"/>
          <w:u w:val="single"/>
        </w:rPr>
      </w:pPr>
    </w:p>
    <w:p w14:paraId="1FC361AA">
      <w:pPr>
        <w:widowControl/>
        <w:jc w:val="left"/>
        <w:outlineLvl w:val="1"/>
        <w:rPr>
          <w:sz w:val="24"/>
        </w:rPr>
      </w:pPr>
      <w:r>
        <w:rPr>
          <w:color w:val="000000"/>
          <w:sz w:val="24"/>
          <w:szCs w:val="20"/>
        </w:rPr>
        <w:br w:type="page"/>
      </w:r>
      <w:r>
        <w:rPr>
          <w:sz w:val="24"/>
        </w:rPr>
        <w:t>7  报价一览表</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p w14:paraId="7F9C277C">
      <w:pPr>
        <w:spacing w:line="360" w:lineRule="exact"/>
        <w:jc w:val="center"/>
        <w:rPr>
          <w:b/>
          <w:color w:val="000000"/>
          <w:sz w:val="36"/>
          <w:szCs w:val="36"/>
        </w:rPr>
      </w:pPr>
      <w:bookmarkStart w:id="729" w:name="_Toc265228396"/>
      <w:bookmarkStart w:id="730" w:name="_Toc305158826"/>
      <w:bookmarkStart w:id="731" w:name="_Toc264969248"/>
      <w:bookmarkStart w:id="732" w:name="_Toc164608672"/>
      <w:bookmarkStart w:id="733" w:name="_Toc226309802"/>
      <w:bookmarkStart w:id="734" w:name="_Toc226337254"/>
      <w:bookmarkStart w:id="735" w:name="_Toc226965831"/>
      <w:bookmarkStart w:id="736" w:name="_Toc195842923"/>
      <w:bookmarkStart w:id="737" w:name="_Toc226965748"/>
      <w:bookmarkStart w:id="738" w:name="_Toc164608827"/>
      <w:bookmarkStart w:id="739" w:name="_Toc305158900"/>
      <w:r>
        <w:rPr>
          <w:b/>
          <w:color w:val="000000"/>
          <w:sz w:val="36"/>
          <w:szCs w:val="36"/>
        </w:rPr>
        <w:t>报价一览表</w:t>
      </w:r>
      <w:bookmarkEnd w:id="729"/>
      <w:bookmarkEnd w:id="730"/>
      <w:bookmarkEnd w:id="731"/>
      <w:bookmarkEnd w:id="732"/>
      <w:bookmarkEnd w:id="733"/>
      <w:bookmarkEnd w:id="734"/>
      <w:bookmarkEnd w:id="735"/>
      <w:bookmarkEnd w:id="736"/>
      <w:bookmarkEnd w:id="737"/>
      <w:bookmarkEnd w:id="738"/>
      <w:bookmarkEnd w:id="739"/>
    </w:p>
    <w:p w14:paraId="6B9D9A80">
      <w:pPr>
        <w:tabs>
          <w:tab w:val="left" w:pos="1800"/>
          <w:tab w:val="left" w:pos="5580"/>
        </w:tabs>
        <w:spacing w:line="360" w:lineRule="auto"/>
        <w:jc w:val="left"/>
        <w:rPr>
          <w:color w:val="000000"/>
          <w:sz w:val="24"/>
        </w:rPr>
      </w:pPr>
    </w:p>
    <w:p w14:paraId="1FDC48D0">
      <w:pPr>
        <w:tabs>
          <w:tab w:val="left" w:pos="1800"/>
          <w:tab w:val="left" w:pos="5580"/>
        </w:tabs>
        <w:spacing w:line="360" w:lineRule="auto"/>
        <w:ind w:firstLine="240" w:firstLineChars="100"/>
        <w:jc w:val="left"/>
        <w:rPr>
          <w:color w:val="000000"/>
          <w:sz w:val="24"/>
          <w:u w:val="single"/>
        </w:rPr>
      </w:pPr>
      <w:r>
        <w:rPr>
          <w:color w:val="000000"/>
          <w:sz w:val="24"/>
        </w:rPr>
        <w:t>项目编号：</w:t>
      </w:r>
      <w:r>
        <w:rPr>
          <w:sz w:val="24"/>
        </w:rPr>
        <w:t>___________</w:t>
      </w:r>
      <w:r>
        <w:rPr>
          <w:color w:val="000000"/>
          <w:sz w:val="24"/>
        </w:rPr>
        <w:t xml:space="preserve">     项目名称：</w:t>
      </w:r>
      <w:r>
        <w:rPr>
          <w:sz w:val="24"/>
        </w:rPr>
        <w:t>___________</w:t>
      </w:r>
      <w:r>
        <w:rPr>
          <w:rFonts w:hint="eastAsia"/>
          <w:color w:val="000000"/>
          <w:sz w:val="24"/>
        </w:rPr>
        <w:t xml:space="preserve">   </w:t>
      </w:r>
      <w:r>
        <w:rPr>
          <w:color w:val="000000"/>
          <w:sz w:val="24"/>
        </w:rPr>
        <w:t>报价单位：人民币元</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25"/>
        <w:gridCol w:w="3259"/>
        <w:gridCol w:w="2061"/>
        <w:gridCol w:w="2169"/>
      </w:tblGrid>
      <w:tr w14:paraId="44D2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96" w:type="pct"/>
            <w:vMerge w:val="restart"/>
            <w:tcBorders>
              <w:top w:val="single" w:color="auto" w:sz="4" w:space="0"/>
              <w:left w:val="single" w:color="auto" w:sz="4" w:space="0"/>
              <w:bottom w:val="single" w:color="auto" w:sz="4" w:space="0"/>
              <w:right w:val="single" w:color="auto" w:sz="4" w:space="0"/>
            </w:tcBorders>
            <w:vAlign w:val="center"/>
          </w:tcPr>
          <w:p w14:paraId="59EAFEE7">
            <w:pPr>
              <w:tabs>
                <w:tab w:val="left" w:pos="5580"/>
              </w:tabs>
              <w:jc w:val="center"/>
              <w:rPr>
                <w:b/>
                <w:sz w:val="24"/>
              </w:rPr>
            </w:pPr>
            <w:r>
              <w:rPr>
                <w:b/>
                <w:sz w:val="24"/>
              </w:rPr>
              <w:t>包号</w:t>
            </w:r>
          </w:p>
        </w:tc>
        <w:tc>
          <w:tcPr>
            <w:tcW w:w="1959" w:type="pct"/>
            <w:vMerge w:val="restart"/>
            <w:tcBorders>
              <w:top w:val="single" w:color="auto" w:sz="4" w:space="0"/>
              <w:left w:val="single" w:color="auto" w:sz="4" w:space="0"/>
              <w:bottom w:val="single" w:color="auto" w:sz="4" w:space="0"/>
              <w:right w:val="single" w:color="auto" w:sz="4" w:space="0"/>
            </w:tcBorders>
            <w:vAlign w:val="center"/>
          </w:tcPr>
          <w:p w14:paraId="144897D5">
            <w:pPr>
              <w:tabs>
                <w:tab w:val="left" w:pos="5580"/>
              </w:tabs>
              <w:jc w:val="center"/>
              <w:rPr>
                <w:b/>
                <w:sz w:val="24"/>
              </w:rPr>
            </w:pPr>
            <w:r>
              <w:rPr>
                <w:b/>
                <w:sz w:val="24"/>
              </w:rPr>
              <w:t>供应商名称</w:t>
            </w:r>
          </w:p>
        </w:tc>
        <w:tc>
          <w:tcPr>
            <w:tcW w:w="2543" w:type="pct"/>
            <w:gridSpan w:val="2"/>
            <w:tcBorders>
              <w:top w:val="single" w:color="auto" w:sz="4" w:space="0"/>
              <w:left w:val="single" w:color="auto" w:sz="4" w:space="0"/>
              <w:bottom w:val="single" w:color="auto" w:sz="4" w:space="0"/>
              <w:right w:val="single" w:color="auto" w:sz="4" w:space="0"/>
            </w:tcBorders>
            <w:vAlign w:val="center"/>
          </w:tcPr>
          <w:p w14:paraId="516CDBBB">
            <w:pPr>
              <w:tabs>
                <w:tab w:val="left" w:pos="5580"/>
              </w:tabs>
              <w:jc w:val="center"/>
              <w:rPr>
                <w:b/>
                <w:sz w:val="24"/>
              </w:rPr>
            </w:pPr>
            <w:r>
              <w:rPr>
                <w:b/>
                <w:sz w:val="24"/>
              </w:rPr>
              <w:t>报价</w:t>
            </w:r>
          </w:p>
        </w:tc>
      </w:tr>
      <w:tr w14:paraId="0333D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96" w:type="pct"/>
            <w:vMerge w:val="continue"/>
            <w:tcBorders>
              <w:top w:val="single" w:color="auto" w:sz="4" w:space="0"/>
              <w:left w:val="single" w:color="auto" w:sz="4" w:space="0"/>
              <w:bottom w:val="single" w:color="auto" w:sz="4" w:space="0"/>
              <w:right w:val="single" w:color="auto" w:sz="4" w:space="0"/>
            </w:tcBorders>
            <w:vAlign w:val="center"/>
          </w:tcPr>
          <w:p w14:paraId="2D9B846B">
            <w:pPr>
              <w:widowControl/>
              <w:jc w:val="left"/>
              <w:rPr>
                <w:b/>
                <w:sz w:val="24"/>
              </w:rPr>
            </w:pPr>
          </w:p>
        </w:tc>
        <w:tc>
          <w:tcPr>
            <w:tcW w:w="1959" w:type="pct"/>
            <w:vMerge w:val="continue"/>
            <w:tcBorders>
              <w:top w:val="single" w:color="auto" w:sz="4" w:space="0"/>
              <w:left w:val="single" w:color="auto" w:sz="4" w:space="0"/>
              <w:bottom w:val="single" w:color="auto" w:sz="4" w:space="0"/>
              <w:right w:val="single" w:color="auto" w:sz="4" w:space="0"/>
            </w:tcBorders>
            <w:vAlign w:val="center"/>
          </w:tcPr>
          <w:p w14:paraId="78B53FCB">
            <w:pPr>
              <w:widowControl/>
              <w:jc w:val="left"/>
              <w:rPr>
                <w:b/>
                <w:sz w:val="24"/>
              </w:rPr>
            </w:pPr>
          </w:p>
        </w:tc>
        <w:tc>
          <w:tcPr>
            <w:tcW w:w="1239" w:type="pct"/>
            <w:tcBorders>
              <w:top w:val="single" w:color="auto" w:sz="4" w:space="0"/>
              <w:left w:val="single" w:color="auto" w:sz="4" w:space="0"/>
              <w:bottom w:val="single" w:color="auto" w:sz="4" w:space="0"/>
              <w:right w:val="single" w:color="auto" w:sz="4" w:space="0"/>
            </w:tcBorders>
            <w:vAlign w:val="center"/>
          </w:tcPr>
          <w:p w14:paraId="7A8C89E2">
            <w:pPr>
              <w:tabs>
                <w:tab w:val="left" w:pos="5580"/>
              </w:tabs>
              <w:jc w:val="center"/>
              <w:rPr>
                <w:b/>
                <w:sz w:val="24"/>
              </w:rPr>
            </w:pPr>
            <w:r>
              <w:rPr>
                <w:b/>
                <w:sz w:val="24"/>
              </w:rPr>
              <w:t>大写</w:t>
            </w:r>
          </w:p>
        </w:tc>
        <w:tc>
          <w:tcPr>
            <w:tcW w:w="1304" w:type="pct"/>
            <w:tcBorders>
              <w:top w:val="single" w:color="auto" w:sz="4" w:space="0"/>
              <w:left w:val="single" w:color="auto" w:sz="4" w:space="0"/>
              <w:bottom w:val="single" w:color="auto" w:sz="4" w:space="0"/>
              <w:right w:val="single" w:color="auto" w:sz="4" w:space="0"/>
            </w:tcBorders>
            <w:vAlign w:val="center"/>
          </w:tcPr>
          <w:p w14:paraId="652F5FFB">
            <w:pPr>
              <w:tabs>
                <w:tab w:val="left" w:pos="5580"/>
              </w:tabs>
              <w:jc w:val="center"/>
              <w:rPr>
                <w:b/>
                <w:sz w:val="24"/>
              </w:rPr>
            </w:pPr>
            <w:r>
              <w:rPr>
                <w:b/>
                <w:sz w:val="24"/>
              </w:rPr>
              <w:t>小写</w:t>
            </w:r>
          </w:p>
        </w:tc>
      </w:tr>
      <w:tr w14:paraId="1DF69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96" w:type="pct"/>
            <w:tcBorders>
              <w:top w:val="single" w:color="auto" w:sz="4" w:space="0"/>
              <w:left w:val="single" w:color="auto" w:sz="4" w:space="0"/>
              <w:bottom w:val="single" w:color="auto" w:sz="4" w:space="0"/>
              <w:right w:val="single" w:color="auto" w:sz="4" w:space="0"/>
            </w:tcBorders>
            <w:vAlign w:val="center"/>
          </w:tcPr>
          <w:p w14:paraId="62FB29BB">
            <w:pPr>
              <w:tabs>
                <w:tab w:val="left" w:pos="5580"/>
              </w:tabs>
              <w:jc w:val="center"/>
              <w:rPr>
                <w:sz w:val="24"/>
              </w:rPr>
            </w:pPr>
            <w:r>
              <w:rPr>
                <w:rFonts w:hint="eastAsia"/>
                <w:sz w:val="24"/>
              </w:rPr>
              <w:t>01</w:t>
            </w:r>
          </w:p>
        </w:tc>
        <w:tc>
          <w:tcPr>
            <w:tcW w:w="1959" w:type="pct"/>
            <w:tcBorders>
              <w:top w:val="single" w:color="auto" w:sz="4" w:space="0"/>
              <w:left w:val="single" w:color="auto" w:sz="4" w:space="0"/>
              <w:bottom w:val="single" w:color="auto" w:sz="4" w:space="0"/>
              <w:right w:val="single" w:color="auto" w:sz="4" w:space="0"/>
            </w:tcBorders>
            <w:vAlign w:val="center"/>
          </w:tcPr>
          <w:p w14:paraId="50C190A3">
            <w:pPr>
              <w:tabs>
                <w:tab w:val="left" w:pos="5580"/>
              </w:tabs>
              <w:jc w:val="center"/>
              <w:rPr>
                <w:sz w:val="24"/>
              </w:rPr>
            </w:pPr>
          </w:p>
        </w:tc>
        <w:tc>
          <w:tcPr>
            <w:tcW w:w="1239" w:type="pct"/>
            <w:tcBorders>
              <w:top w:val="single" w:color="auto" w:sz="4" w:space="0"/>
              <w:left w:val="single" w:color="auto" w:sz="4" w:space="0"/>
              <w:bottom w:val="single" w:color="auto" w:sz="4" w:space="0"/>
              <w:right w:val="single" w:color="auto" w:sz="4" w:space="0"/>
            </w:tcBorders>
            <w:vAlign w:val="center"/>
          </w:tcPr>
          <w:p w14:paraId="6697D277">
            <w:pPr>
              <w:tabs>
                <w:tab w:val="left" w:pos="5580"/>
              </w:tabs>
              <w:jc w:val="center"/>
              <w:rPr>
                <w:sz w:val="24"/>
              </w:rPr>
            </w:pPr>
          </w:p>
        </w:tc>
        <w:tc>
          <w:tcPr>
            <w:tcW w:w="1304" w:type="pct"/>
            <w:tcBorders>
              <w:top w:val="single" w:color="auto" w:sz="4" w:space="0"/>
              <w:left w:val="single" w:color="auto" w:sz="4" w:space="0"/>
              <w:bottom w:val="single" w:color="auto" w:sz="4" w:space="0"/>
              <w:right w:val="single" w:color="auto" w:sz="4" w:space="0"/>
            </w:tcBorders>
            <w:vAlign w:val="center"/>
          </w:tcPr>
          <w:p w14:paraId="7099EC41">
            <w:pPr>
              <w:tabs>
                <w:tab w:val="left" w:pos="5580"/>
              </w:tabs>
              <w:jc w:val="center"/>
              <w:rPr>
                <w:sz w:val="24"/>
              </w:rPr>
            </w:pPr>
          </w:p>
        </w:tc>
      </w:tr>
    </w:tbl>
    <w:p w14:paraId="482F40EC">
      <w:pPr>
        <w:autoSpaceDE w:val="0"/>
        <w:autoSpaceDN w:val="0"/>
        <w:adjustRightInd w:val="0"/>
        <w:jc w:val="left"/>
        <w:rPr>
          <w:color w:val="000000"/>
          <w:kern w:val="0"/>
          <w:sz w:val="24"/>
        </w:rPr>
      </w:pPr>
    </w:p>
    <w:p w14:paraId="1A743D73">
      <w:pPr>
        <w:autoSpaceDE w:val="0"/>
        <w:autoSpaceDN w:val="0"/>
        <w:adjustRightInd w:val="0"/>
        <w:jc w:val="left"/>
        <w:rPr>
          <w:color w:val="000000"/>
          <w:sz w:val="24"/>
          <w:szCs w:val="20"/>
        </w:rPr>
      </w:pPr>
      <w:r>
        <w:rPr>
          <w:color w:val="000000"/>
          <w:kern w:val="0"/>
          <w:sz w:val="24"/>
        </w:rPr>
        <w:t>注：1</w:t>
      </w:r>
      <w:r>
        <w:rPr>
          <w:color w:val="000000"/>
          <w:sz w:val="24"/>
          <w:szCs w:val="20"/>
        </w:rPr>
        <w:t>.此表中，每包的报价应和《分项报价表》中的总价相一致。</w:t>
      </w:r>
    </w:p>
    <w:p w14:paraId="4F1A9488">
      <w:pPr>
        <w:tabs>
          <w:tab w:val="left" w:pos="5580"/>
        </w:tabs>
        <w:ind w:firstLine="480" w:firstLineChars="200"/>
        <w:rPr>
          <w:color w:val="000000"/>
          <w:sz w:val="24"/>
          <w:szCs w:val="20"/>
        </w:rPr>
      </w:pPr>
      <w:r>
        <w:rPr>
          <w:color w:val="000000"/>
          <w:sz w:val="24"/>
          <w:szCs w:val="20"/>
        </w:rPr>
        <w:t>2.本表必须按包分别填写。</w:t>
      </w:r>
    </w:p>
    <w:p w14:paraId="558811B5">
      <w:pPr>
        <w:tabs>
          <w:tab w:val="left" w:pos="5580"/>
        </w:tabs>
        <w:ind w:firstLine="480" w:firstLineChars="200"/>
        <w:rPr>
          <w:color w:val="000000"/>
          <w:sz w:val="24"/>
          <w:szCs w:val="20"/>
        </w:rPr>
      </w:pPr>
    </w:p>
    <w:p w14:paraId="0E059E3C">
      <w:pPr>
        <w:autoSpaceDE w:val="0"/>
        <w:autoSpaceDN w:val="0"/>
        <w:adjustRightInd w:val="0"/>
        <w:snapToGrid w:val="0"/>
        <w:spacing w:before="25" w:after="25" w:line="360" w:lineRule="auto"/>
        <w:rPr>
          <w:color w:val="000000"/>
          <w:sz w:val="24"/>
          <w:lang w:val="zh-CN"/>
        </w:rPr>
      </w:pPr>
    </w:p>
    <w:p w14:paraId="68E47FB3">
      <w:pPr>
        <w:autoSpaceDE w:val="0"/>
        <w:autoSpaceDN w:val="0"/>
        <w:adjustRightInd w:val="0"/>
        <w:snapToGrid w:val="0"/>
        <w:spacing w:before="25" w:after="25" w:line="360" w:lineRule="auto"/>
        <w:rPr>
          <w:color w:val="000000"/>
          <w:sz w:val="24"/>
          <w:lang w:val="zh-CN"/>
        </w:rPr>
      </w:pPr>
    </w:p>
    <w:p w14:paraId="15EA2CDD">
      <w:pPr>
        <w:autoSpaceDE w:val="0"/>
        <w:autoSpaceDN w:val="0"/>
        <w:adjustRightInd w:val="0"/>
        <w:snapToGrid w:val="0"/>
        <w:spacing w:before="25" w:after="25" w:line="360" w:lineRule="auto"/>
        <w:rPr>
          <w:color w:val="000000"/>
          <w:sz w:val="24"/>
          <w:lang w:val="zh-CN"/>
        </w:rPr>
      </w:pPr>
      <w:r>
        <w:rPr>
          <w:color w:val="000000"/>
          <w:sz w:val="24"/>
        </w:rPr>
        <w:t>供应商名称（加盖公章）</w:t>
      </w:r>
      <w:r>
        <w:rPr>
          <w:color w:val="000000"/>
          <w:sz w:val="24"/>
          <w:lang w:val="zh-CN"/>
        </w:rPr>
        <w:t>：</w:t>
      </w:r>
      <w:r>
        <w:rPr>
          <w:sz w:val="24"/>
        </w:rPr>
        <w:t>___________</w:t>
      </w:r>
    </w:p>
    <w:p w14:paraId="3849F097">
      <w:pPr>
        <w:autoSpaceDE w:val="0"/>
        <w:autoSpaceDN w:val="0"/>
        <w:adjustRightInd w:val="0"/>
        <w:snapToGrid w:val="0"/>
        <w:spacing w:line="360" w:lineRule="auto"/>
        <w:rPr>
          <w:color w:val="000000"/>
          <w:sz w:val="24"/>
          <w:lang w:val="zh-CN"/>
        </w:rPr>
      </w:pPr>
      <w:r>
        <w:rPr>
          <w:color w:val="000000"/>
          <w:sz w:val="24"/>
        </w:rPr>
        <w:t>日期：</w:t>
      </w:r>
      <w:r>
        <w:rPr>
          <w:color w:val="000000"/>
          <w:sz w:val="24"/>
          <w:szCs w:val="20"/>
        </w:rPr>
        <w:t>____年____月____日</w:t>
      </w:r>
    </w:p>
    <w:p w14:paraId="5D56FC29">
      <w:pPr>
        <w:autoSpaceDE w:val="0"/>
        <w:autoSpaceDN w:val="0"/>
        <w:adjustRightInd w:val="0"/>
        <w:snapToGrid w:val="0"/>
        <w:spacing w:before="25" w:after="25" w:line="360" w:lineRule="auto"/>
        <w:rPr>
          <w:sz w:val="24"/>
        </w:rPr>
        <w:sectPr>
          <w:headerReference r:id="rId22" w:type="first"/>
          <w:footerReference r:id="rId24" w:type="first"/>
          <w:headerReference r:id="rId21" w:type="even"/>
          <w:footerReference r:id="rId23" w:type="even"/>
          <w:pgSz w:w="11907" w:h="16840"/>
          <w:pgMar w:top="1440" w:right="1800" w:bottom="1440" w:left="1800" w:header="851" w:footer="851" w:gutter="0"/>
          <w:cols w:space="720" w:num="1"/>
          <w:docGrid w:linePitch="462" w:charSpace="0"/>
        </w:sectPr>
      </w:pPr>
      <w:bookmarkStart w:id="740" w:name="_Toc265228397"/>
      <w:bookmarkStart w:id="741" w:name="_Toc305158827"/>
      <w:bookmarkStart w:id="742" w:name="_Toc305158901"/>
      <w:bookmarkStart w:id="743" w:name="_Toc226965832"/>
      <w:bookmarkStart w:id="744" w:name="_Toc264969249"/>
      <w:bookmarkStart w:id="745" w:name="_Toc226965749"/>
      <w:bookmarkStart w:id="746" w:name="_Toc226309803"/>
      <w:bookmarkStart w:id="747" w:name="_Toc127151558"/>
      <w:bookmarkStart w:id="748" w:name="_Toc142311060"/>
      <w:bookmarkStart w:id="749" w:name="_Toc150774763"/>
      <w:bookmarkStart w:id="750" w:name="_Toc195842924"/>
      <w:bookmarkStart w:id="751" w:name="_Toc150480796"/>
      <w:bookmarkStart w:id="752" w:name="_Toc226337255"/>
    </w:p>
    <w:p w14:paraId="75338D0D">
      <w:pPr>
        <w:tabs>
          <w:tab w:val="left" w:pos="360"/>
        </w:tabs>
        <w:snapToGrid w:val="0"/>
        <w:spacing w:line="360" w:lineRule="auto"/>
        <w:outlineLvl w:val="1"/>
        <w:rPr>
          <w:sz w:val="24"/>
        </w:rPr>
      </w:pPr>
      <w:r>
        <w:rPr>
          <w:sz w:val="24"/>
        </w:rPr>
        <w:t>8  分项报价表</w:t>
      </w:r>
      <w:bookmarkEnd w:id="740"/>
      <w:bookmarkEnd w:id="741"/>
      <w:bookmarkEnd w:id="742"/>
      <w:bookmarkEnd w:id="743"/>
      <w:bookmarkEnd w:id="744"/>
      <w:bookmarkEnd w:id="745"/>
      <w:bookmarkEnd w:id="746"/>
      <w:bookmarkEnd w:id="747"/>
      <w:bookmarkEnd w:id="748"/>
      <w:bookmarkEnd w:id="749"/>
      <w:bookmarkEnd w:id="750"/>
      <w:bookmarkEnd w:id="751"/>
      <w:bookmarkEnd w:id="752"/>
    </w:p>
    <w:p w14:paraId="44159318">
      <w:pPr>
        <w:spacing w:line="360" w:lineRule="exact"/>
        <w:jc w:val="center"/>
        <w:rPr>
          <w:b/>
          <w:color w:val="000000"/>
          <w:sz w:val="36"/>
          <w:szCs w:val="36"/>
        </w:rPr>
      </w:pPr>
      <w:r>
        <w:rPr>
          <w:b/>
          <w:color w:val="000000"/>
          <w:sz w:val="36"/>
          <w:szCs w:val="36"/>
        </w:rPr>
        <w:t>分项报价表</w:t>
      </w:r>
    </w:p>
    <w:p w14:paraId="245FAE9C">
      <w:pPr>
        <w:spacing w:line="260" w:lineRule="exact"/>
        <w:jc w:val="center"/>
        <w:rPr>
          <w:color w:val="000000"/>
          <w:sz w:val="36"/>
          <w:szCs w:val="36"/>
        </w:rPr>
      </w:pPr>
    </w:p>
    <w:p w14:paraId="760D2BE1">
      <w:pPr>
        <w:tabs>
          <w:tab w:val="left" w:pos="1800"/>
          <w:tab w:val="left" w:pos="5580"/>
        </w:tabs>
        <w:rPr>
          <w:color w:val="000000"/>
          <w:sz w:val="24"/>
        </w:rPr>
      </w:pPr>
      <w:bookmarkStart w:id="753" w:name="_Toc195842927"/>
      <w:bookmarkStart w:id="754" w:name="_Toc142311062"/>
      <w:bookmarkStart w:id="755" w:name="_Toc265228400"/>
      <w:bookmarkStart w:id="756" w:name="_Toc226965752"/>
      <w:bookmarkStart w:id="757" w:name="_Toc226965835"/>
      <w:bookmarkStart w:id="758" w:name="_Toc150480798"/>
      <w:bookmarkStart w:id="759" w:name="_Toc305158904"/>
      <w:bookmarkStart w:id="760" w:name="_Toc127151562"/>
      <w:bookmarkStart w:id="761" w:name="_Toc226337258"/>
      <w:bookmarkStart w:id="762" w:name="_Toc264969252"/>
      <w:bookmarkStart w:id="763" w:name="_Toc226309806"/>
      <w:bookmarkStart w:id="764" w:name="_Toc305158830"/>
      <w:bookmarkStart w:id="765" w:name="_Toc150774765"/>
      <w:bookmarkStart w:id="766" w:name="_Toc195842926"/>
      <w:bookmarkStart w:id="767" w:name="_Toc150774764"/>
      <w:bookmarkStart w:id="768" w:name="_Toc150480797"/>
      <w:bookmarkStart w:id="769" w:name="_Toc264969251"/>
      <w:bookmarkStart w:id="770" w:name="_Toc265228399"/>
      <w:bookmarkStart w:id="771" w:name="_Toc127151561"/>
      <w:bookmarkStart w:id="772" w:name="_Toc226965834"/>
      <w:bookmarkStart w:id="773" w:name="_Toc226309805"/>
      <w:bookmarkStart w:id="774" w:name="_Toc305158829"/>
      <w:bookmarkStart w:id="775" w:name="_Toc226337257"/>
      <w:bookmarkStart w:id="776" w:name="_Toc226965751"/>
      <w:bookmarkStart w:id="777" w:name="_Toc142311061"/>
      <w:bookmarkStart w:id="778" w:name="_Toc305158903"/>
      <w:r>
        <w:rPr>
          <w:color w:val="000000"/>
          <w:sz w:val="24"/>
        </w:rPr>
        <w:t xml:space="preserve">项目编号：_________ </w:t>
      </w:r>
      <w:r>
        <w:rPr>
          <w:rFonts w:hint="eastAsia"/>
          <w:color w:val="000000"/>
          <w:sz w:val="24"/>
        </w:rPr>
        <w:t xml:space="preserve">  </w:t>
      </w:r>
      <w:r>
        <w:rPr>
          <w:color w:val="000000"/>
          <w:sz w:val="24"/>
        </w:rPr>
        <w:t>项目名称：_________</w:t>
      </w:r>
      <w:r>
        <w:rPr>
          <w:rFonts w:hint="eastAsia"/>
          <w:color w:val="000000"/>
          <w:sz w:val="24"/>
        </w:rPr>
        <w:t xml:space="preserve">   </w:t>
      </w:r>
      <w:r>
        <w:rPr>
          <w:color w:val="000000"/>
          <w:sz w:val="24"/>
        </w:rPr>
        <w:t>报价单位：人民币元</w:t>
      </w:r>
    </w:p>
    <w:p w14:paraId="23E919BD">
      <w:pPr>
        <w:tabs>
          <w:tab w:val="left" w:pos="1800"/>
          <w:tab w:val="left" w:pos="5580"/>
        </w:tabs>
        <w:jc w:val="left"/>
        <w:rPr>
          <w:color w:val="000000"/>
          <w:sz w:val="24"/>
        </w:rPr>
      </w:pPr>
    </w:p>
    <w:p w14:paraId="6E8A140D">
      <w:pPr>
        <w:tabs>
          <w:tab w:val="left" w:pos="1800"/>
          <w:tab w:val="left" w:pos="5580"/>
        </w:tabs>
        <w:jc w:val="left"/>
        <w:rPr>
          <w:color w:val="000000"/>
          <w:sz w:val="24"/>
        </w:rPr>
      </w:pPr>
    </w:p>
    <w:p w14:paraId="6578D493">
      <w:pPr>
        <w:tabs>
          <w:tab w:val="left" w:pos="1800"/>
          <w:tab w:val="left" w:pos="5580"/>
        </w:tabs>
        <w:jc w:val="left"/>
        <w:rPr>
          <w:b/>
          <w:bCs/>
          <w:color w:val="000000"/>
          <w:sz w:val="32"/>
          <w:szCs w:val="32"/>
        </w:rPr>
      </w:pPr>
      <w:r>
        <w:rPr>
          <w:rFonts w:hint="eastAsia"/>
          <w:b/>
          <w:bCs/>
          <w:color w:val="000000"/>
          <w:sz w:val="32"/>
          <w:szCs w:val="32"/>
        </w:rPr>
        <w:t>请放置已标价工程量清单。</w:t>
      </w:r>
    </w:p>
    <w:p w14:paraId="4DB6A9FE">
      <w:pPr>
        <w:tabs>
          <w:tab w:val="left" w:pos="1800"/>
          <w:tab w:val="left" w:pos="5580"/>
        </w:tabs>
        <w:jc w:val="left"/>
        <w:rPr>
          <w:color w:val="000000"/>
          <w:sz w:val="24"/>
        </w:rPr>
      </w:pPr>
    </w:p>
    <w:p w14:paraId="66D56313">
      <w:pPr>
        <w:tabs>
          <w:tab w:val="left" w:pos="1800"/>
          <w:tab w:val="left" w:pos="5580"/>
        </w:tabs>
        <w:jc w:val="left"/>
        <w:rPr>
          <w:color w:val="000000"/>
          <w:sz w:val="24"/>
        </w:rPr>
      </w:pPr>
    </w:p>
    <w:p w14:paraId="78D843D8">
      <w:pPr>
        <w:autoSpaceDE w:val="0"/>
        <w:autoSpaceDN w:val="0"/>
        <w:adjustRightInd w:val="0"/>
        <w:snapToGrid w:val="0"/>
        <w:spacing w:before="25" w:after="25" w:line="360" w:lineRule="auto"/>
        <w:ind w:right="360"/>
        <w:jc w:val="left"/>
        <w:rPr>
          <w:color w:val="000000"/>
          <w:sz w:val="24"/>
        </w:rPr>
      </w:pPr>
      <w:r>
        <w:rPr>
          <w:rFonts w:hint="eastAsia"/>
          <w:color w:val="000000"/>
          <w:sz w:val="24"/>
        </w:rPr>
        <w:t>注：1.如果不提供分项报价将视为没有实质性响应竞争性磋商文件。</w:t>
      </w:r>
    </w:p>
    <w:p w14:paraId="176902FE">
      <w:pPr>
        <w:autoSpaceDE w:val="0"/>
        <w:autoSpaceDN w:val="0"/>
        <w:adjustRightInd w:val="0"/>
        <w:snapToGrid w:val="0"/>
        <w:spacing w:before="25" w:after="25" w:line="360" w:lineRule="auto"/>
        <w:ind w:right="360" w:firstLine="480" w:firstLineChars="200"/>
        <w:jc w:val="left"/>
        <w:rPr>
          <w:color w:val="000000"/>
          <w:sz w:val="24"/>
        </w:rPr>
      </w:pPr>
      <w:r>
        <w:rPr>
          <w:rFonts w:hint="eastAsia"/>
          <w:color w:val="000000"/>
          <w:sz w:val="24"/>
        </w:rPr>
        <w:t>2.上述各项的详细规格（如有），可另页描述。</w:t>
      </w:r>
    </w:p>
    <w:p w14:paraId="077FB6DC">
      <w:pPr>
        <w:autoSpaceDE w:val="0"/>
        <w:autoSpaceDN w:val="0"/>
        <w:adjustRightInd w:val="0"/>
        <w:snapToGrid w:val="0"/>
        <w:spacing w:before="25" w:after="25" w:line="360" w:lineRule="auto"/>
        <w:ind w:right="360"/>
        <w:jc w:val="left"/>
        <w:rPr>
          <w:color w:val="000000"/>
          <w:sz w:val="24"/>
        </w:rPr>
      </w:pPr>
    </w:p>
    <w:p w14:paraId="748F1101">
      <w:pPr>
        <w:autoSpaceDE w:val="0"/>
        <w:autoSpaceDN w:val="0"/>
        <w:adjustRightInd w:val="0"/>
        <w:snapToGrid w:val="0"/>
        <w:spacing w:before="25" w:after="25" w:line="360" w:lineRule="auto"/>
        <w:ind w:right="360"/>
        <w:jc w:val="left"/>
        <w:rPr>
          <w:color w:val="000000"/>
          <w:sz w:val="24"/>
        </w:rPr>
      </w:pPr>
    </w:p>
    <w:p w14:paraId="67C20285">
      <w:pPr>
        <w:autoSpaceDE w:val="0"/>
        <w:autoSpaceDN w:val="0"/>
        <w:adjustRightInd w:val="0"/>
        <w:snapToGrid w:val="0"/>
        <w:spacing w:before="25" w:after="25" w:line="360" w:lineRule="auto"/>
        <w:ind w:right="360"/>
        <w:jc w:val="left"/>
        <w:rPr>
          <w:color w:val="000000"/>
          <w:sz w:val="24"/>
        </w:rPr>
      </w:pPr>
    </w:p>
    <w:p w14:paraId="53113DCF">
      <w:pPr>
        <w:autoSpaceDE w:val="0"/>
        <w:autoSpaceDN w:val="0"/>
        <w:adjustRightInd w:val="0"/>
        <w:snapToGrid w:val="0"/>
        <w:spacing w:before="25" w:after="25" w:line="360" w:lineRule="auto"/>
        <w:ind w:right="360"/>
        <w:jc w:val="left"/>
        <w:rPr>
          <w:color w:val="000000"/>
          <w:sz w:val="24"/>
          <w:lang w:val="zh-CN"/>
        </w:rPr>
      </w:pPr>
      <w:r>
        <w:rPr>
          <w:color w:val="000000"/>
          <w:sz w:val="24"/>
        </w:rPr>
        <w:t>供应商名称（加盖公章）</w:t>
      </w:r>
      <w:r>
        <w:rPr>
          <w:color w:val="000000"/>
          <w:sz w:val="24"/>
          <w:lang w:val="zh-CN"/>
        </w:rPr>
        <w:t>：</w:t>
      </w:r>
      <w:r>
        <w:rPr>
          <w:sz w:val="24"/>
        </w:rPr>
        <w:t>______</w:t>
      </w:r>
    </w:p>
    <w:p w14:paraId="639B83DC">
      <w:pPr>
        <w:autoSpaceDE w:val="0"/>
        <w:autoSpaceDN w:val="0"/>
        <w:adjustRightInd w:val="0"/>
        <w:snapToGrid w:val="0"/>
        <w:spacing w:before="25" w:after="25" w:line="360" w:lineRule="auto"/>
        <w:rPr>
          <w:color w:val="000000"/>
          <w:sz w:val="24"/>
          <w:lang w:val="zh-CN"/>
        </w:rPr>
      </w:pPr>
      <w:r>
        <w:rPr>
          <w:color w:val="000000"/>
          <w:sz w:val="24"/>
          <w:szCs w:val="20"/>
        </w:rPr>
        <w:t>日期：____年____月____日</w:t>
      </w:r>
    </w:p>
    <w:p w14:paraId="7770D5B4">
      <w:pPr>
        <w:tabs>
          <w:tab w:val="left" w:pos="360"/>
        </w:tabs>
        <w:snapToGrid w:val="0"/>
        <w:spacing w:line="360" w:lineRule="auto"/>
        <w:outlineLvl w:val="1"/>
        <w:rPr>
          <w:sz w:val="24"/>
        </w:rPr>
        <w:sectPr>
          <w:pgSz w:w="11907" w:h="16840"/>
          <w:pgMar w:top="1440" w:right="1800" w:bottom="1440" w:left="1800" w:header="851" w:footer="851" w:gutter="0"/>
          <w:cols w:space="720" w:num="1"/>
          <w:docGrid w:linePitch="462" w:charSpace="0"/>
        </w:sectPr>
      </w:pPr>
    </w:p>
    <w:p w14:paraId="7B2CFE45">
      <w:pPr>
        <w:tabs>
          <w:tab w:val="left" w:pos="360"/>
        </w:tabs>
        <w:snapToGrid w:val="0"/>
        <w:spacing w:line="360" w:lineRule="auto"/>
        <w:outlineLvl w:val="1"/>
        <w:rPr>
          <w:b/>
          <w:color w:val="000000"/>
          <w:sz w:val="36"/>
          <w:szCs w:val="36"/>
        </w:rPr>
      </w:pPr>
      <w:r>
        <w:rPr>
          <w:sz w:val="24"/>
        </w:rPr>
        <w:t>9  合同条款偏离表</w:t>
      </w:r>
      <w:bookmarkEnd w:id="753"/>
      <w:bookmarkEnd w:id="754"/>
      <w:bookmarkEnd w:id="755"/>
      <w:bookmarkEnd w:id="756"/>
      <w:bookmarkEnd w:id="757"/>
      <w:bookmarkEnd w:id="758"/>
      <w:bookmarkEnd w:id="759"/>
      <w:bookmarkEnd w:id="760"/>
      <w:bookmarkEnd w:id="761"/>
      <w:bookmarkEnd w:id="762"/>
      <w:bookmarkEnd w:id="763"/>
      <w:bookmarkEnd w:id="764"/>
      <w:bookmarkEnd w:id="765"/>
      <w:r>
        <w:rPr>
          <w:sz w:val="24"/>
        </w:rPr>
        <w:t>（实质性格式）</w:t>
      </w:r>
    </w:p>
    <w:p w14:paraId="770768BA">
      <w:pPr>
        <w:tabs>
          <w:tab w:val="left" w:pos="2775"/>
          <w:tab w:val="center" w:pos="4153"/>
        </w:tabs>
        <w:autoSpaceDE w:val="0"/>
        <w:autoSpaceDN w:val="0"/>
        <w:adjustRightInd w:val="0"/>
        <w:spacing w:line="360" w:lineRule="auto"/>
        <w:jc w:val="center"/>
        <w:rPr>
          <w:color w:val="000000"/>
          <w:sz w:val="24"/>
          <w:szCs w:val="20"/>
        </w:rPr>
      </w:pPr>
      <w:r>
        <w:rPr>
          <w:b/>
          <w:color w:val="000000"/>
          <w:sz w:val="36"/>
          <w:szCs w:val="36"/>
        </w:rPr>
        <w:t>合同条款偏离表</w:t>
      </w:r>
    </w:p>
    <w:p w14:paraId="770D1C69">
      <w:pPr>
        <w:tabs>
          <w:tab w:val="left" w:pos="1800"/>
          <w:tab w:val="left" w:pos="5580"/>
        </w:tabs>
        <w:spacing w:line="360" w:lineRule="auto"/>
        <w:ind w:firstLine="360" w:firstLineChars="150"/>
        <w:jc w:val="left"/>
        <w:rPr>
          <w:color w:val="000000"/>
          <w:sz w:val="24"/>
        </w:rPr>
      </w:pPr>
      <w:r>
        <w:rPr>
          <w:color w:val="000000"/>
          <w:sz w:val="24"/>
        </w:rPr>
        <w:t>项目编号：_______________     项目名称：_______________</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1436"/>
        <w:gridCol w:w="1626"/>
        <w:gridCol w:w="1627"/>
        <w:gridCol w:w="1994"/>
        <w:gridCol w:w="908"/>
      </w:tblGrid>
      <w:tr w14:paraId="0F5B1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545" w:type="pct"/>
            <w:vAlign w:val="center"/>
          </w:tcPr>
          <w:p w14:paraId="547E9BE2">
            <w:pPr>
              <w:adjustRightInd w:val="0"/>
              <w:snapToGrid w:val="0"/>
              <w:jc w:val="center"/>
              <w:rPr>
                <w:color w:val="000000"/>
                <w:sz w:val="24"/>
              </w:rPr>
            </w:pPr>
            <w:r>
              <w:rPr>
                <w:color w:val="000000"/>
                <w:sz w:val="24"/>
              </w:rPr>
              <w:t>序号</w:t>
            </w:r>
          </w:p>
        </w:tc>
        <w:tc>
          <w:tcPr>
            <w:tcW w:w="843" w:type="pct"/>
            <w:vAlign w:val="center"/>
          </w:tcPr>
          <w:p w14:paraId="7065EC48">
            <w:pPr>
              <w:adjustRightInd w:val="0"/>
              <w:snapToGrid w:val="0"/>
              <w:jc w:val="center"/>
              <w:rPr>
                <w:color w:val="000000"/>
                <w:sz w:val="24"/>
              </w:rPr>
            </w:pPr>
            <w:r>
              <w:rPr>
                <w:color w:val="000000"/>
                <w:sz w:val="24"/>
                <w:szCs w:val="21"/>
              </w:rPr>
              <w:t>竞争性磋商文件</w:t>
            </w:r>
            <w:r>
              <w:rPr>
                <w:color w:val="000000"/>
                <w:sz w:val="24"/>
              </w:rPr>
              <w:t>条目号（页码）</w:t>
            </w:r>
          </w:p>
        </w:tc>
        <w:tc>
          <w:tcPr>
            <w:tcW w:w="954" w:type="pct"/>
            <w:vAlign w:val="center"/>
          </w:tcPr>
          <w:p w14:paraId="2DF01292">
            <w:pPr>
              <w:adjustRightInd w:val="0"/>
              <w:snapToGrid w:val="0"/>
              <w:jc w:val="center"/>
              <w:rPr>
                <w:color w:val="000000"/>
                <w:sz w:val="24"/>
              </w:rPr>
            </w:pPr>
            <w:r>
              <w:rPr>
                <w:color w:val="000000"/>
                <w:sz w:val="24"/>
                <w:szCs w:val="21"/>
              </w:rPr>
              <w:t>竞争性磋商文件</w:t>
            </w:r>
            <w:r>
              <w:rPr>
                <w:color w:val="000000"/>
                <w:sz w:val="24"/>
              </w:rPr>
              <w:t>要求</w:t>
            </w:r>
          </w:p>
        </w:tc>
        <w:tc>
          <w:tcPr>
            <w:tcW w:w="955" w:type="pct"/>
            <w:vAlign w:val="center"/>
          </w:tcPr>
          <w:p w14:paraId="5B99F049">
            <w:pPr>
              <w:adjustRightInd w:val="0"/>
              <w:snapToGrid w:val="0"/>
              <w:jc w:val="center"/>
              <w:rPr>
                <w:color w:val="000000"/>
                <w:sz w:val="24"/>
              </w:rPr>
            </w:pPr>
            <w:r>
              <w:rPr>
                <w:color w:val="000000"/>
                <w:sz w:val="24"/>
              </w:rPr>
              <w:t>响应文件内容</w:t>
            </w:r>
          </w:p>
        </w:tc>
        <w:tc>
          <w:tcPr>
            <w:tcW w:w="1170" w:type="pct"/>
            <w:vAlign w:val="center"/>
          </w:tcPr>
          <w:p w14:paraId="4C502065">
            <w:pPr>
              <w:adjustRightInd w:val="0"/>
              <w:snapToGrid w:val="0"/>
              <w:jc w:val="center"/>
              <w:rPr>
                <w:color w:val="000000"/>
                <w:sz w:val="24"/>
              </w:rPr>
            </w:pPr>
            <w:r>
              <w:rPr>
                <w:color w:val="000000"/>
                <w:sz w:val="24"/>
              </w:rPr>
              <w:t>偏离情况</w:t>
            </w:r>
          </w:p>
        </w:tc>
        <w:tc>
          <w:tcPr>
            <w:tcW w:w="529" w:type="pct"/>
            <w:vAlign w:val="center"/>
          </w:tcPr>
          <w:p w14:paraId="0DB97FE9">
            <w:pPr>
              <w:adjustRightInd w:val="0"/>
              <w:snapToGrid w:val="0"/>
              <w:jc w:val="center"/>
              <w:rPr>
                <w:color w:val="000000"/>
                <w:sz w:val="24"/>
              </w:rPr>
            </w:pPr>
            <w:r>
              <w:rPr>
                <w:color w:val="000000"/>
                <w:sz w:val="24"/>
              </w:rPr>
              <w:t>说明</w:t>
            </w:r>
          </w:p>
        </w:tc>
      </w:tr>
      <w:tr w14:paraId="5B61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1" w:hRule="atLeast"/>
          <w:jc w:val="center"/>
        </w:trPr>
        <w:tc>
          <w:tcPr>
            <w:tcW w:w="5000" w:type="pct"/>
            <w:gridSpan w:val="6"/>
            <w:vAlign w:val="center"/>
          </w:tcPr>
          <w:p w14:paraId="38B899B2">
            <w:pPr>
              <w:adjustRightInd w:val="0"/>
              <w:snapToGrid w:val="0"/>
              <w:jc w:val="left"/>
              <w:rPr>
                <w:b/>
                <w:color w:val="000000"/>
                <w:sz w:val="24"/>
              </w:rPr>
            </w:pPr>
            <w:r>
              <w:rPr>
                <w:b/>
                <w:color w:val="000000"/>
                <w:sz w:val="24"/>
              </w:rPr>
              <w:t>对本项目合同条款的偏离情况（</w:t>
            </w:r>
            <w:r>
              <w:rPr>
                <w:rFonts w:hint="eastAsia"/>
                <w:bCs/>
                <w:color w:val="000000"/>
                <w:sz w:val="24"/>
              </w:rPr>
              <w:t>应</w:t>
            </w:r>
            <w:r>
              <w:rPr>
                <w:bCs/>
                <w:color w:val="000000"/>
                <w:sz w:val="24"/>
              </w:rPr>
              <w:t>进行选择</w:t>
            </w:r>
            <w:r>
              <w:rPr>
                <w:rFonts w:hint="eastAsia"/>
                <w:bCs/>
                <w:color w:val="000000"/>
                <w:sz w:val="24"/>
              </w:rPr>
              <w:t>，未选择</w:t>
            </w:r>
            <w:r>
              <w:rPr>
                <w:rFonts w:hint="eastAsia"/>
                <w:b/>
                <w:color w:val="000000"/>
                <w:sz w:val="24"/>
              </w:rPr>
              <w:t>响应无效</w:t>
            </w:r>
            <w:r>
              <w:rPr>
                <w:b/>
                <w:color w:val="000000"/>
                <w:sz w:val="24"/>
              </w:rPr>
              <w:t>）：</w:t>
            </w:r>
          </w:p>
          <w:p w14:paraId="2CA31CEB">
            <w:pPr>
              <w:adjustRightInd w:val="0"/>
              <w:snapToGrid w:val="0"/>
              <w:jc w:val="left"/>
              <w:rPr>
                <w:b/>
                <w:color w:val="000000"/>
                <w:sz w:val="24"/>
              </w:rPr>
            </w:pPr>
            <w:r>
              <w:rPr>
                <w:rFonts w:hint="eastAsia"/>
                <w:b/>
                <w:color w:val="000000"/>
                <w:sz w:val="24"/>
              </w:rPr>
              <w:t>□</w:t>
            </w:r>
            <w:r>
              <w:rPr>
                <w:b/>
                <w:color w:val="000000"/>
                <w:sz w:val="24"/>
              </w:rPr>
              <w:t>无偏离</w:t>
            </w:r>
            <w:r>
              <w:rPr>
                <w:color w:val="000000"/>
                <w:sz w:val="24"/>
              </w:rPr>
              <w:t>（</w:t>
            </w:r>
            <w:r>
              <w:rPr>
                <w:color w:val="000000"/>
                <w:sz w:val="24"/>
                <w:szCs w:val="21"/>
              </w:rPr>
              <w:t>如无偏离，仅选择无偏离即可</w:t>
            </w:r>
            <w:r>
              <w:rPr>
                <w:rFonts w:hint="eastAsia"/>
                <w:color w:val="000000"/>
                <w:sz w:val="24"/>
                <w:szCs w:val="21"/>
              </w:rPr>
              <w:t>；</w:t>
            </w:r>
            <w:r>
              <w:rPr>
                <w:rFonts w:hint="eastAsia"/>
                <w:bCs/>
                <w:color w:val="000000"/>
                <w:sz w:val="24"/>
              </w:rPr>
              <w:t>无偏离即为</w:t>
            </w:r>
            <w:r>
              <w:rPr>
                <w:sz w:val="24"/>
              </w:rPr>
              <w:t>对合同条款中的所有要求</w:t>
            </w:r>
            <w:r>
              <w:rPr>
                <w:rFonts w:hint="eastAsia"/>
                <w:sz w:val="24"/>
              </w:rPr>
              <w:t>，</w:t>
            </w:r>
            <w:r>
              <w:rPr>
                <w:sz w:val="24"/>
              </w:rPr>
              <w:t>均视作供应商已对之理解和响应。</w:t>
            </w:r>
            <w:r>
              <w:rPr>
                <w:color w:val="000000"/>
                <w:sz w:val="24"/>
              </w:rPr>
              <w:t>）</w:t>
            </w:r>
          </w:p>
          <w:p w14:paraId="20D073EC">
            <w:pPr>
              <w:adjustRightInd w:val="0"/>
              <w:snapToGrid w:val="0"/>
              <w:jc w:val="left"/>
              <w:rPr>
                <w:color w:val="000000"/>
                <w:sz w:val="24"/>
              </w:rPr>
            </w:pPr>
            <w:r>
              <w:rPr>
                <w:rFonts w:hint="eastAsia"/>
                <w:b/>
                <w:color w:val="000000"/>
                <w:sz w:val="24"/>
              </w:rPr>
              <w:t>□</w:t>
            </w:r>
            <w:r>
              <w:rPr>
                <w:b/>
                <w:color w:val="000000"/>
                <w:sz w:val="24"/>
              </w:rPr>
              <w:t>有偏离</w:t>
            </w:r>
            <w:r>
              <w:rPr>
                <w:color w:val="000000"/>
                <w:sz w:val="24"/>
              </w:rPr>
              <w:t>（</w:t>
            </w:r>
            <w:r>
              <w:rPr>
                <w:color w:val="000000"/>
                <w:sz w:val="24"/>
                <w:szCs w:val="21"/>
              </w:rPr>
              <w:t>如有偏离，</w:t>
            </w:r>
            <w:r>
              <w:rPr>
                <w:color w:val="000000"/>
                <w:sz w:val="24"/>
              </w:rPr>
              <w:t>则</w:t>
            </w:r>
            <w:r>
              <w:rPr>
                <w:rFonts w:hint="eastAsia"/>
                <w:color w:val="000000"/>
                <w:sz w:val="24"/>
              </w:rPr>
              <w:t>应</w:t>
            </w:r>
            <w:r>
              <w:rPr>
                <w:color w:val="000000"/>
                <w:sz w:val="24"/>
              </w:rPr>
              <w:t>在本表中对负偏离项逐一列明</w:t>
            </w:r>
            <w:r>
              <w:rPr>
                <w:rFonts w:hint="eastAsia"/>
                <w:color w:val="000000"/>
                <w:sz w:val="24"/>
              </w:rPr>
              <w:t>，否则</w:t>
            </w:r>
            <w:r>
              <w:rPr>
                <w:rFonts w:hint="eastAsia"/>
                <w:b/>
                <w:bCs/>
                <w:color w:val="000000"/>
                <w:sz w:val="24"/>
              </w:rPr>
              <w:t>响应无效</w:t>
            </w:r>
            <w:r>
              <w:rPr>
                <w:color w:val="000000"/>
                <w:sz w:val="24"/>
              </w:rPr>
              <w:t>；</w:t>
            </w:r>
            <w:r>
              <w:rPr>
                <w:sz w:val="24"/>
              </w:rPr>
              <w:t>对合同条款中的所有要求，除本表列明的偏离外，均视作供应商已对之理解和响应。</w:t>
            </w:r>
            <w:r>
              <w:rPr>
                <w:color w:val="000000"/>
                <w:sz w:val="24"/>
              </w:rPr>
              <w:t>）</w:t>
            </w:r>
          </w:p>
        </w:tc>
      </w:tr>
      <w:tr w14:paraId="52D72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545" w:type="pct"/>
            <w:vAlign w:val="center"/>
          </w:tcPr>
          <w:p w14:paraId="62BA03F6">
            <w:pPr>
              <w:adjustRightInd w:val="0"/>
              <w:snapToGrid w:val="0"/>
              <w:jc w:val="center"/>
              <w:rPr>
                <w:color w:val="000000"/>
                <w:sz w:val="24"/>
              </w:rPr>
            </w:pPr>
          </w:p>
        </w:tc>
        <w:tc>
          <w:tcPr>
            <w:tcW w:w="843" w:type="pct"/>
            <w:vAlign w:val="center"/>
          </w:tcPr>
          <w:p w14:paraId="67AADC31">
            <w:pPr>
              <w:adjustRightInd w:val="0"/>
              <w:snapToGrid w:val="0"/>
              <w:jc w:val="center"/>
              <w:rPr>
                <w:color w:val="000000"/>
                <w:sz w:val="24"/>
              </w:rPr>
            </w:pPr>
          </w:p>
        </w:tc>
        <w:tc>
          <w:tcPr>
            <w:tcW w:w="954" w:type="pct"/>
            <w:vAlign w:val="center"/>
          </w:tcPr>
          <w:p w14:paraId="35A8CA23">
            <w:pPr>
              <w:adjustRightInd w:val="0"/>
              <w:snapToGrid w:val="0"/>
              <w:jc w:val="center"/>
              <w:rPr>
                <w:color w:val="000000"/>
                <w:sz w:val="24"/>
              </w:rPr>
            </w:pPr>
          </w:p>
        </w:tc>
        <w:tc>
          <w:tcPr>
            <w:tcW w:w="955" w:type="pct"/>
            <w:vAlign w:val="center"/>
          </w:tcPr>
          <w:p w14:paraId="7C09D43D">
            <w:pPr>
              <w:adjustRightInd w:val="0"/>
              <w:snapToGrid w:val="0"/>
              <w:jc w:val="center"/>
              <w:rPr>
                <w:color w:val="000000"/>
                <w:sz w:val="24"/>
              </w:rPr>
            </w:pPr>
          </w:p>
        </w:tc>
        <w:tc>
          <w:tcPr>
            <w:tcW w:w="1170" w:type="pct"/>
            <w:vAlign w:val="center"/>
          </w:tcPr>
          <w:p w14:paraId="0E83DC58">
            <w:pPr>
              <w:adjustRightInd w:val="0"/>
              <w:snapToGrid w:val="0"/>
              <w:jc w:val="center"/>
              <w:rPr>
                <w:color w:val="000000"/>
                <w:sz w:val="24"/>
              </w:rPr>
            </w:pPr>
          </w:p>
        </w:tc>
        <w:tc>
          <w:tcPr>
            <w:tcW w:w="529" w:type="pct"/>
            <w:vAlign w:val="center"/>
          </w:tcPr>
          <w:p w14:paraId="42398992">
            <w:pPr>
              <w:adjustRightInd w:val="0"/>
              <w:snapToGrid w:val="0"/>
              <w:jc w:val="center"/>
              <w:rPr>
                <w:color w:val="000000"/>
                <w:sz w:val="24"/>
              </w:rPr>
            </w:pPr>
          </w:p>
        </w:tc>
      </w:tr>
      <w:tr w14:paraId="1BEEB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545" w:type="pct"/>
            <w:vAlign w:val="center"/>
          </w:tcPr>
          <w:p w14:paraId="0712E5B4">
            <w:pPr>
              <w:adjustRightInd w:val="0"/>
              <w:snapToGrid w:val="0"/>
              <w:jc w:val="center"/>
              <w:rPr>
                <w:color w:val="000000"/>
                <w:sz w:val="24"/>
              </w:rPr>
            </w:pPr>
          </w:p>
        </w:tc>
        <w:tc>
          <w:tcPr>
            <w:tcW w:w="843" w:type="pct"/>
            <w:vAlign w:val="center"/>
          </w:tcPr>
          <w:p w14:paraId="2A494A41">
            <w:pPr>
              <w:adjustRightInd w:val="0"/>
              <w:snapToGrid w:val="0"/>
              <w:jc w:val="center"/>
              <w:rPr>
                <w:color w:val="000000"/>
                <w:sz w:val="24"/>
              </w:rPr>
            </w:pPr>
          </w:p>
        </w:tc>
        <w:tc>
          <w:tcPr>
            <w:tcW w:w="954" w:type="pct"/>
            <w:vAlign w:val="center"/>
          </w:tcPr>
          <w:p w14:paraId="57547BD0">
            <w:pPr>
              <w:adjustRightInd w:val="0"/>
              <w:snapToGrid w:val="0"/>
              <w:jc w:val="center"/>
              <w:rPr>
                <w:color w:val="000000"/>
                <w:sz w:val="24"/>
              </w:rPr>
            </w:pPr>
          </w:p>
        </w:tc>
        <w:tc>
          <w:tcPr>
            <w:tcW w:w="955" w:type="pct"/>
            <w:vAlign w:val="center"/>
          </w:tcPr>
          <w:p w14:paraId="1A392F5D">
            <w:pPr>
              <w:adjustRightInd w:val="0"/>
              <w:snapToGrid w:val="0"/>
              <w:jc w:val="center"/>
              <w:rPr>
                <w:color w:val="000000"/>
                <w:sz w:val="24"/>
              </w:rPr>
            </w:pPr>
          </w:p>
        </w:tc>
        <w:tc>
          <w:tcPr>
            <w:tcW w:w="1170" w:type="pct"/>
            <w:vAlign w:val="center"/>
          </w:tcPr>
          <w:p w14:paraId="124B02E3">
            <w:pPr>
              <w:adjustRightInd w:val="0"/>
              <w:snapToGrid w:val="0"/>
              <w:jc w:val="center"/>
              <w:rPr>
                <w:color w:val="000000"/>
                <w:sz w:val="24"/>
              </w:rPr>
            </w:pPr>
          </w:p>
        </w:tc>
        <w:tc>
          <w:tcPr>
            <w:tcW w:w="529" w:type="pct"/>
            <w:vAlign w:val="center"/>
          </w:tcPr>
          <w:p w14:paraId="1F47994E">
            <w:pPr>
              <w:adjustRightInd w:val="0"/>
              <w:snapToGrid w:val="0"/>
              <w:jc w:val="center"/>
              <w:rPr>
                <w:color w:val="000000"/>
                <w:sz w:val="24"/>
              </w:rPr>
            </w:pPr>
          </w:p>
        </w:tc>
      </w:tr>
      <w:tr w14:paraId="69D87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545" w:type="pct"/>
            <w:vAlign w:val="center"/>
          </w:tcPr>
          <w:p w14:paraId="090B59D2">
            <w:pPr>
              <w:adjustRightInd w:val="0"/>
              <w:snapToGrid w:val="0"/>
              <w:jc w:val="center"/>
              <w:rPr>
                <w:color w:val="000000"/>
                <w:sz w:val="24"/>
              </w:rPr>
            </w:pPr>
          </w:p>
        </w:tc>
        <w:tc>
          <w:tcPr>
            <w:tcW w:w="843" w:type="pct"/>
            <w:vAlign w:val="center"/>
          </w:tcPr>
          <w:p w14:paraId="542CC758">
            <w:pPr>
              <w:adjustRightInd w:val="0"/>
              <w:snapToGrid w:val="0"/>
              <w:jc w:val="center"/>
              <w:rPr>
                <w:color w:val="000000"/>
                <w:sz w:val="24"/>
              </w:rPr>
            </w:pPr>
          </w:p>
        </w:tc>
        <w:tc>
          <w:tcPr>
            <w:tcW w:w="954" w:type="pct"/>
            <w:vAlign w:val="center"/>
          </w:tcPr>
          <w:p w14:paraId="4C8430C1">
            <w:pPr>
              <w:adjustRightInd w:val="0"/>
              <w:snapToGrid w:val="0"/>
              <w:jc w:val="center"/>
              <w:rPr>
                <w:color w:val="000000"/>
                <w:sz w:val="24"/>
              </w:rPr>
            </w:pPr>
          </w:p>
        </w:tc>
        <w:tc>
          <w:tcPr>
            <w:tcW w:w="955" w:type="pct"/>
            <w:vAlign w:val="center"/>
          </w:tcPr>
          <w:p w14:paraId="3F896870">
            <w:pPr>
              <w:adjustRightInd w:val="0"/>
              <w:snapToGrid w:val="0"/>
              <w:jc w:val="center"/>
              <w:rPr>
                <w:color w:val="000000"/>
                <w:sz w:val="24"/>
              </w:rPr>
            </w:pPr>
          </w:p>
        </w:tc>
        <w:tc>
          <w:tcPr>
            <w:tcW w:w="1170" w:type="pct"/>
            <w:vAlign w:val="center"/>
          </w:tcPr>
          <w:p w14:paraId="7588FBD7">
            <w:pPr>
              <w:adjustRightInd w:val="0"/>
              <w:snapToGrid w:val="0"/>
              <w:jc w:val="center"/>
              <w:rPr>
                <w:color w:val="000000"/>
                <w:sz w:val="24"/>
              </w:rPr>
            </w:pPr>
          </w:p>
        </w:tc>
        <w:tc>
          <w:tcPr>
            <w:tcW w:w="529" w:type="pct"/>
            <w:vAlign w:val="center"/>
          </w:tcPr>
          <w:p w14:paraId="1A7EE6F2">
            <w:pPr>
              <w:adjustRightInd w:val="0"/>
              <w:snapToGrid w:val="0"/>
              <w:jc w:val="center"/>
              <w:rPr>
                <w:color w:val="000000"/>
                <w:sz w:val="24"/>
              </w:rPr>
            </w:pPr>
          </w:p>
        </w:tc>
      </w:tr>
      <w:tr w14:paraId="0BBB8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545" w:type="pct"/>
            <w:vAlign w:val="center"/>
          </w:tcPr>
          <w:p w14:paraId="41227241">
            <w:pPr>
              <w:adjustRightInd w:val="0"/>
              <w:snapToGrid w:val="0"/>
              <w:jc w:val="center"/>
              <w:rPr>
                <w:color w:val="000000"/>
                <w:sz w:val="24"/>
              </w:rPr>
            </w:pPr>
          </w:p>
        </w:tc>
        <w:tc>
          <w:tcPr>
            <w:tcW w:w="843" w:type="pct"/>
            <w:vAlign w:val="center"/>
          </w:tcPr>
          <w:p w14:paraId="64288B90">
            <w:pPr>
              <w:adjustRightInd w:val="0"/>
              <w:snapToGrid w:val="0"/>
              <w:jc w:val="center"/>
              <w:rPr>
                <w:color w:val="000000"/>
                <w:sz w:val="24"/>
              </w:rPr>
            </w:pPr>
          </w:p>
        </w:tc>
        <w:tc>
          <w:tcPr>
            <w:tcW w:w="954" w:type="pct"/>
            <w:vAlign w:val="center"/>
          </w:tcPr>
          <w:p w14:paraId="4048D697">
            <w:pPr>
              <w:adjustRightInd w:val="0"/>
              <w:snapToGrid w:val="0"/>
              <w:jc w:val="center"/>
              <w:rPr>
                <w:color w:val="000000"/>
                <w:sz w:val="24"/>
              </w:rPr>
            </w:pPr>
          </w:p>
        </w:tc>
        <w:tc>
          <w:tcPr>
            <w:tcW w:w="955" w:type="pct"/>
            <w:vAlign w:val="center"/>
          </w:tcPr>
          <w:p w14:paraId="7A0709D5">
            <w:pPr>
              <w:adjustRightInd w:val="0"/>
              <w:snapToGrid w:val="0"/>
              <w:jc w:val="center"/>
              <w:rPr>
                <w:color w:val="000000"/>
                <w:sz w:val="24"/>
              </w:rPr>
            </w:pPr>
          </w:p>
        </w:tc>
        <w:tc>
          <w:tcPr>
            <w:tcW w:w="1170" w:type="pct"/>
            <w:vAlign w:val="center"/>
          </w:tcPr>
          <w:p w14:paraId="28F2DAB9">
            <w:pPr>
              <w:adjustRightInd w:val="0"/>
              <w:snapToGrid w:val="0"/>
              <w:jc w:val="center"/>
              <w:rPr>
                <w:color w:val="000000"/>
                <w:sz w:val="24"/>
              </w:rPr>
            </w:pPr>
          </w:p>
        </w:tc>
        <w:tc>
          <w:tcPr>
            <w:tcW w:w="529" w:type="pct"/>
            <w:vAlign w:val="center"/>
          </w:tcPr>
          <w:p w14:paraId="60E51CAA">
            <w:pPr>
              <w:adjustRightInd w:val="0"/>
              <w:snapToGrid w:val="0"/>
              <w:jc w:val="center"/>
              <w:rPr>
                <w:color w:val="000000"/>
                <w:sz w:val="24"/>
              </w:rPr>
            </w:pPr>
          </w:p>
        </w:tc>
      </w:tr>
      <w:tr w14:paraId="5F375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545" w:type="pct"/>
            <w:vAlign w:val="center"/>
          </w:tcPr>
          <w:p w14:paraId="27323249">
            <w:pPr>
              <w:adjustRightInd w:val="0"/>
              <w:snapToGrid w:val="0"/>
              <w:jc w:val="center"/>
              <w:rPr>
                <w:color w:val="000000"/>
                <w:sz w:val="24"/>
              </w:rPr>
            </w:pPr>
          </w:p>
        </w:tc>
        <w:tc>
          <w:tcPr>
            <w:tcW w:w="843" w:type="pct"/>
            <w:vAlign w:val="center"/>
          </w:tcPr>
          <w:p w14:paraId="44EE62AC">
            <w:pPr>
              <w:adjustRightInd w:val="0"/>
              <w:snapToGrid w:val="0"/>
              <w:jc w:val="center"/>
              <w:rPr>
                <w:color w:val="000000"/>
                <w:sz w:val="24"/>
              </w:rPr>
            </w:pPr>
          </w:p>
        </w:tc>
        <w:tc>
          <w:tcPr>
            <w:tcW w:w="954" w:type="pct"/>
            <w:vAlign w:val="center"/>
          </w:tcPr>
          <w:p w14:paraId="3487F798">
            <w:pPr>
              <w:adjustRightInd w:val="0"/>
              <w:snapToGrid w:val="0"/>
              <w:jc w:val="center"/>
              <w:rPr>
                <w:color w:val="000000"/>
                <w:sz w:val="24"/>
              </w:rPr>
            </w:pPr>
          </w:p>
        </w:tc>
        <w:tc>
          <w:tcPr>
            <w:tcW w:w="955" w:type="pct"/>
            <w:vAlign w:val="center"/>
          </w:tcPr>
          <w:p w14:paraId="0B7107AD">
            <w:pPr>
              <w:adjustRightInd w:val="0"/>
              <w:snapToGrid w:val="0"/>
              <w:jc w:val="center"/>
              <w:rPr>
                <w:color w:val="000000"/>
                <w:sz w:val="24"/>
              </w:rPr>
            </w:pPr>
          </w:p>
        </w:tc>
        <w:tc>
          <w:tcPr>
            <w:tcW w:w="1170" w:type="pct"/>
            <w:vAlign w:val="center"/>
          </w:tcPr>
          <w:p w14:paraId="355D80EC">
            <w:pPr>
              <w:adjustRightInd w:val="0"/>
              <w:snapToGrid w:val="0"/>
              <w:jc w:val="center"/>
              <w:rPr>
                <w:color w:val="000000"/>
                <w:sz w:val="24"/>
              </w:rPr>
            </w:pPr>
          </w:p>
        </w:tc>
        <w:tc>
          <w:tcPr>
            <w:tcW w:w="529" w:type="pct"/>
            <w:vAlign w:val="center"/>
          </w:tcPr>
          <w:p w14:paraId="31749AC2">
            <w:pPr>
              <w:adjustRightInd w:val="0"/>
              <w:snapToGrid w:val="0"/>
              <w:jc w:val="center"/>
              <w:rPr>
                <w:color w:val="000000"/>
                <w:sz w:val="24"/>
              </w:rPr>
            </w:pPr>
          </w:p>
        </w:tc>
      </w:tr>
    </w:tbl>
    <w:p w14:paraId="73C1BD3F">
      <w:pPr>
        <w:tabs>
          <w:tab w:val="left" w:pos="1800"/>
          <w:tab w:val="left" w:pos="5580"/>
        </w:tabs>
        <w:jc w:val="left"/>
        <w:rPr>
          <w:color w:val="000000"/>
          <w:sz w:val="24"/>
        </w:rPr>
      </w:pPr>
    </w:p>
    <w:p w14:paraId="445FA335">
      <w:pPr>
        <w:tabs>
          <w:tab w:val="left" w:pos="1800"/>
          <w:tab w:val="left" w:pos="5580"/>
        </w:tabs>
        <w:jc w:val="left"/>
        <w:rPr>
          <w:color w:val="000000"/>
          <w:sz w:val="24"/>
        </w:rPr>
      </w:pPr>
    </w:p>
    <w:p w14:paraId="353FE69B">
      <w:pPr>
        <w:tabs>
          <w:tab w:val="left" w:pos="1800"/>
          <w:tab w:val="left" w:pos="5580"/>
        </w:tabs>
        <w:jc w:val="left"/>
        <w:rPr>
          <w:color w:val="000000"/>
          <w:sz w:val="24"/>
        </w:rPr>
      </w:pPr>
      <w:r>
        <w:rPr>
          <w:color w:val="000000"/>
          <w:sz w:val="24"/>
        </w:rPr>
        <w:t>注：</w:t>
      </w:r>
      <w:r>
        <w:rPr>
          <w:sz w:val="24"/>
        </w:rPr>
        <w:t>“偏离情况”列应</w:t>
      </w:r>
      <w:r>
        <w:rPr>
          <w:color w:val="000000"/>
          <w:sz w:val="24"/>
        </w:rPr>
        <w:t>据实</w:t>
      </w:r>
      <w:r>
        <w:rPr>
          <w:sz w:val="24"/>
        </w:rPr>
        <w:t>填写“正偏离”或“负偏离”。</w:t>
      </w:r>
    </w:p>
    <w:p w14:paraId="20B5E8D5">
      <w:pPr>
        <w:spacing w:line="360" w:lineRule="auto"/>
        <w:rPr>
          <w:color w:val="000000"/>
          <w:sz w:val="24"/>
          <w:szCs w:val="20"/>
        </w:rPr>
      </w:pPr>
    </w:p>
    <w:p w14:paraId="7B590F7A">
      <w:pPr>
        <w:autoSpaceDE w:val="0"/>
        <w:autoSpaceDN w:val="0"/>
        <w:adjustRightInd w:val="0"/>
        <w:snapToGrid w:val="0"/>
        <w:spacing w:before="25" w:after="25" w:line="360" w:lineRule="auto"/>
        <w:rPr>
          <w:color w:val="000000"/>
          <w:sz w:val="24"/>
          <w:lang w:val="zh-CN"/>
        </w:rPr>
      </w:pPr>
      <w:r>
        <w:rPr>
          <w:color w:val="000000"/>
          <w:sz w:val="24"/>
        </w:rPr>
        <w:t>供应商名称（加盖公章）</w:t>
      </w:r>
      <w:r>
        <w:rPr>
          <w:color w:val="000000"/>
          <w:sz w:val="24"/>
          <w:lang w:val="zh-CN"/>
        </w:rPr>
        <w:t>：</w:t>
      </w:r>
      <w:r>
        <w:rPr>
          <w:color w:val="000000"/>
          <w:sz w:val="24"/>
        </w:rPr>
        <w:t>_______________</w:t>
      </w:r>
    </w:p>
    <w:p w14:paraId="07F00F89">
      <w:pPr>
        <w:autoSpaceDE w:val="0"/>
        <w:autoSpaceDN w:val="0"/>
        <w:adjustRightInd w:val="0"/>
        <w:snapToGrid w:val="0"/>
        <w:spacing w:before="25" w:after="25" w:line="360" w:lineRule="auto"/>
        <w:rPr>
          <w:color w:val="000000"/>
          <w:sz w:val="24"/>
          <w:lang w:val="zh-CN"/>
        </w:rPr>
      </w:pPr>
      <w:r>
        <w:rPr>
          <w:color w:val="000000"/>
          <w:sz w:val="24"/>
          <w:szCs w:val="20"/>
        </w:rPr>
        <w:t>日期：____年____月____日</w:t>
      </w:r>
    </w:p>
    <w:p w14:paraId="21C11DA5">
      <w:pPr>
        <w:tabs>
          <w:tab w:val="left" w:pos="360"/>
        </w:tabs>
        <w:snapToGrid w:val="0"/>
        <w:spacing w:line="360" w:lineRule="auto"/>
        <w:outlineLvl w:val="1"/>
        <w:rPr>
          <w:color w:val="000000"/>
          <w:sz w:val="24"/>
          <w:szCs w:val="20"/>
        </w:rPr>
      </w:pPr>
      <w:r>
        <w:rPr>
          <w:color w:val="000000"/>
          <w:sz w:val="24"/>
          <w:szCs w:val="20"/>
        </w:rPr>
        <w:br w:type="page"/>
      </w:r>
      <w:r>
        <w:rPr>
          <w:sz w:val="24"/>
        </w:rPr>
        <w:t xml:space="preserve">10  </w:t>
      </w:r>
      <w:bookmarkEnd w:id="766"/>
      <w:bookmarkEnd w:id="767"/>
      <w:bookmarkEnd w:id="768"/>
      <w:bookmarkEnd w:id="769"/>
      <w:bookmarkEnd w:id="770"/>
      <w:bookmarkEnd w:id="771"/>
      <w:bookmarkEnd w:id="772"/>
      <w:bookmarkEnd w:id="773"/>
      <w:bookmarkEnd w:id="774"/>
      <w:bookmarkEnd w:id="775"/>
      <w:bookmarkEnd w:id="776"/>
      <w:bookmarkEnd w:id="777"/>
      <w:bookmarkEnd w:id="778"/>
      <w:r>
        <w:rPr>
          <w:sz w:val="24"/>
        </w:rPr>
        <w:t>采购需求偏离表（实质性格式）</w:t>
      </w:r>
    </w:p>
    <w:p w14:paraId="5E2E0165">
      <w:pPr>
        <w:autoSpaceDE w:val="0"/>
        <w:autoSpaceDN w:val="0"/>
        <w:adjustRightInd w:val="0"/>
        <w:spacing w:line="360" w:lineRule="auto"/>
        <w:jc w:val="center"/>
        <w:rPr>
          <w:b/>
          <w:color w:val="000000"/>
          <w:sz w:val="36"/>
          <w:szCs w:val="36"/>
        </w:rPr>
      </w:pPr>
      <w:r>
        <w:rPr>
          <w:b/>
          <w:color w:val="000000"/>
          <w:sz w:val="36"/>
          <w:szCs w:val="36"/>
        </w:rPr>
        <w:t>采购需求偏离表</w:t>
      </w:r>
    </w:p>
    <w:p w14:paraId="3283CD61">
      <w:pPr>
        <w:tabs>
          <w:tab w:val="left" w:pos="1800"/>
          <w:tab w:val="left" w:pos="5580"/>
        </w:tabs>
        <w:spacing w:line="360" w:lineRule="auto"/>
        <w:ind w:firstLine="360" w:firstLineChars="150"/>
        <w:jc w:val="left"/>
        <w:rPr>
          <w:color w:val="000000"/>
          <w:sz w:val="24"/>
        </w:rPr>
      </w:pPr>
      <w:r>
        <w:rPr>
          <w:color w:val="000000"/>
          <w:sz w:val="24"/>
        </w:rPr>
        <w:t>项目编号：_______________     项目名称：_______________</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599"/>
        <w:gridCol w:w="1928"/>
        <w:gridCol w:w="1584"/>
        <w:gridCol w:w="1710"/>
        <w:gridCol w:w="997"/>
      </w:tblGrid>
      <w:tr w14:paraId="57A65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jc w:val="center"/>
        </w:trPr>
        <w:tc>
          <w:tcPr>
            <w:tcW w:w="5000" w:type="pct"/>
            <w:gridSpan w:val="6"/>
            <w:vAlign w:val="center"/>
          </w:tcPr>
          <w:p w14:paraId="27B332A1">
            <w:pPr>
              <w:spacing w:line="360" w:lineRule="auto"/>
              <w:jc w:val="left"/>
              <w:rPr>
                <w:bCs/>
                <w:sz w:val="24"/>
              </w:rPr>
            </w:pPr>
            <w:r>
              <w:rPr>
                <w:rFonts w:hint="eastAsia"/>
                <w:b/>
                <w:sz w:val="24"/>
                <w:lang w:bidi="ar"/>
              </w:rPr>
              <w:t>对本项目采购需求的偏离情况（请进行勾选）：</w:t>
            </w:r>
          </w:p>
          <w:p w14:paraId="4D08235A">
            <w:pPr>
              <w:spacing w:line="360" w:lineRule="auto"/>
              <w:jc w:val="left"/>
              <w:rPr>
                <w:bCs/>
                <w:sz w:val="24"/>
              </w:rPr>
            </w:pPr>
            <w:r>
              <w:rPr>
                <w:rFonts w:hint="eastAsia"/>
                <w:b/>
                <w:sz w:val="24"/>
                <w:lang w:bidi="ar"/>
              </w:rPr>
              <w:t>□无偏离</w:t>
            </w:r>
            <w:r>
              <w:rPr>
                <w:rFonts w:hint="eastAsia"/>
                <w:bCs/>
                <w:sz w:val="24"/>
                <w:lang w:bidi="ar"/>
              </w:rPr>
              <w:t>（如无偏离，仅勾选无偏离即可）</w:t>
            </w:r>
          </w:p>
          <w:p w14:paraId="355EAC28">
            <w:pPr>
              <w:spacing w:line="360" w:lineRule="auto"/>
              <w:jc w:val="left"/>
              <w:rPr>
                <w:bCs/>
                <w:sz w:val="24"/>
              </w:rPr>
            </w:pPr>
            <w:r>
              <w:rPr>
                <w:rFonts w:hint="eastAsia"/>
                <w:b/>
                <w:sz w:val="24"/>
                <w:lang w:bidi="ar"/>
              </w:rPr>
              <w:t>□有偏离</w:t>
            </w:r>
            <w:r>
              <w:rPr>
                <w:rFonts w:hint="eastAsia"/>
                <w:bCs/>
                <w:sz w:val="24"/>
                <w:lang w:bidi="ar"/>
              </w:rPr>
              <w:t>（如有负偏离，则须在本表中对负偏离项逐一列明）</w:t>
            </w:r>
          </w:p>
        </w:tc>
      </w:tr>
      <w:tr w14:paraId="6CF25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414" w:type="pct"/>
            <w:vAlign w:val="center"/>
          </w:tcPr>
          <w:p w14:paraId="21845093">
            <w:pPr>
              <w:wordWrap w:val="0"/>
              <w:topLinePunct/>
              <w:jc w:val="center"/>
              <w:rPr>
                <w:bCs/>
                <w:sz w:val="24"/>
              </w:rPr>
            </w:pPr>
            <w:r>
              <w:rPr>
                <w:bCs/>
                <w:sz w:val="24"/>
              </w:rPr>
              <w:t>序号</w:t>
            </w:r>
          </w:p>
        </w:tc>
        <w:tc>
          <w:tcPr>
            <w:tcW w:w="938" w:type="pct"/>
            <w:vAlign w:val="center"/>
          </w:tcPr>
          <w:p w14:paraId="4A498087">
            <w:pPr>
              <w:wordWrap w:val="0"/>
              <w:topLinePunct/>
              <w:jc w:val="center"/>
              <w:rPr>
                <w:bCs/>
                <w:sz w:val="24"/>
              </w:rPr>
            </w:pPr>
            <w:r>
              <w:rPr>
                <w:bCs/>
                <w:sz w:val="24"/>
              </w:rPr>
              <w:t>竞争性磋商文件条目号</w:t>
            </w:r>
          </w:p>
          <w:p w14:paraId="0FDB0077">
            <w:pPr>
              <w:wordWrap w:val="0"/>
              <w:topLinePunct/>
              <w:jc w:val="center"/>
              <w:rPr>
                <w:bCs/>
                <w:sz w:val="24"/>
              </w:rPr>
            </w:pPr>
            <w:r>
              <w:rPr>
                <w:rFonts w:hint="eastAsia"/>
                <w:bCs/>
                <w:sz w:val="24"/>
              </w:rPr>
              <w:t>（</w:t>
            </w:r>
            <w:r>
              <w:rPr>
                <w:bCs/>
                <w:sz w:val="24"/>
              </w:rPr>
              <w:t>页码</w:t>
            </w:r>
            <w:r>
              <w:rPr>
                <w:rFonts w:hint="eastAsia"/>
                <w:bCs/>
                <w:sz w:val="24"/>
              </w:rPr>
              <w:t>）</w:t>
            </w:r>
          </w:p>
        </w:tc>
        <w:tc>
          <w:tcPr>
            <w:tcW w:w="1131" w:type="pct"/>
            <w:vAlign w:val="center"/>
          </w:tcPr>
          <w:p w14:paraId="12EB6CDB">
            <w:pPr>
              <w:wordWrap w:val="0"/>
              <w:topLinePunct/>
              <w:jc w:val="center"/>
              <w:rPr>
                <w:bCs/>
                <w:sz w:val="24"/>
              </w:rPr>
            </w:pPr>
            <w:r>
              <w:rPr>
                <w:bCs/>
                <w:sz w:val="24"/>
              </w:rPr>
              <w:t>竞争性磋商文件要求</w:t>
            </w:r>
          </w:p>
        </w:tc>
        <w:tc>
          <w:tcPr>
            <w:tcW w:w="929" w:type="pct"/>
            <w:vAlign w:val="center"/>
          </w:tcPr>
          <w:p w14:paraId="7130E571">
            <w:pPr>
              <w:wordWrap w:val="0"/>
              <w:topLinePunct/>
              <w:jc w:val="center"/>
              <w:rPr>
                <w:bCs/>
                <w:sz w:val="24"/>
              </w:rPr>
            </w:pPr>
            <w:r>
              <w:rPr>
                <w:bCs/>
                <w:sz w:val="24"/>
              </w:rPr>
              <w:t>响应内容</w:t>
            </w:r>
          </w:p>
        </w:tc>
        <w:tc>
          <w:tcPr>
            <w:tcW w:w="1003" w:type="pct"/>
            <w:vAlign w:val="center"/>
          </w:tcPr>
          <w:p w14:paraId="476B3A37">
            <w:pPr>
              <w:wordWrap w:val="0"/>
              <w:topLinePunct/>
              <w:jc w:val="center"/>
              <w:rPr>
                <w:bCs/>
                <w:sz w:val="24"/>
              </w:rPr>
            </w:pPr>
            <w:r>
              <w:rPr>
                <w:bCs/>
                <w:sz w:val="24"/>
              </w:rPr>
              <w:t>偏离情况</w:t>
            </w:r>
          </w:p>
          <w:p w14:paraId="4A6598B2">
            <w:pPr>
              <w:wordWrap w:val="0"/>
              <w:topLinePunct/>
              <w:jc w:val="center"/>
              <w:rPr>
                <w:bCs/>
                <w:sz w:val="24"/>
              </w:rPr>
            </w:pPr>
            <w:r>
              <w:rPr>
                <w:bCs/>
                <w:sz w:val="24"/>
              </w:rPr>
              <w:t>（据实填写）</w:t>
            </w:r>
          </w:p>
        </w:tc>
        <w:tc>
          <w:tcPr>
            <w:tcW w:w="581" w:type="pct"/>
            <w:vAlign w:val="center"/>
          </w:tcPr>
          <w:p w14:paraId="713C5BFE">
            <w:pPr>
              <w:wordWrap w:val="0"/>
              <w:topLinePunct/>
              <w:jc w:val="center"/>
              <w:rPr>
                <w:bCs/>
                <w:sz w:val="24"/>
              </w:rPr>
            </w:pPr>
            <w:r>
              <w:rPr>
                <w:bCs/>
                <w:sz w:val="24"/>
              </w:rPr>
              <w:t>说明</w:t>
            </w:r>
          </w:p>
        </w:tc>
      </w:tr>
      <w:tr w14:paraId="628CF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14" w:type="pct"/>
            <w:vAlign w:val="center"/>
          </w:tcPr>
          <w:p w14:paraId="763394A2">
            <w:pPr>
              <w:wordWrap w:val="0"/>
              <w:topLinePunct/>
              <w:jc w:val="center"/>
              <w:rPr>
                <w:bCs/>
                <w:sz w:val="24"/>
              </w:rPr>
            </w:pPr>
          </w:p>
        </w:tc>
        <w:tc>
          <w:tcPr>
            <w:tcW w:w="938" w:type="pct"/>
            <w:vAlign w:val="center"/>
          </w:tcPr>
          <w:p w14:paraId="3A4D51ED">
            <w:pPr>
              <w:wordWrap w:val="0"/>
              <w:topLinePunct/>
              <w:jc w:val="center"/>
              <w:rPr>
                <w:bCs/>
                <w:sz w:val="24"/>
              </w:rPr>
            </w:pPr>
          </w:p>
        </w:tc>
        <w:tc>
          <w:tcPr>
            <w:tcW w:w="1131" w:type="pct"/>
            <w:vAlign w:val="center"/>
          </w:tcPr>
          <w:p w14:paraId="31AD03DB">
            <w:pPr>
              <w:wordWrap w:val="0"/>
              <w:topLinePunct/>
              <w:jc w:val="center"/>
              <w:rPr>
                <w:bCs/>
                <w:sz w:val="24"/>
              </w:rPr>
            </w:pPr>
          </w:p>
        </w:tc>
        <w:tc>
          <w:tcPr>
            <w:tcW w:w="929" w:type="pct"/>
            <w:vAlign w:val="center"/>
          </w:tcPr>
          <w:p w14:paraId="274E4ADA">
            <w:pPr>
              <w:wordWrap w:val="0"/>
              <w:topLinePunct/>
              <w:jc w:val="center"/>
              <w:rPr>
                <w:bCs/>
                <w:sz w:val="24"/>
              </w:rPr>
            </w:pPr>
          </w:p>
        </w:tc>
        <w:tc>
          <w:tcPr>
            <w:tcW w:w="1003" w:type="pct"/>
            <w:vAlign w:val="center"/>
          </w:tcPr>
          <w:p w14:paraId="2BA9E955">
            <w:pPr>
              <w:wordWrap w:val="0"/>
              <w:topLinePunct/>
              <w:jc w:val="center"/>
              <w:rPr>
                <w:bCs/>
                <w:sz w:val="24"/>
              </w:rPr>
            </w:pPr>
          </w:p>
        </w:tc>
        <w:tc>
          <w:tcPr>
            <w:tcW w:w="581" w:type="pct"/>
            <w:vAlign w:val="center"/>
          </w:tcPr>
          <w:p w14:paraId="2FB7905D">
            <w:pPr>
              <w:wordWrap w:val="0"/>
              <w:topLinePunct/>
              <w:jc w:val="center"/>
              <w:rPr>
                <w:bCs/>
                <w:sz w:val="24"/>
              </w:rPr>
            </w:pPr>
          </w:p>
        </w:tc>
      </w:tr>
      <w:tr w14:paraId="1BCEC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14" w:type="pct"/>
            <w:vAlign w:val="center"/>
          </w:tcPr>
          <w:p w14:paraId="29BEA896">
            <w:pPr>
              <w:wordWrap w:val="0"/>
              <w:topLinePunct/>
              <w:jc w:val="center"/>
              <w:rPr>
                <w:bCs/>
                <w:sz w:val="24"/>
              </w:rPr>
            </w:pPr>
          </w:p>
        </w:tc>
        <w:tc>
          <w:tcPr>
            <w:tcW w:w="938" w:type="pct"/>
            <w:vAlign w:val="center"/>
          </w:tcPr>
          <w:p w14:paraId="6036AD04">
            <w:pPr>
              <w:wordWrap w:val="0"/>
              <w:topLinePunct/>
              <w:jc w:val="center"/>
              <w:rPr>
                <w:bCs/>
                <w:sz w:val="24"/>
              </w:rPr>
            </w:pPr>
          </w:p>
        </w:tc>
        <w:tc>
          <w:tcPr>
            <w:tcW w:w="1131" w:type="pct"/>
            <w:vAlign w:val="center"/>
          </w:tcPr>
          <w:p w14:paraId="1EF1328D">
            <w:pPr>
              <w:wordWrap w:val="0"/>
              <w:topLinePunct/>
              <w:jc w:val="center"/>
              <w:rPr>
                <w:bCs/>
                <w:sz w:val="24"/>
              </w:rPr>
            </w:pPr>
          </w:p>
        </w:tc>
        <w:tc>
          <w:tcPr>
            <w:tcW w:w="929" w:type="pct"/>
            <w:vAlign w:val="center"/>
          </w:tcPr>
          <w:p w14:paraId="5A7B587C">
            <w:pPr>
              <w:wordWrap w:val="0"/>
              <w:topLinePunct/>
              <w:jc w:val="center"/>
              <w:rPr>
                <w:bCs/>
                <w:sz w:val="24"/>
              </w:rPr>
            </w:pPr>
          </w:p>
        </w:tc>
        <w:tc>
          <w:tcPr>
            <w:tcW w:w="1003" w:type="pct"/>
            <w:vAlign w:val="center"/>
          </w:tcPr>
          <w:p w14:paraId="14F53DBC">
            <w:pPr>
              <w:wordWrap w:val="0"/>
              <w:topLinePunct/>
              <w:jc w:val="center"/>
              <w:rPr>
                <w:bCs/>
                <w:sz w:val="24"/>
              </w:rPr>
            </w:pPr>
          </w:p>
        </w:tc>
        <w:tc>
          <w:tcPr>
            <w:tcW w:w="581" w:type="pct"/>
            <w:vAlign w:val="center"/>
          </w:tcPr>
          <w:p w14:paraId="24C15D9E">
            <w:pPr>
              <w:wordWrap w:val="0"/>
              <w:topLinePunct/>
              <w:jc w:val="center"/>
              <w:rPr>
                <w:bCs/>
                <w:sz w:val="24"/>
              </w:rPr>
            </w:pPr>
          </w:p>
        </w:tc>
      </w:tr>
      <w:tr w14:paraId="5C562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14" w:type="pct"/>
            <w:vAlign w:val="center"/>
          </w:tcPr>
          <w:p w14:paraId="55791A5B">
            <w:pPr>
              <w:wordWrap w:val="0"/>
              <w:topLinePunct/>
              <w:jc w:val="center"/>
              <w:rPr>
                <w:bCs/>
                <w:sz w:val="24"/>
              </w:rPr>
            </w:pPr>
          </w:p>
        </w:tc>
        <w:tc>
          <w:tcPr>
            <w:tcW w:w="938" w:type="pct"/>
            <w:vAlign w:val="center"/>
          </w:tcPr>
          <w:p w14:paraId="4ADE4C81">
            <w:pPr>
              <w:wordWrap w:val="0"/>
              <w:topLinePunct/>
              <w:jc w:val="center"/>
              <w:rPr>
                <w:bCs/>
                <w:sz w:val="24"/>
              </w:rPr>
            </w:pPr>
          </w:p>
        </w:tc>
        <w:tc>
          <w:tcPr>
            <w:tcW w:w="1131" w:type="pct"/>
            <w:vAlign w:val="center"/>
          </w:tcPr>
          <w:p w14:paraId="4A4D21CD">
            <w:pPr>
              <w:wordWrap w:val="0"/>
              <w:topLinePunct/>
              <w:jc w:val="center"/>
              <w:rPr>
                <w:bCs/>
                <w:sz w:val="24"/>
              </w:rPr>
            </w:pPr>
          </w:p>
        </w:tc>
        <w:tc>
          <w:tcPr>
            <w:tcW w:w="929" w:type="pct"/>
            <w:vAlign w:val="center"/>
          </w:tcPr>
          <w:p w14:paraId="1A05D8A1">
            <w:pPr>
              <w:wordWrap w:val="0"/>
              <w:topLinePunct/>
              <w:jc w:val="center"/>
              <w:rPr>
                <w:bCs/>
                <w:sz w:val="24"/>
              </w:rPr>
            </w:pPr>
          </w:p>
        </w:tc>
        <w:tc>
          <w:tcPr>
            <w:tcW w:w="1003" w:type="pct"/>
            <w:vAlign w:val="center"/>
          </w:tcPr>
          <w:p w14:paraId="587F98B4">
            <w:pPr>
              <w:wordWrap w:val="0"/>
              <w:topLinePunct/>
              <w:jc w:val="center"/>
              <w:rPr>
                <w:bCs/>
                <w:sz w:val="24"/>
              </w:rPr>
            </w:pPr>
          </w:p>
        </w:tc>
        <w:tc>
          <w:tcPr>
            <w:tcW w:w="581" w:type="pct"/>
            <w:vAlign w:val="center"/>
          </w:tcPr>
          <w:p w14:paraId="61CEE161">
            <w:pPr>
              <w:wordWrap w:val="0"/>
              <w:topLinePunct/>
              <w:jc w:val="center"/>
              <w:rPr>
                <w:bCs/>
                <w:sz w:val="24"/>
              </w:rPr>
            </w:pPr>
          </w:p>
        </w:tc>
      </w:tr>
      <w:tr w14:paraId="3353A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14" w:type="pct"/>
            <w:vAlign w:val="center"/>
          </w:tcPr>
          <w:p w14:paraId="0FB9EE30">
            <w:pPr>
              <w:wordWrap w:val="0"/>
              <w:topLinePunct/>
              <w:jc w:val="center"/>
              <w:rPr>
                <w:bCs/>
                <w:sz w:val="24"/>
              </w:rPr>
            </w:pPr>
          </w:p>
        </w:tc>
        <w:tc>
          <w:tcPr>
            <w:tcW w:w="938" w:type="pct"/>
            <w:vAlign w:val="center"/>
          </w:tcPr>
          <w:p w14:paraId="40DC7EF1">
            <w:pPr>
              <w:wordWrap w:val="0"/>
              <w:topLinePunct/>
              <w:jc w:val="center"/>
              <w:rPr>
                <w:bCs/>
                <w:sz w:val="24"/>
              </w:rPr>
            </w:pPr>
          </w:p>
        </w:tc>
        <w:tc>
          <w:tcPr>
            <w:tcW w:w="1131" w:type="pct"/>
            <w:vAlign w:val="center"/>
          </w:tcPr>
          <w:p w14:paraId="7AD82910">
            <w:pPr>
              <w:wordWrap w:val="0"/>
              <w:topLinePunct/>
              <w:jc w:val="center"/>
              <w:rPr>
                <w:bCs/>
                <w:sz w:val="24"/>
              </w:rPr>
            </w:pPr>
          </w:p>
        </w:tc>
        <w:tc>
          <w:tcPr>
            <w:tcW w:w="929" w:type="pct"/>
            <w:vAlign w:val="center"/>
          </w:tcPr>
          <w:p w14:paraId="27161651">
            <w:pPr>
              <w:wordWrap w:val="0"/>
              <w:topLinePunct/>
              <w:jc w:val="center"/>
              <w:rPr>
                <w:bCs/>
                <w:sz w:val="24"/>
              </w:rPr>
            </w:pPr>
          </w:p>
        </w:tc>
        <w:tc>
          <w:tcPr>
            <w:tcW w:w="1003" w:type="pct"/>
            <w:vAlign w:val="center"/>
          </w:tcPr>
          <w:p w14:paraId="36716A59">
            <w:pPr>
              <w:wordWrap w:val="0"/>
              <w:topLinePunct/>
              <w:jc w:val="center"/>
              <w:rPr>
                <w:bCs/>
                <w:sz w:val="24"/>
              </w:rPr>
            </w:pPr>
          </w:p>
        </w:tc>
        <w:tc>
          <w:tcPr>
            <w:tcW w:w="581" w:type="pct"/>
            <w:vAlign w:val="center"/>
          </w:tcPr>
          <w:p w14:paraId="791B22C6">
            <w:pPr>
              <w:wordWrap w:val="0"/>
              <w:topLinePunct/>
              <w:jc w:val="center"/>
              <w:rPr>
                <w:bCs/>
                <w:sz w:val="24"/>
              </w:rPr>
            </w:pPr>
          </w:p>
        </w:tc>
      </w:tr>
      <w:tr w14:paraId="40B88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14" w:type="pct"/>
            <w:vAlign w:val="center"/>
          </w:tcPr>
          <w:p w14:paraId="504EC475">
            <w:pPr>
              <w:wordWrap w:val="0"/>
              <w:topLinePunct/>
              <w:jc w:val="center"/>
              <w:rPr>
                <w:bCs/>
                <w:sz w:val="24"/>
              </w:rPr>
            </w:pPr>
          </w:p>
        </w:tc>
        <w:tc>
          <w:tcPr>
            <w:tcW w:w="938" w:type="pct"/>
            <w:vAlign w:val="center"/>
          </w:tcPr>
          <w:p w14:paraId="546BFA22">
            <w:pPr>
              <w:wordWrap w:val="0"/>
              <w:topLinePunct/>
              <w:jc w:val="center"/>
              <w:rPr>
                <w:bCs/>
                <w:sz w:val="24"/>
              </w:rPr>
            </w:pPr>
          </w:p>
        </w:tc>
        <w:tc>
          <w:tcPr>
            <w:tcW w:w="1131" w:type="pct"/>
            <w:vAlign w:val="center"/>
          </w:tcPr>
          <w:p w14:paraId="6D5CC51E">
            <w:pPr>
              <w:wordWrap w:val="0"/>
              <w:topLinePunct/>
              <w:jc w:val="center"/>
              <w:rPr>
                <w:bCs/>
                <w:sz w:val="24"/>
              </w:rPr>
            </w:pPr>
          </w:p>
        </w:tc>
        <w:tc>
          <w:tcPr>
            <w:tcW w:w="929" w:type="pct"/>
            <w:vAlign w:val="center"/>
          </w:tcPr>
          <w:p w14:paraId="3D58A247">
            <w:pPr>
              <w:wordWrap w:val="0"/>
              <w:topLinePunct/>
              <w:jc w:val="center"/>
              <w:rPr>
                <w:bCs/>
                <w:sz w:val="24"/>
              </w:rPr>
            </w:pPr>
          </w:p>
        </w:tc>
        <w:tc>
          <w:tcPr>
            <w:tcW w:w="1003" w:type="pct"/>
            <w:vAlign w:val="center"/>
          </w:tcPr>
          <w:p w14:paraId="4B8813FB">
            <w:pPr>
              <w:wordWrap w:val="0"/>
              <w:topLinePunct/>
              <w:jc w:val="center"/>
              <w:rPr>
                <w:bCs/>
                <w:sz w:val="24"/>
              </w:rPr>
            </w:pPr>
          </w:p>
        </w:tc>
        <w:tc>
          <w:tcPr>
            <w:tcW w:w="581" w:type="pct"/>
            <w:vAlign w:val="center"/>
          </w:tcPr>
          <w:p w14:paraId="08F0F01E">
            <w:pPr>
              <w:wordWrap w:val="0"/>
              <w:topLinePunct/>
              <w:jc w:val="center"/>
              <w:rPr>
                <w:bCs/>
                <w:sz w:val="24"/>
              </w:rPr>
            </w:pPr>
          </w:p>
        </w:tc>
      </w:tr>
      <w:tr w14:paraId="368CC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14" w:type="pct"/>
            <w:vAlign w:val="center"/>
          </w:tcPr>
          <w:p w14:paraId="2F61A345">
            <w:pPr>
              <w:wordWrap w:val="0"/>
              <w:topLinePunct/>
              <w:jc w:val="center"/>
              <w:rPr>
                <w:bCs/>
                <w:sz w:val="24"/>
              </w:rPr>
            </w:pPr>
          </w:p>
        </w:tc>
        <w:tc>
          <w:tcPr>
            <w:tcW w:w="938" w:type="pct"/>
            <w:vAlign w:val="center"/>
          </w:tcPr>
          <w:p w14:paraId="59DC1AA1">
            <w:pPr>
              <w:wordWrap w:val="0"/>
              <w:topLinePunct/>
              <w:jc w:val="center"/>
              <w:rPr>
                <w:bCs/>
                <w:sz w:val="24"/>
              </w:rPr>
            </w:pPr>
          </w:p>
        </w:tc>
        <w:tc>
          <w:tcPr>
            <w:tcW w:w="1131" w:type="pct"/>
            <w:vAlign w:val="center"/>
          </w:tcPr>
          <w:p w14:paraId="6089EDC9">
            <w:pPr>
              <w:wordWrap w:val="0"/>
              <w:topLinePunct/>
              <w:jc w:val="center"/>
              <w:rPr>
                <w:bCs/>
                <w:sz w:val="24"/>
              </w:rPr>
            </w:pPr>
          </w:p>
        </w:tc>
        <w:tc>
          <w:tcPr>
            <w:tcW w:w="929" w:type="pct"/>
            <w:vAlign w:val="center"/>
          </w:tcPr>
          <w:p w14:paraId="151A8C36">
            <w:pPr>
              <w:wordWrap w:val="0"/>
              <w:topLinePunct/>
              <w:jc w:val="center"/>
              <w:rPr>
                <w:bCs/>
                <w:sz w:val="24"/>
              </w:rPr>
            </w:pPr>
          </w:p>
        </w:tc>
        <w:tc>
          <w:tcPr>
            <w:tcW w:w="1003" w:type="pct"/>
            <w:vAlign w:val="center"/>
          </w:tcPr>
          <w:p w14:paraId="5F950D38">
            <w:pPr>
              <w:wordWrap w:val="0"/>
              <w:topLinePunct/>
              <w:jc w:val="center"/>
              <w:rPr>
                <w:bCs/>
                <w:sz w:val="24"/>
              </w:rPr>
            </w:pPr>
          </w:p>
        </w:tc>
        <w:tc>
          <w:tcPr>
            <w:tcW w:w="581" w:type="pct"/>
            <w:vAlign w:val="center"/>
          </w:tcPr>
          <w:p w14:paraId="273779E4">
            <w:pPr>
              <w:wordWrap w:val="0"/>
              <w:topLinePunct/>
              <w:jc w:val="center"/>
              <w:rPr>
                <w:bCs/>
                <w:sz w:val="24"/>
              </w:rPr>
            </w:pPr>
          </w:p>
        </w:tc>
      </w:tr>
    </w:tbl>
    <w:p w14:paraId="1BA5D0E8">
      <w:pPr>
        <w:tabs>
          <w:tab w:val="left" w:pos="1800"/>
          <w:tab w:val="left" w:pos="5580"/>
        </w:tabs>
        <w:spacing w:line="360" w:lineRule="auto"/>
        <w:jc w:val="left"/>
        <w:rPr>
          <w:color w:val="000000"/>
          <w:sz w:val="24"/>
          <w:u w:val="single"/>
        </w:rPr>
      </w:pPr>
    </w:p>
    <w:p w14:paraId="1FDF74A3">
      <w:pPr>
        <w:tabs>
          <w:tab w:val="left" w:pos="1800"/>
          <w:tab w:val="left" w:pos="5580"/>
        </w:tabs>
        <w:jc w:val="left"/>
        <w:rPr>
          <w:color w:val="000000"/>
          <w:sz w:val="24"/>
        </w:rPr>
      </w:pPr>
      <w:r>
        <w:rPr>
          <w:color w:val="000000"/>
          <w:sz w:val="24"/>
        </w:rPr>
        <w:t>注：</w:t>
      </w:r>
    </w:p>
    <w:p w14:paraId="630E9885">
      <w:pPr>
        <w:tabs>
          <w:tab w:val="left" w:pos="1800"/>
          <w:tab w:val="left" w:pos="5580"/>
        </w:tabs>
        <w:jc w:val="left"/>
        <w:rPr>
          <w:sz w:val="24"/>
        </w:rPr>
      </w:pPr>
      <w:r>
        <w:rPr>
          <w:color w:val="000000"/>
          <w:sz w:val="24"/>
        </w:rPr>
        <w:t>1.</w:t>
      </w:r>
      <w:r>
        <w:rPr>
          <w:sz w:val="24"/>
        </w:rPr>
        <w:t>对竞争性磋商文件中的所有商务、技术要求，除本表所列明的所有偏离外，均视作供应商已对之理解和响应。</w:t>
      </w:r>
    </w:p>
    <w:p w14:paraId="7123DCED">
      <w:pPr>
        <w:tabs>
          <w:tab w:val="left" w:pos="1800"/>
          <w:tab w:val="left" w:pos="5580"/>
        </w:tabs>
        <w:jc w:val="left"/>
        <w:rPr>
          <w:color w:val="000000"/>
          <w:sz w:val="24"/>
        </w:rPr>
      </w:pPr>
      <w:r>
        <w:rPr>
          <w:sz w:val="24"/>
        </w:rPr>
        <w:t>2.“偏离情况”列应</w:t>
      </w:r>
      <w:r>
        <w:rPr>
          <w:color w:val="000000"/>
          <w:sz w:val="24"/>
        </w:rPr>
        <w:t>据实</w:t>
      </w:r>
      <w:r>
        <w:rPr>
          <w:sz w:val="24"/>
        </w:rPr>
        <w:t>填写“无偏离”、“正偏离”或“负偏离”。</w:t>
      </w:r>
    </w:p>
    <w:p w14:paraId="4D41E27E">
      <w:pPr>
        <w:tabs>
          <w:tab w:val="left" w:pos="1800"/>
          <w:tab w:val="left" w:pos="5580"/>
        </w:tabs>
        <w:jc w:val="left"/>
        <w:rPr>
          <w:color w:val="000000"/>
          <w:sz w:val="24"/>
        </w:rPr>
      </w:pPr>
    </w:p>
    <w:p w14:paraId="0730B8E0">
      <w:pPr>
        <w:rPr>
          <w:color w:val="000000"/>
          <w:sz w:val="24"/>
          <w:szCs w:val="20"/>
        </w:rPr>
      </w:pPr>
    </w:p>
    <w:p w14:paraId="7D6D1A25">
      <w:pPr>
        <w:autoSpaceDE w:val="0"/>
        <w:autoSpaceDN w:val="0"/>
        <w:adjustRightInd w:val="0"/>
        <w:snapToGrid w:val="0"/>
        <w:spacing w:before="25" w:after="25" w:line="360" w:lineRule="auto"/>
        <w:ind w:right="360"/>
        <w:jc w:val="left"/>
        <w:rPr>
          <w:color w:val="000000"/>
          <w:sz w:val="24"/>
          <w:lang w:val="zh-CN"/>
        </w:rPr>
      </w:pPr>
      <w:r>
        <w:rPr>
          <w:color w:val="000000"/>
          <w:sz w:val="24"/>
        </w:rPr>
        <w:t>供应商名称（加盖公章）</w:t>
      </w:r>
      <w:r>
        <w:rPr>
          <w:color w:val="000000"/>
          <w:sz w:val="24"/>
          <w:lang w:val="zh-CN"/>
        </w:rPr>
        <w:t>：</w:t>
      </w:r>
      <w:r>
        <w:rPr>
          <w:sz w:val="24"/>
        </w:rPr>
        <w:t>______</w:t>
      </w:r>
    </w:p>
    <w:p w14:paraId="45DDC01F">
      <w:pPr>
        <w:autoSpaceDE w:val="0"/>
        <w:autoSpaceDN w:val="0"/>
        <w:adjustRightInd w:val="0"/>
        <w:snapToGrid w:val="0"/>
        <w:spacing w:before="25" w:after="25" w:line="360" w:lineRule="auto"/>
        <w:ind w:right="360"/>
        <w:jc w:val="left"/>
        <w:rPr>
          <w:color w:val="000000"/>
          <w:sz w:val="24"/>
          <w:szCs w:val="20"/>
        </w:rPr>
      </w:pPr>
      <w:r>
        <w:rPr>
          <w:color w:val="000000"/>
          <w:sz w:val="24"/>
          <w:szCs w:val="20"/>
        </w:rPr>
        <w:t>日期：____年____月____日</w:t>
      </w:r>
    </w:p>
    <w:p w14:paraId="1496BFFA">
      <w:pPr>
        <w:tabs>
          <w:tab w:val="left" w:pos="360"/>
        </w:tabs>
        <w:snapToGrid w:val="0"/>
        <w:spacing w:line="360" w:lineRule="auto"/>
        <w:outlineLvl w:val="1"/>
        <w:rPr>
          <w:color w:val="000000"/>
          <w:sz w:val="24"/>
          <w:szCs w:val="20"/>
        </w:rPr>
      </w:pPr>
      <w:r>
        <w:rPr>
          <w:color w:val="000000"/>
          <w:sz w:val="24"/>
          <w:szCs w:val="20"/>
        </w:rPr>
        <w:br w:type="page"/>
      </w:r>
      <w:r>
        <w:rPr>
          <w:sz w:val="24"/>
        </w:rPr>
        <w:t>11  竞争性磋商文件要求提供或供应商认为应附的其他材料</w:t>
      </w:r>
    </w:p>
    <w:p w14:paraId="699587DD">
      <w:pPr>
        <w:widowControl/>
        <w:jc w:val="left"/>
        <w:rPr>
          <w:color w:val="000000"/>
          <w:sz w:val="24"/>
          <w:szCs w:val="20"/>
        </w:rPr>
      </w:pPr>
      <w:bookmarkStart w:id="779" w:name="_Hlk167094858"/>
      <w:r>
        <w:rPr>
          <w:rFonts w:hint="eastAsia"/>
          <w:color w:val="000000"/>
          <w:sz w:val="24"/>
          <w:szCs w:val="20"/>
        </w:rPr>
        <w:t>11</w:t>
      </w:r>
      <w:r>
        <w:rPr>
          <w:color w:val="000000"/>
          <w:sz w:val="24"/>
          <w:szCs w:val="20"/>
        </w:rPr>
        <w:t>-1</w:t>
      </w:r>
      <w:r>
        <w:rPr>
          <w:rFonts w:hint="eastAsia"/>
          <w:color w:val="000000"/>
          <w:sz w:val="24"/>
          <w:szCs w:val="20"/>
        </w:rPr>
        <w:t>供应商信息采集表</w:t>
      </w:r>
    </w:p>
    <w:tbl>
      <w:tblPr>
        <w:tblStyle w:val="43"/>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842"/>
        <w:gridCol w:w="2840"/>
        <w:gridCol w:w="2839"/>
      </w:tblGrid>
      <w:tr w14:paraId="6F592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667" w:type="pct"/>
            <w:vAlign w:val="center"/>
          </w:tcPr>
          <w:p w14:paraId="76939F47">
            <w:pPr>
              <w:jc w:val="center"/>
              <w:rPr>
                <w:sz w:val="24"/>
              </w:rPr>
            </w:pPr>
            <w:r>
              <w:rPr>
                <w:rFonts w:hint="eastAsia"/>
                <w:sz w:val="24"/>
              </w:rPr>
              <w:t>供应商名称</w:t>
            </w:r>
          </w:p>
        </w:tc>
        <w:tc>
          <w:tcPr>
            <w:tcW w:w="1666" w:type="pct"/>
            <w:vAlign w:val="center"/>
          </w:tcPr>
          <w:p w14:paraId="7FDFA8AC">
            <w:pPr>
              <w:jc w:val="center"/>
              <w:rPr>
                <w:sz w:val="24"/>
              </w:rPr>
            </w:pPr>
            <w:r>
              <w:rPr>
                <w:rFonts w:hint="eastAsia"/>
                <w:sz w:val="24"/>
              </w:rPr>
              <w:t>供应商所属性别</w:t>
            </w:r>
          </w:p>
        </w:tc>
        <w:tc>
          <w:tcPr>
            <w:tcW w:w="1665" w:type="pct"/>
            <w:vAlign w:val="center"/>
          </w:tcPr>
          <w:p w14:paraId="242D8ECB">
            <w:pPr>
              <w:jc w:val="center"/>
              <w:rPr>
                <w:sz w:val="24"/>
              </w:rPr>
            </w:pPr>
            <w:r>
              <w:rPr>
                <w:rFonts w:hint="eastAsia"/>
                <w:sz w:val="24"/>
              </w:rPr>
              <w:t>外商投资类型</w:t>
            </w:r>
          </w:p>
        </w:tc>
      </w:tr>
      <w:tr w14:paraId="44FA2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667" w:type="pct"/>
            <w:vAlign w:val="center"/>
          </w:tcPr>
          <w:p w14:paraId="2E8AB1C2">
            <w:pPr>
              <w:jc w:val="center"/>
              <w:rPr>
                <w:sz w:val="24"/>
              </w:rPr>
            </w:pPr>
          </w:p>
        </w:tc>
        <w:tc>
          <w:tcPr>
            <w:tcW w:w="1666" w:type="pct"/>
            <w:vAlign w:val="center"/>
          </w:tcPr>
          <w:p w14:paraId="216DD1FD">
            <w:pPr>
              <w:jc w:val="center"/>
              <w:rPr>
                <w:sz w:val="24"/>
              </w:rPr>
            </w:pPr>
          </w:p>
        </w:tc>
        <w:tc>
          <w:tcPr>
            <w:tcW w:w="1665" w:type="pct"/>
            <w:vAlign w:val="center"/>
          </w:tcPr>
          <w:p w14:paraId="7A864687">
            <w:pPr>
              <w:jc w:val="center"/>
              <w:rPr>
                <w:sz w:val="24"/>
              </w:rPr>
            </w:pPr>
          </w:p>
        </w:tc>
      </w:tr>
      <w:tr w14:paraId="6C771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667" w:type="pct"/>
            <w:vAlign w:val="center"/>
          </w:tcPr>
          <w:p w14:paraId="13BDD0C6">
            <w:pPr>
              <w:jc w:val="center"/>
            </w:pPr>
          </w:p>
        </w:tc>
        <w:tc>
          <w:tcPr>
            <w:tcW w:w="1666" w:type="pct"/>
            <w:vAlign w:val="center"/>
          </w:tcPr>
          <w:p w14:paraId="15D30353">
            <w:pPr>
              <w:jc w:val="center"/>
            </w:pPr>
          </w:p>
        </w:tc>
        <w:tc>
          <w:tcPr>
            <w:tcW w:w="1665" w:type="pct"/>
            <w:vAlign w:val="center"/>
          </w:tcPr>
          <w:p w14:paraId="5F3A07B1">
            <w:pPr>
              <w:jc w:val="center"/>
            </w:pPr>
          </w:p>
        </w:tc>
      </w:tr>
      <w:tr w14:paraId="6EA2C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667" w:type="pct"/>
            <w:vAlign w:val="center"/>
          </w:tcPr>
          <w:p w14:paraId="14CDB32D">
            <w:pPr>
              <w:jc w:val="center"/>
            </w:pPr>
          </w:p>
        </w:tc>
        <w:tc>
          <w:tcPr>
            <w:tcW w:w="1666" w:type="pct"/>
            <w:vAlign w:val="center"/>
          </w:tcPr>
          <w:p w14:paraId="630F834F">
            <w:pPr>
              <w:jc w:val="center"/>
            </w:pPr>
          </w:p>
        </w:tc>
        <w:tc>
          <w:tcPr>
            <w:tcW w:w="1665" w:type="pct"/>
            <w:vAlign w:val="center"/>
          </w:tcPr>
          <w:p w14:paraId="61E01A73">
            <w:pPr>
              <w:jc w:val="center"/>
            </w:pPr>
          </w:p>
        </w:tc>
      </w:tr>
      <w:tr w14:paraId="0B2163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667" w:type="pct"/>
            <w:vAlign w:val="center"/>
          </w:tcPr>
          <w:p w14:paraId="1B5681B7">
            <w:pPr>
              <w:jc w:val="center"/>
            </w:pPr>
          </w:p>
        </w:tc>
        <w:tc>
          <w:tcPr>
            <w:tcW w:w="1666" w:type="pct"/>
            <w:vAlign w:val="center"/>
          </w:tcPr>
          <w:p w14:paraId="5E5CAAEB">
            <w:pPr>
              <w:jc w:val="center"/>
            </w:pPr>
          </w:p>
        </w:tc>
        <w:tc>
          <w:tcPr>
            <w:tcW w:w="1665" w:type="pct"/>
            <w:vAlign w:val="center"/>
          </w:tcPr>
          <w:p w14:paraId="6131BBB2">
            <w:pPr>
              <w:jc w:val="center"/>
            </w:pPr>
          </w:p>
        </w:tc>
      </w:tr>
    </w:tbl>
    <w:p w14:paraId="501FB1BD">
      <w:pPr>
        <w:tabs>
          <w:tab w:val="left" w:pos="1800"/>
          <w:tab w:val="left" w:pos="5580"/>
        </w:tabs>
        <w:jc w:val="left"/>
        <w:rPr>
          <w:color w:val="000000"/>
          <w:sz w:val="24"/>
        </w:rPr>
      </w:pPr>
      <w:r>
        <w:rPr>
          <w:rFonts w:hint="eastAsia"/>
          <w:color w:val="000000"/>
          <w:sz w:val="24"/>
        </w:rPr>
        <w:t>注：1.供应商如为联合体，则应填写联合体各成员信息。</w:t>
      </w:r>
    </w:p>
    <w:p w14:paraId="54FDD617">
      <w:pPr>
        <w:tabs>
          <w:tab w:val="left" w:pos="1800"/>
          <w:tab w:val="left" w:pos="5580"/>
        </w:tabs>
        <w:ind w:firstLine="480" w:firstLineChars="200"/>
        <w:jc w:val="left"/>
        <w:rPr>
          <w:color w:val="000000"/>
          <w:sz w:val="24"/>
        </w:rPr>
      </w:pPr>
      <w:r>
        <w:rPr>
          <w:rFonts w:hint="eastAsia"/>
          <w:color w:val="000000"/>
          <w:sz w:val="24"/>
        </w:rPr>
        <w:t>2.供应商所属性别请填写“男”或“女”，指拥有供应商</w:t>
      </w:r>
      <w:r>
        <w:rPr>
          <w:color w:val="000000"/>
          <w:sz w:val="24"/>
        </w:rPr>
        <w:t>51%</w:t>
      </w:r>
      <w:r>
        <w:rPr>
          <w:rFonts w:hint="eastAsia"/>
          <w:color w:val="000000"/>
          <w:sz w:val="24"/>
        </w:rPr>
        <w:t>以上绝对所有权的性别；绝对所有权拥有者可以是一个人，也可以是多人合计计算。</w:t>
      </w:r>
    </w:p>
    <w:p w14:paraId="713037A0">
      <w:pPr>
        <w:tabs>
          <w:tab w:val="left" w:pos="1800"/>
          <w:tab w:val="left" w:pos="5580"/>
        </w:tabs>
        <w:ind w:firstLine="480" w:firstLineChars="200"/>
        <w:jc w:val="left"/>
        <w:rPr>
          <w:color w:val="000000"/>
          <w:sz w:val="24"/>
        </w:rPr>
      </w:pPr>
      <w:r>
        <w:rPr>
          <w:rFonts w:hint="eastAsia"/>
          <w:color w:val="000000"/>
          <w:sz w:val="24"/>
        </w:rPr>
        <w:t>3.外商投资类型请填写“外商单独投资”、“外商部分投资”或“内资”。</w:t>
      </w:r>
    </w:p>
    <w:bookmarkEnd w:id="779"/>
    <w:p w14:paraId="3704089D">
      <w:pPr>
        <w:tabs>
          <w:tab w:val="left" w:pos="360"/>
        </w:tabs>
        <w:snapToGrid w:val="0"/>
        <w:spacing w:line="360" w:lineRule="auto"/>
        <w:outlineLvl w:val="1"/>
        <w:rPr>
          <w:sz w:val="24"/>
        </w:rPr>
      </w:pPr>
      <w:r>
        <w:rPr>
          <w:b/>
          <w:sz w:val="36"/>
          <w:szCs w:val="36"/>
        </w:rPr>
        <w:br w:type="page"/>
      </w:r>
      <w:r>
        <w:rPr>
          <w:sz w:val="24"/>
        </w:rPr>
        <w:t>12  最后报价一览表（磋商后提交）</w:t>
      </w:r>
    </w:p>
    <w:p w14:paraId="1DBE6231">
      <w:pPr>
        <w:widowControl/>
        <w:jc w:val="left"/>
        <w:rPr>
          <w:kern w:val="0"/>
          <w:sz w:val="24"/>
          <w:szCs w:val="20"/>
        </w:rPr>
      </w:pPr>
    </w:p>
    <w:p w14:paraId="703B68B4">
      <w:pPr>
        <w:spacing w:line="360" w:lineRule="exact"/>
        <w:jc w:val="center"/>
        <w:rPr>
          <w:b/>
          <w:color w:val="000000"/>
          <w:sz w:val="36"/>
          <w:szCs w:val="36"/>
        </w:rPr>
      </w:pPr>
      <w:r>
        <w:rPr>
          <w:b/>
          <w:color w:val="000000"/>
          <w:sz w:val="36"/>
          <w:szCs w:val="36"/>
        </w:rPr>
        <w:t>最后报价一览表</w:t>
      </w:r>
    </w:p>
    <w:p w14:paraId="661BFD1A">
      <w:pPr>
        <w:tabs>
          <w:tab w:val="left" w:pos="1800"/>
          <w:tab w:val="left" w:pos="5580"/>
        </w:tabs>
        <w:spacing w:line="360" w:lineRule="auto"/>
        <w:jc w:val="left"/>
        <w:rPr>
          <w:color w:val="000000"/>
          <w:sz w:val="24"/>
        </w:rPr>
      </w:pPr>
    </w:p>
    <w:p w14:paraId="32B664D1">
      <w:pPr>
        <w:tabs>
          <w:tab w:val="left" w:pos="1800"/>
          <w:tab w:val="left" w:pos="5580"/>
        </w:tabs>
        <w:spacing w:line="360" w:lineRule="auto"/>
        <w:ind w:firstLine="360" w:firstLineChars="150"/>
        <w:jc w:val="left"/>
        <w:rPr>
          <w:color w:val="000000"/>
          <w:sz w:val="24"/>
        </w:rPr>
      </w:pPr>
      <w:r>
        <w:rPr>
          <w:color w:val="000000"/>
          <w:sz w:val="24"/>
        </w:rPr>
        <w:t>项目编号：____________ 项目名称：____________</w:t>
      </w:r>
      <w:r>
        <w:rPr>
          <w:rFonts w:hint="eastAsia"/>
          <w:color w:val="000000"/>
          <w:sz w:val="24"/>
        </w:rPr>
        <w:t xml:space="preserve"> </w:t>
      </w:r>
      <w:r>
        <w:rPr>
          <w:color w:val="000000"/>
          <w:sz w:val="24"/>
        </w:rPr>
        <w:t>报价单位：人民币元</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11"/>
        <w:gridCol w:w="2507"/>
        <w:gridCol w:w="1830"/>
        <w:gridCol w:w="1727"/>
        <w:gridCol w:w="1439"/>
      </w:tblGrid>
      <w:tr w14:paraId="212D3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88" w:type="pct"/>
            <w:vMerge w:val="restart"/>
            <w:vAlign w:val="center"/>
          </w:tcPr>
          <w:p w14:paraId="68807131">
            <w:pPr>
              <w:tabs>
                <w:tab w:val="left" w:pos="5580"/>
              </w:tabs>
              <w:jc w:val="center"/>
              <w:rPr>
                <w:b/>
                <w:sz w:val="24"/>
              </w:rPr>
            </w:pPr>
            <w:r>
              <w:rPr>
                <w:rFonts w:hint="eastAsia"/>
                <w:b/>
                <w:sz w:val="24"/>
              </w:rPr>
              <w:t>包号</w:t>
            </w:r>
          </w:p>
        </w:tc>
        <w:tc>
          <w:tcPr>
            <w:tcW w:w="1507" w:type="pct"/>
            <w:vMerge w:val="restart"/>
            <w:vAlign w:val="center"/>
          </w:tcPr>
          <w:p w14:paraId="45B53F85">
            <w:pPr>
              <w:tabs>
                <w:tab w:val="left" w:pos="5580"/>
              </w:tabs>
              <w:jc w:val="center"/>
              <w:rPr>
                <w:b/>
                <w:sz w:val="24"/>
              </w:rPr>
            </w:pPr>
            <w:r>
              <w:rPr>
                <w:b/>
                <w:sz w:val="24"/>
              </w:rPr>
              <w:t>供应商名称</w:t>
            </w:r>
          </w:p>
        </w:tc>
        <w:tc>
          <w:tcPr>
            <w:tcW w:w="2138" w:type="pct"/>
            <w:gridSpan w:val="2"/>
            <w:vAlign w:val="center"/>
          </w:tcPr>
          <w:p w14:paraId="3F3D3D09">
            <w:pPr>
              <w:tabs>
                <w:tab w:val="left" w:pos="5580"/>
              </w:tabs>
              <w:jc w:val="center"/>
              <w:rPr>
                <w:b/>
                <w:sz w:val="24"/>
              </w:rPr>
            </w:pPr>
            <w:r>
              <w:rPr>
                <w:b/>
                <w:sz w:val="24"/>
              </w:rPr>
              <w:t>最后报价</w:t>
            </w:r>
          </w:p>
        </w:tc>
        <w:tc>
          <w:tcPr>
            <w:tcW w:w="865" w:type="pct"/>
            <w:vMerge w:val="restart"/>
            <w:vAlign w:val="center"/>
          </w:tcPr>
          <w:p w14:paraId="09994EEE">
            <w:pPr>
              <w:tabs>
                <w:tab w:val="left" w:pos="5580"/>
              </w:tabs>
              <w:jc w:val="center"/>
              <w:rPr>
                <w:b/>
                <w:sz w:val="24"/>
              </w:rPr>
            </w:pPr>
            <w:r>
              <w:rPr>
                <w:b/>
                <w:sz w:val="24"/>
              </w:rPr>
              <w:t>其他</w:t>
            </w:r>
          </w:p>
          <w:p w14:paraId="020397BA">
            <w:pPr>
              <w:tabs>
                <w:tab w:val="left" w:pos="5580"/>
              </w:tabs>
              <w:jc w:val="center"/>
              <w:rPr>
                <w:b/>
                <w:sz w:val="24"/>
              </w:rPr>
            </w:pPr>
            <w:r>
              <w:rPr>
                <w:b/>
                <w:sz w:val="24"/>
              </w:rPr>
              <w:t>声明</w:t>
            </w:r>
          </w:p>
        </w:tc>
      </w:tr>
      <w:tr w14:paraId="02B6A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88" w:type="pct"/>
            <w:vMerge w:val="continue"/>
            <w:vAlign w:val="center"/>
          </w:tcPr>
          <w:p w14:paraId="61C108FD">
            <w:pPr>
              <w:tabs>
                <w:tab w:val="left" w:pos="5580"/>
              </w:tabs>
              <w:jc w:val="center"/>
              <w:rPr>
                <w:sz w:val="24"/>
              </w:rPr>
            </w:pPr>
          </w:p>
        </w:tc>
        <w:tc>
          <w:tcPr>
            <w:tcW w:w="1507" w:type="pct"/>
            <w:vMerge w:val="continue"/>
            <w:vAlign w:val="center"/>
          </w:tcPr>
          <w:p w14:paraId="016BB1D1">
            <w:pPr>
              <w:tabs>
                <w:tab w:val="left" w:pos="5580"/>
              </w:tabs>
              <w:jc w:val="center"/>
              <w:rPr>
                <w:sz w:val="24"/>
              </w:rPr>
            </w:pPr>
          </w:p>
        </w:tc>
        <w:tc>
          <w:tcPr>
            <w:tcW w:w="1100" w:type="pct"/>
            <w:vAlign w:val="center"/>
          </w:tcPr>
          <w:p w14:paraId="33BC1CA8">
            <w:pPr>
              <w:tabs>
                <w:tab w:val="left" w:pos="5580"/>
              </w:tabs>
              <w:jc w:val="center"/>
              <w:rPr>
                <w:b/>
                <w:sz w:val="24"/>
              </w:rPr>
            </w:pPr>
            <w:r>
              <w:rPr>
                <w:b/>
                <w:sz w:val="24"/>
              </w:rPr>
              <w:t>大写</w:t>
            </w:r>
          </w:p>
        </w:tc>
        <w:tc>
          <w:tcPr>
            <w:tcW w:w="1038" w:type="pct"/>
            <w:vAlign w:val="center"/>
          </w:tcPr>
          <w:p w14:paraId="6CCC0965">
            <w:pPr>
              <w:tabs>
                <w:tab w:val="left" w:pos="5580"/>
              </w:tabs>
              <w:jc w:val="center"/>
              <w:rPr>
                <w:b/>
                <w:sz w:val="24"/>
              </w:rPr>
            </w:pPr>
            <w:r>
              <w:rPr>
                <w:b/>
                <w:sz w:val="24"/>
              </w:rPr>
              <w:t>小写</w:t>
            </w:r>
          </w:p>
        </w:tc>
        <w:tc>
          <w:tcPr>
            <w:tcW w:w="865" w:type="pct"/>
            <w:vMerge w:val="continue"/>
            <w:vAlign w:val="center"/>
          </w:tcPr>
          <w:p w14:paraId="22D34C92">
            <w:pPr>
              <w:tabs>
                <w:tab w:val="left" w:pos="5580"/>
              </w:tabs>
              <w:ind w:firstLine="482"/>
              <w:jc w:val="center"/>
              <w:rPr>
                <w:b/>
                <w:sz w:val="24"/>
              </w:rPr>
            </w:pPr>
          </w:p>
        </w:tc>
      </w:tr>
      <w:tr w14:paraId="183C5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88" w:type="pct"/>
            <w:vAlign w:val="center"/>
          </w:tcPr>
          <w:p w14:paraId="58B9E14D">
            <w:pPr>
              <w:tabs>
                <w:tab w:val="left" w:pos="5580"/>
              </w:tabs>
              <w:jc w:val="center"/>
              <w:rPr>
                <w:sz w:val="24"/>
              </w:rPr>
            </w:pPr>
            <w:r>
              <w:rPr>
                <w:rFonts w:hint="eastAsia"/>
                <w:sz w:val="24"/>
              </w:rPr>
              <w:t>01</w:t>
            </w:r>
          </w:p>
        </w:tc>
        <w:tc>
          <w:tcPr>
            <w:tcW w:w="1507" w:type="pct"/>
            <w:vAlign w:val="center"/>
          </w:tcPr>
          <w:p w14:paraId="73837022">
            <w:pPr>
              <w:tabs>
                <w:tab w:val="left" w:pos="5580"/>
              </w:tabs>
              <w:jc w:val="center"/>
              <w:rPr>
                <w:sz w:val="24"/>
              </w:rPr>
            </w:pPr>
          </w:p>
        </w:tc>
        <w:tc>
          <w:tcPr>
            <w:tcW w:w="1100" w:type="pct"/>
            <w:vAlign w:val="center"/>
          </w:tcPr>
          <w:p w14:paraId="405448F2">
            <w:pPr>
              <w:tabs>
                <w:tab w:val="left" w:pos="5580"/>
              </w:tabs>
              <w:jc w:val="center"/>
              <w:rPr>
                <w:sz w:val="24"/>
              </w:rPr>
            </w:pPr>
          </w:p>
        </w:tc>
        <w:tc>
          <w:tcPr>
            <w:tcW w:w="1038" w:type="pct"/>
            <w:vAlign w:val="center"/>
          </w:tcPr>
          <w:p w14:paraId="351F95DC">
            <w:pPr>
              <w:tabs>
                <w:tab w:val="left" w:pos="5580"/>
              </w:tabs>
              <w:jc w:val="center"/>
              <w:rPr>
                <w:sz w:val="24"/>
              </w:rPr>
            </w:pPr>
          </w:p>
        </w:tc>
        <w:tc>
          <w:tcPr>
            <w:tcW w:w="865" w:type="pct"/>
            <w:vAlign w:val="center"/>
          </w:tcPr>
          <w:p w14:paraId="02C828E6">
            <w:pPr>
              <w:tabs>
                <w:tab w:val="left" w:pos="5580"/>
              </w:tabs>
              <w:jc w:val="center"/>
              <w:rPr>
                <w:sz w:val="24"/>
              </w:rPr>
            </w:pPr>
          </w:p>
        </w:tc>
      </w:tr>
    </w:tbl>
    <w:p w14:paraId="4BA274F2">
      <w:pPr>
        <w:autoSpaceDE w:val="0"/>
        <w:autoSpaceDN w:val="0"/>
        <w:adjustRightInd w:val="0"/>
        <w:jc w:val="left"/>
        <w:rPr>
          <w:color w:val="000000"/>
          <w:kern w:val="0"/>
          <w:sz w:val="24"/>
        </w:rPr>
      </w:pPr>
    </w:p>
    <w:p w14:paraId="5490A9E2">
      <w:pPr>
        <w:autoSpaceDE w:val="0"/>
        <w:autoSpaceDN w:val="0"/>
        <w:adjustRightInd w:val="0"/>
        <w:jc w:val="left"/>
        <w:rPr>
          <w:color w:val="000000"/>
          <w:kern w:val="0"/>
          <w:sz w:val="24"/>
        </w:rPr>
      </w:pPr>
    </w:p>
    <w:p w14:paraId="21D4D3D1">
      <w:pPr>
        <w:autoSpaceDE w:val="0"/>
        <w:autoSpaceDN w:val="0"/>
        <w:adjustRightInd w:val="0"/>
        <w:jc w:val="left"/>
        <w:rPr>
          <w:color w:val="000000"/>
          <w:kern w:val="0"/>
          <w:sz w:val="24"/>
        </w:rPr>
      </w:pPr>
    </w:p>
    <w:p w14:paraId="38B6143A">
      <w:pPr>
        <w:autoSpaceDE w:val="0"/>
        <w:autoSpaceDN w:val="0"/>
        <w:adjustRightInd w:val="0"/>
        <w:jc w:val="left"/>
        <w:rPr>
          <w:color w:val="000000"/>
          <w:kern w:val="0"/>
          <w:sz w:val="24"/>
        </w:rPr>
      </w:pPr>
    </w:p>
    <w:p w14:paraId="449394B9">
      <w:pPr>
        <w:tabs>
          <w:tab w:val="left" w:pos="5580"/>
        </w:tabs>
        <w:rPr>
          <w:color w:val="000000"/>
          <w:sz w:val="24"/>
          <w:szCs w:val="20"/>
        </w:rPr>
      </w:pPr>
      <w:r>
        <w:rPr>
          <w:rFonts w:hint="eastAsia"/>
          <w:color w:val="000000"/>
          <w:sz w:val="24"/>
          <w:szCs w:val="20"/>
        </w:rPr>
        <w:t>注：1.此表中，每包的最后报价应和《最后分项报价表》中的总价相一致。</w:t>
      </w:r>
    </w:p>
    <w:p w14:paraId="360E9A1A">
      <w:pPr>
        <w:tabs>
          <w:tab w:val="left" w:pos="5580"/>
        </w:tabs>
        <w:ind w:firstLine="480" w:firstLineChars="200"/>
        <w:rPr>
          <w:color w:val="000000"/>
          <w:sz w:val="24"/>
          <w:szCs w:val="20"/>
        </w:rPr>
      </w:pPr>
      <w:r>
        <w:rPr>
          <w:rFonts w:hint="eastAsia"/>
          <w:color w:val="000000"/>
          <w:sz w:val="24"/>
          <w:szCs w:val="20"/>
        </w:rPr>
        <w:t>2.本表必须按包分别填写。</w:t>
      </w:r>
    </w:p>
    <w:p w14:paraId="36F62483">
      <w:pPr>
        <w:tabs>
          <w:tab w:val="left" w:pos="5580"/>
        </w:tabs>
        <w:ind w:firstLine="480" w:firstLineChars="200"/>
        <w:rPr>
          <w:color w:val="000000"/>
          <w:sz w:val="24"/>
          <w:szCs w:val="20"/>
        </w:rPr>
      </w:pPr>
      <w:r>
        <w:rPr>
          <w:rFonts w:hint="eastAsia"/>
          <w:color w:val="000000"/>
          <w:sz w:val="24"/>
          <w:szCs w:val="20"/>
        </w:rPr>
        <w:t>3.此表无需在响应文件中提交，磋商后供应商按磋商小组要求提交。</w:t>
      </w:r>
    </w:p>
    <w:p w14:paraId="6829B7DB">
      <w:pPr>
        <w:autoSpaceDE w:val="0"/>
        <w:autoSpaceDN w:val="0"/>
        <w:adjustRightInd w:val="0"/>
        <w:snapToGrid w:val="0"/>
        <w:spacing w:before="25" w:after="25" w:line="360" w:lineRule="auto"/>
        <w:rPr>
          <w:color w:val="000000"/>
          <w:sz w:val="24"/>
          <w:lang w:val="zh-CN"/>
        </w:rPr>
      </w:pPr>
    </w:p>
    <w:p w14:paraId="544383A6">
      <w:pPr>
        <w:autoSpaceDE w:val="0"/>
        <w:autoSpaceDN w:val="0"/>
        <w:adjustRightInd w:val="0"/>
        <w:snapToGrid w:val="0"/>
        <w:spacing w:before="25" w:after="25" w:line="360" w:lineRule="auto"/>
        <w:rPr>
          <w:color w:val="000000"/>
          <w:sz w:val="24"/>
          <w:lang w:val="zh-CN"/>
        </w:rPr>
      </w:pPr>
    </w:p>
    <w:p w14:paraId="7B43FAFB">
      <w:pPr>
        <w:autoSpaceDE w:val="0"/>
        <w:autoSpaceDN w:val="0"/>
        <w:adjustRightInd w:val="0"/>
        <w:snapToGrid w:val="0"/>
        <w:spacing w:before="25" w:after="25" w:line="360" w:lineRule="auto"/>
        <w:rPr>
          <w:color w:val="000000"/>
          <w:sz w:val="24"/>
          <w:lang w:val="zh-CN"/>
        </w:rPr>
      </w:pPr>
      <w:r>
        <w:rPr>
          <w:color w:val="000000"/>
          <w:sz w:val="24"/>
        </w:rPr>
        <w:t>供应商授权代表签字（或加盖供应商公章）</w:t>
      </w:r>
      <w:r>
        <w:rPr>
          <w:color w:val="000000"/>
          <w:sz w:val="24"/>
          <w:lang w:val="zh-CN"/>
        </w:rPr>
        <w:t>：___________</w:t>
      </w:r>
    </w:p>
    <w:p w14:paraId="26B39472">
      <w:pPr>
        <w:widowControl/>
        <w:jc w:val="left"/>
        <w:rPr>
          <w:color w:val="000000"/>
          <w:sz w:val="24"/>
          <w:szCs w:val="20"/>
        </w:rPr>
      </w:pPr>
      <w:r>
        <w:rPr>
          <w:color w:val="000000"/>
          <w:sz w:val="24"/>
          <w:szCs w:val="20"/>
        </w:rPr>
        <w:t>日期：____年____月____日</w:t>
      </w:r>
    </w:p>
    <w:p w14:paraId="6CE43BC3">
      <w:pPr>
        <w:widowControl/>
        <w:jc w:val="left"/>
        <w:rPr>
          <w:color w:val="000000"/>
          <w:sz w:val="24"/>
          <w:szCs w:val="20"/>
        </w:rPr>
      </w:pPr>
    </w:p>
    <w:p w14:paraId="58C07C14">
      <w:pPr>
        <w:tabs>
          <w:tab w:val="left" w:pos="360"/>
        </w:tabs>
        <w:snapToGrid w:val="0"/>
        <w:spacing w:line="360" w:lineRule="auto"/>
        <w:outlineLvl w:val="1"/>
        <w:rPr>
          <w:sz w:val="24"/>
        </w:rPr>
        <w:sectPr>
          <w:pgSz w:w="11907" w:h="16840"/>
          <w:pgMar w:top="1440" w:right="1800" w:bottom="1440" w:left="1800" w:header="851" w:footer="851" w:gutter="0"/>
          <w:cols w:space="720" w:num="1"/>
          <w:docGrid w:linePitch="462" w:charSpace="0"/>
        </w:sectPr>
      </w:pPr>
    </w:p>
    <w:p w14:paraId="2CF89DEE">
      <w:pPr>
        <w:tabs>
          <w:tab w:val="left" w:pos="360"/>
        </w:tabs>
        <w:snapToGrid w:val="0"/>
        <w:spacing w:line="360" w:lineRule="auto"/>
        <w:outlineLvl w:val="1"/>
        <w:rPr>
          <w:b/>
          <w:color w:val="000000"/>
          <w:sz w:val="36"/>
          <w:szCs w:val="36"/>
        </w:rPr>
      </w:pPr>
      <w:bookmarkStart w:id="780" w:name="_Toc157090677"/>
      <w:r>
        <w:rPr>
          <w:sz w:val="24"/>
        </w:rPr>
        <w:t>13  最后分项报价表（</w:t>
      </w:r>
      <w:r>
        <w:rPr>
          <w:rFonts w:hint="eastAsia"/>
          <w:sz w:val="24"/>
        </w:rPr>
        <w:t>磋商后提交</w:t>
      </w:r>
      <w:r>
        <w:rPr>
          <w:sz w:val="24"/>
        </w:rPr>
        <w:t>）</w:t>
      </w:r>
    </w:p>
    <w:p w14:paraId="6695FF65">
      <w:pPr>
        <w:wordWrap w:val="0"/>
        <w:jc w:val="center"/>
        <w:rPr>
          <w:b/>
          <w:color w:val="000000"/>
          <w:sz w:val="36"/>
          <w:szCs w:val="36"/>
        </w:rPr>
      </w:pPr>
      <w:r>
        <w:rPr>
          <w:b/>
          <w:color w:val="000000"/>
          <w:sz w:val="36"/>
          <w:szCs w:val="36"/>
        </w:rPr>
        <w:t>最后分项报价表</w:t>
      </w:r>
    </w:p>
    <w:p w14:paraId="4E131066">
      <w:pPr>
        <w:spacing w:line="260" w:lineRule="exact"/>
        <w:jc w:val="center"/>
        <w:rPr>
          <w:color w:val="000000"/>
          <w:sz w:val="36"/>
          <w:szCs w:val="36"/>
        </w:rPr>
      </w:pPr>
    </w:p>
    <w:p w14:paraId="1AD0916A">
      <w:pPr>
        <w:tabs>
          <w:tab w:val="left" w:pos="1800"/>
          <w:tab w:val="left" w:pos="5580"/>
        </w:tabs>
        <w:rPr>
          <w:color w:val="000000"/>
          <w:sz w:val="24"/>
        </w:rPr>
      </w:pPr>
      <w:r>
        <w:rPr>
          <w:color w:val="000000"/>
          <w:sz w:val="24"/>
        </w:rPr>
        <w:t xml:space="preserve">项目编号：_________ </w:t>
      </w:r>
      <w:r>
        <w:rPr>
          <w:rFonts w:hint="eastAsia"/>
          <w:color w:val="000000"/>
          <w:sz w:val="24"/>
        </w:rPr>
        <w:t xml:space="preserve">  </w:t>
      </w:r>
      <w:r>
        <w:rPr>
          <w:color w:val="000000"/>
          <w:sz w:val="24"/>
        </w:rPr>
        <w:t>项目名称：_________</w:t>
      </w:r>
      <w:r>
        <w:rPr>
          <w:rFonts w:hint="eastAsia"/>
          <w:color w:val="000000"/>
          <w:sz w:val="24"/>
        </w:rPr>
        <w:t xml:space="preserve">   </w:t>
      </w:r>
      <w:r>
        <w:rPr>
          <w:color w:val="000000"/>
          <w:sz w:val="24"/>
        </w:rPr>
        <w:t>报价单位：人民币元</w:t>
      </w:r>
    </w:p>
    <w:p w14:paraId="7E77767C">
      <w:pPr>
        <w:tabs>
          <w:tab w:val="left" w:pos="1800"/>
          <w:tab w:val="left" w:pos="5580"/>
        </w:tabs>
        <w:jc w:val="left"/>
        <w:rPr>
          <w:color w:val="000000"/>
          <w:sz w:val="24"/>
        </w:rPr>
      </w:pP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4379"/>
        <w:gridCol w:w="2286"/>
        <w:gridCol w:w="1115"/>
      </w:tblGrid>
      <w:tr w14:paraId="32E84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434" w:type="pct"/>
            <w:vAlign w:val="center"/>
          </w:tcPr>
          <w:p w14:paraId="1E92B9F5">
            <w:pPr>
              <w:adjustRightInd w:val="0"/>
              <w:jc w:val="center"/>
              <w:textAlignment w:val="baseline"/>
              <w:rPr>
                <w:kern w:val="0"/>
                <w:sz w:val="24"/>
                <w:szCs w:val="20"/>
              </w:rPr>
            </w:pPr>
            <w:r>
              <w:rPr>
                <w:rFonts w:hint="eastAsia"/>
                <w:kern w:val="0"/>
                <w:sz w:val="24"/>
                <w:szCs w:val="20"/>
              </w:rPr>
              <w:t>包号</w:t>
            </w:r>
          </w:p>
        </w:tc>
        <w:tc>
          <w:tcPr>
            <w:tcW w:w="2568" w:type="pct"/>
            <w:vAlign w:val="center"/>
          </w:tcPr>
          <w:p w14:paraId="0532AE08">
            <w:pPr>
              <w:adjustRightInd w:val="0"/>
              <w:jc w:val="center"/>
              <w:textAlignment w:val="baseline"/>
              <w:rPr>
                <w:kern w:val="0"/>
                <w:sz w:val="24"/>
                <w:szCs w:val="20"/>
              </w:rPr>
            </w:pPr>
            <w:r>
              <w:rPr>
                <w:kern w:val="0"/>
                <w:sz w:val="24"/>
                <w:szCs w:val="20"/>
              </w:rPr>
              <w:t>最后报价计算过程或说明（</w:t>
            </w:r>
            <w:r>
              <w:rPr>
                <w:color w:val="000000"/>
                <w:sz w:val="24"/>
              </w:rPr>
              <w:t>可以填写按第一次报价下浮比例，也可以填写相对第一次报价某部分价格变化情况</w:t>
            </w:r>
            <w:r>
              <w:rPr>
                <w:kern w:val="0"/>
                <w:sz w:val="24"/>
                <w:szCs w:val="20"/>
              </w:rPr>
              <w:t>）</w:t>
            </w:r>
          </w:p>
        </w:tc>
        <w:tc>
          <w:tcPr>
            <w:tcW w:w="1341" w:type="pct"/>
            <w:vAlign w:val="center"/>
          </w:tcPr>
          <w:p w14:paraId="066DAF98">
            <w:pPr>
              <w:adjustRightInd w:val="0"/>
              <w:jc w:val="center"/>
              <w:textAlignment w:val="baseline"/>
              <w:rPr>
                <w:kern w:val="0"/>
                <w:sz w:val="24"/>
                <w:szCs w:val="20"/>
              </w:rPr>
            </w:pPr>
            <w:r>
              <w:rPr>
                <w:kern w:val="0"/>
                <w:sz w:val="24"/>
                <w:szCs w:val="20"/>
              </w:rPr>
              <w:t>总价（元）</w:t>
            </w:r>
          </w:p>
        </w:tc>
        <w:tc>
          <w:tcPr>
            <w:tcW w:w="654" w:type="pct"/>
            <w:vAlign w:val="center"/>
          </w:tcPr>
          <w:p w14:paraId="11678B07">
            <w:pPr>
              <w:adjustRightInd w:val="0"/>
              <w:jc w:val="center"/>
              <w:textAlignment w:val="baseline"/>
              <w:rPr>
                <w:kern w:val="0"/>
                <w:sz w:val="24"/>
                <w:szCs w:val="20"/>
              </w:rPr>
            </w:pPr>
            <w:r>
              <w:rPr>
                <w:kern w:val="0"/>
                <w:sz w:val="24"/>
                <w:szCs w:val="20"/>
              </w:rPr>
              <w:t>备注</w:t>
            </w:r>
          </w:p>
        </w:tc>
      </w:tr>
      <w:tr w14:paraId="21950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5" w:hRule="atLeast"/>
          <w:jc w:val="center"/>
        </w:trPr>
        <w:tc>
          <w:tcPr>
            <w:tcW w:w="434" w:type="pct"/>
            <w:vAlign w:val="center"/>
          </w:tcPr>
          <w:p w14:paraId="7DE15E24">
            <w:pPr>
              <w:adjustRightInd w:val="0"/>
              <w:jc w:val="center"/>
              <w:textAlignment w:val="baseline"/>
              <w:rPr>
                <w:kern w:val="0"/>
                <w:sz w:val="24"/>
                <w:szCs w:val="20"/>
              </w:rPr>
            </w:pPr>
            <w:r>
              <w:rPr>
                <w:rFonts w:hint="eastAsia"/>
                <w:kern w:val="0"/>
                <w:sz w:val="24"/>
                <w:szCs w:val="20"/>
              </w:rPr>
              <w:t>01</w:t>
            </w:r>
          </w:p>
        </w:tc>
        <w:tc>
          <w:tcPr>
            <w:tcW w:w="2568" w:type="pct"/>
            <w:vAlign w:val="center"/>
          </w:tcPr>
          <w:p w14:paraId="237ADD45">
            <w:pPr>
              <w:adjustRightInd w:val="0"/>
              <w:jc w:val="center"/>
              <w:textAlignment w:val="baseline"/>
              <w:rPr>
                <w:kern w:val="0"/>
                <w:sz w:val="24"/>
                <w:szCs w:val="20"/>
              </w:rPr>
            </w:pPr>
          </w:p>
        </w:tc>
        <w:tc>
          <w:tcPr>
            <w:tcW w:w="1341" w:type="pct"/>
            <w:vAlign w:val="center"/>
          </w:tcPr>
          <w:p w14:paraId="6515F567">
            <w:pPr>
              <w:adjustRightInd w:val="0"/>
              <w:jc w:val="center"/>
              <w:textAlignment w:val="baseline"/>
              <w:rPr>
                <w:kern w:val="0"/>
                <w:sz w:val="24"/>
                <w:szCs w:val="20"/>
              </w:rPr>
            </w:pPr>
          </w:p>
        </w:tc>
        <w:tc>
          <w:tcPr>
            <w:tcW w:w="654" w:type="pct"/>
            <w:vAlign w:val="center"/>
          </w:tcPr>
          <w:p w14:paraId="06A973B4">
            <w:pPr>
              <w:adjustRightInd w:val="0"/>
              <w:jc w:val="center"/>
              <w:textAlignment w:val="baseline"/>
              <w:rPr>
                <w:kern w:val="0"/>
                <w:sz w:val="24"/>
                <w:szCs w:val="20"/>
              </w:rPr>
            </w:pPr>
          </w:p>
        </w:tc>
      </w:tr>
      <w:tr w14:paraId="11B46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3003" w:type="pct"/>
            <w:gridSpan w:val="2"/>
            <w:vAlign w:val="center"/>
          </w:tcPr>
          <w:p w14:paraId="79E47E9C">
            <w:pPr>
              <w:adjustRightInd w:val="0"/>
              <w:jc w:val="right"/>
              <w:textAlignment w:val="baseline"/>
              <w:rPr>
                <w:kern w:val="0"/>
                <w:sz w:val="24"/>
                <w:szCs w:val="20"/>
              </w:rPr>
            </w:pPr>
            <w:r>
              <w:rPr>
                <w:kern w:val="0"/>
                <w:sz w:val="24"/>
                <w:szCs w:val="20"/>
              </w:rPr>
              <w:t>合计（元）</w:t>
            </w:r>
          </w:p>
        </w:tc>
        <w:tc>
          <w:tcPr>
            <w:tcW w:w="1341" w:type="pct"/>
            <w:vAlign w:val="center"/>
          </w:tcPr>
          <w:p w14:paraId="4FBF4CEB">
            <w:pPr>
              <w:adjustRightInd w:val="0"/>
              <w:jc w:val="center"/>
              <w:textAlignment w:val="baseline"/>
              <w:rPr>
                <w:kern w:val="0"/>
                <w:sz w:val="24"/>
                <w:szCs w:val="20"/>
              </w:rPr>
            </w:pPr>
          </w:p>
        </w:tc>
        <w:tc>
          <w:tcPr>
            <w:tcW w:w="654" w:type="pct"/>
            <w:vAlign w:val="center"/>
          </w:tcPr>
          <w:p w14:paraId="348EE472">
            <w:pPr>
              <w:adjustRightInd w:val="0"/>
              <w:jc w:val="center"/>
              <w:textAlignment w:val="baseline"/>
              <w:rPr>
                <w:kern w:val="0"/>
                <w:sz w:val="24"/>
                <w:szCs w:val="20"/>
              </w:rPr>
            </w:pPr>
          </w:p>
        </w:tc>
      </w:tr>
    </w:tbl>
    <w:p w14:paraId="773E6BF0">
      <w:pPr>
        <w:tabs>
          <w:tab w:val="left" w:pos="1800"/>
          <w:tab w:val="left" w:pos="5580"/>
        </w:tabs>
        <w:jc w:val="left"/>
        <w:rPr>
          <w:b/>
          <w:bCs/>
          <w:color w:val="000000"/>
          <w:sz w:val="32"/>
          <w:szCs w:val="32"/>
        </w:rPr>
      </w:pPr>
    </w:p>
    <w:p w14:paraId="0B0616CE">
      <w:pPr>
        <w:tabs>
          <w:tab w:val="left" w:pos="1800"/>
          <w:tab w:val="left" w:pos="5580"/>
        </w:tabs>
        <w:jc w:val="left"/>
        <w:rPr>
          <w:color w:val="000000"/>
          <w:sz w:val="24"/>
        </w:rPr>
      </w:pPr>
    </w:p>
    <w:p w14:paraId="694978AA">
      <w:pPr>
        <w:tabs>
          <w:tab w:val="left" w:pos="1800"/>
          <w:tab w:val="left" w:pos="5580"/>
        </w:tabs>
        <w:jc w:val="left"/>
        <w:rPr>
          <w:color w:val="000000"/>
          <w:sz w:val="24"/>
        </w:rPr>
      </w:pPr>
    </w:p>
    <w:p w14:paraId="2E0186EA">
      <w:pPr>
        <w:tabs>
          <w:tab w:val="left" w:pos="1800"/>
          <w:tab w:val="left" w:pos="5580"/>
        </w:tabs>
        <w:jc w:val="left"/>
        <w:rPr>
          <w:color w:val="000000"/>
          <w:sz w:val="24"/>
        </w:rPr>
      </w:pPr>
      <w:r>
        <w:rPr>
          <w:rFonts w:hint="eastAsia"/>
          <w:color w:val="000000"/>
          <w:sz w:val="24"/>
        </w:rPr>
        <w:t>注：1.本表应按包分别填写。</w:t>
      </w:r>
    </w:p>
    <w:p w14:paraId="5816D933">
      <w:pPr>
        <w:tabs>
          <w:tab w:val="left" w:pos="1800"/>
          <w:tab w:val="left" w:pos="5580"/>
        </w:tabs>
        <w:ind w:firstLine="480" w:firstLineChars="200"/>
        <w:jc w:val="left"/>
        <w:rPr>
          <w:color w:val="000000"/>
          <w:sz w:val="24"/>
        </w:rPr>
      </w:pPr>
      <w:r>
        <w:rPr>
          <w:rFonts w:hint="eastAsia"/>
          <w:color w:val="000000"/>
          <w:sz w:val="24"/>
        </w:rPr>
        <w:t>2.上述各项的详细规格（如有），可另页描述。</w:t>
      </w:r>
    </w:p>
    <w:p w14:paraId="00DCF04B">
      <w:pPr>
        <w:tabs>
          <w:tab w:val="left" w:pos="1800"/>
          <w:tab w:val="left" w:pos="5580"/>
        </w:tabs>
        <w:ind w:firstLine="480" w:firstLineChars="200"/>
        <w:jc w:val="left"/>
        <w:rPr>
          <w:color w:val="000000"/>
          <w:sz w:val="24"/>
        </w:rPr>
      </w:pPr>
      <w:r>
        <w:rPr>
          <w:rFonts w:hint="eastAsia"/>
          <w:color w:val="000000"/>
          <w:sz w:val="24"/>
        </w:rPr>
        <w:t>3.此表无需在响应文件中提交，磋商后供应商按磋商小组要求提交。</w:t>
      </w:r>
    </w:p>
    <w:p w14:paraId="3AC42C30">
      <w:pPr>
        <w:tabs>
          <w:tab w:val="left" w:pos="1800"/>
          <w:tab w:val="left" w:pos="5580"/>
        </w:tabs>
        <w:ind w:firstLine="480" w:firstLineChars="200"/>
        <w:jc w:val="left"/>
        <w:rPr>
          <w:color w:val="000000"/>
          <w:sz w:val="24"/>
        </w:rPr>
      </w:pPr>
      <w:r>
        <w:rPr>
          <w:rFonts w:hint="eastAsia"/>
          <w:color w:val="000000"/>
          <w:sz w:val="24"/>
        </w:rPr>
        <w:t>4.如无法按照第一次报价下浮比例或相对第一次报价某部分价格变化情况报价，可提供最终已标价工程量清单。</w:t>
      </w:r>
    </w:p>
    <w:p w14:paraId="6E4F0F81">
      <w:pPr>
        <w:autoSpaceDE w:val="0"/>
        <w:autoSpaceDN w:val="0"/>
        <w:adjustRightInd w:val="0"/>
        <w:snapToGrid w:val="0"/>
        <w:spacing w:before="25" w:after="25" w:line="360" w:lineRule="auto"/>
        <w:rPr>
          <w:color w:val="000000"/>
          <w:sz w:val="24"/>
          <w:lang w:val="zh-CN"/>
        </w:rPr>
      </w:pPr>
    </w:p>
    <w:p w14:paraId="137DAD5F">
      <w:pPr>
        <w:autoSpaceDE w:val="0"/>
        <w:autoSpaceDN w:val="0"/>
        <w:adjustRightInd w:val="0"/>
        <w:snapToGrid w:val="0"/>
        <w:spacing w:before="25" w:after="25" w:line="360" w:lineRule="auto"/>
        <w:rPr>
          <w:color w:val="000000"/>
          <w:sz w:val="24"/>
          <w:lang w:val="zh-CN"/>
        </w:rPr>
      </w:pPr>
      <w:r>
        <w:rPr>
          <w:kern w:val="0"/>
          <w:sz w:val="24"/>
        </w:rPr>
        <w:t>供应商授权代表签字（或加盖供应商公章）</w:t>
      </w:r>
      <w:r>
        <w:rPr>
          <w:color w:val="000000"/>
          <w:sz w:val="24"/>
          <w:lang w:val="zh-CN"/>
        </w:rPr>
        <w:t>：____________</w:t>
      </w:r>
    </w:p>
    <w:p w14:paraId="23953B3D">
      <w:pPr>
        <w:autoSpaceDE w:val="0"/>
        <w:autoSpaceDN w:val="0"/>
        <w:adjustRightInd w:val="0"/>
        <w:snapToGrid w:val="0"/>
        <w:spacing w:before="25" w:after="25" w:line="360" w:lineRule="auto"/>
        <w:rPr>
          <w:color w:val="000000"/>
          <w:sz w:val="24"/>
          <w:lang w:val="zh-CN"/>
        </w:rPr>
      </w:pPr>
      <w:r>
        <w:rPr>
          <w:color w:val="000000"/>
          <w:sz w:val="24"/>
          <w:szCs w:val="20"/>
        </w:rPr>
        <w:t>日期：____年____月____日</w:t>
      </w:r>
    </w:p>
    <w:p w14:paraId="284446FB">
      <w:pPr>
        <w:tabs>
          <w:tab w:val="left" w:pos="360"/>
        </w:tabs>
        <w:snapToGrid w:val="0"/>
        <w:spacing w:line="360" w:lineRule="auto"/>
        <w:outlineLvl w:val="1"/>
        <w:rPr>
          <w:sz w:val="24"/>
        </w:rPr>
        <w:sectPr>
          <w:pgSz w:w="11907" w:h="16840"/>
          <w:pgMar w:top="1440" w:right="1800" w:bottom="1440" w:left="1800" w:header="851" w:footer="851" w:gutter="0"/>
          <w:cols w:space="720" w:num="1"/>
          <w:docGrid w:linePitch="462" w:charSpace="0"/>
        </w:sectPr>
      </w:pPr>
    </w:p>
    <w:p w14:paraId="1AF2BBFD">
      <w:pPr>
        <w:tabs>
          <w:tab w:val="left" w:pos="360"/>
        </w:tabs>
        <w:snapToGrid w:val="0"/>
        <w:spacing w:line="360" w:lineRule="auto"/>
        <w:outlineLvl w:val="1"/>
        <w:rPr>
          <w:sz w:val="24"/>
        </w:rPr>
      </w:pPr>
      <w:r>
        <w:rPr>
          <w:rFonts w:hint="eastAsia"/>
          <w:sz w:val="24"/>
        </w:rPr>
        <w:t>14  业绩案例一览表</w:t>
      </w:r>
    </w:p>
    <w:p w14:paraId="4385FB7E">
      <w:pPr>
        <w:wordWrap w:val="0"/>
        <w:topLinePunct/>
        <w:spacing w:line="360" w:lineRule="auto"/>
        <w:jc w:val="center"/>
        <w:rPr>
          <w:b/>
          <w:color w:val="000000"/>
          <w:sz w:val="36"/>
          <w:szCs w:val="36"/>
        </w:rPr>
      </w:pPr>
      <w:bookmarkStart w:id="781" w:name="_Toc157090675"/>
      <w:r>
        <w:rPr>
          <w:rFonts w:hint="eastAsia"/>
          <w:b/>
          <w:color w:val="000000"/>
          <w:sz w:val="36"/>
          <w:szCs w:val="36"/>
        </w:rPr>
        <w:t>业绩案例一览表</w:t>
      </w:r>
      <w:bookmarkEnd w:id="781"/>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1482"/>
        <w:gridCol w:w="1219"/>
        <w:gridCol w:w="1262"/>
        <w:gridCol w:w="1405"/>
        <w:gridCol w:w="1640"/>
        <w:gridCol w:w="742"/>
      </w:tblGrid>
      <w:tr w14:paraId="36041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452" w:type="pct"/>
            <w:vAlign w:val="center"/>
          </w:tcPr>
          <w:p w14:paraId="152FE453">
            <w:pPr>
              <w:spacing w:line="240" w:lineRule="exact"/>
              <w:jc w:val="center"/>
              <w:rPr>
                <w:bCs/>
                <w:szCs w:val="21"/>
              </w:rPr>
            </w:pPr>
            <w:r>
              <w:rPr>
                <w:rFonts w:hint="eastAsia"/>
                <w:bCs/>
                <w:szCs w:val="21"/>
              </w:rPr>
              <w:t>序号</w:t>
            </w:r>
          </w:p>
        </w:tc>
        <w:tc>
          <w:tcPr>
            <w:tcW w:w="869" w:type="pct"/>
            <w:vAlign w:val="center"/>
          </w:tcPr>
          <w:p w14:paraId="5FB8A5B1">
            <w:pPr>
              <w:spacing w:line="240" w:lineRule="exact"/>
              <w:jc w:val="center"/>
              <w:rPr>
                <w:bCs/>
                <w:szCs w:val="21"/>
              </w:rPr>
            </w:pPr>
            <w:r>
              <w:rPr>
                <w:rFonts w:hint="eastAsia"/>
                <w:bCs/>
                <w:szCs w:val="21"/>
              </w:rPr>
              <w:t>项目名称</w:t>
            </w:r>
          </w:p>
        </w:tc>
        <w:tc>
          <w:tcPr>
            <w:tcW w:w="715" w:type="pct"/>
            <w:vAlign w:val="center"/>
          </w:tcPr>
          <w:p w14:paraId="26EEF6E0">
            <w:pPr>
              <w:spacing w:line="240" w:lineRule="exact"/>
              <w:jc w:val="center"/>
              <w:rPr>
                <w:bCs/>
                <w:szCs w:val="21"/>
              </w:rPr>
            </w:pPr>
            <w:r>
              <w:rPr>
                <w:rFonts w:hint="eastAsia"/>
                <w:bCs/>
                <w:szCs w:val="21"/>
              </w:rPr>
              <w:t>用户名称</w:t>
            </w:r>
          </w:p>
        </w:tc>
        <w:tc>
          <w:tcPr>
            <w:tcW w:w="740" w:type="pct"/>
            <w:vAlign w:val="center"/>
          </w:tcPr>
          <w:p w14:paraId="61A9A599">
            <w:pPr>
              <w:spacing w:line="240" w:lineRule="exact"/>
              <w:jc w:val="center"/>
              <w:rPr>
                <w:bCs/>
                <w:szCs w:val="21"/>
              </w:rPr>
            </w:pPr>
            <w:r>
              <w:rPr>
                <w:rFonts w:hint="eastAsia"/>
                <w:bCs/>
                <w:szCs w:val="21"/>
              </w:rPr>
              <w:t>合同金额</w:t>
            </w:r>
          </w:p>
        </w:tc>
        <w:tc>
          <w:tcPr>
            <w:tcW w:w="824" w:type="pct"/>
            <w:vAlign w:val="center"/>
          </w:tcPr>
          <w:p w14:paraId="13A8E781">
            <w:pPr>
              <w:spacing w:line="240" w:lineRule="exact"/>
              <w:jc w:val="center"/>
              <w:rPr>
                <w:bCs/>
                <w:szCs w:val="21"/>
              </w:rPr>
            </w:pPr>
            <w:r>
              <w:rPr>
                <w:rFonts w:hint="eastAsia"/>
                <w:bCs/>
                <w:szCs w:val="21"/>
              </w:rPr>
              <w:t>用户联系人</w:t>
            </w:r>
          </w:p>
        </w:tc>
        <w:tc>
          <w:tcPr>
            <w:tcW w:w="962" w:type="pct"/>
            <w:vAlign w:val="center"/>
          </w:tcPr>
          <w:p w14:paraId="4C3FEE6D">
            <w:pPr>
              <w:spacing w:line="240" w:lineRule="exact"/>
              <w:jc w:val="center"/>
              <w:rPr>
                <w:bCs/>
                <w:szCs w:val="21"/>
              </w:rPr>
            </w:pPr>
            <w:r>
              <w:rPr>
                <w:rFonts w:hint="eastAsia"/>
                <w:bCs/>
                <w:szCs w:val="21"/>
              </w:rPr>
              <w:t>用户联系电话</w:t>
            </w:r>
          </w:p>
        </w:tc>
        <w:tc>
          <w:tcPr>
            <w:tcW w:w="435" w:type="pct"/>
            <w:vAlign w:val="center"/>
          </w:tcPr>
          <w:p w14:paraId="6D9F84FC">
            <w:pPr>
              <w:spacing w:line="240" w:lineRule="exact"/>
              <w:jc w:val="center"/>
              <w:rPr>
                <w:bCs/>
                <w:szCs w:val="21"/>
              </w:rPr>
            </w:pPr>
            <w:r>
              <w:rPr>
                <w:rFonts w:hint="eastAsia"/>
                <w:bCs/>
                <w:szCs w:val="21"/>
              </w:rPr>
              <w:t>备注</w:t>
            </w:r>
          </w:p>
        </w:tc>
      </w:tr>
      <w:tr w14:paraId="07BE6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52" w:type="pct"/>
            <w:vAlign w:val="center"/>
          </w:tcPr>
          <w:p w14:paraId="7D596F03">
            <w:pPr>
              <w:spacing w:line="240" w:lineRule="exact"/>
              <w:jc w:val="center"/>
              <w:rPr>
                <w:bCs/>
                <w:szCs w:val="21"/>
              </w:rPr>
            </w:pPr>
          </w:p>
        </w:tc>
        <w:tc>
          <w:tcPr>
            <w:tcW w:w="869" w:type="pct"/>
            <w:vAlign w:val="center"/>
          </w:tcPr>
          <w:p w14:paraId="7F4A391F">
            <w:pPr>
              <w:spacing w:line="240" w:lineRule="exact"/>
              <w:jc w:val="center"/>
              <w:rPr>
                <w:bCs/>
                <w:szCs w:val="21"/>
              </w:rPr>
            </w:pPr>
          </w:p>
        </w:tc>
        <w:tc>
          <w:tcPr>
            <w:tcW w:w="715" w:type="pct"/>
            <w:vAlign w:val="center"/>
          </w:tcPr>
          <w:p w14:paraId="4A914FDE">
            <w:pPr>
              <w:spacing w:line="240" w:lineRule="exact"/>
              <w:jc w:val="center"/>
              <w:rPr>
                <w:bCs/>
                <w:szCs w:val="21"/>
              </w:rPr>
            </w:pPr>
          </w:p>
        </w:tc>
        <w:tc>
          <w:tcPr>
            <w:tcW w:w="740" w:type="pct"/>
            <w:vAlign w:val="center"/>
          </w:tcPr>
          <w:p w14:paraId="67CC445C">
            <w:pPr>
              <w:spacing w:line="240" w:lineRule="exact"/>
              <w:jc w:val="center"/>
              <w:rPr>
                <w:bCs/>
                <w:szCs w:val="21"/>
              </w:rPr>
            </w:pPr>
          </w:p>
        </w:tc>
        <w:tc>
          <w:tcPr>
            <w:tcW w:w="824" w:type="pct"/>
            <w:vAlign w:val="center"/>
          </w:tcPr>
          <w:p w14:paraId="375A7635">
            <w:pPr>
              <w:spacing w:line="240" w:lineRule="exact"/>
              <w:jc w:val="center"/>
              <w:rPr>
                <w:bCs/>
                <w:szCs w:val="21"/>
              </w:rPr>
            </w:pPr>
          </w:p>
        </w:tc>
        <w:tc>
          <w:tcPr>
            <w:tcW w:w="962" w:type="pct"/>
            <w:vAlign w:val="center"/>
          </w:tcPr>
          <w:p w14:paraId="0FAF1C1D">
            <w:pPr>
              <w:spacing w:line="240" w:lineRule="exact"/>
              <w:jc w:val="center"/>
              <w:rPr>
                <w:bCs/>
                <w:szCs w:val="21"/>
              </w:rPr>
            </w:pPr>
          </w:p>
        </w:tc>
        <w:tc>
          <w:tcPr>
            <w:tcW w:w="435" w:type="pct"/>
            <w:vAlign w:val="center"/>
          </w:tcPr>
          <w:p w14:paraId="57DF93E6">
            <w:pPr>
              <w:spacing w:line="240" w:lineRule="exact"/>
              <w:jc w:val="center"/>
              <w:rPr>
                <w:bCs/>
                <w:szCs w:val="21"/>
              </w:rPr>
            </w:pPr>
          </w:p>
        </w:tc>
      </w:tr>
      <w:tr w14:paraId="722C9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52" w:type="pct"/>
            <w:vAlign w:val="center"/>
          </w:tcPr>
          <w:p w14:paraId="06015215">
            <w:pPr>
              <w:spacing w:line="240" w:lineRule="exact"/>
              <w:jc w:val="center"/>
              <w:rPr>
                <w:bCs/>
                <w:szCs w:val="21"/>
              </w:rPr>
            </w:pPr>
          </w:p>
        </w:tc>
        <w:tc>
          <w:tcPr>
            <w:tcW w:w="869" w:type="pct"/>
            <w:vAlign w:val="center"/>
          </w:tcPr>
          <w:p w14:paraId="35921721">
            <w:pPr>
              <w:spacing w:line="240" w:lineRule="exact"/>
              <w:jc w:val="center"/>
              <w:rPr>
                <w:bCs/>
                <w:szCs w:val="21"/>
              </w:rPr>
            </w:pPr>
          </w:p>
        </w:tc>
        <w:tc>
          <w:tcPr>
            <w:tcW w:w="715" w:type="pct"/>
            <w:vAlign w:val="center"/>
          </w:tcPr>
          <w:p w14:paraId="386966E6">
            <w:pPr>
              <w:spacing w:line="240" w:lineRule="exact"/>
              <w:jc w:val="center"/>
              <w:rPr>
                <w:bCs/>
                <w:szCs w:val="21"/>
              </w:rPr>
            </w:pPr>
          </w:p>
        </w:tc>
        <w:tc>
          <w:tcPr>
            <w:tcW w:w="740" w:type="pct"/>
            <w:vAlign w:val="center"/>
          </w:tcPr>
          <w:p w14:paraId="764344F0">
            <w:pPr>
              <w:spacing w:line="240" w:lineRule="exact"/>
              <w:jc w:val="center"/>
              <w:rPr>
                <w:bCs/>
                <w:szCs w:val="21"/>
              </w:rPr>
            </w:pPr>
          </w:p>
        </w:tc>
        <w:tc>
          <w:tcPr>
            <w:tcW w:w="824" w:type="pct"/>
            <w:vAlign w:val="center"/>
          </w:tcPr>
          <w:p w14:paraId="32BEA3CA">
            <w:pPr>
              <w:spacing w:line="240" w:lineRule="exact"/>
              <w:jc w:val="center"/>
              <w:rPr>
                <w:bCs/>
                <w:szCs w:val="21"/>
              </w:rPr>
            </w:pPr>
          </w:p>
        </w:tc>
        <w:tc>
          <w:tcPr>
            <w:tcW w:w="962" w:type="pct"/>
            <w:vAlign w:val="center"/>
          </w:tcPr>
          <w:p w14:paraId="5031DFA5">
            <w:pPr>
              <w:spacing w:line="240" w:lineRule="exact"/>
              <w:jc w:val="center"/>
              <w:rPr>
                <w:bCs/>
                <w:szCs w:val="21"/>
              </w:rPr>
            </w:pPr>
          </w:p>
        </w:tc>
        <w:tc>
          <w:tcPr>
            <w:tcW w:w="435" w:type="pct"/>
            <w:vAlign w:val="center"/>
          </w:tcPr>
          <w:p w14:paraId="3B0D990A">
            <w:pPr>
              <w:spacing w:line="240" w:lineRule="exact"/>
              <w:jc w:val="center"/>
              <w:rPr>
                <w:bCs/>
                <w:szCs w:val="21"/>
              </w:rPr>
            </w:pPr>
          </w:p>
        </w:tc>
      </w:tr>
      <w:tr w14:paraId="20E68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52" w:type="pct"/>
            <w:vAlign w:val="center"/>
          </w:tcPr>
          <w:p w14:paraId="15B1A315">
            <w:pPr>
              <w:spacing w:line="240" w:lineRule="exact"/>
              <w:jc w:val="center"/>
              <w:rPr>
                <w:bCs/>
                <w:szCs w:val="21"/>
              </w:rPr>
            </w:pPr>
          </w:p>
        </w:tc>
        <w:tc>
          <w:tcPr>
            <w:tcW w:w="869" w:type="pct"/>
            <w:vAlign w:val="center"/>
          </w:tcPr>
          <w:p w14:paraId="5A2C98B7">
            <w:pPr>
              <w:spacing w:line="240" w:lineRule="exact"/>
              <w:jc w:val="center"/>
              <w:rPr>
                <w:bCs/>
                <w:szCs w:val="21"/>
              </w:rPr>
            </w:pPr>
          </w:p>
        </w:tc>
        <w:tc>
          <w:tcPr>
            <w:tcW w:w="715" w:type="pct"/>
            <w:vAlign w:val="center"/>
          </w:tcPr>
          <w:p w14:paraId="568E82E3">
            <w:pPr>
              <w:spacing w:line="240" w:lineRule="exact"/>
              <w:jc w:val="center"/>
              <w:rPr>
                <w:bCs/>
                <w:szCs w:val="21"/>
              </w:rPr>
            </w:pPr>
          </w:p>
        </w:tc>
        <w:tc>
          <w:tcPr>
            <w:tcW w:w="740" w:type="pct"/>
            <w:vAlign w:val="center"/>
          </w:tcPr>
          <w:p w14:paraId="5F6565A9">
            <w:pPr>
              <w:spacing w:line="240" w:lineRule="exact"/>
              <w:jc w:val="center"/>
              <w:rPr>
                <w:bCs/>
                <w:szCs w:val="21"/>
              </w:rPr>
            </w:pPr>
          </w:p>
        </w:tc>
        <w:tc>
          <w:tcPr>
            <w:tcW w:w="824" w:type="pct"/>
            <w:vAlign w:val="center"/>
          </w:tcPr>
          <w:p w14:paraId="0097052A">
            <w:pPr>
              <w:spacing w:line="240" w:lineRule="exact"/>
              <w:jc w:val="center"/>
              <w:rPr>
                <w:bCs/>
                <w:szCs w:val="21"/>
              </w:rPr>
            </w:pPr>
          </w:p>
        </w:tc>
        <w:tc>
          <w:tcPr>
            <w:tcW w:w="962" w:type="pct"/>
            <w:vAlign w:val="center"/>
          </w:tcPr>
          <w:p w14:paraId="131AB340">
            <w:pPr>
              <w:spacing w:line="240" w:lineRule="exact"/>
              <w:jc w:val="center"/>
              <w:rPr>
                <w:bCs/>
                <w:szCs w:val="21"/>
              </w:rPr>
            </w:pPr>
          </w:p>
        </w:tc>
        <w:tc>
          <w:tcPr>
            <w:tcW w:w="435" w:type="pct"/>
            <w:vAlign w:val="center"/>
          </w:tcPr>
          <w:p w14:paraId="5405CEE6">
            <w:pPr>
              <w:spacing w:line="240" w:lineRule="exact"/>
              <w:jc w:val="center"/>
              <w:rPr>
                <w:bCs/>
                <w:szCs w:val="21"/>
              </w:rPr>
            </w:pPr>
          </w:p>
        </w:tc>
      </w:tr>
      <w:tr w14:paraId="597C2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52" w:type="pct"/>
            <w:vAlign w:val="center"/>
          </w:tcPr>
          <w:p w14:paraId="6FC9D96C">
            <w:pPr>
              <w:spacing w:line="240" w:lineRule="exact"/>
              <w:jc w:val="center"/>
              <w:rPr>
                <w:bCs/>
                <w:szCs w:val="21"/>
              </w:rPr>
            </w:pPr>
          </w:p>
        </w:tc>
        <w:tc>
          <w:tcPr>
            <w:tcW w:w="869" w:type="pct"/>
            <w:vAlign w:val="center"/>
          </w:tcPr>
          <w:p w14:paraId="6B87C89A">
            <w:pPr>
              <w:spacing w:line="240" w:lineRule="exact"/>
              <w:jc w:val="center"/>
              <w:rPr>
                <w:bCs/>
                <w:szCs w:val="21"/>
              </w:rPr>
            </w:pPr>
          </w:p>
        </w:tc>
        <w:tc>
          <w:tcPr>
            <w:tcW w:w="715" w:type="pct"/>
            <w:vAlign w:val="center"/>
          </w:tcPr>
          <w:p w14:paraId="5F0DB955">
            <w:pPr>
              <w:spacing w:line="240" w:lineRule="exact"/>
              <w:jc w:val="center"/>
              <w:rPr>
                <w:bCs/>
                <w:szCs w:val="21"/>
              </w:rPr>
            </w:pPr>
          </w:p>
        </w:tc>
        <w:tc>
          <w:tcPr>
            <w:tcW w:w="740" w:type="pct"/>
            <w:vAlign w:val="center"/>
          </w:tcPr>
          <w:p w14:paraId="200A5309">
            <w:pPr>
              <w:spacing w:line="240" w:lineRule="exact"/>
              <w:jc w:val="center"/>
              <w:rPr>
                <w:bCs/>
                <w:szCs w:val="21"/>
              </w:rPr>
            </w:pPr>
          </w:p>
        </w:tc>
        <w:tc>
          <w:tcPr>
            <w:tcW w:w="824" w:type="pct"/>
            <w:vAlign w:val="center"/>
          </w:tcPr>
          <w:p w14:paraId="2AB8F027">
            <w:pPr>
              <w:spacing w:line="240" w:lineRule="exact"/>
              <w:jc w:val="center"/>
              <w:rPr>
                <w:bCs/>
                <w:szCs w:val="21"/>
              </w:rPr>
            </w:pPr>
          </w:p>
        </w:tc>
        <w:tc>
          <w:tcPr>
            <w:tcW w:w="962" w:type="pct"/>
            <w:vAlign w:val="center"/>
          </w:tcPr>
          <w:p w14:paraId="0F41DC68">
            <w:pPr>
              <w:spacing w:line="240" w:lineRule="exact"/>
              <w:jc w:val="center"/>
              <w:rPr>
                <w:bCs/>
                <w:szCs w:val="21"/>
              </w:rPr>
            </w:pPr>
          </w:p>
        </w:tc>
        <w:tc>
          <w:tcPr>
            <w:tcW w:w="435" w:type="pct"/>
            <w:vAlign w:val="center"/>
          </w:tcPr>
          <w:p w14:paraId="265C0333">
            <w:pPr>
              <w:spacing w:line="240" w:lineRule="exact"/>
              <w:jc w:val="center"/>
              <w:rPr>
                <w:bCs/>
                <w:szCs w:val="21"/>
              </w:rPr>
            </w:pPr>
          </w:p>
        </w:tc>
      </w:tr>
      <w:tr w14:paraId="6F73B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52" w:type="pct"/>
            <w:vAlign w:val="center"/>
          </w:tcPr>
          <w:p w14:paraId="28D7C817">
            <w:pPr>
              <w:spacing w:line="240" w:lineRule="exact"/>
              <w:jc w:val="center"/>
              <w:rPr>
                <w:bCs/>
                <w:szCs w:val="21"/>
              </w:rPr>
            </w:pPr>
          </w:p>
        </w:tc>
        <w:tc>
          <w:tcPr>
            <w:tcW w:w="869" w:type="pct"/>
            <w:vAlign w:val="center"/>
          </w:tcPr>
          <w:p w14:paraId="77F190E1">
            <w:pPr>
              <w:spacing w:line="240" w:lineRule="exact"/>
              <w:jc w:val="center"/>
              <w:rPr>
                <w:bCs/>
                <w:szCs w:val="21"/>
              </w:rPr>
            </w:pPr>
          </w:p>
        </w:tc>
        <w:tc>
          <w:tcPr>
            <w:tcW w:w="715" w:type="pct"/>
            <w:vAlign w:val="center"/>
          </w:tcPr>
          <w:p w14:paraId="5D490713">
            <w:pPr>
              <w:spacing w:line="240" w:lineRule="exact"/>
              <w:jc w:val="center"/>
              <w:rPr>
                <w:bCs/>
                <w:szCs w:val="21"/>
              </w:rPr>
            </w:pPr>
          </w:p>
        </w:tc>
        <w:tc>
          <w:tcPr>
            <w:tcW w:w="740" w:type="pct"/>
            <w:vAlign w:val="center"/>
          </w:tcPr>
          <w:p w14:paraId="37F41814">
            <w:pPr>
              <w:spacing w:line="240" w:lineRule="exact"/>
              <w:jc w:val="center"/>
              <w:rPr>
                <w:bCs/>
                <w:szCs w:val="21"/>
              </w:rPr>
            </w:pPr>
          </w:p>
        </w:tc>
        <w:tc>
          <w:tcPr>
            <w:tcW w:w="824" w:type="pct"/>
            <w:vAlign w:val="center"/>
          </w:tcPr>
          <w:p w14:paraId="0445288B">
            <w:pPr>
              <w:spacing w:line="240" w:lineRule="exact"/>
              <w:jc w:val="center"/>
              <w:rPr>
                <w:bCs/>
                <w:szCs w:val="21"/>
              </w:rPr>
            </w:pPr>
          </w:p>
        </w:tc>
        <w:tc>
          <w:tcPr>
            <w:tcW w:w="962" w:type="pct"/>
            <w:vAlign w:val="center"/>
          </w:tcPr>
          <w:p w14:paraId="249B7E64">
            <w:pPr>
              <w:spacing w:line="240" w:lineRule="exact"/>
              <w:jc w:val="center"/>
              <w:rPr>
                <w:bCs/>
                <w:szCs w:val="21"/>
              </w:rPr>
            </w:pPr>
          </w:p>
        </w:tc>
        <w:tc>
          <w:tcPr>
            <w:tcW w:w="435" w:type="pct"/>
            <w:vAlign w:val="center"/>
          </w:tcPr>
          <w:p w14:paraId="080E1593">
            <w:pPr>
              <w:spacing w:line="240" w:lineRule="exact"/>
              <w:jc w:val="center"/>
              <w:rPr>
                <w:bCs/>
                <w:szCs w:val="21"/>
              </w:rPr>
            </w:pPr>
          </w:p>
        </w:tc>
      </w:tr>
      <w:tr w14:paraId="182B0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52" w:type="pct"/>
            <w:vAlign w:val="center"/>
          </w:tcPr>
          <w:p w14:paraId="40E1ADFB">
            <w:pPr>
              <w:spacing w:line="240" w:lineRule="exact"/>
              <w:jc w:val="center"/>
              <w:rPr>
                <w:bCs/>
                <w:szCs w:val="21"/>
              </w:rPr>
            </w:pPr>
          </w:p>
        </w:tc>
        <w:tc>
          <w:tcPr>
            <w:tcW w:w="869" w:type="pct"/>
            <w:vAlign w:val="center"/>
          </w:tcPr>
          <w:p w14:paraId="02B2A2A0">
            <w:pPr>
              <w:spacing w:line="240" w:lineRule="exact"/>
              <w:jc w:val="center"/>
              <w:rPr>
                <w:bCs/>
                <w:szCs w:val="21"/>
              </w:rPr>
            </w:pPr>
          </w:p>
        </w:tc>
        <w:tc>
          <w:tcPr>
            <w:tcW w:w="715" w:type="pct"/>
            <w:vAlign w:val="center"/>
          </w:tcPr>
          <w:p w14:paraId="4F517A34">
            <w:pPr>
              <w:spacing w:line="240" w:lineRule="exact"/>
              <w:jc w:val="center"/>
              <w:rPr>
                <w:bCs/>
                <w:szCs w:val="21"/>
              </w:rPr>
            </w:pPr>
          </w:p>
        </w:tc>
        <w:tc>
          <w:tcPr>
            <w:tcW w:w="740" w:type="pct"/>
            <w:vAlign w:val="center"/>
          </w:tcPr>
          <w:p w14:paraId="3424D29C">
            <w:pPr>
              <w:spacing w:line="240" w:lineRule="exact"/>
              <w:jc w:val="center"/>
              <w:rPr>
                <w:bCs/>
                <w:szCs w:val="21"/>
              </w:rPr>
            </w:pPr>
          </w:p>
        </w:tc>
        <w:tc>
          <w:tcPr>
            <w:tcW w:w="824" w:type="pct"/>
            <w:vAlign w:val="center"/>
          </w:tcPr>
          <w:p w14:paraId="569C2827">
            <w:pPr>
              <w:spacing w:line="240" w:lineRule="exact"/>
              <w:jc w:val="center"/>
              <w:rPr>
                <w:bCs/>
                <w:szCs w:val="21"/>
              </w:rPr>
            </w:pPr>
          </w:p>
        </w:tc>
        <w:tc>
          <w:tcPr>
            <w:tcW w:w="962" w:type="pct"/>
            <w:vAlign w:val="center"/>
          </w:tcPr>
          <w:p w14:paraId="31EAC2ED">
            <w:pPr>
              <w:spacing w:line="240" w:lineRule="exact"/>
              <w:jc w:val="center"/>
              <w:rPr>
                <w:bCs/>
                <w:szCs w:val="21"/>
              </w:rPr>
            </w:pPr>
          </w:p>
        </w:tc>
        <w:tc>
          <w:tcPr>
            <w:tcW w:w="435" w:type="pct"/>
            <w:vAlign w:val="center"/>
          </w:tcPr>
          <w:p w14:paraId="6140537E">
            <w:pPr>
              <w:spacing w:line="240" w:lineRule="exact"/>
              <w:jc w:val="center"/>
              <w:rPr>
                <w:bCs/>
                <w:szCs w:val="21"/>
              </w:rPr>
            </w:pPr>
          </w:p>
        </w:tc>
      </w:tr>
    </w:tbl>
    <w:p w14:paraId="243D91B8">
      <w:pPr>
        <w:spacing w:line="360" w:lineRule="auto"/>
        <w:rPr>
          <w:rFonts w:hint="eastAsia" w:ascii="宋体" w:hAnsi="宋体"/>
          <w:kern w:val="0"/>
          <w:szCs w:val="21"/>
        </w:rPr>
      </w:pPr>
    </w:p>
    <w:p w14:paraId="72E63F70">
      <w:pPr>
        <w:adjustRightInd w:val="0"/>
        <w:snapToGrid w:val="0"/>
        <w:spacing w:line="360" w:lineRule="auto"/>
        <w:jc w:val="left"/>
        <w:rPr>
          <w:szCs w:val="21"/>
        </w:rPr>
      </w:pPr>
      <w:r>
        <w:rPr>
          <w:rFonts w:hint="eastAsia"/>
          <w:szCs w:val="21"/>
        </w:rPr>
        <w:t>注：1、供应商必须提供能够证明上述项目业绩真实性的中标通知书（或合同）、工程竣工验收证书（工程竣工验收证明材料,即工程竣工验收备案登记表或单位工程质量竣工验收记录）的复印件并加盖公章；</w:t>
      </w:r>
    </w:p>
    <w:p w14:paraId="65CBE079">
      <w:pPr>
        <w:adjustRightInd w:val="0"/>
        <w:snapToGrid w:val="0"/>
        <w:spacing w:line="360" w:lineRule="auto"/>
        <w:jc w:val="left"/>
        <w:rPr>
          <w:szCs w:val="21"/>
        </w:rPr>
      </w:pPr>
      <w:r>
        <w:rPr>
          <w:rFonts w:hint="eastAsia"/>
          <w:szCs w:val="21"/>
        </w:rPr>
        <w:t>2、合同复印件应至少包括合同的甲乙双方、合同标的内容、合同金额、双方签章页，并对真实性负责。</w:t>
      </w:r>
    </w:p>
    <w:p w14:paraId="11AAC802">
      <w:pPr>
        <w:tabs>
          <w:tab w:val="left" w:pos="360"/>
        </w:tabs>
        <w:snapToGrid w:val="0"/>
        <w:spacing w:line="360" w:lineRule="auto"/>
        <w:outlineLvl w:val="1"/>
        <w:rPr>
          <w:sz w:val="24"/>
        </w:rPr>
      </w:pPr>
      <w:r>
        <w:rPr>
          <w:sz w:val="24"/>
        </w:rPr>
        <w:br w:type="page"/>
      </w:r>
      <w:r>
        <w:rPr>
          <w:rFonts w:hint="eastAsia"/>
          <w:sz w:val="24"/>
        </w:rPr>
        <w:t>15  施工方案（格式自拟）</w:t>
      </w:r>
    </w:p>
    <w:p w14:paraId="7EC30607">
      <w:pPr>
        <w:tabs>
          <w:tab w:val="left" w:pos="360"/>
        </w:tabs>
        <w:snapToGrid w:val="0"/>
        <w:spacing w:line="360" w:lineRule="auto"/>
        <w:outlineLvl w:val="1"/>
        <w:rPr>
          <w:sz w:val="24"/>
        </w:rPr>
      </w:pPr>
      <w:r>
        <w:rPr>
          <w:b/>
          <w:sz w:val="36"/>
          <w:szCs w:val="36"/>
        </w:rPr>
        <w:br w:type="page"/>
      </w:r>
      <w:r>
        <w:rPr>
          <w:rFonts w:hint="eastAsia"/>
          <w:sz w:val="24"/>
        </w:rPr>
        <w:t>16  服务费缴纳承诺</w:t>
      </w:r>
      <w:bookmarkEnd w:id="780"/>
    </w:p>
    <w:p w14:paraId="1813877C">
      <w:pPr>
        <w:jc w:val="center"/>
        <w:rPr>
          <w:b/>
          <w:color w:val="000000"/>
          <w:sz w:val="36"/>
          <w:szCs w:val="36"/>
        </w:rPr>
      </w:pPr>
      <w:r>
        <w:rPr>
          <w:rFonts w:hint="eastAsia"/>
          <w:b/>
          <w:color w:val="000000"/>
          <w:sz w:val="36"/>
          <w:szCs w:val="36"/>
        </w:rPr>
        <w:t>服务费缴纳承诺</w:t>
      </w:r>
    </w:p>
    <w:p w14:paraId="7F39F222">
      <w:pPr>
        <w:wordWrap w:val="0"/>
        <w:topLinePunct/>
        <w:spacing w:line="360" w:lineRule="auto"/>
        <w:rPr>
          <w:sz w:val="24"/>
        </w:rPr>
      </w:pPr>
      <w:r>
        <w:rPr>
          <w:rFonts w:hint="eastAsia"/>
          <w:sz w:val="24"/>
        </w:rPr>
        <w:t>致：中融国远招标有限公司</w:t>
      </w:r>
    </w:p>
    <w:p w14:paraId="30E5AFAF">
      <w:pPr>
        <w:wordWrap w:val="0"/>
        <w:topLinePunct/>
        <w:spacing w:line="360" w:lineRule="auto"/>
        <w:ind w:firstLine="640"/>
        <w:rPr>
          <w:sz w:val="24"/>
        </w:rPr>
      </w:pPr>
      <w:r>
        <w:rPr>
          <w:rFonts w:hint="eastAsia"/>
          <w:sz w:val="24"/>
        </w:rPr>
        <w:t>我单位</w:t>
      </w:r>
      <w:r>
        <w:rPr>
          <w:rFonts w:hint="eastAsia"/>
          <w:sz w:val="24"/>
          <w:u w:val="single"/>
        </w:rPr>
        <w:t>（承诺方）</w:t>
      </w:r>
      <w:r>
        <w:rPr>
          <w:rFonts w:hint="eastAsia"/>
          <w:sz w:val="24"/>
        </w:rPr>
        <w:t>承诺在</w:t>
      </w:r>
      <w:r>
        <w:rPr>
          <w:rFonts w:hint="eastAsia"/>
          <w:sz w:val="24"/>
          <w:u w:val="single"/>
        </w:rPr>
        <w:t>改善办学保障条件-基础设施改造-新校区雨污水、暖气管线及相关工程改造项目</w:t>
      </w:r>
      <w:r>
        <w:rPr>
          <w:rFonts w:hint="eastAsia"/>
          <w:sz w:val="24"/>
        </w:rPr>
        <w:t>项目（项目编号：</w:t>
      </w:r>
      <w:r>
        <w:rPr>
          <w:rFonts w:hint="eastAsia"/>
          <w:sz w:val="24"/>
          <w:u w:val="single"/>
        </w:rPr>
        <w:t>ZRGY-CCGP-26030104</w:t>
      </w:r>
      <w:r>
        <w:rPr>
          <w:rFonts w:hint="eastAsia"/>
          <w:sz w:val="24"/>
        </w:rPr>
        <w:t>）中若获成交资格，自成交公告发布之日起七个工作日内向招标代理机构（中融国远招标有限公司）一次性支付招标代理服务费及相关费用。缴费标准参照国家按计价格</w:t>
      </w:r>
      <w:r>
        <w:rPr>
          <w:sz w:val="24"/>
        </w:rPr>
        <w:t>[2002]1980</w:t>
      </w:r>
      <w:r>
        <w:rPr>
          <w:rFonts w:hint="eastAsia"/>
          <w:sz w:val="24"/>
        </w:rPr>
        <w:t>号文、</w:t>
      </w:r>
      <w:r>
        <w:rPr>
          <w:rFonts w:hint="eastAsia"/>
          <w:kern w:val="0"/>
          <w:sz w:val="24"/>
        </w:rPr>
        <w:t>发改办价格</w:t>
      </w:r>
      <w:r>
        <w:rPr>
          <w:kern w:val="0"/>
          <w:sz w:val="24"/>
        </w:rPr>
        <w:t>[2003]857</w:t>
      </w:r>
      <w:r>
        <w:rPr>
          <w:rFonts w:hint="eastAsia"/>
          <w:kern w:val="0"/>
          <w:sz w:val="24"/>
        </w:rPr>
        <w:t>号文及发改价格</w:t>
      </w:r>
      <w:r>
        <w:rPr>
          <w:sz w:val="24"/>
        </w:rPr>
        <w:t>[2011]534</w:t>
      </w:r>
      <w:r>
        <w:rPr>
          <w:rFonts w:hint="eastAsia"/>
          <w:sz w:val="24"/>
        </w:rPr>
        <w:t>号</w:t>
      </w:r>
      <w:r>
        <w:rPr>
          <w:rFonts w:hint="eastAsia"/>
          <w:kern w:val="0"/>
          <w:sz w:val="24"/>
        </w:rPr>
        <w:t>文有关规定执行</w:t>
      </w:r>
      <w:r>
        <w:rPr>
          <w:rFonts w:hint="eastAsia"/>
          <w:sz w:val="24"/>
        </w:rPr>
        <w:t>。</w:t>
      </w:r>
    </w:p>
    <w:p w14:paraId="5545418D">
      <w:pPr>
        <w:wordWrap w:val="0"/>
        <w:topLinePunct/>
        <w:spacing w:line="360" w:lineRule="auto"/>
        <w:ind w:firstLine="640"/>
        <w:rPr>
          <w:sz w:val="24"/>
        </w:rPr>
      </w:pPr>
      <w:r>
        <w:rPr>
          <w:rFonts w:hint="eastAsia"/>
          <w:sz w:val="24"/>
        </w:rPr>
        <w:t>本招标项目完成后，由我单位在领取成交通知书时以招标代理机构认可的方式一次性全额支付招标代理服务费，专家劳务费（含论证、资审、评标、复议等），招标人及招标代理机构及评审专家的差旅费、餐饮及住宿费、交通费、会务费、停车费等与开评标工作有关的全部费用，相关费用由招标代理机构先行垫付（此过程中招标代理机构不提供招标代理服务费以外的任何发票及收据等），后由我单位全额支付，招标代理服务费及相关费用以公对公转账形式汇款至招标代理机构指定账户。无论本项目发生几次开评标活动，所产生的上述全部费用均由我单位承担，在本项目投标截止时间前递交投标文件的投标人视为同意本条款，不得以任何理由拒绝。否则招标代理机构有权扣除该投标人所缴纳的投标保证金，补偿给招标代理机构，不足的部分由投标人在招标代理机构通知的时限内一次性全额补齐。</w:t>
      </w:r>
    </w:p>
    <w:p w14:paraId="49072C15">
      <w:pPr>
        <w:wordWrap w:val="0"/>
        <w:topLinePunct/>
        <w:spacing w:line="360" w:lineRule="auto"/>
        <w:ind w:firstLine="640"/>
        <w:rPr>
          <w:kern w:val="0"/>
          <w:sz w:val="24"/>
        </w:rPr>
      </w:pPr>
      <w:r>
        <w:rPr>
          <w:rFonts w:hint="eastAsia"/>
          <w:sz w:val="24"/>
        </w:rPr>
        <w:t>如逾期缴纳招标代理服务费及相关费用，除应当缴纳的招标代理服务费及相关费用外，还应当按中国人民银行同期贷款基准利率上浮</w:t>
      </w:r>
      <w:r>
        <w:rPr>
          <w:sz w:val="24"/>
        </w:rPr>
        <w:t>20</w:t>
      </w:r>
      <w:r>
        <w:rPr>
          <w:rFonts w:hint="eastAsia"/>
          <w:sz w:val="24"/>
        </w:rPr>
        <w:t>％后的利率支付超期资金占用费。</w:t>
      </w:r>
      <w:r>
        <w:rPr>
          <w:rFonts w:hint="eastAsia"/>
          <w:kern w:val="0"/>
          <w:sz w:val="24"/>
        </w:rPr>
        <w:t>另外因</w:t>
      </w:r>
      <w:r>
        <w:rPr>
          <w:rFonts w:hint="eastAsia"/>
          <w:sz w:val="24"/>
        </w:rPr>
        <w:t>逾期</w:t>
      </w:r>
      <w:r>
        <w:rPr>
          <w:rFonts w:hint="eastAsia"/>
          <w:kern w:val="0"/>
          <w:sz w:val="24"/>
        </w:rPr>
        <w:t>缴纳而产生的所有费用（包括但不限于交通费、通讯费、诉讼费、仲裁费、律师费等）由我单位承担，同时我单位自愿接受相关监督检查部门的监管以及承担追究相关法律责任或影响企业信誉等后果。</w:t>
      </w:r>
    </w:p>
    <w:p w14:paraId="4514FB94">
      <w:pPr>
        <w:wordWrap w:val="0"/>
        <w:topLinePunct/>
        <w:spacing w:line="360" w:lineRule="auto"/>
        <w:ind w:firstLine="640"/>
        <w:rPr>
          <w:sz w:val="24"/>
        </w:rPr>
      </w:pPr>
      <w:r>
        <w:rPr>
          <w:rFonts w:hint="eastAsia"/>
          <w:sz w:val="24"/>
        </w:rPr>
        <w:t>因本承诺书引起或者与本承诺书有关的任何争议，承诺方及招标代理机构（中融国远招标有限公司）均同意提交北海国际仲裁院仲裁。并按照北海国际仲裁院现行有效规则对各方之间的纠纷进行仲裁。仲裁是终局的，对各方均有约束力。</w:t>
      </w:r>
    </w:p>
    <w:p w14:paraId="24686106">
      <w:pPr>
        <w:wordWrap w:val="0"/>
        <w:topLinePunct/>
        <w:spacing w:line="360" w:lineRule="auto"/>
        <w:ind w:firstLine="640"/>
        <w:rPr>
          <w:sz w:val="24"/>
        </w:rPr>
      </w:pPr>
      <w:r>
        <w:rPr>
          <w:rFonts w:hint="eastAsia"/>
          <w:sz w:val="24"/>
        </w:rPr>
        <w:t>承诺方及招标代理机构同意由北海国际仲裁院主任指定一名独任仲裁员组成仲裁庭并采用简易程序置于互联网线上审理或线下仲裁庭审理。</w:t>
      </w:r>
    </w:p>
    <w:p w14:paraId="09DD04D8">
      <w:pPr>
        <w:wordWrap w:val="0"/>
        <w:topLinePunct/>
        <w:spacing w:line="360" w:lineRule="auto"/>
        <w:ind w:firstLine="640"/>
        <w:rPr>
          <w:sz w:val="24"/>
        </w:rPr>
      </w:pPr>
      <w:r>
        <w:rPr>
          <w:rFonts w:hint="eastAsia"/>
          <w:sz w:val="24"/>
        </w:rPr>
        <w:t>在仲裁过程中，各方均同意：北海国际仲裁院可按照顺序通过电子邮件、短信（包括短信链接方式）等方式进行电子送达，其中各方一致同意电子邮件为首选的送达方式。电子邮件送达的，一经发送就视为送达成功；短信方式送达的，短信发出即视为短信内容（含链接内容）已送达成功。采用邮寄送达、特快专递等线下送达方式送达的，相应邮件投递至本承诺书约定的地址之日即视为送达，受送达人无人签收或拒绝签收的，文书退回之日即视为送达之日。任何一方提供错误联系方式或变更送达信息未在变更后三日内书面通知其他各方的，导致（法律）文书未能送达、退回、拒收或投递失败、无法发送的，则（法律）文书退回、拒收之日或相关系统显示投递失败、无法送达之日视为送达之日。在本承诺书项下所涉债务进入仲裁阶段后，则须以书面方式告知仲裁机构，进入财产保全或执行阶段后，则须以书面方式告知相关法院，否则按原联系方式发出的通知或其他文书，即使变更方没有收到，仍视为送达。</w:t>
      </w:r>
    </w:p>
    <w:p w14:paraId="13A579EB">
      <w:pPr>
        <w:wordWrap w:val="0"/>
        <w:topLinePunct/>
        <w:spacing w:line="360" w:lineRule="auto"/>
        <w:ind w:firstLine="640"/>
        <w:rPr>
          <w:sz w:val="24"/>
        </w:rPr>
      </w:pPr>
      <w:r>
        <w:rPr>
          <w:rFonts w:hint="eastAsia"/>
          <w:sz w:val="24"/>
        </w:rPr>
        <w:t>送达人采取多种方式送达的，任何一种方式送达成功即视为完成送达。</w:t>
      </w:r>
    </w:p>
    <w:p w14:paraId="26F03F70">
      <w:pPr>
        <w:wordWrap w:val="0"/>
        <w:topLinePunct/>
        <w:spacing w:line="360" w:lineRule="auto"/>
        <w:ind w:firstLine="640"/>
        <w:rPr>
          <w:sz w:val="24"/>
        </w:rPr>
      </w:pPr>
      <w:r>
        <w:rPr>
          <w:rFonts w:hint="eastAsia"/>
          <w:sz w:val="24"/>
        </w:rPr>
        <w:t>承诺方确认，线下送达地址及电子送达地址以本承诺书中约定的为准。</w:t>
      </w:r>
    </w:p>
    <w:p w14:paraId="20375CC0">
      <w:pPr>
        <w:wordWrap w:val="0"/>
        <w:topLinePunct/>
        <w:spacing w:line="360" w:lineRule="auto"/>
        <w:ind w:firstLine="640"/>
        <w:rPr>
          <w:sz w:val="24"/>
        </w:rPr>
      </w:pPr>
      <w:r>
        <w:rPr>
          <w:rFonts w:hint="eastAsia"/>
          <w:sz w:val="24"/>
        </w:rPr>
        <w:t>承诺方确认提供的通讯地址和联系方式真实、准确、完整、有效；任何一方需变更线下及电子送达地址的，应于变动之日起三日内以书面形式通知并得到其余各方确认，否则以原约定的线下及电子送达地址为准。</w:t>
      </w:r>
    </w:p>
    <w:p w14:paraId="6331EE8C">
      <w:pPr>
        <w:wordWrap w:val="0"/>
        <w:topLinePunct/>
        <w:spacing w:line="360" w:lineRule="auto"/>
        <w:ind w:firstLine="640"/>
        <w:rPr>
          <w:sz w:val="24"/>
        </w:rPr>
      </w:pPr>
      <w:r>
        <w:rPr>
          <w:rFonts w:hint="eastAsia"/>
          <w:sz w:val="24"/>
        </w:rPr>
        <w:t>承诺方送达信息如下：</w:t>
      </w:r>
    </w:p>
    <w:p w14:paraId="71997023">
      <w:pPr>
        <w:wordWrap w:val="0"/>
        <w:topLinePunct/>
        <w:spacing w:line="360" w:lineRule="auto"/>
        <w:ind w:firstLine="640"/>
        <w:rPr>
          <w:sz w:val="24"/>
        </w:rPr>
      </w:pPr>
      <w:r>
        <w:rPr>
          <w:rFonts w:hint="eastAsia"/>
          <w:sz w:val="24"/>
        </w:rPr>
        <w:t>送达地址：</w:t>
      </w:r>
      <w:r>
        <w:rPr>
          <w:rFonts w:hint="eastAsia"/>
          <w:sz w:val="24"/>
          <w:u w:val="single"/>
        </w:rPr>
        <w:t xml:space="preserve">                    </w:t>
      </w:r>
    </w:p>
    <w:p w14:paraId="18D195A1">
      <w:pPr>
        <w:wordWrap w:val="0"/>
        <w:topLinePunct/>
        <w:spacing w:line="360" w:lineRule="auto"/>
        <w:ind w:firstLine="640"/>
        <w:rPr>
          <w:sz w:val="24"/>
        </w:rPr>
      </w:pPr>
      <w:r>
        <w:rPr>
          <w:rFonts w:hint="eastAsia"/>
          <w:sz w:val="24"/>
        </w:rPr>
        <w:t>收件人：</w:t>
      </w:r>
      <w:r>
        <w:rPr>
          <w:rFonts w:hint="eastAsia"/>
          <w:sz w:val="24"/>
          <w:u w:val="single"/>
        </w:rPr>
        <w:t xml:space="preserve">                               </w:t>
      </w:r>
    </w:p>
    <w:p w14:paraId="2C41727C">
      <w:pPr>
        <w:wordWrap w:val="0"/>
        <w:topLinePunct/>
        <w:spacing w:line="360" w:lineRule="auto"/>
        <w:ind w:firstLine="640"/>
        <w:rPr>
          <w:sz w:val="24"/>
        </w:rPr>
      </w:pPr>
      <w:r>
        <w:rPr>
          <w:rFonts w:hint="eastAsia"/>
          <w:sz w:val="24"/>
        </w:rPr>
        <w:t>电话：</w:t>
      </w:r>
      <w:r>
        <w:rPr>
          <w:rFonts w:hint="eastAsia"/>
          <w:sz w:val="24"/>
          <w:u w:val="single"/>
        </w:rPr>
        <w:t xml:space="preserve">                             </w:t>
      </w:r>
    </w:p>
    <w:p w14:paraId="74C3765C">
      <w:pPr>
        <w:wordWrap w:val="0"/>
        <w:topLinePunct/>
        <w:spacing w:line="360" w:lineRule="auto"/>
        <w:ind w:firstLine="640"/>
        <w:rPr>
          <w:sz w:val="24"/>
        </w:rPr>
      </w:pPr>
      <w:r>
        <w:rPr>
          <w:rFonts w:hint="eastAsia"/>
          <w:sz w:val="24"/>
        </w:rPr>
        <w:t>电子邮箱：</w:t>
      </w:r>
      <w:r>
        <w:rPr>
          <w:rFonts w:hint="eastAsia"/>
          <w:sz w:val="24"/>
          <w:u w:val="single"/>
        </w:rPr>
        <w:t xml:space="preserve">                             </w:t>
      </w:r>
    </w:p>
    <w:p w14:paraId="376A7807">
      <w:pPr>
        <w:wordWrap w:val="0"/>
        <w:topLinePunct/>
        <w:spacing w:line="360" w:lineRule="auto"/>
        <w:ind w:firstLine="640"/>
        <w:rPr>
          <w:sz w:val="24"/>
        </w:rPr>
      </w:pPr>
      <w:r>
        <w:rPr>
          <w:rFonts w:hint="eastAsia"/>
          <w:kern w:val="0"/>
          <w:sz w:val="24"/>
        </w:rPr>
        <w:t>本协议自签字、盖章之日起生效。</w:t>
      </w:r>
    </w:p>
    <w:p w14:paraId="66EDD96E">
      <w:pPr>
        <w:wordWrap w:val="0"/>
        <w:topLinePunct/>
        <w:spacing w:line="360" w:lineRule="auto"/>
        <w:ind w:firstLine="640"/>
        <w:rPr>
          <w:sz w:val="24"/>
        </w:rPr>
      </w:pPr>
      <w:r>
        <w:rPr>
          <w:rFonts w:hint="eastAsia"/>
          <w:sz w:val="24"/>
        </w:rPr>
        <w:t>特此承诺</w:t>
      </w:r>
    </w:p>
    <w:p w14:paraId="1FD5A650">
      <w:pPr>
        <w:wordWrap w:val="0"/>
        <w:topLinePunct/>
        <w:spacing w:line="360" w:lineRule="auto"/>
        <w:ind w:firstLine="640"/>
        <w:rPr>
          <w:sz w:val="24"/>
        </w:rPr>
      </w:pPr>
      <w:r>
        <w:rPr>
          <w:rFonts w:hint="eastAsia"/>
          <w:sz w:val="24"/>
        </w:rPr>
        <w:t>承诺方法定名称：</w:t>
      </w:r>
      <w:r>
        <w:rPr>
          <w:rFonts w:hint="eastAsia"/>
          <w:sz w:val="24"/>
          <w:u w:val="single"/>
        </w:rPr>
        <w:t xml:space="preserve">                    </w:t>
      </w:r>
      <w:r>
        <w:rPr>
          <w:rFonts w:hint="eastAsia"/>
          <w:sz w:val="24"/>
        </w:rPr>
        <w:t>（承诺方盖章）</w:t>
      </w:r>
    </w:p>
    <w:p w14:paraId="19CA94E3">
      <w:pPr>
        <w:wordWrap w:val="0"/>
        <w:topLinePunct/>
        <w:spacing w:line="360" w:lineRule="auto"/>
        <w:ind w:firstLine="640"/>
        <w:rPr>
          <w:sz w:val="24"/>
        </w:rPr>
      </w:pPr>
      <w:r>
        <w:rPr>
          <w:rFonts w:hint="eastAsia"/>
          <w:sz w:val="24"/>
        </w:rPr>
        <w:t>地址：</w:t>
      </w:r>
      <w:r>
        <w:rPr>
          <w:rFonts w:hint="eastAsia"/>
          <w:sz w:val="24"/>
          <w:u w:val="single"/>
        </w:rPr>
        <w:t xml:space="preserve">                              </w:t>
      </w:r>
    </w:p>
    <w:p w14:paraId="7A078495">
      <w:pPr>
        <w:wordWrap w:val="0"/>
        <w:topLinePunct/>
        <w:spacing w:line="360" w:lineRule="auto"/>
        <w:ind w:firstLine="640"/>
        <w:rPr>
          <w:sz w:val="24"/>
        </w:rPr>
      </w:pPr>
      <w:r>
        <w:rPr>
          <w:rFonts w:hint="eastAsia"/>
          <w:sz w:val="24"/>
        </w:rPr>
        <w:t>电话：</w:t>
      </w:r>
      <w:r>
        <w:rPr>
          <w:rFonts w:hint="eastAsia"/>
          <w:sz w:val="24"/>
          <w:u w:val="single"/>
        </w:rPr>
        <w:t xml:space="preserve">                </w:t>
      </w:r>
      <w:r>
        <w:rPr>
          <w:rFonts w:hint="eastAsia"/>
          <w:sz w:val="24"/>
        </w:rPr>
        <w:t xml:space="preserve">      传真：</w:t>
      </w:r>
      <w:r>
        <w:rPr>
          <w:rFonts w:hint="eastAsia"/>
          <w:sz w:val="24"/>
          <w:u w:val="single"/>
        </w:rPr>
        <w:t xml:space="preserve">                </w:t>
      </w:r>
    </w:p>
    <w:p w14:paraId="5F19B831">
      <w:pPr>
        <w:wordWrap w:val="0"/>
        <w:topLinePunct/>
        <w:spacing w:line="360" w:lineRule="auto"/>
        <w:ind w:firstLine="640"/>
        <w:rPr>
          <w:sz w:val="24"/>
        </w:rPr>
      </w:pPr>
      <w:r>
        <w:rPr>
          <w:rFonts w:hint="eastAsia"/>
          <w:sz w:val="24"/>
        </w:rPr>
        <w:t>邮编：</w:t>
      </w:r>
      <w:r>
        <w:rPr>
          <w:rFonts w:hint="eastAsia"/>
          <w:sz w:val="24"/>
          <w:u w:val="single"/>
        </w:rPr>
        <w:t xml:space="preserve">                </w:t>
      </w:r>
    </w:p>
    <w:p w14:paraId="7F96A04A">
      <w:pPr>
        <w:wordWrap w:val="0"/>
        <w:topLinePunct/>
        <w:spacing w:line="360" w:lineRule="auto"/>
        <w:ind w:firstLine="640"/>
        <w:rPr>
          <w:sz w:val="24"/>
        </w:rPr>
      </w:pPr>
      <w:r>
        <w:rPr>
          <w:rFonts w:hint="eastAsia"/>
          <w:sz w:val="24"/>
        </w:rPr>
        <w:t>承诺方法定代表人签字或签章：</w:t>
      </w:r>
      <w:r>
        <w:rPr>
          <w:rFonts w:hint="eastAsia"/>
          <w:sz w:val="24"/>
          <w:u w:val="single"/>
        </w:rPr>
        <w:t xml:space="preserve">                </w:t>
      </w:r>
    </w:p>
    <w:p w14:paraId="7F07DE53">
      <w:pPr>
        <w:wordWrap w:val="0"/>
        <w:topLinePunct/>
        <w:spacing w:line="360" w:lineRule="auto"/>
        <w:ind w:firstLine="640"/>
        <w:rPr>
          <w:sz w:val="24"/>
        </w:rPr>
      </w:pPr>
      <w:r>
        <w:rPr>
          <w:rFonts w:hint="eastAsia"/>
          <w:sz w:val="24"/>
        </w:rPr>
        <w:t>承诺日期：</w:t>
      </w:r>
      <w:r>
        <w:rPr>
          <w:rFonts w:hint="eastAsia"/>
          <w:sz w:val="24"/>
          <w:u w:val="single"/>
        </w:rPr>
        <w:t xml:space="preserve">                  </w:t>
      </w:r>
    </w:p>
    <w:p w14:paraId="14593B4B">
      <w:pPr>
        <w:wordWrap w:val="0"/>
        <w:topLinePunct/>
        <w:spacing w:line="360" w:lineRule="auto"/>
        <w:ind w:firstLine="640"/>
        <w:rPr>
          <w:sz w:val="24"/>
        </w:rPr>
      </w:pPr>
      <w:r>
        <w:rPr>
          <w:rFonts w:hint="eastAsia"/>
          <w:sz w:val="24"/>
        </w:rPr>
        <w:t>招标代理机构法定名称：</w:t>
      </w:r>
      <w:r>
        <w:rPr>
          <w:rFonts w:hint="eastAsia"/>
          <w:sz w:val="24"/>
          <w:u w:val="single"/>
        </w:rPr>
        <w:t>中融国远招标有限公司</w:t>
      </w:r>
      <w:r>
        <w:rPr>
          <w:rFonts w:hint="eastAsia"/>
          <w:sz w:val="24"/>
        </w:rPr>
        <w:t>（招标代理机构盖章）</w:t>
      </w:r>
      <w:r>
        <w:rPr>
          <w:rFonts w:hint="eastAsia"/>
          <w:sz w:val="24"/>
        </w:rPr>
        <w:br w:type="page"/>
      </w:r>
    </w:p>
    <w:p w14:paraId="3B6D10C5">
      <w:pPr>
        <w:tabs>
          <w:tab w:val="left" w:pos="360"/>
        </w:tabs>
        <w:snapToGrid w:val="0"/>
        <w:spacing w:line="360" w:lineRule="auto"/>
        <w:outlineLvl w:val="1"/>
        <w:rPr>
          <w:sz w:val="24"/>
        </w:rPr>
      </w:pPr>
      <w:bookmarkStart w:id="782" w:name="_Toc4501"/>
      <w:bookmarkStart w:id="783" w:name="_Toc16240"/>
      <w:bookmarkStart w:id="784" w:name="_Toc21802"/>
      <w:bookmarkStart w:id="785" w:name="_Toc10560"/>
      <w:r>
        <w:rPr>
          <w:rFonts w:hint="eastAsia"/>
          <w:sz w:val="24"/>
        </w:rPr>
        <w:t>17  保证金退还说明</w:t>
      </w:r>
      <w:bookmarkEnd w:id="782"/>
      <w:bookmarkEnd w:id="783"/>
      <w:bookmarkEnd w:id="784"/>
      <w:bookmarkEnd w:id="785"/>
    </w:p>
    <w:p w14:paraId="435DCCBC">
      <w:pPr>
        <w:spacing w:before="120" w:beforeLines="50" w:after="120" w:afterLines="50"/>
        <w:jc w:val="center"/>
        <w:rPr>
          <w:b/>
          <w:color w:val="000000"/>
          <w:sz w:val="36"/>
          <w:szCs w:val="36"/>
        </w:rPr>
      </w:pPr>
      <w:bookmarkStart w:id="786" w:name="_Toc18715"/>
      <w:bookmarkStart w:id="787" w:name="_Toc116552189"/>
      <w:bookmarkStart w:id="788" w:name="_Toc4354"/>
      <w:r>
        <w:rPr>
          <w:rFonts w:hint="eastAsia"/>
          <w:b/>
          <w:color w:val="000000"/>
          <w:sz w:val="36"/>
          <w:szCs w:val="36"/>
        </w:rPr>
        <w:t>保证金退还说明</w:t>
      </w:r>
      <w:bookmarkEnd w:id="786"/>
      <w:bookmarkEnd w:id="787"/>
      <w:bookmarkEnd w:id="788"/>
    </w:p>
    <w:p w14:paraId="15F43333">
      <w:pPr>
        <w:pStyle w:val="250"/>
        <w:ind w:firstLine="0" w:firstLineChars="0"/>
      </w:pPr>
    </w:p>
    <w:p w14:paraId="2C632B87">
      <w:pPr>
        <w:pStyle w:val="250"/>
        <w:ind w:firstLine="0" w:firstLineChars="0"/>
        <w:rPr>
          <w:sz w:val="28"/>
          <w:szCs w:val="13"/>
        </w:rPr>
      </w:pPr>
      <w:r>
        <w:rPr>
          <w:rFonts w:hint="eastAsia"/>
          <w:sz w:val="28"/>
          <w:szCs w:val="13"/>
        </w:rPr>
        <w:t>致：中融国远招标有限公司</w:t>
      </w:r>
    </w:p>
    <w:p w14:paraId="183C349A">
      <w:pPr>
        <w:pStyle w:val="250"/>
        <w:ind w:firstLine="560"/>
        <w:rPr>
          <w:sz w:val="28"/>
          <w:szCs w:val="13"/>
        </w:rPr>
      </w:pPr>
      <w:r>
        <w:rPr>
          <w:rFonts w:hint="eastAsia"/>
          <w:sz w:val="28"/>
          <w:szCs w:val="13"/>
        </w:rPr>
        <w:t>我方为</w:t>
      </w:r>
      <w:r>
        <w:rPr>
          <w:rFonts w:hint="eastAsia"/>
          <w:sz w:val="28"/>
          <w:szCs w:val="13"/>
          <w:u w:val="single"/>
        </w:rPr>
        <w:t xml:space="preserve"> （项目名称） </w:t>
      </w:r>
      <w:r>
        <w:rPr>
          <w:rFonts w:hint="eastAsia"/>
          <w:sz w:val="28"/>
          <w:szCs w:val="13"/>
        </w:rPr>
        <w:t>的响应[项目编号为：</w:t>
      </w:r>
      <w:r>
        <w:rPr>
          <w:rFonts w:hint="eastAsia"/>
          <w:sz w:val="28"/>
          <w:szCs w:val="13"/>
          <w:u w:val="single"/>
        </w:rPr>
        <w:t xml:space="preserve"> </w:t>
      </w:r>
      <w:r>
        <w:rPr>
          <w:sz w:val="28"/>
          <w:szCs w:val="13"/>
          <w:u w:val="single"/>
        </w:rPr>
        <w:t xml:space="preserve">   </w:t>
      </w:r>
      <w:r>
        <w:rPr>
          <w:sz w:val="28"/>
          <w:szCs w:val="13"/>
        </w:rPr>
        <w:t>]</w:t>
      </w:r>
      <w:r>
        <w:rPr>
          <w:rFonts w:hint="eastAsia"/>
          <w:sz w:val="28"/>
          <w:szCs w:val="13"/>
        </w:rPr>
        <w:t>所提交的磋商保证金</w:t>
      </w:r>
      <w:r>
        <w:rPr>
          <w:rFonts w:hint="eastAsia"/>
          <w:sz w:val="28"/>
          <w:szCs w:val="13"/>
          <w:u w:val="single"/>
        </w:rPr>
        <w:t>（大写金额）__________</w:t>
      </w:r>
      <w:r>
        <w:rPr>
          <w:rFonts w:hint="eastAsia"/>
          <w:sz w:val="28"/>
          <w:szCs w:val="13"/>
        </w:rPr>
        <w:t>圆，请贵公司退还至以下账户：</w:t>
      </w:r>
    </w:p>
    <w:p w14:paraId="00DDFCF4">
      <w:pPr>
        <w:spacing w:line="360" w:lineRule="auto"/>
        <w:rPr>
          <w:rFonts w:hint="eastAsia" w:ascii="宋体" w:hAnsi="宋体"/>
          <w:sz w:val="24"/>
        </w:rPr>
      </w:pP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1948"/>
        <w:gridCol w:w="2756"/>
        <w:gridCol w:w="1202"/>
        <w:gridCol w:w="1720"/>
      </w:tblGrid>
      <w:tr w14:paraId="4AD34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020" w:hRule="atLeast"/>
          <w:jc w:val="center"/>
        </w:trPr>
        <w:tc>
          <w:tcPr>
            <w:tcW w:w="525" w:type="pct"/>
            <w:vMerge w:val="restart"/>
            <w:textDirection w:val="tbRlV"/>
            <w:vAlign w:val="center"/>
          </w:tcPr>
          <w:p w14:paraId="2F2041C7">
            <w:pPr>
              <w:pStyle w:val="255"/>
              <w:wordWrap w:val="0"/>
              <w:topLinePunct/>
              <w:spacing w:line="240" w:lineRule="auto"/>
              <w:rPr>
                <w:sz w:val="24"/>
                <w:szCs w:val="24"/>
              </w:rPr>
            </w:pPr>
            <w:r>
              <w:rPr>
                <w:rFonts w:hint="eastAsia"/>
                <w:sz w:val="24"/>
                <w:szCs w:val="24"/>
              </w:rPr>
              <w:t>收 款 单 位</w:t>
            </w:r>
          </w:p>
        </w:tc>
        <w:tc>
          <w:tcPr>
            <w:tcW w:w="1143" w:type="pct"/>
            <w:vAlign w:val="center"/>
          </w:tcPr>
          <w:p w14:paraId="32217C8A">
            <w:pPr>
              <w:pStyle w:val="255"/>
              <w:wordWrap w:val="0"/>
              <w:topLinePunct/>
              <w:spacing w:line="240" w:lineRule="auto"/>
              <w:rPr>
                <w:sz w:val="24"/>
                <w:szCs w:val="24"/>
              </w:rPr>
            </w:pPr>
            <w:r>
              <w:rPr>
                <w:rFonts w:hint="eastAsia"/>
                <w:sz w:val="24"/>
                <w:szCs w:val="24"/>
              </w:rPr>
              <w:t>收款单位名称</w:t>
            </w:r>
          </w:p>
        </w:tc>
        <w:tc>
          <w:tcPr>
            <w:tcW w:w="3331" w:type="pct"/>
            <w:gridSpan w:val="3"/>
            <w:vAlign w:val="center"/>
          </w:tcPr>
          <w:p w14:paraId="2B099B19">
            <w:pPr>
              <w:pStyle w:val="255"/>
              <w:wordWrap w:val="0"/>
              <w:topLinePunct/>
              <w:spacing w:line="240" w:lineRule="auto"/>
              <w:rPr>
                <w:sz w:val="24"/>
                <w:szCs w:val="24"/>
              </w:rPr>
            </w:pPr>
          </w:p>
        </w:tc>
      </w:tr>
      <w:tr w14:paraId="25E52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jc w:val="center"/>
        </w:trPr>
        <w:tc>
          <w:tcPr>
            <w:tcW w:w="525" w:type="pct"/>
            <w:vMerge w:val="continue"/>
            <w:vAlign w:val="center"/>
          </w:tcPr>
          <w:p w14:paraId="35FAB9FA">
            <w:pPr>
              <w:pStyle w:val="255"/>
              <w:wordWrap w:val="0"/>
              <w:topLinePunct/>
              <w:spacing w:line="240" w:lineRule="auto"/>
              <w:rPr>
                <w:sz w:val="24"/>
                <w:szCs w:val="24"/>
              </w:rPr>
            </w:pPr>
          </w:p>
        </w:tc>
        <w:tc>
          <w:tcPr>
            <w:tcW w:w="1143" w:type="pct"/>
            <w:vAlign w:val="center"/>
          </w:tcPr>
          <w:p w14:paraId="464C35AF">
            <w:pPr>
              <w:pStyle w:val="255"/>
              <w:wordWrap w:val="0"/>
              <w:topLinePunct/>
              <w:spacing w:line="240" w:lineRule="auto"/>
              <w:rPr>
                <w:sz w:val="24"/>
                <w:szCs w:val="24"/>
              </w:rPr>
            </w:pPr>
            <w:r>
              <w:rPr>
                <w:rFonts w:hint="eastAsia"/>
                <w:sz w:val="24"/>
                <w:szCs w:val="24"/>
              </w:rPr>
              <w:t>收款单位地址</w:t>
            </w:r>
          </w:p>
        </w:tc>
        <w:tc>
          <w:tcPr>
            <w:tcW w:w="3331" w:type="pct"/>
            <w:gridSpan w:val="3"/>
            <w:vAlign w:val="center"/>
          </w:tcPr>
          <w:p w14:paraId="7CD5586E">
            <w:pPr>
              <w:pStyle w:val="255"/>
              <w:wordWrap w:val="0"/>
              <w:topLinePunct/>
              <w:spacing w:line="240" w:lineRule="auto"/>
              <w:rPr>
                <w:sz w:val="24"/>
                <w:szCs w:val="24"/>
              </w:rPr>
            </w:pPr>
          </w:p>
        </w:tc>
      </w:tr>
      <w:tr w14:paraId="22009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jc w:val="center"/>
        </w:trPr>
        <w:tc>
          <w:tcPr>
            <w:tcW w:w="525" w:type="pct"/>
            <w:vMerge w:val="continue"/>
            <w:vAlign w:val="center"/>
          </w:tcPr>
          <w:p w14:paraId="5CCCDDB6">
            <w:pPr>
              <w:pStyle w:val="255"/>
              <w:wordWrap w:val="0"/>
              <w:topLinePunct/>
              <w:spacing w:line="240" w:lineRule="auto"/>
              <w:rPr>
                <w:sz w:val="24"/>
                <w:szCs w:val="24"/>
              </w:rPr>
            </w:pPr>
          </w:p>
        </w:tc>
        <w:tc>
          <w:tcPr>
            <w:tcW w:w="1143" w:type="pct"/>
            <w:vAlign w:val="center"/>
          </w:tcPr>
          <w:p w14:paraId="6FEE3A56">
            <w:pPr>
              <w:pStyle w:val="255"/>
              <w:wordWrap w:val="0"/>
              <w:topLinePunct/>
              <w:spacing w:line="240" w:lineRule="auto"/>
              <w:rPr>
                <w:sz w:val="24"/>
                <w:szCs w:val="24"/>
              </w:rPr>
            </w:pPr>
            <w:r>
              <w:rPr>
                <w:rFonts w:hint="eastAsia"/>
                <w:sz w:val="24"/>
                <w:szCs w:val="24"/>
              </w:rPr>
              <w:t>开户银行</w:t>
            </w:r>
          </w:p>
          <w:p w14:paraId="5723A688">
            <w:pPr>
              <w:pStyle w:val="255"/>
              <w:wordWrap w:val="0"/>
              <w:topLinePunct/>
              <w:spacing w:line="240" w:lineRule="auto"/>
              <w:rPr>
                <w:sz w:val="24"/>
                <w:szCs w:val="24"/>
              </w:rPr>
            </w:pPr>
            <w:r>
              <w:rPr>
                <w:rFonts w:hint="eastAsia"/>
                <w:sz w:val="24"/>
                <w:szCs w:val="24"/>
              </w:rPr>
              <w:t>（含汇入地点）</w:t>
            </w:r>
          </w:p>
        </w:tc>
        <w:tc>
          <w:tcPr>
            <w:tcW w:w="1617" w:type="pct"/>
            <w:vAlign w:val="center"/>
          </w:tcPr>
          <w:p w14:paraId="23D01E8E">
            <w:pPr>
              <w:pStyle w:val="255"/>
              <w:wordWrap w:val="0"/>
              <w:topLinePunct/>
              <w:spacing w:line="240" w:lineRule="auto"/>
              <w:rPr>
                <w:sz w:val="24"/>
                <w:szCs w:val="24"/>
              </w:rPr>
            </w:pPr>
          </w:p>
        </w:tc>
        <w:tc>
          <w:tcPr>
            <w:tcW w:w="705" w:type="pct"/>
            <w:vAlign w:val="center"/>
          </w:tcPr>
          <w:p w14:paraId="194A330C">
            <w:pPr>
              <w:pStyle w:val="255"/>
              <w:wordWrap w:val="0"/>
              <w:topLinePunct/>
              <w:spacing w:line="240" w:lineRule="auto"/>
              <w:rPr>
                <w:sz w:val="24"/>
                <w:szCs w:val="24"/>
              </w:rPr>
            </w:pPr>
            <w:r>
              <w:rPr>
                <w:rFonts w:hint="eastAsia"/>
                <w:sz w:val="24"/>
                <w:szCs w:val="24"/>
              </w:rPr>
              <w:t>联系人</w:t>
            </w:r>
          </w:p>
        </w:tc>
        <w:tc>
          <w:tcPr>
            <w:tcW w:w="1008" w:type="pct"/>
            <w:vAlign w:val="center"/>
          </w:tcPr>
          <w:p w14:paraId="3A9E7257">
            <w:pPr>
              <w:pStyle w:val="255"/>
              <w:wordWrap w:val="0"/>
              <w:topLinePunct/>
              <w:spacing w:line="240" w:lineRule="auto"/>
              <w:rPr>
                <w:sz w:val="24"/>
                <w:szCs w:val="24"/>
              </w:rPr>
            </w:pPr>
          </w:p>
        </w:tc>
      </w:tr>
      <w:tr w14:paraId="0E6EA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jc w:val="center"/>
        </w:trPr>
        <w:tc>
          <w:tcPr>
            <w:tcW w:w="525" w:type="pct"/>
            <w:vMerge w:val="continue"/>
            <w:vAlign w:val="center"/>
          </w:tcPr>
          <w:p w14:paraId="78269258">
            <w:pPr>
              <w:pStyle w:val="255"/>
              <w:wordWrap w:val="0"/>
              <w:topLinePunct/>
              <w:spacing w:line="240" w:lineRule="auto"/>
              <w:rPr>
                <w:sz w:val="24"/>
                <w:szCs w:val="24"/>
              </w:rPr>
            </w:pPr>
          </w:p>
        </w:tc>
        <w:tc>
          <w:tcPr>
            <w:tcW w:w="1143" w:type="pct"/>
            <w:vAlign w:val="center"/>
          </w:tcPr>
          <w:p w14:paraId="22A90F98">
            <w:pPr>
              <w:pStyle w:val="255"/>
              <w:wordWrap w:val="0"/>
              <w:topLinePunct/>
              <w:spacing w:line="240" w:lineRule="auto"/>
              <w:rPr>
                <w:sz w:val="24"/>
                <w:szCs w:val="24"/>
              </w:rPr>
            </w:pPr>
            <w:r>
              <w:rPr>
                <w:rFonts w:hint="eastAsia"/>
                <w:sz w:val="24"/>
                <w:szCs w:val="24"/>
              </w:rPr>
              <w:t>账   号</w:t>
            </w:r>
          </w:p>
        </w:tc>
        <w:tc>
          <w:tcPr>
            <w:tcW w:w="1617" w:type="pct"/>
            <w:vAlign w:val="center"/>
          </w:tcPr>
          <w:p w14:paraId="7A42B5F3">
            <w:pPr>
              <w:pStyle w:val="255"/>
              <w:wordWrap w:val="0"/>
              <w:topLinePunct/>
              <w:spacing w:line="240" w:lineRule="auto"/>
              <w:rPr>
                <w:sz w:val="24"/>
                <w:szCs w:val="24"/>
              </w:rPr>
            </w:pPr>
          </w:p>
        </w:tc>
        <w:tc>
          <w:tcPr>
            <w:tcW w:w="705" w:type="pct"/>
            <w:vAlign w:val="center"/>
          </w:tcPr>
          <w:p w14:paraId="11F112B4">
            <w:pPr>
              <w:pStyle w:val="255"/>
              <w:wordWrap w:val="0"/>
              <w:topLinePunct/>
              <w:spacing w:line="240" w:lineRule="auto"/>
              <w:rPr>
                <w:sz w:val="24"/>
                <w:szCs w:val="24"/>
              </w:rPr>
            </w:pPr>
            <w:r>
              <w:rPr>
                <w:rFonts w:hint="eastAsia"/>
                <w:sz w:val="24"/>
                <w:szCs w:val="24"/>
              </w:rPr>
              <w:t>联系电话</w:t>
            </w:r>
          </w:p>
        </w:tc>
        <w:tc>
          <w:tcPr>
            <w:tcW w:w="1008" w:type="pct"/>
            <w:vAlign w:val="center"/>
          </w:tcPr>
          <w:p w14:paraId="2AA30547">
            <w:pPr>
              <w:pStyle w:val="255"/>
              <w:wordWrap w:val="0"/>
              <w:topLinePunct/>
              <w:spacing w:line="240" w:lineRule="auto"/>
              <w:rPr>
                <w:sz w:val="24"/>
                <w:szCs w:val="24"/>
              </w:rPr>
            </w:pPr>
          </w:p>
        </w:tc>
      </w:tr>
    </w:tbl>
    <w:p w14:paraId="3F27B2B0">
      <w:pPr>
        <w:spacing w:line="560" w:lineRule="exact"/>
        <w:rPr>
          <w:sz w:val="24"/>
        </w:rPr>
      </w:pPr>
    </w:p>
    <w:sectPr>
      <w:pgSz w:w="11907" w:h="16840"/>
      <w:pgMar w:top="1440" w:right="1800" w:bottom="1440" w:left="1800"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Century Gothic">
    <w:altName w:val="Yu Gothic UI"/>
    <w:panose1 w:val="020B0502020202020204"/>
    <w:charset w:val="00"/>
    <w:family w:val="swiss"/>
    <w:pitch w:val="default"/>
    <w:sig w:usb0="00000000" w:usb1="00000000" w:usb2="00000000" w:usb3="00000000" w:csb0="0000009F" w:csb1="00000000"/>
  </w:font>
  <w:font w:name="Yu Gothic UI">
    <w:panose1 w:val="020B0500000000000000"/>
    <w:charset w:val="80"/>
    <w:family w:val="auto"/>
    <w:pitch w:val="default"/>
    <w:sig w:usb0="E00002FF" w:usb1="2AC7FDFF" w:usb2="00000016" w:usb3="00000000" w:csb0="2002009F"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DDJLFQ+·ÂËÎ">
    <w:altName w:val="微软雅黑"/>
    <w:panose1 w:val="00000000000000000000"/>
    <w:charset w:val="01"/>
    <w:family w:val="modern"/>
    <w:pitch w:val="default"/>
    <w:sig w:usb0="00000000" w:usb1="00000000" w:usb2="00000016" w:usb3="00000000" w:csb0="00040001" w:csb1="00000000"/>
  </w:font>
  <w:font w:name="微软雅黑">
    <w:panose1 w:val="020B0503020204020204"/>
    <w:charset w:val="86"/>
    <w:family w:val="auto"/>
    <w:pitch w:val="default"/>
    <w:sig w:usb0="80000287" w:usb1="2ACF3C50" w:usb2="00000016" w:usb3="00000000" w:csb0="0004001F" w:csb1="00000000"/>
  </w:font>
  <w:font w:name="RQODRS+·ÂËÎ">
    <w:altName w:val="微软雅黑"/>
    <w:panose1 w:val="00000000000000000000"/>
    <w:charset w:val="01"/>
    <w:family w:val="modern"/>
    <w:pitch w:val="default"/>
    <w:sig w:usb0="00000000" w:usb1="00000000" w:usb2="00000016" w:usb3="00000000" w:csb0="00040001" w:csb1="00000000"/>
  </w:font>
  <w:font w:name="MS Mincho">
    <w:altName w:val="Yu Gothic UI"/>
    <w:panose1 w:val="02020609040205080304"/>
    <w:charset w:val="80"/>
    <w:family w:val="modern"/>
    <w:pitch w:val="default"/>
    <w:sig w:usb0="00000000" w:usb1="00000000"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E8DA0">
    <w:pPr>
      <w:pStyle w:val="29"/>
      <w:jc w:val="center"/>
      <w:rPr>
        <w:rFonts w:ascii="Times New Roma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2AEAA">
    <w:pPr>
      <w:pStyle w:val="29"/>
      <w:ind w:right="360"/>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394FFC">
                          <w:pPr>
                            <w:pStyle w:val="29"/>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14:paraId="2A394FFC">
                    <w:pPr>
                      <w:pStyle w:val="29"/>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2C9D9">
    <w:pPr>
      <w:pStyle w:val="29"/>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CBA63">
    <w:pPr>
      <w:pStyle w:val="29"/>
      <w:ind w:right="360"/>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D562CF">
                          <w:pPr>
                            <w:pStyle w:val="29"/>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52D562CF">
                    <w:pPr>
                      <w:pStyle w:val="29"/>
                    </w:pPr>
                    <w:r>
                      <w:fldChar w:fldCharType="begin"/>
                    </w:r>
                    <w:r>
                      <w:instrText xml:space="preserve"> PAGE  \* MERGEFORMAT </w:instrText>
                    </w:r>
                    <w:r>
                      <w:fldChar w:fldCharType="separate"/>
                    </w:r>
                    <w:r>
                      <w:t>124</w:t>
                    </w:r>
                    <w:r>
                      <w:fldChar w:fldCharType="end"/>
                    </w:r>
                  </w:p>
                </w:txbxContent>
              </v:textbox>
            </v:shape>
          </w:pict>
        </mc:Fallback>
      </mc:AlternateContent>
    </w:r>
  </w:p>
  <w:p w14:paraId="0FAE130C"/>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454C2">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291FA">
    <w:pPr>
      <w:pStyle w:val="2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14BCA">
    <w:pPr>
      <w:pStyle w:val="2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59664">
    <w:pPr>
      <w:pStyle w:val="29"/>
      <w:rPr>
        <w:rFonts w:ascii="Times New Roman"/>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D931EF">
                          <w:pPr>
                            <w:pStyle w:val="2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41D931EF">
                    <w:pPr>
                      <w:pStyle w:val="2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DEFB8">
    <w:pPr>
      <w:pStyle w:val="29"/>
      <w:ind w:right="360" w:firstLine="36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93481B">
                          <w:pPr>
                            <w:pStyle w:val="2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6C93481B">
                    <w:pPr>
                      <w:pStyle w:val="2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B9489">
    <w:pPr>
      <w:pStyle w:val="29"/>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70D12A">
                          <w:pPr>
                            <w:pStyle w:val="2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7170D12A">
                    <w:pPr>
                      <w:pStyle w:val="2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F10F8">
    <w:pPr>
      <w:pStyle w:val="29"/>
      <w:ind w:right="720"/>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63A81C">
                          <w:pPr>
                            <w:pStyle w:val="29"/>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5A63A81C">
                    <w:pPr>
                      <w:pStyle w:val="29"/>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FAF17">
    <w:pPr>
      <w:pStyle w:val="29"/>
      <w:ind w:right="360"/>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DB88D3">
                          <w:pPr>
                            <w:pStyle w:val="29"/>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54DB88D3">
                    <w:pPr>
                      <w:pStyle w:val="29"/>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E7EB9">
    <w:pPr>
      <w:pStyle w:val="29"/>
      <w:ind w:right="720"/>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A4A2BF">
                          <w:pPr>
                            <w:pStyle w:val="29"/>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14:paraId="1AA4A2BF">
                    <w:pPr>
                      <w:pStyle w:val="29"/>
                    </w:pPr>
                    <w:r>
                      <w:fldChar w:fldCharType="begin"/>
                    </w:r>
                    <w:r>
                      <w:instrText xml:space="preserve"> PAGE  \* MERGEFORMAT </w:instrText>
                    </w:r>
                    <w:r>
                      <w:fldChar w:fldCharType="separate"/>
                    </w:r>
                    <w:r>
                      <w:t>33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685AF">
    <w:pPr>
      <w:pStyle w:val="30"/>
      <w:pBdr>
        <w:bottom w:val="none" w:color="auto" w:sz="0" w:space="1"/>
      </w:pBdr>
      <w:jc w:val="right"/>
    </w:pPr>
    <w:r>
      <w:drawing>
        <wp:anchor distT="0" distB="0" distL="114300" distR="114300" simplePos="0" relativeHeight="251661312" behindDoc="0" locked="0" layoutInCell="1" allowOverlap="1">
          <wp:simplePos x="0" y="0"/>
          <wp:positionH relativeFrom="column">
            <wp:posOffset>-471805</wp:posOffset>
          </wp:positionH>
          <wp:positionV relativeFrom="paragraph">
            <wp:posOffset>-247650</wp:posOffset>
          </wp:positionV>
          <wp:extent cx="1554480" cy="441960"/>
          <wp:effectExtent l="0" t="0" r="7620" b="15240"/>
          <wp:wrapSquare wrapText="bothSides"/>
          <wp:docPr id="10" name="图片 10" descr="2022年4月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2年4月LOGO"/>
                  <pic:cNvPicPr>
                    <a:picLocks noChangeAspect="1"/>
                  </pic:cNvPicPr>
                </pic:nvPicPr>
                <pic:blipFill>
                  <a:blip r:embed="rId1"/>
                  <a:stretch>
                    <a:fillRect/>
                  </a:stretch>
                </pic:blipFill>
                <pic:spPr>
                  <a:xfrm>
                    <a:off x="0" y="0"/>
                    <a:ext cx="1554480" cy="44196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62003">
    <w:pPr>
      <w:pStyle w:val="30"/>
      <w:pBdr>
        <w:bottom w:val="none" w:color="auto" w:sz="0" w:space="1"/>
      </w:pBdr>
    </w:pPr>
    <w:r>
      <w:drawing>
        <wp:anchor distT="0" distB="0" distL="114300" distR="114300" simplePos="0" relativeHeight="251659264" behindDoc="0" locked="0" layoutInCell="1" allowOverlap="1">
          <wp:simplePos x="0" y="0"/>
          <wp:positionH relativeFrom="column">
            <wp:posOffset>-481330</wp:posOffset>
          </wp:positionH>
          <wp:positionV relativeFrom="paragraph">
            <wp:posOffset>-123825</wp:posOffset>
          </wp:positionV>
          <wp:extent cx="1554480" cy="441960"/>
          <wp:effectExtent l="0" t="0" r="7620" b="15240"/>
          <wp:wrapSquare wrapText="bothSides"/>
          <wp:docPr id="8" name="图片 8" descr="2022年4月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2年4月LOGO"/>
                  <pic:cNvPicPr>
                    <a:picLocks noChangeAspect="1"/>
                  </pic:cNvPicPr>
                </pic:nvPicPr>
                <pic:blipFill>
                  <a:blip r:embed="rId1"/>
                  <a:stretch>
                    <a:fillRect/>
                  </a:stretch>
                </pic:blipFill>
                <pic:spPr>
                  <a:xfrm>
                    <a:off x="0" y="0"/>
                    <a:ext cx="1554480" cy="4419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4A48D">
    <w:pPr>
      <w:pStyle w:val="30"/>
      <w:pBdr>
        <w:bottom w:val="none" w:color="auto" w:sz="0" w:space="1"/>
      </w:pBdr>
      <w:jc w:val="right"/>
    </w:pPr>
    <w:r>
      <w:drawing>
        <wp:anchor distT="0" distB="0" distL="114300" distR="114300" simplePos="0" relativeHeight="251660288" behindDoc="0" locked="0" layoutInCell="1" allowOverlap="1">
          <wp:simplePos x="0" y="0"/>
          <wp:positionH relativeFrom="column">
            <wp:posOffset>-443230</wp:posOffset>
          </wp:positionH>
          <wp:positionV relativeFrom="paragraph">
            <wp:posOffset>-76200</wp:posOffset>
          </wp:positionV>
          <wp:extent cx="1554480" cy="441960"/>
          <wp:effectExtent l="0" t="0" r="7620" b="15240"/>
          <wp:wrapSquare wrapText="bothSides"/>
          <wp:docPr id="9" name="图片 9" descr="2022年4月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2年4月LOGO"/>
                  <pic:cNvPicPr>
                    <a:picLocks noChangeAspect="1"/>
                  </pic:cNvPicPr>
                </pic:nvPicPr>
                <pic:blipFill>
                  <a:blip r:embed="rId1"/>
                  <a:stretch>
                    <a:fillRect/>
                  </a:stretch>
                </pic:blipFill>
                <pic:spPr>
                  <a:xfrm>
                    <a:off x="0" y="0"/>
                    <a:ext cx="1554480" cy="44196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E58F7">
    <w:pPr>
      <w:jc w:val="right"/>
      <w:rPr>
        <w:sz w:val="15"/>
        <w:szCs w:val="15"/>
      </w:rPr>
    </w:pPr>
    <w:r>
      <w:drawing>
        <wp:anchor distT="0" distB="0" distL="114300" distR="114300" simplePos="0" relativeHeight="251662336" behindDoc="0" locked="0" layoutInCell="1" allowOverlap="1">
          <wp:simplePos x="0" y="0"/>
          <wp:positionH relativeFrom="column">
            <wp:posOffset>-292100</wp:posOffset>
          </wp:positionH>
          <wp:positionV relativeFrom="paragraph">
            <wp:posOffset>-247650</wp:posOffset>
          </wp:positionV>
          <wp:extent cx="1554480" cy="441960"/>
          <wp:effectExtent l="0" t="0" r="7620" b="15240"/>
          <wp:wrapSquare wrapText="bothSides"/>
          <wp:docPr id="12" name="图片 12" descr="2022年4月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2年4月LOGO"/>
                  <pic:cNvPicPr>
                    <a:picLocks noChangeAspect="1"/>
                  </pic:cNvPicPr>
                </pic:nvPicPr>
                <pic:blipFill>
                  <a:blip r:embed="rId1"/>
                  <a:stretch>
                    <a:fillRect/>
                  </a:stretch>
                </pic:blipFill>
                <pic:spPr>
                  <a:xfrm>
                    <a:off x="0" y="0"/>
                    <a:ext cx="1554480" cy="441960"/>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3AD1A">
    <w:pPr>
      <w:jc w:val="left"/>
      <w:rPr>
        <w:rFonts w:hint="eastAsia" w:ascii="仿宋" w:hAnsi="仿宋" w:eastAsia="仿宋"/>
        <w:szCs w:val="21"/>
        <w:u w:val="single"/>
      </w:rPr>
    </w:pPr>
    <w:r>
      <w:drawing>
        <wp:anchor distT="0" distB="0" distL="114300" distR="114300" simplePos="0" relativeHeight="251664384" behindDoc="0" locked="0" layoutInCell="1" allowOverlap="1">
          <wp:simplePos x="0" y="0"/>
          <wp:positionH relativeFrom="column">
            <wp:posOffset>-471805</wp:posOffset>
          </wp:positionH>
          <wp:positionV relativeFrom="paragraph">
            <wp:posOffset>-133350</wp:posOffset>
          </wp:positionV>
          <wp:extent cx="1554480" cy="441960"/>
          <wp:effectExtent l="0" t="0" r="7620" b="15240"/>
          <wp:wrapSquare wrapText="bothSides"/>
          <wp:docPr id="14" name="图片 14" descr="2022年4月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22年4月LOGO"/>
                  <pic:cNvPicPr>
                    <a:picLocks noChangeAspect="1"/>
                  </pic:cNvPicPr>
                </pic:nvPicPr>
                <pic:blipFill>
                  <a:blip r:embed="rId1"/>
                  <a:stretch>
                    <a:fillRect/>
                  </a:stretch>
                </pic:blipFill>
                <pic:spPr>
                  <a:xfrm>
                    <a:off x="0" y="0"/>
                    <a:ext cx="1554480" cy="441960"/>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7C184">
    <w:pPr>
      <w:pStyle w:val="30"/>
      <w:pBdr>
        <w:bottom w:val="none" w:color="auto" w:sz="0" w:space="1"/>
      </w:pBdr>
    </w:pPr>
    <w:r>
      <w:drawing>
        <wp:anchor distT="0" distB="0" distL="114300" distR="114300" simplePos="0" relativeHeight="251663360" behindDoc="0" locked="0" layoutInCell="1" allowOverlap="1">
          <wp:simplePos x="0" y="0"/>
          <wp:positionH relativeFrom="column">
            <wp:posOffset>-471805</wp:posOffset>
          </wp:positionH>
          <wp:positionV relativeFrom="paragraph">
            <wp:posOffset>-133350</wp:posOffset>
          </wp:positionV>
          <wp:extent cx="1554480" cy="441960"/>
          <wp:effectExtent l="0" t="0" r="7620" b="15240"/>
          <wp:wrapSquare wrapText="bothSides"/>
          <wp:docPr id="13" name="图片 13" descr="2022年4月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2年4月LOGO"/>
                  <pic:cNvPicPr>
                    <a:picLocks noChangeAspect="1"/>
                  </pic:cNvPicPr>
                </pic:nvPicPr>
                <pic:blipFill>
                  <a:blip r:embed="rId1"/>
                  <a:stretch>
                    <a:fillRect/>
                  </a:stretch>
                </pic:blipFill>
                <pic:spPr>
                  <a:xfrm>
                    <a:off x="0" y="0"/>
                    <a:ext cx="1554480" cy="441960"/>
                  </a:xfrm>
                  <a:prstGeom prst="rect">
                    <a:avLst/>
                  </a:prstGeom>
                  <a:noFill/>
                  <a:ln>
                    <a:noFill/>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AE87D">
    <w:pPr>
      <w:pStyle w:val="3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4115C">
    <w:pPr>
      <w:pStyle w:val="30"/>
      <w:pBdr>
        <w:bottom w:val="none" w:color="auto" w:sz="0" w:space="1"/>
      </w:pBdr>
    </w:pPr>
    <w:r>
      <w:drawing>
        <wp:anchor distT="0" distB="0" distL="114300" distR="114300" simplePos="0" relativeHeight="251665408" behindDoc="0" locked="0" layoutInCell="1" allowOverlap="1">
          <wp:simplePos x="0" y="0"/>
          <wp:positionH relativeFrom="column">
            <wp:posOffset>-471805</wp:posOffset>
          </wp:positionH>
          <wp:positionV relativeFrom="paragraph">
            <wp:posOffset>-104775</wp:posOffset>
          </wp:positionV>
          <wp:extent cx="1554480" cy="441960"/>
          <wp:effectExtent l="0" t="0" r="7620" b="15240"/>
          <wp:wrapSquare wrapText="bothSides"/>
          <wp:docPr id="15" name="图片 15" descr="2022年4月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22年4月LOGO"/>
                  <pic:cNvPicPr>
                    <a:picLocks noChangeAspect="1"/>
                  </pic:cNvPicPr>
                </pic:nvPicPr>
                <pic:blipFill>
                  <a:blip r:embed="rId1"/>
                  <a:stretch>
                    <a:fillRect/>
                  </a:stretch>
                </pic:blipFill>
                <pic:spPr>
                  <a:xfrm>
                    <a:off x="0" y="0"/>
                    <a:ext cx="1554480" cy="441960"/>
                  </a:xfrm>
                  <a:prstGeom prst="rect">
                    <a:avLst/>
                  </a:prstGeom>
                  <a:noFill/>
                  <a:ln>
                    <a:noFill/>
                  </a:ln>
                </pic:spPr>
              </pic:pic>
            </a:graphicData>
          </a:graphic>
        </wp:anchor>
      </w:drawing>
    </w:r>
  </w:p>
  <w:p w14:paraId="00325034"/>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AEE9D">
    <w:pPr>
      <w:pStyle w:val="3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1">
    <w:nsid w:val="0000000A"/>
    <w:multiLevelType w:val="multilevel"/>
    <w:tmpl w:val="0000000A"/>
    <w:lvl w:ilvl="0" w:tentative="0">
      <w:start w:val="1"/>
      <w:numFmt w:val="decimal"/>
      <w:pStyle w:val="196"/>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D"/>
    <w:multiLevelType w:val="multilevel"/>
    <w:tmpl w:val="0000000D"/>
    <w:lvl w:ilvl="0" w:tentative="0">
      <w:start w:val="1"/>
      <w:numFmt w:val="lowerLetter"/>
      <w:pStyle w:val="146"/>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3">
    <w:nsid w:val="00000013"/>
    <w:multiLevelType w:val="singleLevel"/>
    <w:tmpl w:val="00000013"/>
    <w:lvl w:ilvl="0" w:tentative="0">
      <w:start w:val="1"/>
      <w:numFmt w:val="decimal"/>
      <w:pStyle w:val="186"/>
      <w:lvlText w:val="%1."/>
      <w:lvlJc w:val="left"/>
      <w:pPr>
        <w:tabs>
          <w:tab w:val="left" w:pos="360"/>
        </w:tabs>
        <w:ind w:left="360" w:hanging="360"/>
      </w:pPr>
      <w:rPr>
        <w:rFonts w:hint="default"/>
      </w:rPr>
    </w:lvl>
  </w:abstractNum>
  <w:abstractNum w:abstractNumId="4">
    <w:nsid w:val="00000026"/>
    <w:multiLevelType w:val="multilevel"/>
    <w:tmpl w:val="00000026"/>
    <w:lvl w:ilvl="0" w:tentative="0">
      <w:start w:val="1"/>
      <w:numFmt w:val="decimal"/>
      <w:pStyle w:val="136"/>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135"/>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93"/>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92"/>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226"/>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59"/>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80"/>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5">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67"/>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6">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7">
    <w:nsid w:val="0000002F"/>
    <w:multiLevelType w:val="multilevel"/>
    <w:tmpl w:val="0000002F"/>
    <w:lvl w:ilvl="0" w:tentative="0">
      <w:start w:val="1"/>
      <w:numFmt w:val="decimal"/>
      <w:pStyle w:val="195"/>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E230849"/>
    <w:multiLevelType w:val="multilevel"/>
    <w:tmpl w:val="0E230849"/>
    <w:lvl w:ilvl="0" w:tentative="0">
      <w:start w:val="1"/>
      <w:numFmt w:val="decimal"/>
      <w:pStyle w:val="209"/>
      <w:lvlText w:val="%1"/>
      <w:lvlJc w:val="left"/>
      <w:pPr>
        <w:ind w:left="680" w:hanging="680"/>
      </w:pPr>
      <w:rPr>
        <w:rFonts w:hint="eastAsia" w:ascii="宋体" w:hAnsi="宋体" w:eastAsia="宋体"/>
      </w:rPr>
    </w:lvl>
    <w:lvl w:ilvl="1" w:tentative="0">
      <w:start w:val="1"/>
      <w:numFmt w:val="decimal"/>
      <w:pStyle w:val="212"/>
      <w:lvlText w:val="%1.%2"/>
      <w:lvlJc w:val="left"/>
      <w:pPr>
        <w:ind w:left="851" w:hanging="851"/>
      </w:pPr>
      <w:rPr>
        <w:rFonts w:hint="eastAsia" w:ascii="宋体" w:hAnsi="宋体" w:eastAsia="宋体"/>
        <w:color w:val="auto"/>
      </w:rPr>
    </w:lvl>
    <w:lvl w:ilvl="2" w:tentative="0">
      <w:start w:val="1"/>
      <w:numFmt w:val="decimal"/>
      <w:pStyle w:val="215"/>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9">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b w:val="0"/>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0">
    <w:nsid w:val="135E281B"/>
    <w:multiLevelType w:val="multilevel"/>
    <w:tmpl w:val="135E281B"/>
    <w:lvl w:ilvl="0" w:tentative="0">
      <w:start w:val="1"/>
      <w:numFmt w:val="decimal"/>
      <w:lvlText w:val="%1."/>
      <w:lvlJc w:val="left"/>
      <w:pPr>
        <w:tabs>
          <w:tab w:val="left" w:pos="1320"/>
        </w:tabs>
        <w:ind w:left="1320" w:hanging="480"/>
      </w:pPr>
      <w:rPr>
        <w:rFonts w:hint="eastAsia"/>
      </w:rPr>
    </w:lvl>
    <w:lvl w:ilvl="1" w:tentative="0">
      <w:start w:val="1"/>
      <w:numFmt w:val="decimal"/>
      <w:lvlText w:val="%2、"/>
      <w:lvlJc w:val="left"/>
      <w:pPr>
        <w:tabs>
          <w:tab w:val="left" w:pos="1620"/>
        </w:tabs>
        <w:ind w:left="1620" w:hanging="360"/>
      </w:pPr>
      <w:rPr>
        <w:rFonts w:hint="eastAsia"/>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num w:numId="1">
    <w:abstractNumId w:val="4"/>
  </w:num>
  <w:num w:numId="2">
    <w:abstractNumId w:val="2"/>
  </w:num>
  <w:num w:numId="3">
    <w:abstractNumId w:val="5"/>
  </w:num>
  <w:num w:numId="4">
    <w:abstractNumId w:val="3"/>
  </w:num>
  <w:num w:numId="5">
    <w:abstractNumId w:val="7"/>
  </w:num>
  <w:num w:numId="6">
    <w:abstractNumId w:val="1"/>
  </w:num>
  <w:num w:numId="7">
    <w:abstractNumId w:val="8"/>
  </w:num>
  <w:num w:numId="8">
    <w:abstractNumId w:val="6"/>
  </w:num>
  <w:num w:numId="9">
    <w:abstractNumId w:val="0"/>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0CF"/>
    <w:rsid w:val="000015BE"/>
    <w:rsid w:val="00001711"/>
    <w:rsid w:val="000017F6"/>
    <w:rsid w:val="00001895"/>
    <w:rsid w:val="00001948"/>
    <w:rsid w:val="00001B11"/>
    <w:rsid w:val="00001F9C"/>
    <w:rsid w:val="000020BD"/>
    <w:rsid w:val="0000218D"/>
    <w:rsid w:val="00002358"/>
    <w:rsid w:val="0000240B"/>
    <w:rsid w:val="000026F7"/>
    <w:rsid w:val="0000279B"/>
    <w:rsid w:val="000027EB"/>
    <w:rsid w:val="00002944"/>
    <w:rsid w:val="00002D16"/>
    <w:rsid w:val="00002F3D"/>
    <w:rsid w:val="00002FE1"/>
    <w:rsid w:val="000031CE"/>
    <w:rsid w:val="00003279"/>
    <w:rsid w:val="00003711"/>
    <w:rsid w:val="00003804"/>
    <w:rsid w:val="000039FD"/>
    <w:rsid w:val="00003A41"/>
    <w:rsid w:val="00003D6A"/>
    <w:rsid w:val="00003E5F"/>
    <w:rsid w:val="00003EA2"/>
    <w:rsid w:val="00004254"/>
    <w:rsid w:val="0000429B"/>
    <w:rsid w:val="00004380"/>
    <w:rsid w:val="000044A2"/>
    <w:rsid w:val="000046C6"/>
    <w:rsid w:val="0000474F"/>
    <w:rsid w:val="00004A22"/>
    <w:rsid w:val="00004C44"/>
    <w:rsid w:val="00004D13"/>
    <w:rsid w:val="00004E70"/>
    <w:rsid w:val="0000508D"/>
    <w:rsid w:val="000051DC"/>
    <w:rsid w:val="00005232"/>
    <w:rsid w:val="000053B4"/>
    <w:rsid w:val="00005407"/>
    <w:rsid w:val="00005905"/>
    <w:rsid w:val="00005A31"/>
    <w:rsid w:val="00005AF1"/>
    <w:rsid w:val="00005DF0"/>
    <w:rsid w:val="00005EC8"/>
    <w:rsid w:val="000060A7"/>
    <w:rsid w:val="000064B2"/>
    <w:rsid w:val="00006923"/>
    <w:rsid w:val="00006BD5"/>
    <w:rsid w:val="00006CD1"/>
    <w:rsid w:val="00006CD3"/>
    <w:rsid w:val="000073B1"/>
    <w:rsid w:val="000073E8"/>
    <w:rsid w:val="0000781A"/>
    <w:rsid w:val="00007A5A"/>
    <w:rsid w:val="00007DA4"/>
    <w:rsid w:val="00007F7A"/>
    <w:rsid w:val="00010010"/>
    <w:rsid w:val="000100A2"/>
    <w:rsid w:val="000100B6"/>
    <w:rsid w:val="000104BA"/>
    <w:rsid w:val="000106FC"/>
    <w:rsid w:val="00010763"/>
    <w:rsid w:val="00010962"/>
    <w:rsid w:val="00010DB9"/>
    <w:rsid w:val="00010E8F"/>
    <w:rsid w:val="0001121F"/>
    <w:rsid w:val="0001127B"/>
    <w:rsid w:val="000112A5"/>
    <w:rsid w:val="00011565"/>
    <w:rsid w:val="00011793"/>
    <w:rsid w:val="000118AD"/>
    <w:rsid w:val="00011AFF"/>
    <w:rsid w:val="00011BD5"/>
    <w:rsid w:val="00011DA9"/>
    <w:rsid w:val="0001212D"/>
    <w:rsid w:val="0001235C"/>
    <w:rsid w:val="00012486"/>
    <w:rsid w:val="000124BE"/>
    <w:rsid w:val="000125B2"/>
    <w:rsid w:val="000125FF"/>
    <w:rsid w:val="00012A66"/>
    <w:rsid w:val="00012BE6"/>
    <w:rsid w:val="00012C45"/>
    <w:rsid w:val="00012EBE"/>
    <w:rsid w:val="00013121"/>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8B"/>
    <w:rsid w:val="000151D7"/>
    <w:rsid w:val="00015316"/>
    <w:rsid w:val="000154B9"/>
    <w:rsid w:val="00015645"/>
    <w:rsid w:val="000156A3"/>
    <w:rsid w:val="0001576D"/>
    <w:rsid w:val="000157C2"/>
    <w:rsid w:val="00015C1D"/>
    <w:rsid w:val="00015D20"/>
    <w:rsid w:val="00015D38"/>
    <w:rsid w:val="0001606B"/>
    <w:rsid w:val="000160FB"/>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C28"/>
    <w:rsid w:val="00020E48"/>
    <w:rsid w:val="000210FD"/>
    <w:rsid w:val="0002113E"/>
    <w:rsid w:val="000215D4"/>
    <w:rsid w:val="000217FC"/>
    <w:rsid w:val="00021AC6"/>
    <w:rsid w:val="00021AEB"/>
    <w:rsid w:val="00021C9E"/>
    <w:rsid w:val="00021F1F"/>
    <w:rsid w:val="00021F66"/>
    <w:rsid w:val="0002210E"/>
    <w:rsid w:val="0002216A"/>
    <w:rsid w:val="0002217C"/>
    <w:rsid w:val="0002226B"/>
    <w:rsid w:val="000222D0"/>
    <w:rsid w:val="00022354"/>
    <w:rsid w:val="000223C3"/>
    <w:rsid w:val="00022526"/>
    <w:rsid w:val="00022562"/>
    <w:rsid w:val="000227DC"/>
    <w:rsid w:val="000227F5"/>
    <w:rsid w:val="00022BE1"/>
    <w:rsid w:val="00022C7A"/>
    <w:rsid w:val="00022D53"/>
    <w:rsid w:val="00022F7D"/>
    <w:rsid w:val="0002328F"/>
    <w:rsid w:val="00023458"/>
    <w:rsid w:val="000234AD"/>
    <w:rsid w:val="00023CAF"/>
    <w:rsid w:val="00023D59"/>
    <w:rsid w:val="000241D9"/>
    <w:rsid w:val="00024343"/>
    <w:rsid w:val="00024427"/>
    <w:rsid w:val="00024446"/>
    <w:rsid w:val="0002455F"/>
    <w:rsid w:val="000246FD"/>
    <w:rsid w:val="000249B1"/>
    <w:rsid w:val="000249FA"/>
    <w:rsid w:val="00024B4F"/>
    <w:rsid w:val="00024BB5"/>
    <w:rsid w:val="00024D50"/>
    <w:rsid w:val="00024D59"/>
    <w:rsid w:val="00024FD8"/>
    <w:rsid w:val="00025050"/>
    <w:rsid w:val="00025279"/>
    <w:rsid w:val="00025543"/>
    <w:rsid w:val="00025545"/>
    <w:rsid w:val="0002559A"/>
    <w:rsid w:val="00025BF3"/>
    <w:rsid w:val="00025DA9"/>
    <w:rsid w:val="00026353"/>
    <w:rsid w:val="000265E5"/>
    <w:rsid w:val="00026693"/>
    <w:rsid w:val="000267C8"/>
    <w:rsid w:val="00026845"/>
    <w:rsid w:val="00026AAC"/>
    <w:rsid w:val="00026D3D"/>
    <w:rsid w:val="00026F4A"/>
    <w:rsid w:val="000272EC"/>
    <w:rsid w:val="00027416"/>
    <w:rsid w:val="000274ED"/>
    <w:rsid w:val="0002751F"/>
    <w:rsid w:val="00027819"/>
    <w:rsid w:val="000279DE"/>
    <w:rsid w:val="0003010B"/>
    <w:rsid w:val="000301C2"/>
    <w:rsid w:val="00030373"/>
    <w:rsid w:val="000304E9"/>
    <w:rsid w:val="00030640"/>
    <w:rsid w:val="0003072E"/>
    <w:rsid w:val="000307A8"/>
    <w:rsid w:val="00030887"/>
    <w:rsid w:val="00030993"/>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AFA"/>
    <w:rsid w:val="00032B14"/>
    <w:rsid w:val="00032C55"/>
    <w:rsid w:val="00032E71"/>
    <w:rsid w:val="00033034"/>
    <w:rsid w:val="00033192"/>
    <w:rsid w:val="00033263"/>
    <w:rsid w:val="00033483"/>
    <w:rsid w:val="00033665"/>
    <w:rsid w:val="000337D2"/>
    <w:rsid w:val="00033A69"/>
    <w:rsid w:val="0003416B"/>
    <w:rsid w:val="00034376"/>
    <w:rsid w:val="000343B7"/>
    <w:rsid w:val="000343F4"/>
    <w:rsid w:val="00034473"/>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0D67"/>
    <w:rsid w:val="00041026"/>
    <w:rsid w:val="00041129"/>
    <w:rsid w:val="00041142"/>
    <w:rsid w:val="00041243"/>
    <w:rsid w:val="0004148E"/>
    <w:rsid w:val="000415CF"/>
    <w:rsid w:val="00041993"/>
    <w:rsid w:val="00041A0A"/>
    <w:rsid w:val="00041BE6"/>
    <w:rsid w:val="00041C8A"/>
    <w:rsid w:val="00041D94"/>
    <w:rsid w:val="00041DA9"/>
    <w:rsid w:val="000422C8"/>
    <w:rsid w:val="00042453"/>
    <w:rsid w:val="000424A2"/>
    <w:rsid w:val="00042558"/>
    <w:rsid w:val="000426DE"/>
    <w:rsid w:val="0004276D"/>
    <w:rsid w:val="0004277A"/>
    <w:rsid w:val="00042934"/>
    <w:rsid w:val="00042A9F"/>
    <w:rsid w:val="00042AC7"/>
    <w:rsid w:val="00042BAD"/>
    <w:rsid w:val="00042C3E"/>
    <w:rsid w:val="00042FD2"/>
    <w:rsid w:val="0004311D"/>
    <w:rsid w:val="000431B4"/>
    <w:rsid w:val="0004336D"/>
    <w:rsid w:val="00043A61"/>
    <w:rsid w:val="00043B1C"/>
    <w:rsid w:val="00043C68"/>
    <w:rsid w:val="00043D59"/>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88D"/>
    <w:rsid w:val="0004597F"/>
    <w:rsid w:val="00045A76"/>
    <w:rsid w:val="00045BF7"/>
    <w:rsid w:val="00046001"/>
    <w:rsid w:val="000460A7"/>
    <w:rsid w:val="0004611A"/>
    <w:rsid w:val="000461DC"/>
    <w:rsid w:val="00046309"/>
    <w:rsid w:val="0004639F"/>
    <w:rsid w:val="00046737"/>
    <w:rsid w:val="0004680B"/>
    <w:rsid w:val="00046872"/>
    <w:rsid w:val="00046939"/>
    <w:rsid w:val="00046963"/>
    <w:rsid w:val="00046C5C"/>
    <w:rsid w:val="000470D5"/>
    <w:rsid w:val="00047207"/>
    <w:rsid w:val="00047479"/>
    <w:rsid w:val="000476F9"/>
    <w:rsid w:val="00047889"/>
    <w:rsid w:val="00047AB3"/>
    <w:rsid w:val="00047ADA"/>
    <w:rsid w:val="00047BBA"/>
    <w:rsid w:val="00047E61"/>
    <w:rsid w:val="000500A2"/>
    <w:rsid w:val="000502FD"/>
    <w:rsid w:val="00050351"/>
    <w:rsid w:val="00050606"/>
    <w:rsid w:val="00050747"/>
    <w:rsid w:val="00050899"/>
    <w:rsid w:val="000508C4"/>
    <w:rsid w:val="00050A3F"/>
    <w:rsid w:val="00050AEA"/>
    <w:rsid w:val="00050C78"/>
    <w:rsid w:val="000514DF"/>
    <w:rsid w:val="0005161F"/>
    <w:rsid w:val="00051756"/>
    <w:rsid w:val="000517DD"/>
    <w:rsid w:val="0005182E"/>
    <w:rsid w:val="0005191F"/>
    <w:rsid w:val="0005192B"/>
    <w:rsid w:val="00051C52"/>
    <w:rsid w:val="00052978"/>
    <w:rsid w:val="00052D2A"/>
    <w:rsid w:val="00052FD2"/>
    <w:rsid w:val="0005308E"/>
    <w:rsid w:val="00053251"/>
    <w:rsid w:val="000535E6"/>
    <w:rsid w:val="00053890"/>
    <w:rsid w:val="000539CC"/>
    <w:rsid w:val="00053AC5"/>
    <w:rsid w:val="00053B80"/>
    <w:rsid w:val="00054265"/>
    <w:rsid w:val="0005434F"/>
    <w:rsid w:val="000548B1"/>
    <w:rsid w:val="00054A1D"/>
    <w:rsid w:val="00054B62"/>
    <w:rsid w:val="00054CED"/>
    <w:rsid w:val="00054E53"/>
    <w:rsid w:val="00054E66"/>
    <w:rsid w:val="00054E6E"/>
    <w:rsid w:val="00055046"/>
    <w:rsid w:val="00055165"/>
    <w:rsid w:val="00055298"/>
    <w:rsid w:val="000553C0"/>
    <w:rsid w:val="00055594"/>
    <w:rsid w:val="000555BE"/>
    <w:rsid w:val="00055637"/>
    <w:rsid w:val="0005569F"/>
    <w:rsid w:val="00055B14"/>
    <w:rsid w:val="00055DD7"/>
    <w:rsid w:val="00055F08"/>
    <w:rsid w:val="00055F19"/>
    <w:rsid w:val="00056003"/>
    <w:rsid w:val="000560E2"/>
    <w:rsid w:val="0005626D"/>
    <w:rsid w:val="000562AB"/>
    <w:rsid w:val="00056476"/>
    <w:rsid w:val="00056502"/>
    <w:rsid w:val="0005682F"/>
    <w:rsid w:val="000568DE"/>
    <w:rsid w:val="00056B27"/>
    <w:rsid w:val="00056E70"/>
    <w:rsid w:val="0005707E"/>
    <w:rsid w:val="000570D7"/>
    <w:rsid w:val="0005717B"/>
    <w:rsid w:val="000571B5"/>
    <w:rsid w:val="00057274"/>
    <w:rsid w:val="0005763B"/>
    <w:rsid w:val="00057B08"/>
    <w:rsid w:val="000600AF"/>
    <w:rsid w:val="000600DF"/>
    <w:rsid w:val="00060210"/>
    <w:rsid w:val="000602E6"/>
    <w:rsid w:val="00060333"/>
    <w:rsid w:val="00060350"/>
    <w:rsid w:val="000605F1"/>
    <w:rsid w:val="00060615"/>
    <w:rsid w:val="00060784"/>
    <w:rsid w:val="00060C6B"/>
    <w:rsid w:val="00060D4C"/>
    <w:rsid w:val="00060D82"/>
    <w:rsid w:val="00060E85"/>
    <w:rsid w:val="00060FB3"/>
    <w:rsid w:val="00061003"/>
    <w:rsid w:val="0006108C"/>
    <w:rsid w:val="000613DE"/>
    <w:rsid w:val="0006142A"/>
    <w:rsid w:val="00061819"/>
    <w:rsid w:val="00061DD1"/>
    <w:rsid w:val="00061EF5"/>
    <w:rsid w:val="00061F68"/>
    <w:rsid w:val="000620CE"/>
    <w:rsid w:val="0006234D"/>
    <w:rsid w:val="00062474"/>
    <w:rsid w:val="0006280B"/>
    <w:rsid w:val="00062854"/>
    <w:rsid w:val="000630BA"/>
    <w:rsid w:val="0006314D"/>
    <w:rsid w:val="0006336F"/>
    <w:rsid w:val="000633D6"/>
    <w:rsid w:val="00063437"/>
    <w:rsid w:val="000634A5"/>
    <w:rsid w:val="00063741"/>
    <w:rsid w:val="00063AB9"/>
    <w:rsid w:val="00063C49"/>
    <w:rsid w:val="000640A5"/>
    <w:rsid w:val="00064564"/>
    <w:rsid w:val="000645FE"/>
    <w:rsid w:val="000649EC"/>
    <w:rsid w:val="00064E78"/>
    <w:rsid w:val="00065020"/>
    <w:rsid w:val="00065240"/>
    <w:rsid w:val="00065259"/>
    <w:rsid w:val="0006564E"/>
    <w:rsid w:val="000659A7"/>
    <w:rsid w:val="00065B6B"/>
    <w:rsid w:val="00065C44"/>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02"/>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4D7"/>
    <w:rsid w:val="000725F4"/>
    <w:rsid w:val="00072698"/>
    <w:rsid w:val="000726DA"/>
    <w:rsid w:val="00072873"/>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670"/>
    <w:rsid w:val="00074764"/>
    <w:rsid w:val="00074780"/>
    <w:rsid w:val="00074786"/>
    <w:rsid w:val="00074C28"/>
    <w:rsid w:val="00074D7A"/>
    <w:rsid w:val="00074E0A"/>
    <w:rsid w:val="00074FC7"/>
    <w:rsid w:val="000752FF"/>
    <w:rsid w:val="000756AC"/>
    <w:rsid w:val="00075879"/>
    <w:rsid w:val="00075941"/>
    <w:rsid w:val="00075AFF"/>
    <w:rsid w:val="00075BC6"/>
    <w:rsid w:val="00075C77"/>
    <w:rsid w:val="00076259"/>
    <w:rsid w:val="0007662D"/>
    <w:rsid w:val="000768C5"/>
    <w:rsid w:val="00076D3D"/>
    <w:rsid w:val="00076E3C"/>
    <w:rsid w:val="00076E8A"/>
    <w:rsid w:val="00076EFF"/>
    <w:rsid w:val="00076F9C"/>
    <w:rsid w:val="00076FDA"/>
    <w:rsid w:val="00077079"/>
    <w:rsid w:val="000770B3"/>
    <w:rsid w:val="00077705"/>
    <w:rsid w:val="000778B7"/>
    <w:rsid w:val="00077A02"/>
    <w:rsid w:val="00077C79"/>
    <w:rsid w:val="00077D3D"/>
    <w:rsid w:val="00077FE5"/>
    <w:rsid w:val="0008018B"/>
    <w:rsid w:val="000801CC"/>
    <w:rsid w:val="00080289"/>
    <w:rsid w:val="00080443"/>
    <w:rsid w:val="000805BC"/>
    <w:rsid w:val="00080608"/>
    <w:rsid w:val="00080982"/>
    <w:rsid w:val="000809DF"/>
    <w:rsid w:val="00080C51"/>
    <w:rsid w:val="00080E38"/>
    <w:rsid w:val="00080F0F"/>
    <w:rsid w:val="00081030"/>
    <w:rsid w:val="00081713"/>
    <w:rsid w:val="000817A1"/>
    <w:rsid w:val="00081948"/>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6D"/>
    <w:rsid w:val="000851B1"/>
    <w:rsid w:val="00085227"/>
    <w:rsid w:val="000852B5"/>
    <w:rsid w:val="00085AF9"/>
    <w:rsid w:val="00085B15"/>
    <w:rsid w:val="00085C48"/>
    <w:rsid w:val="00085D2A"/>
    <w:rsid w:val="00085D4B"/>
    <w:rsid w:val="00085D71"/>
    <w:rsid w:val="00085F6D"/>
    <w:rsid w:val="0008601C"/>
    <w:rsid w:val="00086020"/>
    <w:rsid w:val="000861B9"/>
    <w:rsid w:val="000861C0"/>
    <w:rsid w:val="0008620D"/>
    <w:rsid w:val="0008626C"/>
    <w:rsid w:val="00086927"/>
    <w:rsid w:val="00086998"/>
    <w:rsid w:val="00086C03"/>
    <w:rsid w:val="00086EFE"/>
    <w:rsid w:val="00087001"/>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B6D"/>
    <w:rsid w:val="00093DF7"/>
    <w:rsid w:val="00093EE8"/>
    <w:rsid w:val="00093F6E"/>
    <w:rsid w:val="0009426B"/>
    <w:rsid w:val="000944DB"/>
    <w:rsid w:val="000945AA"/>
    <w:rsid w:val="00094A82"/>
    <w:rsid w:val="00094BE8"/>
    <w:rsid w:val="00094C51"/>
    <w:rsid w:val="00094C99"/>
    <w:rsid w:val="00094CC8"/>
    <w:rsid w:val="00094CE8"/>
    <w:rsid w:val="000950F5"/>
    <w:rsid w:val="00095312"/>
    <w:rsid w:val="00095435"/>
    <w:rsid w:val="0009559F"/>
    <w:rsid w:val="000956AB"/>
    <w:rsid w:val="00095B18"/>
    <w:rsid w:val="00095B23"/>
    <w:rsid w:val="00095BE5"/>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B5"/>
    <w:rsid w:val="000975C7"/>
    <w:rsid w:val="000976D2"/>
    <w:rsid w:val="000979E2"/>
    <w:rsid w:val="00097DD0"/>
    <w:rsid w:val="00097FB5"/>
    <w:rsid w:val="000A0203"/>
    <w:rsid w:val="000A022B"/>
    <w:rsid w:val="000A08FB"/>
    <w:rsid w:val="000A0C74"/>
    <w:rsid w:val="000A0CC1"/>
    <w:rsid w:val="000A0CE8"/>
    <w:rsid w:val="000A0D6C"/>
    <w:rsid w:val="000A0F92"/>
    <w:rsid w:val="000A1016"/>
    <w:rsid w:val="000A1125"/>
    <w:rsid w:val="000A1172"/>
    <w:rsid w:val="000A1189"/>
    <w:rsid w:val="000A127C"/>
    <w:rsid w:val="000A13AE"/>
    <w:rsid w:val="000A1480"/>
    <w:rsid w:val="000A173F"/>
    <w:rsid w:val="000A1897"/>
    <w:rsid w:val="000A1902"/>
    <w:rsid w:val="000A1A1F"/>
    <w:rsid w:val="000A1A94"/>
    <w:rsid w:val="000A1C46"/>
    <w:rsid w:val="000A1EC2"/>
    <w:rsid w:val="000A1F58"/>
    <w:rsid w:val="000A2051"/>
    <w:rsid w:val="000A2497"/>
    <w:rsid w:val="000A2766"/>
    <w:rsid w:val="000A2DA2"/>
    <w:rsid w:val="000A2DAE"/>
    <w:rsid w:val="000A2E01"/>
    <w:rsid w:val="000A311C"/>
    <w:rsid w:val="000A32EB"/>
    <w:rsid w:val="000A34BA"/>
    <w:rsid w:val="000A34F3"/>
    <w:rsid w:val="000A38B4"/>
    <w:rsid w:val="000A3D00"/>
    <w:rsid w:val="000A3FFB"/>
    <w:rsid w:val="000A414A"/>
    <w:rsid w:val="000A41F4"/>
    <w:rsid w:val="000A4578"/>
    <w:rsid w:val="000A48C7"/>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A43"/>
    <w:rsid w:val="000A6D69"/>
    <w:rsid w:val="000A6F27"/>
    <w:rsid w:val="000A6F72"/>
    <w:rsid w:val="000A6F99"/>
    <w:rsid w:val="000A6FE6"/>
    <w:rsid w:val="000A721F"/>
    <w:rsid w:val="000A72B1"/>
    <w:rsid w:val="000A77E9"/>
    <w:rsid w:val="000A79A7"/>
    <w:rsid w:val="000A7ACC"/>
    <w:rsid w:val="000A7D7F"/>
    <w:rsid w:val="000B0123"/>
    <w:rsid w:val="000B0141"/>
    <w:rsid w:val="000B0529"/>
    <w:rsid w:val="000B07B3"/>
    <w:rsid w:val="000B086E"/>
    <w:rsid w:val="000B09B0"/>
    <w:rsid w:val="000B09FF"/>
    <w:rsid w:val="000B0BBF"/>
    <w:rsid w:val="000B0C83"/>
    <w:rsid w:val="000B0D2B"/>
    <w:rsid w:val="000B0E8D"/>
    <w:rsid w:val="000B0F08"/>
    <w:rsid w:val="000B0FDB"/>
    <w:rsid w:val="000B1128"/>
    <w:rsid w:val="000B1135"/>
    <w:rsid w:val="000B1156"/>
    <w:rsid w:val="000B136A"/>
    <w:rsid w:val="000B1513"/>
    <w:rsid w:val="000B15B4"/>
    <w:rsid w:val="000B1772"/>
    <w:rsid w:val="000B17DD"/>
    <w:rsid w:val="000B1A73"/>
    <w:rsid w:val="000B1B49"/>
    <w:rsid w:val="000B1CAA"/>
    <w:rsid w:val="000B2097"/>
    <w:rsid w:val="000B21DC"/>
    <w:rsid w:val="000B224F"/>
    <w:rsid w:val="000B2473"/>
    <w:rsid w:val="000B2535"/>
    <w:rsid w:val="000B2E06"/>
    <w:rsid w:val="000B2E78"/>
    <w:rsid w:val="000B2F43"/>
    <w:rsid w:val="000B330A"/>
    <w:rsid w:val="000B3874"/>
    <w:rsid w:val="000B394D"/>
    <w:rsid w:val="000B3B3B"/>
    <w:rsid w:val="000B3FFC"/>
    <w:rsid w:val="000B3FFE"/>
    <w:rsid w:val="000B43F5"/>
    <w:rsid w:val="000B43FB"/>
    <w:rsid w:val="000B4569"/>
    <w:rsid w:val="000B45D7"/>
    <w:rsid w:val="000B4721"/>
    <w:rsid w:val="000B4993"/>
    <w:rsid w:val="000B4A43"/>
    <w:rsid w:val="000B4C17"/>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B7BD0"/>
    <w:rsid w:val="000C003D"/>
    <w:rsid w:val="000C074E"/>
    <w:rsid w:val="000C0D9E"/>
    <w:rsid w:val="000C1275"/>
    <w:rsid w:val="000C15B8"/>
    <w:rsid w:val="000C1698"/>
    <w:rsid w:val="000C1890"/>
    <w:rsid w:val="000C196B"/>
    <w:rsid w:val="000C1AB9"/>
    <w:rsid w:val="000C1B49"/>
    <w:rsid w:val="000C1E46"/>
    <w:rsid w:val="000C1F62"/>
    <w:rsid w:val="000C206A"/>
    <w:rsid w:val="000C2090"/>
    <w:rsid w:val="000C2095"/>
    <w:rsid w:val="000C210C"/>
    <w:rsid w:val="000C219A"/>
    <w:rsid w:val="000C24A8"/>
    <w:rsid w:val="000C2612"/>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953"/>
    <w:rsid w:val="000C5ED7"/>
    <w:rsid w:val="000C5F12"/>
    <w:rsid w:val="000C5FA7"/>
    <w:rsid w:val="000C6043"/>
    <w:rsid w:val="000C6211"/>
    <w:rsid w:val="000C6255"/>
    <w:rsid w:val="000C627A"/>
    <w:rsid w:val="000C655D"/>
    <w:rsid w:val="000C692E"/>
    <w:rsid w:val="000C69D5"/>
    <w:rsid w:val="000C6D78"/>
    <w:rsid w:val="000C6EBF"/>
    <w:rsid w:val="000C6F06"/>
    <w:rsid w:val="000C70D6"/>
    <w:rsid w:val="000C7581"/>
    <w:rsid w:val="000C76DD"/>
    <w:rsid w:val="000C7E46"/>
    <w:rsid w:val="000C7EAD"/>
    <w:rsid w:val="000D02EB"/>
    <w:rsid w:val="000D0723"/>
    <w:rsid w:val="000D074B"/>
    <w:rsid w:val="000D07F4"/>
    <w:rsid w:val="000D0953"/>
    <w:rsid w:val="000D0D09"/>
    <w:rsid w:val="000D0E8B"/>
    <w:rsid w:val="000D0F36"/>
    <w:rsid w:val="000D0F46"/>
    <w:rsid w:val="000D10B3"/>
    <w:rsid w:val="000D11FA"/>
    <w:rsid w:val="000D144A"/>
    <w:rsid w:val="000D16DF"/>
    <w:rsid w:val="000D1A8A"/>
    <w:rsid w:val="000D1AC6"/>
    <w:rsid w:val="000D1B3E"/>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2EA"/>
    <w:rsid w:val="000D3324"/>
    <w:rsid w:val="000D3332"/>
    <w:rsid w:val="000D335B"/>
    <w:rsid w:val="000D3397"/>
    <w:rsid w:val="000D33BE"/>
    <w:rsid w:val="000D38C3"/>
    <w:rsid w:val="000D398B"/>
    <w:rsid w:val="000D3C54"/>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1C0"/>
    <w:rsid w:val="000D524E"/>
    <w:rsid w:val="000D54BA"/>
    <w:rsid w:val="000D5B64"/>
    <w:rsid w:val="000D5C3A"/>
    <w:rsid w:val="000D6209"/>
    <w:rsid w:val="000D643C"/>
    <w:rsid w:val="000D64DD"/>
    <w:rsid w:val="000D6AEB"/>
    <w:rsid w:val="000D6C0B"/>
    <w:rsid w:val="000D6C2E"/>
    <w:rsid w:val="000D6F6E"/>
    <w:rsid w:val="000D7460"/>
    <w:rsid w:val="000D7971"/>
    <w:rsid w:val="000D79DB"/>
    <w:rsid w:val="000D7D7F"/>
    <w:rsid w:val="000D7D9A"/>
    <w:rsid w:val="000D7E52"/>
    <w:rsid w:val="000D7EEC"/>
    <w:rsid w:val="000E00B1"/>
    <w:rsid w:val="000E0249"/>
    <w:rsid w:val="000E0865"/>
    <w:rsid w:val="000E0994"/>
    <w:rsid w:val="000E09FF"/>
    <w:rsid w:val="000E103A"/>
    <w:rsid w:val="000E10BC"/>
    <w:rsid w:val="000E11BF"/>
    <w:rsid w:val="000E1232"/>
    <w:rsid w:val="000E1253"/>
    <w:rsid w:val="000E12D6"/>
    <w:rsid w:val="000E1859"/>
    <w:rsid w:val="000E1C30"/>
    <w:rsid w:val="000E1CCF"/>
    <w:rsid w:val="000E1F55"/>
    <w:rsid w:val="000E208B"/>
    <w:rsid w:val="000E2595"/>
    <w:rsid w:val="000E2961"/>
    <w:rsid w:val="000E2A71"/>
    <w:rsid w:val="000E2C27"/>
    <w:rsid w:val="000E2D24"/>
    <w:rsid w:val="000E2F58"/>
    <w:rsid w:val="000E2F7A"/>
    <w:rsid w:val="000E321B"/>
    <w:rsid w:val="000E3359"/>
    <w:rsid w:val="000E371C"/>
    <w:rsid w:val="000E37B4"/>
    <w:rsid w:val="000E3A1B"/>
    <w:rsid w:val="000E3C86"/>
    <w:rsid w:val="000E3D59"/>
    <w:rsid w:val="000E3DAC"/>
    <w:rsid w:val="000E401D"/>
    <w:rsid w:val="000E41A7"/>
    <w:rsid w:val="000E4215"/>
    <w:rsid w:val="000E439E"/>
    <w:rsid w:val="000E4476"/>
    <w:rsid w:val="000E4703"/>
    <w:rsid w:val="000E478F"/>
    <w:rsid w:val="000E48E2"/>
    <w:rsid w:val="000E48F7"/>
    <w:rsid w:val="000E4CBB"/>
    <w:rsid w:val="000E4DCA"/>
    <w:rsid w:val="000E5132"/>
    <w:rsid w:val="000E53E9"/>
    <w:rsid w:val="000E5525"/>
    <w:rsid w:val="000E554E"/>
    <w:rsid w:val="000E575F"/>
    <w:rsid w:val="000E57D3"/>
    <w:rsid w:val="000E60DC"/>
    <w:rsid w:val="000E62CE"/>
    <w:rsid w:val="000E62D4"/>
    <w:rsid w:val="000E62F5"/>
    <w:rsid w:val="000E6382"/>
    <w:rsid w:val="000E6393"/>
    <w:rsid w:val="000E678B"/>
    <w:rsid w:val="000E6A44"/>
    <w:rsid w:val="000E6EA3"/>
    <w:rsid w:val="000E7152"/>
    <w:rsid w:val="000E7231"/>
    <w:rsid w:val="000E7316"/>
    <w:rsid w:val="000E74CA"/>
    <w:rsid w:val="000E77B6"/>
    <w:rsid w:val="000E7838"/>
    <w:rsid w:val="000E7901"/>
    <w:rsid w:val="000E7910"/>
    <w:rsid w:val="000E795C"/>
    <w:rsid w:val="000E7A0C"/>
    <w:rsid w:val="000E7AF9"/>
    <w:rsid w:val="000E7C99"/>
    <w:rsid w:val="000E7EFD"/>
    <w:rsid w:val="000F0028"/>
    <w:rsid w:val="000F01E6"/>
    <w:rsid w:val="000F0397"/>
    <w:rsid w:val="000F0873"/>
    <w:rsid w:val="000F0979"/>
    <w:rsid w:val="000F0B3B"/>
    <w:rsid w:val="000F0C34"/>
    <w:rsid w:val="000F0C76"/>
    <w:rsid w:val="000F0D7A"/>
    <w:rsid w:val="000F0E42"/>
    <w:rsid w:val="000F17AF"/>
    <w:rsid w:val="000F181A"/>
    <w:rsid w:val="000F2136"/>
    <w:rsid w:val="000F229F"/>
    <w:rsid w:val="000F2348"/>
    <w:rsid w:val="000F2381"/>
    <w:rsid w:val="000F240D"/>
    <w:rsid w:val="000F255C"/>
    <w:rsid w:val="000F2592"/>
    <w:rsid w:val="000F34C9"/>
    <w:rsid w:val="000F37A3"/>
    <w:rsid w:val="000F3843"/>
    <w:rsid w:val="000F385E"/>
    <w:rsid w:val="000F3C91"/>
    <w:rsid w:val="000F3D72"/>
    <w:rsid w:val="000F42A6"/>
    <w:rsid w:val="000F4378"/>
    <w:rsid w:val="000F43EF"/>
    <w:rsid w:val="000F44ED"/>
    <w:rsid w:val="000F470E"/>
    <w:rsid w:val="000F4813"/>
    <w:rsid w:val="000F4DBC"/>
    <w:rsid w:val="000F4F02"/>
    <w:rsid w:val="000F4F39"/>
    <w:rsid w:val="000F4FC2"/>
    <w:rsid w:val="000F4FF0"/>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CE4"/>
    <w:rsid w:val="000F6DDD"/>
    <w:rsid w:val="000F72E1"/>
    <w:rsid w:val="000F72FF"/>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A6E"/>
    <w:rsid w:val="00100CF1"/>
    <w:rsid w:val="00100EF3"/>
    <w:rsid w:val="00100FA0"/>
    <w:rsid w:val="001011B1"/>
    <w:rsid w:val="00101254"/>
    <w:rsid w:val="0010166A"/>
    <w:rsid w:val="00101C2D"/>
    <w:rsid w:val="00101CD7"/>
    <w:rsid w:val="00101E70"/>
    <w:rsid w:val="0010209B"/>
    <w:rsid w:val="00102313"/>
    <w:rsid w:val="0010234F"/>
    <w:rsid w:val="00102653"/>
    <w:rsid w:val="0010270C"/>
    <w:rsid w:val="00102833"/>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786"/>
    <w:rsid w:val="00104823"/>
    <w:rsid w:val="001048BF"/>
    <w:rsid w:val="001049C9"/>
    <w:rsid w:val="00104AC6"/>
    <w:rsid w:val="00104C7F"/>
    <w:rsid w:val="00104E4C"/>
    <w:rsid w:val="00104EA1"/>
    <w:rsid w:val="001051DA"/>
    <w:rsid w:val="00105422"/>
    <w:rsid w:val="00105502"/>
    <w:rsid w:val="00106284"/>
    <w:rsid w:val="0010635B"/>
    <w:rsid w:val="00106636"/>
    <w:rsid w:val="00106A5A"/>
    <w:rsid w:val="00106D64"/>
    <w:rsid w:val="00106E02"/>
    <w:rsid w:val="00107187"/>
    <w:rsid w:val="001073A4"/>
    <w:rsid w:val="0010780D"/>
    <w:rsid w:val="0010782F"/>
    <w:rsid w:val="00107862"/>
    <w:rsid w:val="001078AC"/>
    <w:rsid w:val="0010791C"/>
    <w:rsid w:val="001079D8"/>
    <w:rsid w:val="00107B30"/>
    <w:rsid w:val="00107B44"/>
    <w:rsid w:val="00107C2C"/>
    <w:rsid w:val="00107C4E"/>
    <w:rsid w:val="00107C9C"/>
    <w:rsid w:val="00107D1D"/>
    <w:rsid w:val="001104BE"/>
    <w:rsid w:val="00110517"/>
    <w:rsid w:val="00110754"/>
    <w:rsid w:val="00110A92"/>
    <w:rsid w:val="00110AF8"/>
    <w:rsid w:val="00110B0A"/>
    <w:rsid w:val="00110C17"/>
    <w:rsid w:val="00110C8D"/>
    <w:rsid w:val="00110D04"/>
    <w:rsid w:val="00110F91"/>
    <w:rsid w:val="0011139D"/>
    <w:rsid w:val="0011174B"/>
    <w:rsid w:val="0011199A"/>
    <w:rsid w:val="00111AB0"/>
    <w:rsid w:val="00111B72"/>
    <w:rsid w:val="00111BB5"/>
    <w:rsid w:val="00111C2B"/>
    <w:rsid w:val="00111D5C"/>
    <w:rsid w:val="00111DD5"/>
    <w:rsid w:val="0011204B"/>
    <w:rsid w:val="00112212"/>
    <w:rsid w:val="001125D6"/>
    <w:rsid w:val="0011261B"/>
    <w:rsid w:val="00112659"/>
    <w:rsid w:val="0011279B"/>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AEF"/>
    <w:rsid w:val="00113C06"/>
    <w:rsid w:val="001140D4"/>
    <w:rsid w:val="001141CF"/>
    <w:rsid w:val="00114447"/>
    <w:rsid w:val="001146A0"/>
    <w:rsid w:val="0011490F"/>
    <w:rsid w:val="00114978"/>
    <w:rsid w:val="00114A55"/>
    <w:rsid w:val="00114A83"/>
    <w:rsid w:val="00114D97"/>
    <w:rsid w:val="00114FDE"/>
    <w:rsid w:val="001151F2"/>
    <w:rsid w:val="00115203"/>
    <w:rsid w:val="00115763"/>
    <w:rsid w:val="00115942"/>
    <w:rsid w:val="00115943"/>
    <w:rsid w:val="00115979"/>
    <w:rsid w:val="00115A3B"/>
    <w:rsid w:val="00115A7A"/>
    <w:rsid w:val="00115BEF"/>
    <w:rsid w:val="00115CAE"/>
    <w:rsid w:val="001160B0"/>
    <w:rsid w:val="001160FB"/>
    <w:rsid w:val="0011665B"/>
    <w:rsid w:val="001166E1"/>
    <w:rsid w:val="001167AC"/>
    <w:rsid w:val="00116B52"/>
    <w:rsid w:val="00116B99"/>
    <w:rsid w:val="00116C62"/>
    <w:rsid w:val="00116CF7"/>
    <w:rsid w:val="00116D7F"/>
    <w:rsid w:val="00116EC4"/>
    <w:rsid w:val="00117108"/>
    <w:rsid w:val="00117175"/>
    <w:rsid w:val="00117253"/>
    <w:rsid w:val="00117358"/>
    <w:rsid w:val="001174DD"/>
    <w:rsid w:val="00117562"/>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C39"/>
    <w:rsid w:val="00120C60"/>
    <w:rsid w:val="00120CD9"/>
    <w:rsid w:val="0012135A"/>
    <w:rsid w:val="00121418"/>
    <w:rsid w:val="0012165E"/>
    <w:rsid w:val="001216C8"/>
    <w:rsid w:val="0012175A"/>
    <w:rsid w:val="001218AD"/>
    <w:rsid w:val="00121CCD"/>
    <w:rsid w:val="00121D83"/>
    <w:rsid w:val="00122567"/>
    <w:rsid w:val="001226E3"/>
    <w:rsid w:val="0012282D"/>
    <w:rsid w:val="001229F8"/>
    <w:rsid w:val="00122A53"/>
    <w:rsid w:val="00122A5B"/>
    <w:rsid w:val="00122DB8"/>
    <w:rsid w:val="00122E2E"/>
    <w:rsid w:val="00122EC6"/>
    <w:rsid w:val="00122EF1"/>
    <w:rsid w:val="00122F50"/>
    <w:rsid w:val="0012309F"/>
    <w:rsid w:val="001233F3"/>
    <w:rsid w:val="0012341B"/>
    <w:rsid w:val="00123451"/>
    <w:rsid w:val="0012354D"/>
    <w:rsid w:val="0012358D"/>
    <w:rsid w:val="0012386D"/>
    <w:rsid w:val="00123C6B"/>
    <w:rsid w:val="00123C87"/>
    <w:rsid w:val="00123CD1"/>
    <w:rsid w:val="00123E00"/>
    <w:rsid w:val="00123FDC"/>
    <w:rsid w:val="00124151"/>
    <w:rsid w:val="001241ED"/>
    <w:rsid w:val="00124210"/>
    <w:rsid w:val="00124248"/>
    <w:rsid w:val="00124732"/>
    <w:rsid w:val="001248A3"/>
    <w:rsid w:val="001248FD"/>
    <w:rsid w:val="00124C8B"/>
    <w:rsid w:val="00124D00"/>
    <w:rsid w:val="00124E36"/>
    <w:rsid w:val="00124EAB"/>
    <w:rsid w:val="001251E2"/>
    <w:rsid w:val="00125286"/>
    <w:rsid w:val="00125301"/>
    <w:rsid w:val="0012535E"/>
    <w:rsid w:val="00125402"/>
    <w:rsid w:val="0012550F"/>
    <w:rsid w:val="0012557A"/>
    <w:rsid w:val="00125659"/>
    <w:rsid w:val="00125686"/>
    <w:rsid w:val="001257EB"/>
    <w:rsid w:val="0012582F"/>
    <w:rsid w:val="00125B2E"/>
    <w:rsid w:val="00125CCA"/>
    <w:rsid w:val="00126237"/>
    <w:rsid w:val="00126824"/>
    <w:rsid w:val="001268BB"/>
    <w:rsid w:val="00126915"/>
    <w:rsid w:val="00126958"/>
    <w:rsid w:val="001269B8"/>
    <w:rsid w:val="00126B14"/>
    <w:rsid w:val="00126BFE"/>
    <w:rsid w:val="00126D60"/>
    <w:rsid w:val="001271FC"/>
    <w:rsid w:val="001273F8"/>
    <w:rsid w:val="0012745B"/>
    <w:rsid w:val="001274A9"/>
    <w:rsid w:val="0012756F"/>
    <w:rsid w:val="001275B2"/>
    <w:rsid w:val="001278ED"/>
    <w:rsid w:val="00127B9E"/>
    <w:rsid w:val="00127CA5"/>
    <w:rsid w:val="00127D7F"/>
    <w:rsid w:val="00127EBF"/>
    <w:rsid w:val="00127FC5"/>
    <w:rsid w:val="00130315"/>
    <w:rsid w:val="00130435"/>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D11"/>
    <w:rsid w:val="00132024"/>
    <w:rsid w:val="00132696"/>
    <w:rsid w:val="001328EB"/>
    <w:rsid w:val="00132E43"/>
    <w:rsid w:val="00132F01"/>
    <w:rsid w:val="00133060"/>
    <w:rsid w:val="0013309E"/>
    <w:rsid w:val="00133182"/>
    <w:rsid w:val="00133280"/>
    <w:rsid w:val="0013339C"/>
    <w:rsid w:val="001333F0"/>
    <w:rsid w:val="001335C9"/>
    <w:rsid w:val="001335CB"/>
    <w:rsid w:val="001339AC"/>
    <w:rsid w:val="001339FA"/>
    <w:rsid w:val="00133D72"/>
    <w:rsid w:val="001342F7"/>
    <w:rsid w:val="00134320"/>
    <w:rsid w:val="00134437"/>
    <w:rsid w:val="001344F5"/>
    <w:rsid w:val="0013450B"/>
    <w:rsid w:val="001346A0"/>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8D1"/>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1FEF"/>
    <w:rsid w:val="00142005"/>
    <w:rsid w:val="001421FC"/>
    <w:rsid w:val="001423BC"/>
    <w:rsid w:val="0014257F"/>
    <w:rsid w:val="001426BC"/>
    <w:rsid w:val="00142714"/>
    <w:rsid w:val="00142776"/>
    <w:rsid w:val="00142876"/>
    <w:rsid w:val="00142EA5"/>
    <w:rsid w:val="00142F2B"/>
    <w:rsid w:val="00143045"/>
    <w:rsid w:val="001436C2"/>
    <w:rsid w:val="001436DC"/>
    <w:rsid w:val="00143844"/>
    <w:rsid w:val="00143A06"/>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05"/>
    <w:rsid w:val="0014676D"/>
    <w:rsid w:val="00146782"/>
    <w:rsid w:val="00146993"/>
    <w:rsid w:val="00146B14"/>
    <w:rsid w:val="00146C9F"/>
    <w:rsid w:val="00146CFB"/>
    <w:rsid w:val="00146F6C"/>
    <w:rsid w:val="00146FDE"/>
    <w:rsid w:val="00147261"/>
    <w:rsid w:val="00147382"/>
    <w:rsid w:val="001473A6"/>
    <w:rsid w:val="001473C3"/>
    <w:rsid w:val="00147723"/>
    <w:rsid w:val="00147A05"/>
    <w:rsid w:val="00147E46"/>
    <w:rsid w:val="00147FCF"/>
    <w:rsid w:val="00147FEA"/>
    <w:rsid w:val="001501D5"/>
    <w:rsid w:val="00150506"/>
    <w:rsid w:val="00150747"/>
    <w:rsid w:val="001507E8"/>
    <w:rsid w:val="001508A9"/>
    <w:rsid w:val="001509F7"/>
    <w:rsid w:val="00150A8E"/>
    <w:rsid w:val="00150B20"/>
    <w:rsid w:val="00150B66"/>
    <w:rsid w:val="00150CBA"/>
    <w:rsid w:val="00150F62"/>
    <w:rsid w:val="00151323"/>
    <w:rsid w:val="0015147A"/>
    <w:rsid w:val="001514AF"/>
    <w:rsid w:val="0015152B"/>
    <w:rsid w:val="001516F0"/>
    <w:rsid w:val="00151747"/>
    <w:rsid w:val="001518CA"/>
    <w:rsid w:val="00151993"/>
    <w:rsid w:val="001519E7"/>
    <w:rsid w:val="00151D76"/>
    <w:rsid w:val="00151DC4"/>
    <w:rsid w:val="00151E6E"/>
    <w:rsid w:val="00152016"/>
    <w:rsid w:val="001520F6"/>
    <w:rsid w:val="00152108"/>
    <w:rsid w:val="001523EE"/>
    <w:rsid w:val="00152731"/>
    <w:rsid w:val="00152850"/>
    <w:rsid w:val="0015290E"/>
    <w:rsid w:val="00152991"/>
    <w:rsid w:val="00152ABC"/>
    <w:rsid w:val="00152FE4"/>
    <w:rsid w:val="0015310F"/>
    <w:rsid w:val="001532A4"/>
    <w:rsid w:val="001537A4"/>
    <w:rsid w:val="001537D0"/>
    <w:rsid w:val="00153B7D"/>
    <w:rsid w:val="00153BC8"/>
    <w:rsid w:val="00153F15"/>
    <w:rsid w:val="00154401"/>
    <w:rsid w:val="001545AD"/>
    <w:rsid w:val="00154682"/>
    <w:rsid w:val="001547EA"/>
    <w:rsid w:val="001547F6"/>
    <w:rsid w:val="00154E2A"/>
    <w:rsid w:val="00154E60"/>
    <w:rsid w:val="00155202"/>
    <w:rsid w:val="0015538F"/>
    <w:rsid w:val="00155434"/>
    <w:rsid w:val="00155526"/>
    <w:rsid w:val="00155982"/>
    <w:rsid w:val="001559A8"/>
    <w:rsid w:val="001564FC"/>
    <w:rsid w:val="00156D28"/>
    <w:rsid w:val="00156D64"/>
    <w:rsid w:val="00156EF9"/>
    <w:rsid w:val="001570D9"/>
    <w:rsid w:val="00157375"/>
    <w:rsid w:val="00157500"/>
    <w:rsid w:val="00157721"/>
    <w:rsid w:val="00157952"/>
    <w:rsid w:val="00157A47"/>
    <w:rsid w:val="001602B3"/>
    <w:rsid w:val="0016040C"/>
    <w:rsid w:val="0016050D"/>
    <w:rsid w:val="0016079C"/>
    <w:rsid w:val="0016086E"/>
    <w:rsid w:val="001609D0"/>
    <w:rsid w:val="00160A0C"/>
    <w:rsid w:val="00160C89"/>
    <w:rsid w:val="0016104C"/>
    <w:rsid w:val="0016143E"/>
    <w:rsid w:val="00161555"/>
    <w:rsid w:val="00161574"/>
    <w:rsid w:val="001615D5"/>
    <w:rsid w:val="001618DB"/>
    <w:rsid w:val="00161966"/>
    <w:rsid w:val="00161A84"/>
    <w:rsid w:val="00161AF3"/>
    <w:rsid w:val="001620A0"/>
    <w:rsid w:val="001620E1"/>
    <w:rsid w:val="0016216F"/>
    <w:rsid w:val="0016223A"/>
    <w:rsid w:val="001623B5"/>
    <w:rsid w:val="001624B5"/>
    <w:rsid w:val="001627F3"/>
    <w:rsid w:val="001629D3"/>
    <w:rsid w:val="00162A50"/>
    <w:rsid w:val="00162D12"/>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0B0"/>
    <w:rsid w:val="001655BB"/>
    <w:rsid w:val="001657CC"/>
    <w:rsid w:val="00165B61"/>
    <w:rsid w:val="00165F07"/>
    <w:rsid w:val="0016613B"/>
    <w:rsid w:val="001662E6"/>
    <w:rsid w:val="001664DB"/>
    <w:rsid w:val="0016655E"/>
    <w:rsid w:val="00166A93"/>
    <w:rsid w:val="00166C93"/>
    <w:rsid w:val="00166E60"/>
    <w:rsid w:val="00166EBE"/>
    <w:rsid w:val="00166F3F"/>
    <w:rsid w:val="001670EA"/>
    <w:rsid w:val="001674A5"/>
    <w:rsid w:val="0016784B"/>
    <w:rsid w:val="001679B2"/>
    <w:rsid w:val="00167A55"/>
    <w:rsid w:val="00167AB6"/>
    <w:rsid w:val="00167EBA"/>
    <w:rsid w:val="00167FB2"/>
    <w:rsid w:val="00167FD9"/>
    <w:rsid w:val="001700A5"/>
    <w:rsid w:val="001703B4"/>
    <w:rsid w:val="001705E4"/>
    <w:rsid w:val="00170D89"/>
    <w:rsid w:val="00170FF3"/>
    <w:rsid w:val="0017116A"/>
    <w:rsid w:val="001711DB"/>
    <w:rsid w:val="001712A1"/>
    <w:rsid w:val="001712C4"/>
    <w:rsid w:val="00171325"/>
    <w:rsid w:val="00171451"/>
    <w:rsid w:val="00171482"/>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3B73"/>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149"/>
    <w:rsid w:val="0017622F"/>
    <w:rsid w:val="0017623A"/>
    <w:rsid w:val="00176250"/>
    <w:rsid w:val="00176399"/>
    <w:rsid w:val="00176768"/>
    <w:rsid w:val="00176794"/>
    <w:rsid w:val="001767E0"/>
    <w:rsid w:val="0017690B"/>
    <w:rsid w:val="001769DC"/>
    <w:rsid w:val="00176DE2"/>
    <w:rsid w:val="00176E48"/>
    <w:rsid w:val="001770BF"/>
    <w:rsid w:val="001770D4"/>
    <w:rsid w:val="0017712C"/>
    <w:rsid w:val="00177148"/>
    <w:rsid w:val="0017727A"/>
    <w:rsid w:val="001772BB"/>
    <w:rsid w:val="00177385"/>
    <w:rsid w:val="001776C7"/>
    <w:rsid w:val="00177707"/>
    <w:rsid w:val="00177873"/>
    <w:rsid w:val="00177B45"/>
    <w:rsid w:val="00177F9F"/>
    <w:rsid w:val="00180172"/>
    <w:rsid w:val="001801F4"/>
    <w:rsid w:val="001802CA"/>
    <w:rsid w:val="00180664"/>
    <w:rsid w:val="00180775"/>
    <w:rsid w:val="00180829"/>
    <w:rsid w:val="0018083E"/>
    <w:rsid w:val="0018085E"/>
    <w:rsid w:val="00180954"/>
    <w:rsid w:val="00180975"/>
    <w:rsid w:val="001809C7"/>
    <w:rsid w:val="00180D52"/>
    <w:rsid w:val="0018115A"/>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C3"/>
    <w:rsid w:val="001829EB"/>
    <w:rsid w:val="00182C70"/>
    <w:rsid w:val="00182DE9"/>
    <w:rsid w:val="00183026"/>
    <w:rsid w:val="001834AA"/>
    <w:rsid w:val="001835E4"/>
    <w:rsid w:val="001835F6"/>
    <w:rsid w:val="001838C6"/>
    <w:rsid w:val="00183935"/>
    <w:rsid w:val="0018397D"/>
    <w:rsid w:val="00183A51"/>
    <w:rsid w:val="00183A60"/>
    <w:rsid w:val="00183B57"/>
    <w:rsid w:val="00183DFC"/>
    <w:rsid w:val="00184004"/>
    <w:rsid w:val="00184171"/>
    <w:rsid w:val="00184298"/>
    <w:rsid w:val="001846ED"/>
    <w:rsid w:val="001849ED"/>
    <w:rsid w:val="00184B0F"/>
    <w:rsid w:val="00184BC3"/>
    <w:rsid w:val="00184DC3"/>
    <w:rsid w:val="00184F04"/>
    <w:rsid w:val="00184FA0"/>
    <w:rsid w:val="00185367"/>
    <w:rsid w:val="0018542F"/>
    <w:rsid w:val="0018557B"/>
    <w:rsid w:val="00185A00"/>
    <w:rsid w:val="00185BBA"/>
    <w:rsid w:val="0018614B"/>
    <w:rsid w:val="001862B1"/>
    <w:rsid w:val="001862ED"/>
    <w:rsid w:val="00186763"/>
    <w:rsid w:val="0018676E"/>
    <w:rsid w:val="0018693D"/>
    <w:rsid w:val="00186AEB"/>
    <w:rsid w:val="00186BD5"/>
    <w:rsid w:val="00186C6E"/>
    <w:rsid w:val="00186CE3"/>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4A6"/>
    <w:rsid w:val="00191517"/>
    <w:rsid w:val="00191935"/>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4D42"/>
    <w:rsid w:val="00194D65"/>
    <w:rsid w:val="001950C6"/>
    <w:rsid w:val="0019525E"/>
    <w:rsid w:val="00195427"/>
    <w:rsid w:val="001954DF"/>
    <w:rsid w:val="00195515"/>
    <w:rsid w:val="0019580B"/>
    <w:rsid w:val="001958C9"/>
    <w:rsid w:val="00195A71"/>
    <w:rsid w:val="00195B1E"/>
    <w:rsid w:val="00195D3C"/>
    <w:rsid w:val="001961CE"/>
    <w:rsid w:val="00196296"/>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B7A"/>
    <w:rsid w:val="001A0FE8"/>
    <w:rsid w:val="001A106A"/>
    <w:rsid w:val="001A1224"/>
    <w:rsid w:val="001A13A8"/>
    <w:rsid w:val="001A1606"/>
    <w:rsid w:val="001A168B"/>
    <w:rsid w:val="001A1914"/>
    <w:rsid w:val="001A19C5"/>
    <w:rsid w:val="001A1ABE"/>
    <w:rsid w:val="001A1B50"/>
    <w:rsid w:val="001A1B54"/>
    <w:rsid w:val="001A1B78"/>
    <w:rsid w:val="001A1BA3"/>
    <w:rsid w:val="001A1CEC"/>
    <w:rsid w:val="001A1F0B"/>
    <w:rsid w:val="001A1F70"/>
    <w:rsid w:val="001A229A"/>
    <w:rsid w:val="001A2347"/>
    <w:rsid w:val="001A2415"/>
    <w:rsid w:val="001A25C9"/>
    <w:rsid w:val="001A27B9"/>
    <w:rsid w:val="001A27E8"/>
    <w:rsid w:val="001A287C"/>
    <w:rsid w:val="001A29C1"/>
    <w:rsid w:val="001A2AFE"/>
    <w:rsid w:val="001A3094"/>
    <w:rsid w:val="001A35AC"/>
    <w:rsid w:val="001A390C"/>
    <w:rsid w:val="001A3985"/>
    <w:rsid w:val="001A399C"/>
    <w:rsid w:val="001A3B4D"/>
    <w:rsid w:val="001A3B68"/>
    <w:rsid w:val="001A3CCC"/>
    <w:rsid w:val="001A4045"/>
    <w:rsid w:val="001A40CF"/>
    <w:rsid w:val="001A4877"/>
    <w:rsid w:val="001A4A0B"/>
    <w:rsid w:val="001A4EBF"/>
    <w:rsid w:val="001A52A6"/>
    <w:rsid w:val="001A5496"/>
    <w:rsid w:val="001A5595"/>
    <w:rsid w:val="001A55F7"/>
    <w:rsid w:val="001A570C"/>
    <w:rsid w:val="001A57B9"/>
    <w:rsid w:val="001A5FC1"/>
    <w:rsid w:val="001A5FF0"/>
    <w:rsid w:val="001A62AF"/>
    <w:rsid w:val="001A63B1"/>
    <w:rsid w:val="001A658A"/>
    <w:rsid w:val="001A6701"/>
    <w:rsid w:val="001A6762"/>
    <w:rsid w:val="001A6862"/>
    <w:rsid w:val="001A68CC"/>
    <w:rsid w:val="001A6996"/>
    <w:rsid w:val="001A6BD3"/>
    <w:rsid w:val="001A6D7F"/>
    <w:rsid w:val="001A6F08"/>
    <w:rsid w:val="001A7040"/>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B40"/>
    <w:rsid w:val="001B0D86"/>
    <w:rsid w:val="001B0F08"/>
    <w:rsid w:val="001B0FC5"/>
    <w:rsid w:val="001B106C"/>
    <w:rsid w:val="001B1142"/>
    <w:rsid w:val="001B11B3"/>
    <w:rsid w:val="001B11C4"/>
    <w:rsid w:val="001B1C0B"/>
    <w:rsid w:val="001B1D06"/>
    <w:rsid w:val="001B1F85"/>
    <w:rsid w:val="001B2015"/>
    <w:rsid w:val="001B2049"/>
    <w:rsid w:val="001B2067"/>
    <w:rsid w:val="001B2322"/>
    <w:rsid w:val="001B28F9"/>
    <w:rsid w:val="001B2A06"/>
    <w:rsid w:val="001B2D3E"/>
    <w:rsid w:val="001B2EB9"/>
    <w:rsid w:val="001B2FD0"/>
    <w:rsid w:val="001B302C"/>
    <w:rsid w:val="001B30FE"/>
    <w:rsid w:val="001B3159"/>
    <w:rsid w:val="001B3793"/>
    <w:rsid w:val="001B38ED"/>
    <w:rsid w:val="001B39CE"/>
    <w:rsid w:val="001B39DF"/>
    <w:rsid w:val="001B3A5C"/>
    <w:rsid w:val="001B3B2F"/>
    <w:rsid w:val="001B3B98"/>
    <w:rsid w:val="001B3BBA"/>
    <w:rsid w:val="001B3EF9"/>
    <w:rsid w:val="001B40F1"/>
    <w:rsid w:val="001B43B1"/>
    <w:rsid w:val="001B4499"/>
    <w:rsid w:val="001B47AF"/>
    <w:rsid w:val="001B49F0"/>
    <w:rsid w:val="001B4D9F"/>
    <w:rsid w:val="001B504D"/>
    <w:rsid w:val="001B5307"/>
    <w:rsid w:val="001B5397"/>
    <w:rsid w:val="001B53EE"/>
    <w:rsid w:val="001B56F4"/>
    <w:rsid w:val="001B5918"/>
    <w:rsid w:val="001B5BA3"/>
    <w:rsid w:val="001B5CD4"/>
    <w:rsid w:val="001B64C1"/>
    <w:rsid w:val="001B6C13"/>
    <w:rsid w:val="001B6F07"/>
    <w:rsid w:val="001B7015"/>
    <w:rsid w:val="001B702C"/>
    <w:rsid w:val="001B732E"/>
    <w:rsid w:val="001B73F3"/>
    <w:rsid w:val="001B741C"/>
    <w:rsid w:val="001B76E6"/>
    <w:rsid w:val="001B7D86"/>
    <w:rsid w:val="001B7DF0"/>
    <w:rsid w:val="001B7E75"/>
    <w:rsid w:val="001B7E7E"/>
    <w:rsid w:val="001C00DF"/>
    <w:rsid w:val="001C010E"/>
    <w:rsid w:val="001C0191"/>
    <w:rsid w:val="001C029F"/>
    <w:rsid w:val="001C0850"/>
    <w:rsid w:val="001C0AB3"/>
    <w:rsid w:val="001C1461"/>
    <w:rsid w:val="001C167B"/>
    <w:rsid w:val="001C172A"/>
    <w:rsid w:val="001C1A12"/>
    <w:rsid w:val="001C1A17"/>
    <w:rsid w:val="001C1AE9"/>
    <w:rsid w:val="001C1B8B"/>
    <w:rsid w:val="001C1E53"/>
    <w:rsid w:val="001C2123"/>
    <w:rsid w:val="001C2145"/>
    <w:rsid w:val="001C255E"/>
    <w:rsid w:val="001C2695"/>
    <w:rsid w:val="001C29BE"/>
    <w:rsid w:val="001C2DCD"/>
    <w:rsid w:val="001C2E41"/>
    <w:rsid w:val="001C2ED2"/>
    <w:rsid w:val="001C2F65"/>
    <w:rsid w:val="001C326E"/>
    <w:rsid w:val="001C33D5"/>
    <w:rsid w:val="001C34AE"/>
    <w:rsid w:val="001C34EC"/>
    <w:rsid w:val="001C3701"/>
    <w:rsid w:val="001C38DF"/>
    <w:rsid w:val="001C3982"/>
    <w:rsid w:val="001C3EBD"/>
    <w:rsid w:val="001C41EB"/>
    <w:rsid w:val="001C4429"/>
    <w:rsid w:val="001C47A0"/>
    <w:rsid w:val="001C47E6"/>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8B9"/>
    <w:rsid w:val="001C7909"/>
    <w:rsid w:val="001C7A23"/>
    <w:rsid w:val="001C7A82"/>
    <w:rsid w:val="001C7AE7"/>
    <w:rsid w:val="001C7C91"/>
    <w:rsid w:val="001C7E5E"/>
    <w:rsid w:val="001C7F13"/>
    <w:rsid w:val="001C7F80"/>
    <w:rsid w:val="001D021A"/>
    <w:rsid w:val="001D03AD"/>
    <w:rsid w:val="001D046C"/>
    <w:rsid w:val="001D0528"/>
    <w:rsid w:val="001D057E"/>
    <w:rsid w:val="001D0778"/>
    <w:rsid w:val="001D07CF"/>
    <w:rsid w:val="001D0985"/>
    <w:rsid w:val="001D0BEB"/>
    <w:rsid w:val="001D0C91"/>
    <w:rsid w:val="001D112C"/>
    <w:rsid w:val="001D165E"/>
    <w:rsid w:val="001D1689"/>
    <w:rsid w:val="001D1980"/>
    <w:rsid w:val="001D1F85"/>
    <w:rsid w:val="001D27F7"/>
    <w:rsid w:val="001D2889"/>
    <w:rsid w:val="001D28C9"/>
    <w:rsid w:val="001D2936"/>
    <w:rsid w:val="001D2BF6"/>
    <w:rsid w:val="001D2C8D"/>
    <w:rsid w:val="001D2D30"/>
    <w:rsid w:val="001D309E"/>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13"/>
    <w:rsid w:val="001D55D6"/>
    <w:rsid w:val="001D5897"/>
    <w:rsid w:val="001D58A8"/>
    <w:rsid w:val="001D5E02"/>
    <w:rsid w:val="001D6001"/>
    <w:rsid w:val="001D606E"/>
    <w:rsid w:val="001D614E"/>
    <w:rsid w:val="001D6399"/>
    <w:rsid w:val="001D66FE"/>
    <w:rsid w:val="001D697D"/>
    <w:rsid w:val="001D6988"/>
    <w:rsid w:val="001D7003"/>
    <w:rsid w:val="001D709A"/>
    <w:rsid w:val="001D73D2"/>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6D"/>
    <w:rsid w:val="001E2280"/>
    <w:rsid w:val="001E2310"/>
    <w:rsid w:val="001E280C"/>
    <w:rsid w:val="001E2D70"/>
    <w:rsid w:val="001E306C"/>
    <w:rsid w:val="001E321E"/>
    <w:rsid w:val="001E3228"/>
    <w:rsid w:val="001E3354"/>
    <w:rsid w:val="001E34AA"/>
    <w:rsid w:val="001E34EF"/>
    <w:rsid w:val="001E3638"/>
    <w:rsid w:val="001E3764"/>
    <w:rsid w:val="001E381D"/>
    <w:rsid w:val="001E3875"/>
    <w:rsid w:val="001E3AE0"/>
    <w:rsid w:val="001E3B66"/>
    <w:rsid w:val="001E3C02"/>
    <w:rsid w:val="001E3D80"/>
    <w:rsid w:val="001E3DFC"/>
    <w:rsid w:val="001E4118"/>
    <w:rsid w:val="001E437E"/>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2AC"/>
    <w:rsid w:val="001F0615"/>
    <w:rsid w:val="001F07D6"/>
    <w:rsid w:val="001F07F7"/>
    <w:rsid w:val="001F08D7"/>
    <w:rsid w:val="001F0958"/>
    <w:rsid w:val="001F0C50"/>
    <w:rsid w:val="001F0D10"/>
    <w:rsid w:val="001F126A"/>
    <w:rsid w:val="001F137C"/>
    <w:rsid w:val="001F17AB"/>
    <w:rsid w:val="001F1B18"/>
    <w:rsid w:val="001F1D26"/>
    <w:rsid w:val="001F1E70"/>
    <w:rsid w:val="001F2402"/>
    <w:rsid w:val="001F28AA"/>
    <w:rsid w:val="001F2AB7"/>
    <w:rsid w:val="001F3246"/>
    <w:rsid w:val="001F3530"/>
    <w:rsid w:val="001F3673"/>
    <w:rsid w:val="001F36AF"/>
    <w:rsid w:val="001F385D"/>
    <w:rsid w:val="001F38D7"/>
    <w:rsid w:val="001F3C79"/>
    <w:rsid w:val="001F3D72"/>
    <w:rsid w:val="001F3FA4"/>
    <w:rsid w:val="001F3FAF"/>
    <w:rsid w:val="001F4141"/>
    <w:rsid w:val="001F437A"/>
    <w:rsid w:val="001F4382"/>
    <w:rsid w:val="001F443D"/>
    <w:rsid w:val="001F446B"/>
    <w:rsid w:val="001F448E"/>
    <w:rsid w:val="001F4559"/>
    <w:rsid w:val="001F5191"/>
    <w:rsid w:val="001F5251"/>
    <w:rsid w:val="001F52D4"/>
    <w:rsid w:val="001F5318"/>
    <w:rsid w:val="001F536F"/>
    <w:rsid w:val="001F5482"/>
    <w:rsid w:val="001F5484"/>
    <w:rsid w:val="001F584C"/>
    <w:rsid w:val="001F5D74"/>
    <w:rsid w:val="001F6084"/>
    <w:rsid w:val="001F61FB"/>
    <w:rsid w:val="001F6421"/>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5B4"/>
    <w:rsid w:val="00202B06"/>
    <w:rsid w:val="00202B44"/>
    <w:rsid w:val="00203118"/>
    <w:rsid w:val="00203153"/>
    <w:rsid w:val="002033CB"/>
    <w:rsid w:val="002034C2"/>
    <w:rsid w:val="00203726"/>
    <w:rsid w:val="00203A4A"/>
    <w:rsid w:val="00203BF8"/>
    <w:rsid w:val="00203DAD"/>
    <w:rsid w:val="00203E7F"/>
    <w:rsid w:val="00204574"/>
    <w:rsid w:val="00204728"/>
    <w:rsid w:val="00204761"/>
    <w:rsid w:val="002047C4"/>
    <w:rsid w:val="00204865"/>
    <w:rsid w:val="00204D86"/>
    <w:rsid w:val="00204E72"/>
    <w:rsid w:val="00204FA5"/>
    <w:rsid w:val="002057C1"/>
    <w:rsid w:val="00205CED"/>
    <w:rsid w:val="00205D16"/>
    <w:rsid w:val="00205F4E"/>
    <w:rsid w:val="00206410"/>
    <w:rsid w:val="00206722"/>
    <w:rsid w:val="002067CB"/>
    <w:rsid w:val="00206A04"/>
    <w:rsid w:val="00206BE4"/>
    <w:rsid w:val="00206D3E"/>
    <w:rsid w:val="00206D5B"/>
    <w:rsid w:val="002074D2"/>
    <w:rsid w:val="0020761E"/>
    <w:rsid w:val="002077D3"/>
    <w:rsid w:val="002078ED"/>
    <w:rsid w:val="00207913"/>
    <w:rsid w:val="002079D2"/>
    <w:rsid w:val="00207CF8"/>
    <w:rsid w:val="00207E99"/>
    <w:rsid w:val="00207F97"/>
    <w:rsid w:val="002105B2"/>
    <w:rsid w:val="002105C3"/>
    <w:rsid w:val="0021063C"/>
    <w:rsid w:val="0021085B"/>
    <w:rsid w:val="00210A3A"/>
    <w:rsid w:val="00210C07"/>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9C6"/>
    <w:rsid w:val="00213B0D"/>
    <w:rsid w:val="00213B31"/>
    <w:rsid w:val="00213EC0"/>
    <w:rsid w:val="00213EE5"/>
    <w:rsid w:val="00213F17"/>
    <w:rsid w:val="00214137"/>
    <w:rsid w:val="002141E2"/>
    <w:rsid w:val="00214368"/>
    <w:rsid w:val="00214B2B"/>
    <w:rsid w:val="00214D0B"/>
    <w:rsid w:val="00214F86"/>
    <w:rsid w:val="00214FA6"/>
    <w:rsid w:val="0021509C"/>
    <w:rsid w:val="002152AD"/>
    <w:rsid w:val="00215476"/>
    <w:rsid w:val="0021554A"/>
    <w:rsid w:val="0021618E"/>
    <w:rsid w:val="002161B4"/>
    <w:rsid w:val="00216642"/>
    <w:rsid w:val="002166AF"/>
    <w:rsid w:val="002167D9"/>
    <w:rsid w:val="00216A22"/>
    <w:rsid w:val="00216EEC"/>
    <w:rsid w:val="00216F78"/>
    <w:rsid w:val="00217445"/>
    <w:rsid w:val="0021798F"/>
    <w:rsid w:val="00217C37"/>
    <w:rsid w:val="00217CB8"/>
    <w:rsid w:val="00217E13"/>
    <w:rsid w:val="00217E62"/>
    <w:rsid w:val="00217EA8"/>
    <w:rsid w:val="0022004D"/>
    <w:rsid w:val="002202F6"/>
    <w:rsid w:val="002202FE"/>
    <w:rsid w:val="00220349"/>
    <w:rsid w:val="00220562"/>
    <w:rsid w:val="0022057E"/>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6AC"/>
    <w:rsid w:val="00221869"/>
    <w:rsid w:val="00221992"/>
    <w:rsid w:val="00221D2A"/>
    <w:rsid w:val="00221D31"/>
    <w:rsid w:val="00221E82"/>
    <w:rsid w:val="00221EA7"/>
    <w:rsid w:val="00222202"/>
    <w:rsid w:val="00222614"/>
    <w:rsid w:val="00222706"/>
    <w:rsid w:val="00222A23"/>
    <w:rsid w:val="00222B6A"/>
    <w:rsid w:val="00222B97"/>
    <w:rsid w:val="00222CE5"/>
    <w:rsid w:val="00223224"/>
    <w:rsid w:val="0022334D"/>
    <w:rsid w:val="002239ED"/>
    <w:rsid w:val="002239F5"/>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84"/>
    <w:rsid w:val="002253C2"/>
    <w:rsid w:val="0022558D"/>
    <w:rsid w:val="0022562C"/>
    <w:rsid w:val="002256A6"/>
    <w:rsid w:val="00225A87"/>
    <w:rsid w:val="00225CC1"/>
    <w:rsid w:val="00225D5A"/>
    <w:rsid w:val="00225D96"/>
    <w:rsid w:val="00225DBE"/>
    <w:rsid w:val="00226149"/>
    <w:rsid w:val="0022619D"/>
    <w:rsid w:val="00226217"/>
    <w:rsid w:val="0022656B"/>
    <w:rsid w:val="00226831"/>
    <w:rsid w:val="00226BA4"/>
    <w:rsid w:val="00226F38"/>
    <w:rsid w:val="00226FD1"/>
    <w:rsid w:val="0022737E"/>
    <w:rsid w:val="00227679"/>
    <w:rsid w:val="002278C1"/>
    <w:rsid w:val="00227B21"/>
    <w:rsid w:val="0023049E"/>
    <w:rsid w:val="00230A63"/>
    <w:rsid w:val="00230AEB"/>
    <w:rsid w:val="00230B42"/>
    <w:rsid w:val="00230CB0"/>
    <w:rsid w:val="00230CFB"/>
    <w:rsid w:val="00230EA6"/>
    <w:rsid w:val="0023108B"/>
    <w:rsid w:val="0023109B"/>
    <w:rsid w:val="002311C8"/>
    <w:rsid w:val="002313D6"/>
    <w:rsid w:val="0023145D"/>
    <w:rsid w:val="00231658"/>
    <w:rsid w:val="002316B7"/>
    <w:rsid w:val="0023181F"/>
    <w:rsid w:val="00231E6F"/>
    <w:rsid w:val="00231F45"/>
    <w:rsid w:val="00231F9E"/>
    <w:rsid w:val="00231FFD"/>
    <w:rsid w:val="00232100"/>
    <w:rsid w:val="0023249D"/>
    <w:rsid w:val="002324FB"/>
    <w:rsid w:val="0023250D"/>
    <w:rsid w:val="00232793"/>
    <w:rsid w:val="002327DD"/>
    <w:rsid w:val="002327FF"/>
    <w:rsid w:val="0023295E"/>
    <w:rsid w:val="00232AC0"/>
    <w:rsid w:val="00232EAF"/>
    <w:rsid w:val="00233017"/>
    <w:rsid w:val="0023302F"/>
    <w:rsid w:val="002332CE"/>
    <w:rsid w:val="00233389"/>
    <w:rsid w:val="002334AF"/>
    <w:rsid w:val="002335F7"/>
    <w:rsid w:val="0023385B"/>
    <w:rsid w:val="002339B5"/>
    <w:rsid w:val="002339DD"/>
    <w:rsid w:val="00233BE4"/>
    <w:rsid w:val="00233CFD"/>
    <w:rsid w:val="00233DA6"/>
    <w:rsid w:val="00234295"/>
    <w:rsid w:val="00234569"/>
    <w:rsid w:val="00234AA6"/>
    <w:rsid w:val="00234AED"/>
    <w:rsid w:val="00234B77"/>
    <w:rsid w:val="00234BF1"/>
    <w:rsid w:val="002351F1"/>
    <w:rsid w:val="00235450"/>
    <w:rsid w:val="002355E5"/>
    <w:rsid w:val="00235640"/>
    <w:rsid w:val="00235BDF"/>
    <w:rsid w:val="00235BEE"/>
    <w:rsid w:val="00235DA2"/>
    <w:rsid w:val="00235FCF"/>
    <w:rsid w:val="00236642"/>
    <w:rsid w:val="00236689"/>
    <w:rsid w:val="00236765"/>
    <w:rsid w:val="00236AC5"/>
    <w:rsid w:val="00236BA3"/>
    <w:rsid w:val="00236C96"/>
    <w:rsid w:val="00237125"/>
    <w:rsid w:val="002371F0"/>
    <w:rsid w:val="00237712"/>
    <w:rsid w:val="00237B33"/>
    <w:rsid w:val="00237C8B"/>
    <w:rsid w:val="00237DF5"/>
    <w:rsid w:val="00237E9C"/>
    <w:rsid w:val="00240071"/>
    <w:rsid w:val="00240426"/>
    <w:rsid w:val="00240561"/>
    <w:rsid w:val="00240852"/>
    <w:rsid w:val="00240AC8"/>
    <w:rsid w:val="00240D6D"/>
    <w:rsid w:val="00240F8A"/>
    <w:rsid w:val="0024101A"/>
    <w:rsid w:val="002412CB"/>
    <w:rsid w:val="002412F8"/>
    <w:rsid w:val="00241447"/>
    <w:rsid w:val="0024168E"/>
    <w:rsid w:val="00241690"/>
    <w:rsid w:val="0024172C"/>
    <w:rsid w:val="00241803"/>
    <w:rsid w:val="00241A6C"/>
    <w:rsid w:val="00241B38"/>
    <w:rsid w:val="00241C11"/>
    <w:rsid w:val="00241EB1"/>
    <w:rsid w:val="00241FBF"/>
    <w:rsid w:val="002421DA"/>
    <w:rsid w:val="00242324"/>
    <w:rsid w:val="00242A12"/>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A0"/>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7B8"/>
    <w:rsid w:val="00245972"/>
    <w:rsid w:val="002460FE"/>
    <w:rsid w:val="00246133"/>
    <w:rsid w:val="0024623F"/>
    <w:rsid w:val="0024660A"/>
    <w:rsid w:val="00246812"/>
    <w:rsid w:val="002469F5"/>
    <w:rsid w:val="00246BC6"/>
    <w:rsid w:val="00246C6D"/>
    <w:rsid w:val="00246D51"/>
    <w:rsid w:val="00246E3E"/>
    <w:rsid w:val="00246FBC"/>
    <w:rsid w:val="0024701C"/>
    <w:rsid w:val="0024706D"/>
    <w:rsid w:val="00247A52"/>
    <w:rsid w:val="00247C47"/>
    <w:rsid w:val="00247CBF"/>
    <w:rsid w:val="00247ED7"/>
    <w:rsid w:val="00250042"/>
    <w:rsid w:val="00250065"/>
    <w:rsid w:val="00250104"/>
    <w:rsid w:val="00250150"/>
    <w:rsid w:val="00250499"/>
    <w:rsid w:val="002504BF"/>
    <w:rsid w:val="00250604"/>
    <w:rsid w:val="0025066C"/>
    <w:rsid w:val="00250861"/>
    <w:rsid w:val="002509A9"/>
    <w:rsid w:val="0025129E"/>
    <w:rsid w:val="00251429"/>
    <w:rsid w:val="002515FE"/>
    <w:rsid w:val="0025169F"/>
    <w:rsid w:val="00251844"/>
    <w:rsid w:val="002518B2"/>
    <w:rsid w:val="00251A07"/>
    <w:rsid w:val="00251B30"/>
    <w:rsid w:val="00251D5A"/>
    <w:rsid w:val="00251FDC"/>
    <w:rsid w:val="002522D3"/>
    <w:rsid w:val="0025234D"/>
    <w:rsid w:val="00252427"/>
    <w:rsid w:val="002525D5"/>
    <w:rsid w:val="002525FE"/>
    <w:rsid w:val="002527A2"/>
    <w:rsid w:val="002527B3"/>
    <w:rsid w:val="0025298E"/>
    <w:rsid w:val="00252DF4"/>
    <w:rsid w:val="00252E4C"/>
    <w:rsid w:val="00252F1B"/>
    <w:rsid w:val="00252F1D"/>
    <w:rsid w:val="002531AA"/>
    <w:rsid w:val="0025371C"/>
    <w:rsid w:val="0025374F"/>
    <w:rsid w:val="002539A8"/>
    <w:rsid w:val="00253AA7"/>
    <w:rsid w:val="00253CA5"/>
    <w:rsid w:val="00253F9B"/>
    <w:rsid w:val="002540B5"/>
    <w:rsid w:val="002541F3"/>
    <w:rsid w:val="002543A7"/>
    <w:rsid w:val="00254481"/>
    <w:rsid w:val="00254AEF"/>
    <w:rsid w:val="00254DFD"/>
    <w:rsid w:val="00254E22"/>
    <w:rsid w:val="00254EFD"/>
    <w:rsid w:val="0025510B"/>
    <w:rsid w:val="002553A1"/>
    <w:rsid w:val="00255507"/>
    <w:rsid w:val="002557F8"/>
    <w:rsid w:val="002558CE"/>
    <w:rsid w:val="00255909"/>
    <w:rsid w:val="00255AFF"/>
    <w:rsid w:val="00255C30"/>
    <w:rsid w:val="00255DB7"/>
    <w:rsid w:val="00256234"/>
    <w:rsid w:val="00256587"/>
    <w:rsid w:val="002565FB"/>
    <w:rsid w:val="0025662A"/>
    <w:rsid w:val="00256B21"/>
    <w:rsid w:val="00256DC3"/>
    <w:rsid w:val="00256FCA"/>
    <w:rsid w:val="002570CA"/>
    <w:rsid w:val="0025735E"/>
    <w:rsid w:val="00257615"/>
    <w:rsid w:val="0025784D"/>
    <w:rsid w:val="0025796D"/>
    <w:rsid w:val="002579E9"/>
    <w:rsid w:val="00257BBD"/>
    <w:rsid w:val="00257DE9"/>
    <w:rsid w:val="00257EAF"/>
    <w:rsid w:val="00257EC6"/>
    <w:rsid w:val="00257ED6"/>
    <w:rsid w:val="002601B4"/>
    <w:rsid w:val="00260201"/>
    <w:rsid w:val="0026037B"/>
    <w:rsid w:val="002604FD"/>
    <w:rsid w:val="002605E4"/>
    <w:rsid w:val="00260C7F"/>
    <w:rsid w:val="00260CD6"/>
    <w:rsid w:val="0026110D"/>
    <w:rsid w:val="002615F1"/>
    <w:rsid w:val="00261A56"/>
    <w:rsid w:val="00261B80"/>
    <w:rsid w:val="00261DE7"/>
    <w:rsid w:val="002622C9"/>
    <w:rsid w:val="002622ED"/>
    <w:rsid w:val="00262352"/>
    <w:rsid w:val="002623EE"/>
    <w:rsid w:val="00262400"/>
    <w:rsid w:val="002628C6"/>
    <w:rsid w:val="0026296A"/>
    <w:rsid w:val="00262A15"/>
    <w:rsid w:val="00262A99"/>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0FD"/>
    <w:rsid w:val="002654F2"/>
    <w:rsid w:val="00265791"/>
    <w:rsid w:val="00265EFB"/>
    <w:rsid w:val="00266784"/>
    <w:rsid w:val="002667BA"/>
    <w:rsid w:val="00266A1C"/>
    <w:rsid w:val="00266BF6"/>
    <w:rsid w:val="00267022"/>
    <w:rsid w:val="0026712C"/>
    <w:rsid w:val="00267217"/>
    <w:rsid w:val="00267471"/>
    <w:rsid w:val="002674BB"/>
    <w:rsid w:val="002675BA"/>
    <w:rsid w:val="00267698"/>
    <w:rsid w:val="0026796B"/>
    <w:rsid w:val="00267E37"/>
    <w:rsid w:val="00267E98"/>
    <w:rsid w:val="00270039"/>
    <w:rsid w:val="002701E5"/>
    <w:rsid w:val="00270331"/>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1F4E"/>
    <w:rsid w:val="002720D3"/>
    <w:rsid w:val="0027225F"/>
    <w:rsid w:val="00272347"/>
    <w:rsid w:val="00272537"/>
    <w:rsid w:val="00272769"/>
    <w:rsid w:val="00272E7F"/>
    <w:rsid w:val="00273108"/>
    <w:rsid w:val="002731C8"/>
    <w:rsid w:val="0027386E"/>
    <w:rsid w:val="002739CA"/>
    <w:rsid w:val="002739ED"/>
    <w:rsid w:val="00273A94"/>
    <w:rsid w:val="00273E7D"/>
    <w:rsid w:val="00274416"/>
    <w:rsid w:val="002745F8"/>
    <w:rsid w:val="002746C7"/>
    <w:rsid w:val="00274816"/>
    <w:rsid w:val="002748DF"/>
    <w:rsid w:val="0027490A"/>
    <w:rsid w:val="00274969"/>
    <w:rsid w:val="00274991"/>
    <w:rsid w:val="00274A08"/>
    <w:rsid w:val="00274B8B"/>
    <w:rsid w:val="00274C67"/>
    <w:rsid w:val="00274FAE"/>
    <w:rsid w:val="002751EC"/>
    <w:rsid w:val="00275316"/>
    <w:rsid w:val="002753AF"/>
    <w:rsid w:val="002755A1"/>
    <w:rsid w:val="002756B4"/>
    <w:rsid w:val="002758A0"/>
    <w:rsid w:val="00275BC6"/>
    <w:rsid w:val="00275C3F"/>
    <w:rsid w:val="00275D51"/>
    <w:rsid w:val="00275DF0"/>
    <w:rsid w:val="00276129"/>
    <w:rsid w:val="00276239"/>
    <w:rsid w:val="00276311"/>
    <w:rsid w:val="00276469"/>
    <w:rsid w:val="0027647D"/>
    <w:rsid w:val="002764C9"/>
    <w:rsid w:val="002764F5"/>
    <w:rsid w:val="00276556"/>
    <w:rsid w:val="00276631"/>
    <w:rsid w:val="002766F9"/>
    <w:rsid w:val="00276761"/>
    <w:rsid w:val="002769A3"/>
    <w:rsid w:val="00276AEA"/>
    <w:rsid w:val="00276B19"/>
    <w:rsid w:val="00276B43"/>
    <w:rsid w:val="00276B8D"/>
    <w:rsid w:val="00276DA3"/>
    <w:rsid w:val="00276E70"/>
    <w:rsid w:val="00277058"/>
    <w:rsid w:val="0027711C"/>
    <w:rsid w:val="00277147"/>
    <w:rsid w:val="002771C6"/>
    <w:rsid w:val="002772BA"/>
    <w:rsid w:val="00277401"/>
    <w:rsid w:val="0027742A"/>
    <w:rsid w:val="002775CA"/>
    <w:rsid w:val="0027768E"/>
    <w:rsid w:val="002776D8"/>
    <w:rsid w:val="002777C0"/>
    <w:rsid w:val="002777D6"/>
    <w:rsid w:val="00277856"/>
    <w:rsid w:val="00277AC2"/>
    <w:rsid w:val="00277E50"/>
    <w:rsid w:val="00277F3D"/>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8C2"/>
    <w:rsid w:val="00282F4A"/>
    <w:rsid w:val="00283031"/>
    <w:rsid w:val="002832A6"/>
    <w:rsid w:val="002834E4"/>
    <w:rsid w:val="002837B1"/>
    <w:rsid w:val="00283AA1"/>
    <w:rsid w:val="00283C48"/>
    <w:rsid w:val="00283D5E"/>
    <w:rsid w:val="00283E2E"/>
    <w:rsid w:val="00283ED2"/>
    <w:rsid w:val="00283FC0"/>
    <w:rsid w:val="002846A1"/>
    <w:rsid w:val="00284859"/>
    <w:rsid w:val="00284905"/>
    <w:rsid w:val="00284C10"/>
    <w:rsid w:val="00284F69"/>
    <w:rsid w:val="00285306"/>
    <w:rsid w:val="00285314"/>
    <w:rsid w:val="002856BE"/>
    <w:rsid w:val="00285712"/>
    <w:rsid w:val="0028577F"/>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38B"/>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BF3"/>
    <w:rsid w:val="00290CC0"/>
    <w:rsid w:val="002911AB"/>
    <w:rsid w:val="00291282"/>
    <w:rsid w:val="00291411"/>
    <w:rsid w:val="0029160D"/>
    <w:rsid w:val="002917B6"/>
    <w:rsid w:val="002917BF"/>
    <w:rsid w:val="002918EC"/>
    <w:rsid w:val="00291B28"/>
    <w:rsid w:val="00291B63"/>
    <w:rsid w:val="00291C4E"/>
    <w:rsid w:val="00291D08"/>
    <w:rsid w:val="00291FB1"/>
    <w:rsid w:val="00292078"/>
    <w:rsid w:val="00292359"/>
    <w:rsid w:val="002923D5"/>
    <w:rsid w:val="00292ACA"/>
    <w:rsid w:val="00292C09"/>
    <w:rsid w:val="00292D49"/>
    <w:rsid w:val="00292E74"/>
    <w:rsid w:val="00293012"/>
    <w:rsid w:val="00293497"/>
    <w:rsid w:val="00293919"/>
    <w:rsid w:val="002939AF"/>
    <w:rsid w:val="00293BA4"/>
    <w:rsid w:val="00293BCF"/>
    <w:rsid w:val="00293D57"/>
    <w:rsid w:val="00293F96"/>
    <w:rsid w:val="0029467E"/>
    <w:rsid w:val="00294B02"/>
    <w:rsid w:val="00294B71"/>
    <w:rsid w:val="00294EEB"/>
    <w:rsid w:val="0029533F"/>
    <w:rsid w:val="0029552E"/>
    <w:rsid w:val="00295708"/>
    <w:rsid w:val="002957E5"/>
    <w:rsid w:val="00295929"/>
    <w:rsid w:val="00295B27"/>
    <w:rsid w:val="00295FC1"/>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6B2"/>
    <w:rsid w:val="002A09EF"/>
    <w:rsid w:val="002A0D46"/>
    <w:rsid w:val="002A0DD7"/>
    <w:rsid w:val="002A0E44"/>
    <w:rsid w:val="002A0E83"/>
    <w:rsid w:val="002A0FB4"/>
    <w:rsid w:val="002A1511"/>
    <w:rsid w:val="002A158A"/>
    <w:rsid w:val="002A1691"/>
    <w:rsid w:val="002A17AF"/>
    <w:rsid w:val="002A1875"/>
    <w:rsid w:val="002A19C7"/>
    <w:rsid w:val="002A1DEE"/>
    <w:rsid w:val="002A1FE9"/>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75F"/>
    <w:rsid w:val="002A4829"/>
    <w:rsid w:val="002A4847"/>
    <w:rsid w:val="002A4DA4"/>
    <w:rsid w:val="002A524C"/>
    <w:rsid w:val="002A5749"/>
    <w:rsid w:val="002A5A81"/>
    <w:rsid w:val="002A5B18"/>
    <w:rsid w:val="002A5D23"/>
    <w:rsid w:val="002A5D36"/>
    <w:rsid w:val="002A5ECF"/>
    <w:rsid w:val="002A6032"/>
    <w:rsid w:val="002A60AE"/>
    <w:rsid w:val="002A6390"/>
    <w:rsid w:val="002A6B4C"/>
    <w:rsid w:val="002A6C81"/>
    <w:rsid w:val="002A6CB1"/>
    <w:rsid w:val="002A6CBC"/>
    <w:rsid w:val="002A6CFE"/>
    <w:rsid w:val="002A71C9"/>
    <w:rsid w:val="002A7544"/>
    <w:rsid w:val="002A77D7"/>
    <w:rsid w:val="002A7A0F"/>
    <w:rsid w:val="002A7B62"/>
    <w:rsid w:val="002A7CF1"/>
    <w:rsid w:val="002A7F5B"/>
    <w:rsid w:val="002B00E2"/>
    <w:rsid w:val="002B02F2"/>
    <w:rsid w:val="002B04FD"/>
    <w:rsid w:val="002B05CF"/>
    <w:rsid w:val="002B0621"/>
    <w:rsid w:val="002B066E"/>
    <w:rsid w:val="002B06F7"/>
    <w:rsid w:val="002B073A"/>
    <w:rsid w:val="002B087D"/>
    <w:rsid w:val="002B0D06"/>
    <w:rsid w:val="002B0FF8"/>
    <w:rsid w:val="002B10A5"/>
    <w:rsid w:val="002B10CA"/>
    <w:rsid w:val="002B1700"/>
    <w:rsid w:val="002B1C7E"/>
    <w:rsid w:val="002B1EAA"/>
    <w:rsid w:val="002B1EF8"/>
    <w:rsid w:val="002B20CC"/>
    <w:rsid w:val="002B211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5C1"/>
    <w:rsid w:val="002B36C4"/>
    <w:rsid w:val="002B37A2"/>
    <w:rsid w:val="002B380B"/>
    <w:rsid w:val="002B389E"/>
    <w:rsid w:val="002B38E4"/>
    <w:rsid w:val="002B3C62"/>
    <w:rsid w:val="002B3E1D"/>
    <w:rsid w:val="002B3E55"/>
    <w:rsid w:val="002B40E6"/>
    <w:rsid w:val="002B41B7"/>
    <w:rsid w:val="002B425C"/>
    <w:rsid w:val="002B4262"/>
    <w:rsid w:val="002B44C1"/>
    <w:rsid w:val="002B45BD"/>
    <w:rsid w:val="002B45DC"/>
    <w:rsid w:val="002B46EB"/>
    <w:rsid w:val="002B4988"/>
    <w:rsid w:val="002B4A39"/>
    <w:rsid w:val="002B4AC8"/>
    <w:rsid w:val="002B4BF5"/>
    <w:rsid w:val="002B4CAF"/>
    <w:rsid w:val="002B4CB5"/>
    <w:rsid w:val="002B4CC2"/>
    <w:rsid w:val="002B4DE1"/>
    <w:rsid w:val="002B502D"/>
    <w:rsid w:val="002B5166"/>
    <w:rsid w:val="002B518F"/>
    <w:rsid w:val="002B531C"/>
    <w:rsid w:val="002B5632"/>
    <w:rsid w:val="002B597F"/>
    <w:rsid w:val="002B59FD"/>
    <w:rsid w:val="002B5D2F"/>
    <w:rsid w:val="002B6164"/>
    <w:rsid w:val="002B6176"/>
    <w:rsid w:val="002B646E"/>
    <w:rsid w:val="002B6520"/>
    <w:rsid w:val="002B67FB"/>
    <w:rsid w:val="002B6876"/>
    <w:rsid w:val="002B6A46"/>
    <w:rsid w:val="002B6AE5"/>
    <w:rsid w:val="002B6C9C"/>
    <w:rsid w:val="002B6D50"/>
    <w:rsid w:val="002B6D6E"/>
    <w:rsid w:val="002B6F8C"/>
    <w:rsid w:val="002B71BE"/>
    <w:rsid w:val="002B7216"/>
    <w:rsid w:val="002B75F9"/>
    <w:rsid w:val="002B7610"/>
    <w:rsid w:val="002B76C6"/>
    <w:rsid w:val="002B779B"/>
    <w:rsid w:val="002B7903"/>
    <w:rsid w:val="002B79C4"/>
    <w:rsid w:val="002B7A47"/>
    <w:rsid w:val="002B7B00"/>
    <w:rsid w:val="002B7B0E"/>
    <w:rsid w:val="002B7BF3"/>
    <w:rsid w:val="002B7C9A"/>
    <w:rsid w:val="002B7CFD"/>
    <w:rsid w:val="002B7F68"/>
    <w:rsid w:val="002C0062"/>
    <w:rsid w:val="002C00EE"/>
    <w:rsid w:val="002C02E5"/>
    <w:rsid w:val="002C067A"/>
    <w:rsid w:val="002C0957"/>
    <w:rsid w:val="002C09AB"/>
    <w:rsid w:val="002C0BC7"/>
    <w:rsid w:val="002C0C93"/>
    <w:rsid w:val="002C0D61"/>
    <w:rsid w:val="002C0DAA"/>
    <w:rsid w:val="002C0EB8"/>
    <w:rsid w:val="002C0EF3"/>
    <w:rsid w:val="002C12E0"/>
    <w:rsid w:val="002C1363"/>
    <w:rsid w:val="002C1515"/>
    <w:rsid w:val="002C191E"/>
    <w:rsid w:val="002C234D"/>
    <w:rsid w:val="002C26A1"/>
    <w:rsid w:val="002C28A2"/>
    <w:rsid w:val="002C29BA"/>
    <w:rsid w:val="002C2E58"/>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57"/>
    <w:rsid w:val="002C50AE"/>
    <w:rsid w:val="002C5272"/>
    <w:rsid w:val="002C52B0"/>
    <w:rsid w:val="002C52BB"/>
    <w:rsid w:val="002C5322"/>
    <w:rsid w:val="002C53C5"/>
    <w:rsid w:val="002C5696"/>
    <w:rsid w:val="002C56DB"/>
    <w:rsid w:val="002C580F"/>
    <w:rsid w:val="002C5832"/>
    <w:rsid w:val="002C5845"/>
    <w:rsid w:val="002C5A4C"/>
    <w:rsid w:val="002C5D7C"/>
    <w:rsid w:val="002C5F25"/>
    <w:rsid w:val="002C5F4A"/>
    <w:rsid w:val="002C62F5"/>
    <w:rsid w:val="002C6396"/>
    <w:rsid w:val="002C6639"/>
    <w:rsid w:val="002C6AE7"/>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0F"/>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3AE"/>
    <w:rsid w:val="002D29D1"/>
    <w:rsid w:val="002D2ADC"/>
    <w:rsid w:val="002D2B96"/>
    <w:rsid w:val="002D2C1E"/>
    <w:rsid w:val="002D2D9F"/>
    <w:rsid w:val="002D2ECA"/>
    <w:rsid w:val="002D2EDC"/>
    <w:rsid w:val="002D32D9"/>
    <w:rsid w:val="002D3492"/>
    <w:rsid w:val="002D34C5"/>
    <w:rsid w:val="002D35AE"/>
    <w:rsid w:val="002D35E1"/>
    <w:rsid w:val="002D3617"/>
    <w:rsid w:val="002D36E6"/>
    <w:rsid w:val="002D38EE"/>
    <w:rsid w:val="002D3A4F"/>
    <w:rsid w:val="002D3C77"/>
    <w:rsid w:val="002D3D98"/>
    <w:rsid w:val="002D3EC4"/>
    <w:rsid w:val="002D4101"/>
    <w:rsid w:val="002D42B7"/>
    <w:rsid w:val="002D4461"/>
    <w:rsid w:val="002D451D"/>
    <w:rsid w:val="002D480F"/>
    <w:rsid w:val="002D4A67"/>
    <w:rsid w:val="002D4A89"/>
    <w:rsid w:val="002D556A"/>
    <w:rsid w:val="002D5656"/>
    <w:rsid w:val="002D5B33"/>
    <w:rsid w:val="002D5B5C"/>
    <w:rsid w:val="002D5E24"/>
    <w:rsid w:val="002D6234"/>
    <w:rsid w:val="002D6392"/>
    <w:rsid w:val="002D6402"/>
    <w:rsid w:val="002D6554"/>
    <w:rsid w:val="002D66E1"/>
    <w:rsid w:val="002D67DB"/>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2ED8"/>
    <w:rsid w:val="002E397A"/>
    <w:rsid w:val="002E3C7B"/>
    <w:rsid w:val="002E3DDA"/>
    <w:rsid w:val="002E421F"/>
    <w:rsid w:val="002E4257"/>
    <w:rsid w:val="002E4721"/>
    <w:rsid w:val="002E4723"/>
    <w:rsid w:val="002E4E06"/>
    <w:rsid w:val="002E4F75"/>
    <w:rsid w:val="002E51A3"/>
    <w:rsid w:val="002E54A1"/>
    <w:rsid w:val="002E5586"/>
    <w:rsid w:val="002E5875"/>
    <w:rsid w:val="002E58BE"/>
    <w:rsid w:val="002E59B7"/>
    <w:rsid w:val="002E5EA9"/>
    <w:rsid w:val="002E6163"/>
    <w:rsid w:val="002E61AA"/>
    <w:rsid w:val="002E622F"/>
    <w:rsid w:val="002E62DD"/>
    <w:rsid w:val="002E6383"/>
    <w:rsid w:val="002E6675"/>
    <w:rsid w:val="002E6C8A"/>
    <w:rsid w:val="002E6E1F"/>
    <w:rsid w:val="002E6ED1"/>
    <w:rsid w:val="002E6ED6"/>
    <w:rsid w:val="002E6EDD"/>
    <w:rsid w:val="002E70A9"/>
    <w:rsid w:val="002E73BC"/>
    <w:rsid w:val="002E7454"/>
    <w:rsid w:val="002E7602"/>
    <w:rsid w:val="002E7684"/>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19"/>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C02"/>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6C"/>
    <w:rsid w:val="002F7EEB"/>
    <w:rsid w:val="002F7F33"/>
    <w:rsid w:val="002F7F95"/>
    <w:rsid w:val="003003E9"/>
    <w:rsid w:val="00300607"/>
    <w:rsid w:val="00300BFC"/>
    <w:rsid w:val="00300CAB"/>
    <w:rsid w:val="00300D8B"/>
    <w:rsid w:val="00301052"/>
    <w:rsid w:val="00301186"/>
    <w:rsid w:val="003012F3"/>
    <w:rsid w:val="003013BA"/>
    <w:rsid w:val="003013BF"/>
    <w:rsid w:val="003013F3"/>
    <w:rsid w:val="00301620"/>
    <w:rsid w:val="00301668"/>
    <w:rsid w:val="003016CA"/>
    <w:rsid w:val="003016F0"/>
    <w:rsid w:val="003017D5"/>
    <w:rsid w:val="003017ED"/>
    <w:rsid w:val="003018F5"/>
    <w:rsid w:val="00301987"/>
    <w:rsid w:val="00301DC4"/>
    <w:rsid w:val="00301EE9"/>
    <w:rsid w:val="00301FBC"/>
    <w:rsid w:val="003023CD"/>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9"/>
    <w:rsid w:val="00303A1D"/>
    <w:rsid w:val="00303AB7"/>
    <w:rsid w:val="00303E6A"/>
    <w:rsid w:val="00304335"/>
    <w:rsid w:val="0030441F"/>
    <w:rsid w:val="00304454"/>
    <w:rsid w:val="003046D0"/>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9F"/>
    <w:rsid w:val="00306DA5"/>
    <w:rsid w:val="00306E6D"/>
    <w:rsid w:val="00306FC9"/>
    <w:rsid w:val="0030730A"/>
    <w:rsid w:val="0030730E"/>
    <w:rsid w:val="00307877"/>
    <w:rsid w:val="0030792F"/>
    <w:rsid w:val="003079D0"/>
    <w:rsid w:val="00307A94"/>
    <w:rsid w:val="00307C74"/>
    <w:rsid w:val="00307F89"/>
    <w:rsid w:val="0031003F"/>
    <w:rsid w:val="00310638"/>
    <w:rsid w:val="00310741"/>
    <w:rsid w:val="003113D7"/>
    <w:rsid w:val="003114A8"/>
    <w:rsid w:val="003115D1"/>
    <w:rsid w:val="003115F6"/>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1D"/>
    <w:rsid w:val="003130E8"/>
    <w:rsid w:val="003131E3"/>
    <w:rsid w:val="00313241"/>
    <w:rsid w:val="003136ED"/>
    <w:rsid w:val="00313D9D"/>
    <w:rsid w:val="003140A8"/>
    <w:rsid w:val="003141FD"/>
    <w:rsid w:val="00314235"/>
    <w:rsid w:val="00314291"/>
    <w:rsid w:val="0031494D"/>
    <w:rsid w:val="0031495F"/>
    <w:rsid w:val="00314AAF"/>
    <w:rsid w:val="00314D15"/>
    <w:rsid w:val="00314D31"/>
    <w:rsid w:val="00315055"/>
    <w:rsid w:val="0031524C"/>
    <w:rsid w:val="003152F2"/>
    <w:rsid w:val="0031572F"/>
    <w:rsid w:val="00315BEE"/>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20028"/>
    <w:rsid w:val="00320187"/>
    <w:rsid w:val="00320305"/>
    <w:rsid w:val="003203EF"/>
    <w:rsid w:val="00320658"/>
    <w:rsid w:val="003207F3"/>
    <w:rsid w:val="0032088E"/>
    <w:rsid w:val="00320E72"/>
    <w:rsid w:val="003213AC"/>
    <w:rsid w:val="0032187C"/>
    <w:rsid w:val="00321898"/>
    <w:rsid w:val="003219FA"/>
    <w:rsid w:val="00321F0D"/>
    <w:rsid w:val="0032215D"/>
    <w:rsid w:val="00322197"/>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E7"/>
    <w:rsid w:val="003265F3"/>
    <w:rsid w:val="0032669D"/>
    <w:rsid w:val="00326A80"/>
    <w:rsid w:val="00326B2E"/>
    <w:rsid w:val="00326FF0"/>
    <w:rsid w:val="00327291"/>
    <w:rsid w:val="003275CB"/>
    <w:rsid w:val="003278B6"/>
    <w:rsid w:val="00327C96"/>
    <w:rsid w:val="00327F45"/>
    <w:rsid w:val="00327FE1"/>
    <w:rsid w:val="0033004E"/>
    <w:rsid w:val="0033016A"/>
    <w:rsid w:val="003301B9"/>
    <w:rsid w:val="003301C3"/>
    <w:rsid w:val="00330B18"/>
    <w:rsid w:val="00330D71"/>
    <w:rsid w:val="003315DC"/>
    <w:rsid w:val="00331758"/>
    <w:rsid w:val="00331C19"/>
    <w:rsid w:val="00331E09"/>
    <w:rsid w:val="00331F7B"/>
    <w:rsid w:val="00332228"/>
    <w:rsid w:val="003322B4"/>
    <w:rsid w:val="003322E8"/>
    <w:rsid w:val="003324B7"/>
    <w:rsid w:val="003325BF"/>
    <w:rsid w:val="003325EB"/>
    <w:rsid w:val="003325F4"/>
    <w:rsid w:val="003327DF"/>
    <w:rsid w:val="00332908"/>
    <w:rsid w:val="00332A0B"/>
    <w:rsid w:val="00332A47"/>
    <w:rsid w:val="00332B3E"/>
    <w:rsid w:val="00332B90"/>
    <w:rsid w:val="00333157"/>
    <w:rsid w:val="00333502"/>
    <w:rsid w:val="00333541"/>
    <w:rsid w:val="00333553"/>
    <w:rsid w:val="00333681"/>
    <w:rsid w:val="003336C3"/>
    <w:rsid w:val="003338FF"/>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8B3"/>
    <w:rsid w:val="003359B9"/>
    <w:rsid w:val="00335C2F"/>
    <w:rsid w:val="00335C95"/>
    <w:rsid w:val="00335F65"/>
    <w:rsid w:val="00335FF2"/>
    <w:rsid w:val="003361C6"/>
    <w:rsid w:val="003361E6"/>
    <w:rsid w:val="00336526"/>
    <w:rsid w:val="003367F5"/>
    <w:rsid w:val="0033685F"/>
    <w:rsid w:val="00336993"/>
    <w:rsid w:val="00336A49"/>
    <w:rsid w:val="00336A66"/>
    <w:rsid w:val="00336AB3"/>
    <w:rsid w:val="00336BD1"/>
    <w:rsid w:val="00336E3F"/>
    <w:rsid w:val="00336F09"/>
    <w:rsid w:val="00337009"/>
    <w:rsid w:val="00337245"/>
    <w:rsid w:val="00337349"/>
    <w:rsid w:val="00337354"/>
    <w:rsid w:val="00337785"/>
    <w:rsid w:val="00337934"/>
    <w:rsid w:val="00337B5A"/>
    <w:rsid w:val="00337C7B"/>
    <w:rsid w:val="00337D1D"/>
    <w:rsid w:val="00337FC4"/>
    <w:rsid w:val="00340014"/>
    <w:rsid w:val="00340245"/>
    <w:rsid w:val="0034060B"/>
    <w:rsid w:val="0034065D"/>
    <w:rsid w:val="00340718"/>
    <w:rsid w:val="00340888"/>
    <w:rsid w:val="00340B47"/>
    <w:rsid w:val="00340BDC"/>
    <w:rsid w:val="00340F1F"/>
    <w:rsid w:val="00341185"/>
    <w:rsid w:val="0034179B"/>
    <w:rsid w:val="00341A17"/>
    <w:rsid w:val="00341A8B"/>
    <w:rsid w:val="00341CFB"/>
    <w:rsid w:val="00341E81"/>
    <w:rsid w:val="0034206F"/>
    <w:rsid w:val="00342094"/>
    <w:rsid w:val="003421D1"/>
    <w:rsid w:val="0034225D"/>
    <w:rsid w:val="003426DD"/>
    <w:rsid w:val="00342785"/>
    <w:rsid w:val="003428E8"/>
    <w:rsid w:val="00342B67"/>
    <w:rsid w:val="00342C1D"/>
    <w:rsid w:val="00343098"/>
    <w:rsid w:val="00343555"/>
    <w:rsid w:val="00343567"/>
    <w:rsid w:val="003435AD"/>
    <w:rsid w:val="0034379F"/>
    <w:rsid w:val="0034386E"/>
    <w:rsid w:val="00343CCD"/>
    <w:rsid w:val="00343F1C"/>
    <w:rsid w:val="00344001"/>
    <w:rsid w:val="0034434F"/>
    <w:rsid w:val="003445C2"/>
    <w:rsid w:val="003445D6"/>
    <w:rsid w:val="00344893"/>
    <w:rsid w:val="00344CA2"/>
    <w:rsid w:val="00344E50"/>
    <w:rsid w:val="00345469"/>
    <w:rsid w:val="003457B8"/>
    <w:rsid w:val="0034581F"/>
    <w:rsid w:val="00345A10"/>
    <w:rsid w:val="00345F57"/>
    <w:rsid w:val="003460FF"/>
    <w:rsid w:val="00346218"/>
    <w:rsid w:val="00346850"/>
    <w:rsid w:val="003469F1"/>
    <w:rsid w:val="00346A6F"/>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1FA"/>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39"/>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7A0"/>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61DF"/>
    <w:rsid w:val="0035651B"/>
    <w:rsid w:val="00356734"/>
    <w:rsid w:val="00356C97"/>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9F6"/>
    <w:rsid w:val="00361A16"/>
    <w:rsid w:val="00361B86"/>
    <w:rsid w:val="00361D07"/>
    <w:rsid w:val="00361E23"/>
    <w:rsid w:val="00361F38"/>
    <w:rsid w:val="00361FDF"/>
    <w:rsid w:val="003622AC"/>
    <w:rsid w:val="00362303"/>
    <w:rsid w:val="003623B1"/>
    <w:rsid w:val="0036251F"/>
    <w:rsid w:val="00362BEA"/>
    <w:rsid w:val="00362D7C"/>
    <w:rsid w:val="00362DBD"/>
    <w:rsid w:val="00362F4E"/>
    <w:rsid w:val="00362F81"/>
    <w:rsid w:val="0036303C"/>
    <w:rsid w:val="00363098"/>
    <w:rsid w:val="0036320F"/>
    <w:rsid w:val="00363307"/>
    <w:rsid w:val="0036371D"/>
    <w:rsid w:val="00363886"/>
    <w:rsid w:val="003648EB"/>
    <w:rsid w:val="00364CF8"/>
    <w:rsid w:val="00364DBC"/>
    <w:rsid w:val="00364E75"/>
    <w:rsid w:val="00364EE4"/>
    <w:rsid w:val="00365073"/>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50C"/>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63"/>
    <w:rsid w:val="003718C3"/>
    <w:rsid w:val="00371B5B"/>
    <w:rsid w:val="00371BB8"/>
    <w:rsid w:val="00371DE5"/>
    <w:rsid w:val="00371E3E"/>
    <w:rsid w:val="00371EF8"/>
    <w:rsid w:val="003720D2"/>
    <w:rsid w:val="00372165"/>
    <w:rsid w:val="003723CB"/>
    <w:rsid w:val="0037249A"/>
    <w:rsid w:val="003725BC"/>
    <w:rsid w:val="003729BC"/>
    <w:rsid w:val="00372A01"/>
    <w:rsid w:val="0037323B"/>
    <w:rsid w:val="00373340"/>
    <w:rsid w:val="00373643"/>
    <w:rsid w:val="003737A4"/>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99B"/>
    <w:rsid w:val="003749F9"/>
    <w:rsid w:val="00374B83"/>
    <w:rsid w:val="00374C20"/>
    <w:rsid w:val="00375190"/>
    <w:rsid w:val="0037532B"/>
    <w:rsid w:val="00375399"/>
    <w:rsid w:val="003753DE"/>
    <w:rsid w:val="0037540D"/>
    <w:rsid w:val="00375648"/>
    <w:rsid w:val="0037567C"/>
    <w:rsid w:val="003757F5"/>
    <w:rsid w:val="0037584F"/>
    <w:rsid w:val="00375AD0"/>
    <w:rsid w:val="00375BEE"/>
    <w:rsid w:val="00375C9D"/>
    <w:rsid w:val="00375F03"/>
    <w:rsid w:val="0037616A"/>
    <w:rsid w:val="0037621C"/>
    <w:rsid w:val="00376256"/>
    <w:rsid w:val="00376533"/>
    <w:rsid w:val="0037659D"/>
    <w:rsid w:val="003767B6"/>
    <w:rsid w:val="00376823"/>
    <w:rsid w:val="003769B4"/>
    <w:rsid w:val="00376A4B"/>
    <w:rsid w:val="00376B06"/>
    <w:rsid w:val="00376BFD"/>
    <w:rsid w:val="00376C7C"/>
    <w:rsid w:val="00376DE3"/>
    <w:rsid w:val="00376E80"/>
    <w:rsid w:val="00376FB2"/>
    <w:rsid w:val="00377703"/>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0DC8"/>
    <w:rsid w:val="0038130C"/>
    <w:rsid w:val="003818E3"/>
    <w:rsid w:val="00381AF0"/>
    <w:rsid w:val="00381AF4"/>
    <w:rsid w:val="00381F0C"/>
    <w:rsid w:val="00382135"/>
    <w:rsid w:val="003822BF"/>
    <w:rsid w:val="003823AA"/>
    <w:rsid w:val="0038240E"/>
    <w:rsid w:val="00382555"/>
    <w:rsid w:val="00382746"/>
    <w:rsid w:val="003827DA"/>
    <w:rsid w:val="0038296E"/>
    <w:rsid w:val="003829B4"/>
    <w:rsid w:val="00382B44"/>
    <w:rsid w:val="00382C3E"/>
    <w:rsid w:val="00382C85"/>
    <w:rsid w:val="00382E18"/>
    <w:rsid w:val="00382F72"/>
    <w:rsid w:val="003834F9"/>
    <w:rsid w:val="0038369C"/>
    <w:rsid w:val="00383D1B"/>
    <w:rsid w:val="00383D65"/>
    <w:rsid w:val="00383D69"/>
    <w:rsid w:val="00383E08"/>
    <w:rsid w:val="00384368"/>
    <w:rsid w:val="003844D1"/>
    <w:rsid w:val="00384595"/>
    <w:rsid w:val="00384959"/>
    <w:rsid w:val="00384B20"/>
    <w:rsid w:val="00384BD4"/>
    <w:rsid w:val="00384F33"/>
    <w:rsid w:val="0038520A"/>
    <w:rsid w:val="00385227"/>
    <w:rsid w:val="00385392"/>
    <w:rsid w:val="0038560D"/>
    <w:rsid w:val="00385718"/>
    <w:rsid w:val="00385720"/>
    <w:rsid w:val="00385BE1"/>
    <w:rsid w:val="00385C05"/>
    <w:rsid w:val="00385E0E"/>
    <w:rsid w:val="00385F94"/>
    <w:rsid w:val="0038613F"/>
    <w:rsid w:val="00386197"/>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C2B"/>
    <w:rsid w:val="00390E48"/>
    <w:rsid w:val="00390FD1"/>
    <w:rsid w:val="00391086"/>
    <w:rsid w:val="0039118A"/>
    <w:rsid w:val="0039132D"/>
    <w:rsid w:val="00391638"/>
    <w:rsid w:val="00391699"/>
    <w:rsid w:val="003917E3"/>
    <w:rsid w:val="00391CA6"/>
    <w:rsid w:val="0039213A"/>
    <w:rsid w:val="003921D2"/>
    <w:rsid w:val="0039230A"/>
    <w:rsid w:val="00392327"/>
    <w:rsid w:val="00392353"/>
    <w:rsid w:val="0039239D"/>
    <w:rsid w:val="003923B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5B5"/>
    <w:rsid w:val="00395876"/>
    <w:rsid w:val="00395967"/>
    <w:rsid w:val="00395B6B"/>
    <w:rsid w:val="00395C2B"/>
    <w:rsid w:val="00395CAE"/>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019"/>
    <w:rsid w:val="003A00FB"/>
    <w:rsid w:val="003A03C1"/>
    <w:rsid w:val="003A0486"/>
    <w:rsid w:val="003A057E"/>
    <w:rsid w:val="003A067E"/>
    <w:rsid w:val="003A0AB9"/>
    <w:rsid w:val="003A0AD7"/>
    <w:rsid w:val="003A0D5B"/>
    <w:rsid w:val="003A0EF0"/>
    <w:rsid w:val="003A0FFF"/>
    <w:rsid w:val="003A10D5"/>
    <w:rsid w:val="003A1113"/>
    <w:rsid w:val="003A1194"/>
    <w:rsid w:val="003A12BC"/>
    <w:rsid w:val="003A1452"/>
    <w:rsid w:val="003A150B"/>
    <w:rsid w:val="003A1813"/>
    <w:rsid w:val="003A18A4"/>
    <w:rsid w:val="003A197C"/>
    <w:rsid w:val="003A1A10"/>
    <w:rsid w:val="003A1BDA"/>
    <w:rsid w:val="003A1CFF"/>
    <w:rsid w:val="003A1D63"/>
    <w:rsid w:val="003A1DBA"/>
    <w:rsid w:val="003A1ED4"/>
    <w:rsid w:val="003A1FA6"/>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373"/>
    <w:rsid w:val="003A3562"/>
    <w:rsid w:val="003A359E"/>
    <w:rsid w:val="003A368D"/>
    <w:rsid w:val="003A3799"/>
    <w:rsid w:val="003A38FB"/>
    <w:rsid w:val="003A3CC8"/>
    <w:rsid w:val="003A3E85"/>
    <w:rsid w:val="003A40D2"/>
    <w:rsid w:val="003A431B"/>
    <w:rsid w:val="003A4534"/>
    <w:rsid w:val="003A455D"/>
    <w:rsid w:val="003A4C0C"/>
    <w:rsid w:val="003A4CD1"/>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72"/>
    <w:rsid w:val="003A73EB"/>
    <w:rsid w:val="003A745D"/>
    <w:rsid w:val="003A753E"/>
    <w:rsid w:val="003A7605"/>
    <w:rsid w:val="003A78C5"/>
    <w:rsid w:val="003A7AA7"/>
    <w:rsid w:val="003A7C53"/>
    <w:rsid w:val="003A7D05"/>
    <w:rsid w:val="003A7D64"/>
    <w:rsid w:val="003B00AE"/>
    <w:rsid w:val="003B0306"/>
    <w:rsid w:val="003B0365"/>
    <w:rsid w:val="003B07AC"/>
    <w:rsid w:val="003B08E8"/>
    <w:rsid w:val="003B09EC"/>
    <w:rsid w:val="003B0B19"/>
    <w:rsid w:val="003B0CA6"/>
    <w:rsid w:val="003B0D96"/>
    <w:rsid w:val="003B0D9A"/>
    <w:rsid w:val="003B0E65"/>
    <w:rsid w:val="003B0EF6"/>
    <w:rsid w:val="003B0FFF"/>
    <w:rsid w:val="003B11EB"/>
    <w:rsid w:val="003B121F"/>
    <w:rsid w:val="003B122B"/>
    <w:rsid w:val="003B126E"/>
    <w:rsid w:val="003B1A0F"/>
    <w:rsid w:val="003B1AC0"/>
    <w:rsid w:val="003B1D6F"/>
    <w:rsid w:val="003B1FE6"/>
    <w:rsid w:val="003B2035"/>
    <w:rsid w:val="003B2168"/>
    <w:rsid w:val="003B21DA"/>
    <w:rsid w:val="003B223B"/>
    <w:rsid w:val="003B2502"/>
    <w:rsid w:val="003B2664"/>
    <w:rsid w:val="003B27CC"/>
    <w:rsid w:val="003B298D"/>
    <w:rsid w:val="003B2CF2"/>
    <w:rsid w:val="003B2F25"/>
    <w:rsid w:val="003B3002"/>
    <w:rsid w:val="003B30AB"/>
    <w:rsid w:val="003B3E4A"/>
    <w:rsid w:val="003B4403"/>
    <w:rsid w:val="003B480C"/>
    <w:rsid w:val="003B486E"/>
    <w:rsid w:val="003B48F2"/>
    <w:rsid w:val="003B4956"/>
    <w:rsid w:val="003B497D"/>
    <w:rsid w:val="003B4AA6"/>
    <w:rsid w:val="003B4E1F"/>
    <w:rsid w:val="003B4E60"/>
    <w:rsid w:val="003B5128"/>
    <w:rsid w:val="003B5268"/>
    <w:rsid w:val="003B5445"/>
    <w:rsid w:val="003B5675"/>
    <w:rsid w:val="003B58A1"/>
    <w:rsid w:val="003B5B4D"/>
    <w:rsid w:val="003B60FB"/>
    <w:rsid w:val="003B6C76"/>
    <w:rsid w:val="003B6E88"/>
    <w:rsid w:val="003B6F92"/>
    <w:rsid w:val="003B7000"/>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464"/>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233"/>
    <w:rsid w:val="003C43A6"/>
    <w:rsid w:val="003C43D1"/>
    <w:rsid w:val="003C4515"/>
    <w:rsid w:val="003C4840"/>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3DE"/>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61"/>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E6"/>
    <w:rsid w:val="003D5DEC"/>
    <w:rsid w:val="003D5FE3"/>
    <w:rsid w:val="003D63C0"/>
    <w:rsid w:val="003D6498"/>
    <w:rsid w:val="003D6899"/>
    <w:rsid w:val="003D6B8C"/>
    <w:rsid w:val="003D6C7D"/>
    <w:rsid w:val="003D7368"/>
    <w:rsid w:val="003D7589"/>
    <w:rsid w:val="003D775F"/>
    <w:rsid w:val="003D7A34"/>
    <w:rsid w:val="003D7A93"/>
    <w:rsid w:val="003D7AB7"/>
    <w:rsid w:val="003D7AF8"/>
    <w:rsid w:val="003D7BA7"/>
    <w:rsid w:val="003E0153"/>
    <w:rsid w:val="003E051D"/>
    <w:rsid w:val="003E05FE"/>
    <w:rsid w:val="003E0645"/>
    <w:rsid w:val="003E06E1"/>
    <w:rsid w:val="003E0902"/>
    <w:rsid w:val="003E119D"/>
    <w:rsid w:val="003E1223"/>
    <w:rsid w:val="003E12C2"/>
    <w:rsid w:val="003E135D"/>
    <w:rsid w:val="003E1520"/>
    <w:rsid w:val="003E1DC8"/>
    <w:rsid w:val="003E1EEF"/>
    <w:rsid w:val="003E20C0"/>
    <w:rsid w:val="003E21A8"/>
    <w:rsid w:val="003E22EF"/>
    <w:rsid w:val="003E2554"/>
    <w:rsid w:val="003E281C"/>
    <w:rsid w:val="003E292E"/>
    <w:rsid w:val="003E2A2E"/>
    <w:rsid w:val="003E2B3B"/>
    <w:rsid w:val="003E2B91"/>
    <w:rsid w:val="003E2D06"/>
    <w:rsid w:val="003E2F5F"/>
    <w:rsid w:val="003E2F7A"/>
    <w:rsid w:val="003E30A6"/>
    <w:rsid w:val="003E3327"/>
    <w:rsid w:val="003E3356"/>
    <w:rsid w:val="003E3366"/>
    <w:rsid w:val="003E33F0"/>
    <w:rsid w:val="003E36B2"/>
    <w:rsid w:val="003E373A"/>
    <w:rsid w:val="003E39AD"/>
    <w:rsid w:val="003E3AC3"/>
    <w:rsid w:val="003E3AFB"/>
    <w:rsid w:val="003E3BA5"/>
    <w:rsid w:val="003E3C9E"/>
    <w:rsid w:val="003E3F63"/>
    <w:rsid w:val="003E4725"/>
    <w:rsid w:val="003E4766"/>
    <w:rsid w:val="003E4837"/>
    <w:rsid w:val="003E4893"/>
    <w:rsid w:val="003E49A0"/>
    <w:rsid w:val="003E4AE1"/>
    <w:rsid w:val="003E4BE9"/>
    <w:rsid w:val="003E50C8"/>
    <w:rsid w:val="003E54F6"/>
    <w:rsid w:val="003E5628"/>
    <w:rsid w:val="003E56E1"/>
    <w:rsid w:val="003E5A69"/>
    <w:rsid w:val="003E5C42"/>
    <w:rsid w:val="003E5E13"/>
    <w:rsid w:val="003E5E2A"/>
    <w:rsid w:val="003E63C1"/>
    <w:rsid w:val="003E6569"/>
    <w:rsid w:val="003E6589"/>
    <w:rsid w:val="003E6BE1"/>
    <w:rsid w:val="003E703A"/>
    <w:rsid w:val="003E7118"/>
    <w:rsid w:val="003E723A"/>
    <w:rsid w:val="003E738E"/>
    <w:rsid w:val="003E744C"/>
    <w:rsid w:val="003E7552"/>
    <w:rsid w:val="003E778B"/>
    <w:rsid w:val="003E77E1"/>
    <w:rsid w:val="003E792A"/>
    <w:rsid w:val="003E7BD4"/>
    <w:rsid w:val="003E7DFC"/>
    <w:rsid w:val="003F0228"/>
    <w:rsid w:val="003F022F"/>
    <w:rsid w:val="003F0461"/>
    <w:rsid w:val="003F0781"/>
    <w:rsid w:val="003F07E2"/>
    <w:rsid w:val="003F0A92"/>
    <w:rsid w:val="003F0C88"/>
    <w:rsid w:val="003F0D04"/>
    <w:rsid w:val="003F0F52"/>
    <w:rsid w:val="003F10D9"/>
    <w:rsid w:val="003F122D"/>
    <w:rsid w:val="003F14D8"/>
    <w:rsid w:val="003F158D"/>
    <w:rsid w:val="003F1718"/>
    <w:rsid w:val="003F2191"/>
    <w:rsid w:val="003F21E4"/>
    <w:rsid w:val="003F2D0B"/>
    <w:rsid w:val="003F2E4F"/>
    <w:rsid w:val="003F306A"/>
    <w:rsid w:val="003F3126"/>
    <w:rsid w:val="003F31C1"/>
    <w:rsid w:val="003F3204"/>
    <w:rsid w:val="003F34D0"/>
    <w:rsid w:val="003F3583"/>
    <w:rsid w:val="003F35C9"/>
    <w:rsid w:val="003F36A6"/>
    <w:rsid w:val="003F380E"/>
    <w:rsid w:val="003F3847"/>
    <w:rsid w:val="003F3888"/>
    <w:rsid w:val="003F3DC8"/>
    <w:rsid w:val="003F3DD4"/>
    <w:rsid w:val="003F3F77"/>
    <w:rsid w:val="003F4362"/>
    <w:rsid w:val="003F43D6"/>
    <w:rsid w:val="003F479B"/>
    <w:rsid w:val="003F4827"/>
    <w:rsid w:val="003F4839"/>
    <w:rsid w:val="003F4843"/>
    <w:rsid w:val="003F494E"/>
    <w:rsid w:val="003F4950"/>
    <w:rsid w:val="003F4AF4"/>
    <w:rsid w:val="003F4BB2"/>
    <w:rsid w:val="003F4BC8"/>
    <w:rsid w:val="003F4E62"/>
    <w:rsid w:val="003F4F42"/>
    <w:rsid w:val="003F5537"/>
    <w:rsid w:val="003F55BE"/>
    <w:rsid w:val="003F57E9"/>
    <w:rsid w:val="003F583E"/>
    <w:rsid w:val="003F5CFF"/>
    <w:rsid w:val="003F6044"/>
    <w:rsid w:val="003F6088"/>
    <w:rsid w:val="003F6454"/>
    <w:rsid w:val="003F66BB"/>
    <w:rsid w:val="003F6817"/>
    <w:rsid w:val="003F6A80"/>
    <w:rsid w:val="003F6D84"/>
    <w:rsid w:val="003F6E46"/>
    <w:rsid w:val="003F6E64"/>
    <w:rsid w:val="003F6E8E"/>
    <w:rsid w:val="003F6EC1"/>
    <w:rsid w:val="003F73F7"/>
    <w:rsid w:val="003F7435"/>
    <w:rsid w:val="003F7536"/>
    <w:rsid w:val="003F78D1"/>
    <w:rsid w:val="003F7AB6"/>
    <w:rsid w:val="003F7D52"/>
    <w:rsid w:val="003F7EAC"/>
    <w:rsid w:val="003F7F50"/>
    <w:rsid w:val="00400054"/>
    <w:rsid w:val="0040014D"/>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432"/>
    <w:rsid w:val="00401613"/>
    <w:rsid w:val="004017EC"/>
    <w:rsid w:val="00401B1F"/>
    <w:rsid w:val="00401BF6"/>
    <w:rsid w:val="00401D93"/>
    <w:rsid w:val="00402436"/>
    <w:rsid w:val="004027F9"/>
    <w:rsid w:val="004029DF"/>
    <w:rsid w:val="004029EC"/>
    <w:rsid w:val="00402ABC"/>
    <w:rsid w:val="00402B02"/>
    <w:rsid w:val="00402B36"/>
    <w:rsid w:val="00402FE5"/>
    <w:rsid w:val="0040303D"/>
    <w:rsid w:val="004031A5"/>
    <w:rsid w:val="004032E4"/>
    <w:rsid w:val="00403574"/>
    <w:rsid w:val="004037EE"/>
    <w:rsid w:val="00403820"/>
    <w:rsid w:val="00403C92"/>
    <w:rsid w:val="00403D62"/>
    <w:rsid w:val="00403EDA"/>
    <w:rsid w:val="004040A9"/>
    <w:rsid w:val="00404198"/>
    <w:rsid w:val="00404311"/>
    <w:rsid w:val="004043B8"/>
    <w:rsid w:val="0040448E"/>
    <w:rsid w:val="00404538"/>
    <w:rsid w:val="0040453F"/>
    <w:rsid w:val="00404553"/>
    <w:rsid w:val="004046A0"/>
    <w:rsid w:val="004046AC"/>
    <w:rsid w:val="004047F7"/>
    <w:rsid w:val="00404BC7"/>
    <w:rsid w:val="00404F39"/>
    <w:rsid w:val="004050B1"/>
    <w:rsid w:val="004051B4"/>
    <w:rsid w:val="00405368"/>
    <w:rsid w:val="0040567F"/>
    <w:rsid w:val="004056C1"/>
    <w:rsid w:val="004056D6"/>
    <w:rsid w:val="00405789"/>
    <w:rsid w:val="00405940"/>
    <w:rsid w:val="00405BB1"/>
    <w:rsid w:val="00405C17"/>
    <w:rsid w:val="00405C81"/>
    <w:rsid w:val="00405CFC"/>
    <w:rsid w:val="004063CB"/>
    <w:rsid w:val="0040667F"/>
    <w:rsid w:val="004066DC"/>
    <w:rsid w:val="004067F2"/>
    <w:rsid w:val="004068D6"/>
    <w:rsid w:val="00406AC6"/>
    <w:rsid w:val="00406C82"/>
    <w:rsid w:val="00406D6D"/>
    <w:rsid w:val="00406DB3"/>
    <w:rsid w:val="00406E11"/>
    <w:rsid w:val="004072D4"/>
    <w:rsid w:val="0040762C"/>
    <w:rsid w:val="004076C9"/>
    <w:rsid w:val="00407728"/>
    <w:rsid w:val="00407796"/>
    <w:rsid w:val="00407A48"/>
    <w:rsid w:val="00407B86"/>
    <w:rsid w:val="004100CC"/>
    <w:rsid w:val="004100F9"/>
    <w:rsid w:val="00410544"/>
    <w:rsid w:val="0041090A"/>
    <w:rsid w:val="00410B05"/>
    <w:rsid w:val="00410C20"/>
    <w:rsid w:val="00410E28"/>
    <w:rsid w:val="004111AB"/>
    <w:rsid w:val="004112C2"/>
    <w:rsid w:val="0041152A"/>
    <w:rsid w:val="004117C1"/>
    <w:rsid w:val="004117CB"/>
    <w:rsid w:val="00411897"/>
    <w:rsid w:val="004118CE"/>
    <w:rsid w:val="004119DC"/>
    <w:rsid w:val="004119FE"/>
    <w:rsid w:val="00411C38"/>
    <w:rsid w:val="00411E61"/>
    <w:rsid w:val="00411EE0"/>
    <w:rsid w:val="00411F0E"/>
    <w:rsid w:val="0041230E"/>
    <w:rsid w:val="004124E0"/>
    <w:rsid w:val="00412548"/>
    <w:rsid w:val="00412715"/>
    <w:rsid w:val="00412768"/>
    <w:rsid w:val="00412C04"/>
    <w:rsid w:val="00412CAE"/>
    <w:rsid w:val="0041333F"/>
    <w:rsid w:val="00413352"/>
    <w:rsid w:val="0041350D"/>
    <w:rsid w:val="00413546"/>
    <w:rsid w:val="00413562"/>
    <w:rsid w:val="004137C5"/>
    <w:rsid w:val="00413AD8"/>
    <w:rsid w:val="00413CEA"/>
    <w:rsid w:val="00413FF3"/>
    <w:rsid w:val="0041402C"/>
    <w:rsid w:val="004142FE"/>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2C4"/>
    <w:rsid w:val="00417323"/>
    <w:rsid w:val="0041744C"/>
    <w:rsid w:val="0041748D"/>
    <w:rsid w:val="004178B4"/>
    <w:rsid w:val="00417A97"/>
    <w:rsid w:val="00417CB1"/>
    <w:rsid w:val="00417E6C"/>
    <w:rsid w:val="00417F67"/>
    <w:rsid w:val="004201A9"/>
    <w:rsid w:val="00420339"/>
    <w:rsid w:val="00420342"/>
    <w:rsid w:val="0042035E"/>
    <w:rsid w:val="0042059F"/>
    <w:rsid w:val="0042075F"/>
    <w:rsid w:val="00420950"/>
    <w:rsid w:val="00420A3C"/>
    <w:rsid w:val="00420A7F"/>
    <w:rsid w:val="00420C49"/>
    <w:rsid w:val="00420DA9"/>
    <w:rsid w:val="00420F35"/>
    <w:rsid w:val="00420FE6"/>
    <w:rsid w:val="0042128D"/>
    <w:rsid w:val="00421484"/>
    <w:rsid w:val="004214DB"/>
    <w:rsid w:val="004215B8"/>
    <w:rsid w:val="004217E2"/>
    <w:rsid w:val="00421BFB"/>
    <w:rsid w:val="00421D59"/>
    <w:rsid w:val="00421EB3"/>
    <w:rsid w:val="00422424"/>
    <w:rsid w:val="004226C2"/>
    <w:rsid w:val="004226E7"/>
    <w:rsid w:val="00422737"/>
    <w:rsid w:val="0042301A"/>
    <w:rsid w:val="00423170"/>
    <w:rsid w:val="004232CD"/>
    <w:rsid w:val="00423597"/>
    <w:rsid w:val="00423600"/>
    <w:rsid w:val="0042374E"/>
    <w:rsid w:val="004237FD"/>
    <w:rsid w:val="00423886"/>
    <w:rsid w:val="004239D8"/>
    <w:rsid w:val="00423B69"/>
    <w:rsid w:val="00423DA1"/>
    <w:rsid w:val="00424063"/>
    <w:rsid w:val="00424126"/>
    <w:rsid w:val="004241E2"/>
    <w:rsid w:val="004241FD"/>
    <w:rsid w:val="004244C4"/>
    <w:rsid w:val="00424855"/>
    <w:rsid w:val="00424975"/>
    <w:rsid w:val="00424A5B"/>
    <w:rsid w:val="00424BC4"/>
    <w:rsid w:val="00424E92"/>
    <w:rsid w:val="004250B7"/>
    <w:rsid w:val="0042512C"/>
    <w:rsid w:val="00425318"/>
    <w:rsid w:val="00425693"/>
    <w:rsid w:val="004257F4"/>
    <w:rsid w:val="00425A07"/>
    <w:rsid w:val="00425A93"/>
    <w:rsid w:val="00425AF3"/>
    <w:rsid w:val="00425C32"/>
    <w:rsid w:val="00425D2D"/>
    <w:rsid w:val="00425E34"/>
    <w:rsid w:val="0042603B"/>
    <w:rsid w:val="0042619A"/>
    <w:rsid w:val="00426255"/>
    <w:rsid w:val="004262D9"/>
    <w:rsid w:val="004263FE"/>
    <w:rsid w:val="004266D1"/>
    <w:rsid w:val="00426707"/>
    <w:rsid w:val="0042670D"/>
    <w:rsid w:val="00426B64"/>
    <w:rsid w:val="00426D3F"/>
    <w:rsid w:val="00426F2B"/>
    <w:rsid w:val="00426F88"/>
    <w:rsid w:val="004270A2"/>
    <w:rsid w:val="004272F1"/>
    <w:rsid w:val="00427334"/>
    <w:rsid w:val="00427411"/>
    <w:rsid w:val="004279F1"/>
    <w:rsid w:val="00427ADF"/>
    <w:rsid w:val="00427BC9"/>
    <w:rsid w:val="00427D91"/>
    <w:rsid w:val="00427EB3"/>
    <w:rsid w:val="00430090"/>
    <w:rsid w:val="004300C8"/>
    <w:rsid w:val="004300DC"/>
    <w:rsid w:val="004302BA"/>
    <w:rsid w:val="004304C5"/>
    <w:rsid w:val="004305CC"/>
    <w:rsid w:val="004306C8"/>
    <w:rsid w:val="004306F8"/>
    <w:rsid w:val="00430815"/>
    <w:rsid w:val="00430A3E"/>
    <w:rsid w:val="00430BC1"/>
    <w:rsid w:val="00430BDB"/>
    <w:rsid w:val="00430DE2"/>
    <w:rsid w:val="004310ED"/>
    <w:rsid w:val="00431249"/>
    <w:rsid w:val="004313E7"/>
    <w:rsid w:val="0043176C"/>
    <w:rsid w:val="00431A06"/>
    <w:rsid w:val="00431EB8"/>
    <w:rsid w:val="00431FE3"/>
    <w:rsid w:val="00432295"/>
    <w:rsid w:val="004322D9"/>
    <w:rsid w:val="004323E2"/>
    <w:rsid w:val="0043266A"/>
    <w:rsid w:val="00432B79"/>
    <w:rsid w:val="00432BDB"/>
    <w:rsid w:val="00432C5E"/>
    <w:rsid w:val="00432DDB"/>
    <w:rsid w:val="00432DDF"/>
    <w:rsid w:val="00432EBF"/>
    <w:rsid w:val="00432F21"/>
    <w:rsid w:val="00432F69"/>
    <w:rsid w:val="00433018"/>
    <w:rsid w:val="00433489"/>
    <w:rsid w:val="004335E9"/>
    <w:rsid w:val="00433602"/>
    <w:rsid w:val="004336C1"/>
    <w:rsid w:val="004336DF"/>
    <w:rsid w:val="00433978"/>
    <w:rsid w:val="00433B4F"/>
    <w:rsid w:val="00433CDD"/>
    <w:rsid w:val="00433CFA"/>
    <w:rsid w:val="00433E0B"/>
    <w:rsid w:val="0043405B"/>
    <w:rsid w:val="004340E0"/>
    <w:rsid w:val="004344B7"/>
    <w:rsid w:val="0043462A"/>
    <w:rsid w:val="00434840"/>
    <w:rsid w:val="004348A3"/>
    <w:rsid w:val="0043498E"/>
    <w:rsid w:val="004349BF"/>
    <w:rsid w:val="00434D74"/>
    <w:rsid w:val="00434F95"/>
    <w:rsid w:val="0043505E"/>
    <w:rsid w:val="00435337"/>
    <w:rsid w:val="004353C7"/>
    <w:rsid w:val="00435519"/>
    <w:rsid w:val="00435536"/>
    <w:rsid w:val="0043555B"/>
    <w:rsid w:val="00435F99"/>
    <w:rsid w:val="00436013"/>
    <w:rsid w:val="004364B0"/>
    <w:rsid w:val="004365B7"/>
    <w:rsid w:val="0043666B"/>
    <w:rsid w:val="004369BA"/>
    <w:rsid w:val="00436B53"/>
    <w:rsid w:val="00436BFB"/>
    <w:rsid w:val="00437070"/>
    <w:rsid w:val="004370F8"/>
    <w:rsid w:val="004376DC"/>
    <w:rsid w:val="0043770F"/>
    <w:rsid w:val="0043793E"/>
    <w:rsid w:val="004379AB"/>
    <w:rsid w:val="00437A34"/>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243"/>
    <w:rsid w:val="004423DE"/>
    <w:rsid w:val="004423F4"/>
    <w:rsid w:val="0044240E"/>
    <w:rsid w:val="00442431"/>
    <w:rsid w:val="00442543"/>
    <w:rsid w:val="004428A3"/>
    <w:rsid w:val="00442A84"/>
    <w:rsid w:val="00442BC6"/>
    <w:rsid w:val="004430BB"/>
    <w:rsid w:val="004431A7"/>
    <w:rsid w:val="00443636"/>
    <w:rsid w:val="0044365F"/>
    <w:rsid w:val="0044383B"/>
    <w:rsid w:val="00443B3F"/>
    <w:rsid w:val="00443B9B"/>
    <w:rsid w:val="00443BD1"/>
    <w:rsid w:val="0044440B"/>
    <w:rsid w:val="0044472F"/>
    <w:rsid w:val="00444783"/>
    <w:rsid w:val="00444A6C"/>
    <w:rsid w:val="00444C59"/>
    <w:rsid w:val="00444ED1"/>
    <w:rsid w:val="00444FC6"/>
    <w:rsid w:val="0044506C"/>
    <w:rsid w:val="00445422"/>
    <w:rsid w:val="0044563B"/>
    <w:rsid w:val="004457C8"/>
    <w:rsid w:val="004457EE"/>
    <w:rsid w:val="00445971"/>
    <w:rsid w:val="00445ABE"/>
    <w:rsid w:val="00445BC2"/>
    <w:rsid w:val="00445C65"/>
    <w:rsid w:val="00445C71"/>
    <w:rsid w:val="00445F8D"/>
    <w:rsid w:val="00446100"/>
    <w:rsid w:val="004461DB"/>
    <w:rsid w:val="00446268"/>
    <w:rsid w:val="00446335"/>
    <w:rsid w:val="00446497"/>
    <w:rsid w:val="004464FA"/>
    <w:rsid w:val="004466E4"/>
    <w:rsid w:val="00446A37"/>
    <w:rsid w:val="00446AB1"/>
    <w:rsid w:val="00446B58"/>
    <w:rsid w:val="00446C4E"/>
    <w:rsid w:val="00446C69"/>
    <w:rsid w:val="00446E59"/>
    <w:rsid w:val="004473B1"/>
    <w:rsid w:val="00447D56"/>
    <w:rsid w:val="00447E53"/>
    <w:rsid w:val="00447EB6"/>
    <w:rsid w:val="00447F16"/>
    <w:rsid w:val="004504F0"/>
    <w:rsid w:val="004504FE"/>
    <w:rsid w:val="00450D50"/>
    <w:rsid w:val="0045100C"/>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6"/>
    <w:rsid w:val="00452D68"/>
    <w:rsid w:val="00452F19"/>
    <w:rsid w:val="00453050"/>
    <w:rsid w:val="00453126"/>
    <w:rsid w:val="004531F7"/>
    <w:rsid w:val="00453259"/>
    <w:rsid w:val="00453E11"/>
    <w:rsid w:val="00453E33"/>
    <w:rsid w:val="00454330"/>
    <w:rsid w:val="00454349"/>
    <w:rsid w:val="0045438B"/>
    <w:rsid w:val="0045446D"/>
    <w:rsid w:val="004545E4"/>
    <w:rsid w:val="004546D5"/>
    <w:rsid w:val="004546EB"/>
    <w:rsid w:val="0045475C"/>
    <w:rsid w:val="004548F0"/>
    <w:rsid w:val="00454DA3"/>
    <w:rsid w:val="00455273"/>
    <w:rsid w:val="004553A0"/>
    <w:rsid w:val="004553BC"/>
    <w:rsid w:val="00455458"/>
    <w:rsid w:val="004556A1"/>
    <w:rsid w:val="0045593F"/>
    <w:rsid w:val="00455A69"/>
    <w:rsid w:val="00455D66"/>
    <w:rsid w:val="00455F7A"/>
    <w:rsid w:val="00455FBB"/>
    <w:rsid w:val="004560F5"/>
    <w:rsid w:val="00456253"/>
    <w:rsid w:val="004564C9"/>
    <w:rsid w:val="00456556"/>
    <w:rsid w:val="00456AA0"/>
    <w:rsid w:val="00456B07"/>
    <w:rsid w:val="00456C34"/>
    <w:rsid w:val="00456CE2"/>
    <w:rsid w:val="00456DC5"/>
    <w:rsid w:val="00456E5E"/>
    <w:rsid w:val="00456E6D"/>
    <w:rsid w:val="0045701E"/>
    <w:rsid w:val="00457393"/>
    <w:rsid w:val="0045745E"/>
    <w:rsid w:val="00457560"/>
    <w:rsid w:val="0045782B"/>
    <w:rsid w:val="00457BD8"/>
    <w:rsid w:val="00457D39"/>
    <w:rsid w:val="00457F6E"/>
    <w:rsid w:val="00457F79"/>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CDF"/>
    <w:rsid w:val="00462F1C"/>
    <w:rsid w:val="00462F92"/>
    <w:rsid w:val="004632F6"/>
    <w:rsid w:val="0046349B"/>
    <w:rsid w:val="00463507"/>
    <w:rsid w:val="004635E0"/>
    <w:rsid w:val="004637A0"/>
    <w:rsid w:val="004637D6"/>
    <w:rsid w:val="004638F4"/>
    <w:rsid w:val="00463A6B"/>
    <w:rsid w:val="00463BB3"/>
    <w:rsid w:val="00463E7C"/>
    <w:rsid w:val="00463F8B"/>
    <w:rsid w:val="00463F8F"/>
    <w:rsid w:val="00463FFE"/>
    <w:rsid w:val="004640D7"/>
    <w:rsid w:val="0046415A"/>
    <w:rsid w:val="00464196"/>
    <w:rsid w:val="004641E8"/>
    <w:rsid w:val="0046420E"/>
    <w:rsid w:val="00464298"/>
    <w:rsid w:val="004646E9"/>
    <w:rsid w:val="0046488C"/>
    <w:rsid w:val="0046489E"/>
    <w:rsid w:val="00464A4E"/>
    <w:rsid w:val="00464AC3"/>
    <w:rsid w:val="00464C7D"/>
    <w:rsid w:val="00464CE2"/>
    <w:rsid w:val="00464FA8"/>
    <w:rsid w:val="00465122"/>
    <w:rsid w:val="00465359"/>
    <w:rsid w:val="0046546D"/>
    <w:rsid w:val="0046551D"/>
    <w:rsid w:val="00465551"/>
    <w:rsid w:val="004657B2"/>
    <w:rsid w:val="004658C5"/>
    <w:rsid w:val="00465A5B"/>
    <w:rsid w:val="004660F6"/>
    <w:rsid w:val="00466269"/>
    <w:rsid w:val="004664F0"/>
    <w:rsid w:val="00466608"/>
    <w:rsid w:val="0046667A"/>
    <w:rsid w:val="00466735"/>
    <w:rsid w:val="0046698F"/>
    <w:rsid w:val="00466A43"/>
    <w:rsid w:val="00466DB7"/>
    <w:rsid w:val="00466FCB"/>
    <w:rsid w:val="004671AE"/>
    <w:rsid w:val="004672B1"/>
    <w:rsid w:val="004672EF"/>
    <w:rsid w:val="0046732E"/>
    <w:rsid w:val="00467A55"/>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1EBE"/>
    <w:rsid w:val="00472016"/>
    <w:rsid w:val="00472039"/>
    <w:rsid w:val="0047209C"/>
    <w:rsid w:val="004720D5"/>
    <w:rsid w:val="00472355"/>
    <w:rsid w:val="00472384"/>
    <w:rsid w:val="00472423"/>
    <w:rsid w:val="004724EE"/>
    <w:rsid w:val="004728DE"/>
    <w:rsid w:val="0047297D"/>
    <w:rsid w:val="00472C48"/>
    <w:rsid w:val="00472EB7"/>
    <w:rsid w:val="00472EF7"/>
    <w:rsid w:val="004730D6"/>
    <w:rsid w:val="0047351A"/>
    <w:rsid w:val="004736AF"/>
    <w:rsid w:val="00473B52"/>
    <w:rsid w:val="00473BCA"/>
    <w:rsid w:val="00473DDD"/>
    <w:rsid w:val="00473E75"/>
    <w:rsid w:val="00473F03"/>
    <w:rsid w:val="00473F20"/>
    <w:rsid w:val="00473F25"/>
    <w:rsid w:val="00473F99"/>
    <w:rsid w:val="00474059"/>
    <w:rsid w:val="00474153"/>
    <w:rsid w:val="004741B0"/>
    <w:rsid w:val="004741ED"/>
    <w:rsid w:val="00474489"/>
    <w:rsid w:val="00474494"/>
    <w:rsid w:val="004747C0"/>
    <w:rsid w:val="00474901"/>
    <w:rsid w:val="004749B1"/>
    <w:rsid w:val="00474D4D"/>
    <w:rsid w:val="00474DB4"/>
    <w:rsid w:val="00474F7A"/>
    <w:rsid w:val="00475106"/>
    <w:rsid w:val="004755A4"/>
    <w:rsid w:val="004755B2"/>
    <w:rsid w:val="00475607"/>
    <w:rsid w:val="004759D6"/>
    <w:rsid w:val="00475DDF"/>
    <w:rsid w:val="00475EB7"/>
    <w:rsid w:val="00475EF9"/>
    <w:rsid w:val="004760A4"/>
    <w:rsid w:val="00476129"/>
    <w:rsid w:val="0047647F"/>
    <w:rsid w:val="00476816"/>
    <w:rsid w:val="00476822"/>
    <w:rsid w:val="004768A1"/>
    <w:rsid w:val="004769D3"/>
    <w:rsid w:val="004769D5"/>
    <w:rsid w:val="00477802"/>
    <w:rsid w:val="00477938"/>
    <w:rsid w:val="00477B54"/>
    <w:rsid w:val="00477B57"/>
    <w:rsid w:val="00480096"/>
    <w:rsid w:val="004802F4"/>
    <w:rsid w:val="004807A8"/>
    <w:rsid w:val="0048093B"/>
    <w:rsid w:val="004809A3"/>
    <w:rsid w:val="00480F1D"/>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903"/>
    <w:rsid w:val="00482B33"/>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75"/>
    <w:rsid w:val="004844DB"/>
    <w:rsid w:val="00484762"/>
    <w:rsid w:val="0048479B"/>
    <w:rsid w:val="00484B12"/>
    <w:rsid w:val="00484B2D"/>
    <w:rsid w:val="00484B3E"/>
    <w:rsid w:val="00484EE4"/>
    <w:rsid w:val="004852EE"/>
    <w:rsid w:val="00485858"/>
    <w:rsid w:val="00485904"/>
    <w:rsid w:val="004859CD"/>
    <w:rsid w:val="00485C1D"/>
    <w:rsid w:val="00485C55"/>
    <w:rsid w:val="00485E19"/>
    <w:rsid w:val="004860C5"/>
    <w:rsid w:val="0048613E"/>
    <w:rsid w:val="00486215"/>
    <w:rsid w:val="00486672"/>
    <w:rsid w:val="00486A3E"/>
    <w:rsid w:val="00486AC4"/>
    <w:rsid w:val="00486BB9"/>
    <w:rsid w:val="00486EC6"/>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B65"/>
    <w:rsid w:val="00490CE2"/>
    <w:rsid w:val="00490F7C"/>
    <w:rsid w:val="004910E9"/>
    <w:rsid w:val="00491173"/>
    <w:rsid w:val="00491443"/>
    <w:rsid w:val="004915BF"/>
    <w:rsid w:val="00491711"/>
    <w:rsid w:val="00491735"/>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0D3"/>
    <w:rsid w:val="004931DB"/>
    <w:rsid w:val="00493278"/>
    <w:rsid w:val="0049334B"/>
    <w:rsid w:val="004933AD"/>
    <w:rsid w:val="004936C0"/>
    <w:rsid w:val="0049379C"/>
    <w:rsid w:val="00493956"/>
    <w:rsid w:val="00493F7B"/>
    <w:rsid w:val="004940F6"/>
    <w:rsid w:val="004941FC"/>
    <w:rsid w:val="00494240"/>
    <w:rsid w:val="004942E4"/>
    <w:rsid w:val="00494333"/>
    <w:rsid w:val="00494904"/>
    <w:rsid w:val="004949B4"/>
    <w:rsid w:val="00494C2E"/>
    <w:rsid w:val="00494EF5"/>
    <w:rsid w:val="00495188"/>
    <w:rsid w:val="0049534C"/>
    <w:rsid w:val="00495397"/>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85"/>
    <w:rsid w:val="00497AF8"/>
    <w:rsid w:val="00497D3E"/>
    <w:rsid w:val="004A00A0"/>
    <w:rsid w:val="004A039F"/>
    <w:rsid w:val="004A053C"/>
    <w:rsid w:val="004A06C1"/>
    <w:rsid w:val="004A0B5A"/>
    <w:rsid w:val="004A0B66"/>
    <w:rsid w:val="004A0FC8"/>
    <w:rsid w:val="004A1240"/>
    <w:rsid w:val="004A1346"/>
    <w:rsid w:val="004A1636"/>
    <w:rsid w:val="004A1C93"/>
    <w:rsid w:val="004A1F90"/>
    <w:rsid w:val="004A24C2"/>
    <w:rsid w:val="004A2583"/>
    <w:rsid w:val="004A273A"/>
    <w:rsid w:val="004A27FC"/>
    <w:rsid w:val="004A2810"/>
    <w:rsid w:val="004A2945"/>
    <w:rsid w:val="004A2C49"/>
    <w:rsid w:val="004A30E8"/>
    <w:rsid w:val="004A35D1"/>
    <w:rsid w:val="004A3719"/>
    <w:rsid w:val="004A3941"/>
    <w:rsid w:val="004A3C5F"/>
    <w:rsid w:val="004A3C67"/>
    <w:rsid w:val="004A3CE4"/>
    <w:rsid w:val="004A3DB8"/>
    <w:rsid w:val="004A3E15"/>
    <w:rsid w:val="004A3FA4"/>
    <w:rsid w:val="004A406D"/>
    <w:rsid w:val="004A40A3"/>
    <w:rsid w:val="004A425A"/>
    <w:rsid w:val="004A4329"/>
    <w:rsid w:val="004A43A8"/>
    <w:rsid w:val="004A44F5"/>
    <w:rsid w:val="004A458C"/>
    <w:rsid w:val="004A4670"/>
    <w:rsid w:val="004A4848"/>
    <w:rsid w:val="004A48BB"/>
    <w:rsid w:val="004A4CB1"/>
    <w:rsid w:val="004A4F52"/>
    <w:rsid w:val="004A4F88"/>
    <w:rsid w:val="004A4FB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6F6"/>
    <w:rsid w:val="004A776F"/>
    <w:rsid w:val="004A786A"/>
    <w:rsid w:val="004A78F8"/>
    <w:rsid w:val="004B00A9"/>
    <w:rsid w:val="004B0420"/>
    <w:rsid w:val="004B0461"/>
    <w:rsid w:val="004B0495"/>
    <w:rsid w:val="004B0575"/>
    <w:rsid w:val="004B07E2"/>
    <w:rsid w:val="004B08FE"/>
    <w:rsid w:val="004B0983"/>
    <w:rsid w:val="004B0A52"/>
    <w:rsid w:val="004B0BD6"/>
    <w:rsid w:val="004B0FCE"/>
    <w:rsid w:val="004B1124"/>
    <w:rsid w:val="004B1186"/>
    <w:rsid w:val="004B14FA"/>
    <w:rsid w:val="004B1565"/>
    <w:rsid w:val="004B1687"/>
    <w:rsid w:val="004B1D68"/>
    <w:rsid w:val="004B1FD7"/>
    <w:rsid w:val="004B2764"/>
    <w:rsid w:val="004B2C16"/>
    <w:rsid w:val="004B2C7A"/>
    <w:rsid w:val="004B2EF7"/>
    <w:rsid w:val="004B2FC6"/>
    <w:rsid w:val="004B350E"/>
    <w:rsid w:val="004B3630"/>
    <w:rsid w:val="004B39DB"/>
    <w:rsid w:val="004B3B99"/>
    <w:rsid w:val="004B3D57"/>
    <w:rsid w:val="004B40F6"/>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3F3"/>
    <w:rsid w:val="004B6486"/>
    <w:rsid w:val="004B65C1"/>
    <w:rsid w:val="004B662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371"/>
    <w:rsid w:val="004C03CD"/>
    <w:rsid w:val="004C0490"/>
    <w:rsid w:val="004C0721"/>
    <w:rsid w:val="004C100B"/>
    <w:rsid w:val="004C11AB"/>
    <w:rsid w:val="004C130F"/>
    <w:rsid w:val="004C1409"/>
    <w:rsid w:val="004C147D"/>
    <w:rsid w:val="004C153A"/>
    <w:rsid w:val="004C16AA"/>
    <w:rsid w:val="004C19F0"/>
    <w:rsid w:val="004C1C8D"/>
    <w:rsid w:val="004C1D42"/>
    <w:rsid w:val="004C1D65"/>
    <w:rsid w:val="004C1F3B"/>
    <w:rsid w:val="004C2112"/>
    <w:rsid w:val="004C2120"/>
    <w:rsid w:val="004C228C"/>
    <w:rsid w:val="004C22D4"/>
    <w:rsid w:val="004C22FC"/>
    <w:rsid w:val="004C2547"/>
    <w:rsid w:val="004C2840"/>
    <w:rsid w:val="004C288A"/>
    <w:rsid w:val="004C2F53"/>
    <w:rsid w:val="004C2F6C"/>
    <w:rsid w:val="004C306D"/>
    <w:rsid w:val="004C3202"/>
    <w:rsid w:val="004C325D"/>
    <w:rsid w:val="004C3317"/>
    <w:rsid w:val="004C36AD"/>
    <w:rsid w:val="004C36B4"/>
    <w:rsid w:val="004C3976"/>
    <w:rsid w:val="004C39EC"/>
    <w:rsid w:val="004C3AC3"/>
    <w:rsid w:val="004C3D8B"/>
    <w:rsid w:val="004C3DB9"/>
    <w:rsid w:val="004C3DCE"/>
    <w:rsid w:val="004C3F4B"/>
    <w:rsid w:val="004C4082"/>
    <w:rsid w:val="004C40CF"/>
    <w:rsid w:val="004C43B8"/>
    <w:rsid w:val="004C470C"/>
    <w:rsid w:val="004C4864"/>
    <w:rsid w:val="004C486E"/>
    <w:rsid w:val="004C4A2C"/>
    <w:rsid w:val="004C4A30"/>
    <w:rsid w:val="004C4AE7"/>
    <w:rsid w:val="004C4BCC"/>
    <w:rsid w:val="004C4D68"/>
    <w:rsid w:val="004C4D88"/>
    <w:rsid w:val="004C508A"/>
    <w:rsid w:val="004C50AA"/>
    <w:rsid w:val="004C51EB"/>
    <w:rsid w:val="004C5516"/>
    <w:rsid w:val="004C554D"/>
    <w:rsid w:val="004C5695"/>
    <w:rsid w:val="004C5868"/>
    <w:rsid w:val="004C58D8"/>
    <w:rsid w:val="004C59D6"/>
    <w:rsid w:val="004C5A33"/>
    <w:rsid w:val="004C5BB5"/>
    <w:rsid w:val="004C5D01"/>
    <w:rsid w:val="004C5E1F"/>
    <w:rsid w:val="004C5E27"/>
    <w:rsid w:val="004C5E60"/>
    <w:rsid w:val="004C5E8F"/>
    <w:rsid w:val="004C5F7D"/>
    <w:rsid w:val="004C64F6"/>
    <w:rsid w:val="004C6756"/>
    <w:rsid w:val="004C6B5D"/>
    <w:rsid w:val="004C6C22"/>
    <w:rsid w:val="004C704C"/>
    <w:rsid w:val="004C7211"/>
    <w:rsid w:val="004C72E1"/>
    <w:rsid w:val="004C7D3A"/>
    <w:rsid w:val="004C7E70"/>
    <w:rsid w:val="004D03CC"/>
    <w:rsid w:val="004D053C"/>
    <w:rsid w:val="004D05FF"/>
    <w:rsid w:val="004D074C"/>
    <w:rsid w:val="004D0872"/>
    <w:rsid w:val="004D0C2E"/>
    <w:rsid w:val="004D0CF5"/>
    <w:rsid w:val="004D0E23"/>
    <w:rsid w:val="004D0FEC"/>
    <w:rsid w:val="004D10AC"/>
    <w:rsid w:val="004D10FD"/>
    <w:rsid w:val="004D1154"/>
    <w:rsid w:val="004D1191"/>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52F"/>
    <w:rsid w:val="004D354E"/>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633"/>
    <w:rsid w:val="004D57ED"/>
    <w:rsid w:val="004D598D"/>
    <w:rsid w:val="004D5BC2"/>
    <w:rsid w:val="004D5BE8"/>
    <w:rsid w:val="004D5E46"/>
    <w:rsid w:val="004D64B2"/>
    <w:rsid w:val="004D66C9"/>
    <w:rsid w:val="004D66D9"/>
    <w:rsid w:val="004D6765"/>
    <w:rsid w:val="004D6B60"/>
    <w:rsid w:val="004D6FC1"/>
    <w:rsid w:val="004D7442"/>
    <w:rsid w:val="004D7568"/>
    <w:rsid w:val="004D75A7"/>
    <w:rsid w:val="004D78AA"/>
    <w:rsid w:val="004D79C6"/>
    <w:rsid w:val="004D7DEA"/>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CA9"/>
    <w:rsid w:val="004E1D7B"/>
    <w:rsid w:val="004E1FF2"/>
    <w:rsid w:val="004E2740"/>
    <w:rsid w:val="004E2772"/>
    <w:rsid w:val="004E2DF0"/>
    <w:rsid w:val="004E2EAE"/>
    <w:rsid w:val="004E31D9"/>
    <w:rsid w:val="004E3204"/>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D39"/>
    <w:rsid w:val="004E5E78"/>
    <w:rsid w:val="004E5E8F"/>
    <w:rsid w:val="004E5F14"/>
    <w:rsid w:val="004E6220"/>
    <w:rsid w:val="004E6330"/>
    <w:rsid w:val="004E6474"/>
    <w:rsid w:val="004E6487"/>
    <w:rsid w:val="004E651E"/>
    <w:rsid w:val="004E660C"/>
    <w:rsid w:val="004E6729"/>
    <w:rsid w:val="004E6857"/>
    <w:rsid w:val="004E69DB"/>
    <w:rsid w:val="004E6B94"/>
    <w:rsid w:val="004E6E66"/>
    <w:rsid w:val="004E6FF2"/>
    <w:rsid w:val="004E7095"/>
    <w:rsid w:val="004E70BF"/>
    <w:rsid w:val="004E75E3"/>
    <w:rsid w:val="004E7627"/>
    <w:rsid w:val="004E7761"/>
    <w:rsid w:val="004E79D9"/>
    <w:rsid w:val="004E7A13"/>
    <w:rsid w:val="004E7ADD"/>
    <w:rsid w:val="004E7D16"/>
    <w:rsid w:val="004E7E0B"/>
    <w:rsid w:val="004F0319"/>
    <w:rsid w:val="004F0731"/>
    <w:rsid w:val="004F0747"/>
    <w:rsid w:val="004F0ACD"/>
    <w:rsid w:val="004F0DC1"/>
    <w:rsid w:val="004F0E5A"/>
    <w:rsid w:val="004F0F71"/>
    <w:rsid w:val="004F0FD2"/>
    <w:rsid w:val="004F104B"/>
    <w:rsid w:val="004F1073"/>
    <w:rsid w:val="004F128F"/>
    <w:rsid w:val="004F1420"/>
    <w:rsid w:val="004F15DE"/>
    <w:rsid w:val="004F1A6A"/>
    <w:rsid w:val="004F1DDB"/>
    <w:rsid w:val="004F1F4D"/>
    <w:rsid w:val="004F2217"/>
    <w:rsid w:val="004F22E1"/>
    <w:rsid w:val="004F2607"/>
    <w:rsid w:val="004F292C"/>
    <w:rsid w:val="004F2A6D"/>
    <w:rsid w:val="004F2BAB"/>
    <w:rsid w:val="004F2BDE"/>
    <w:rsid w:val="004F2C23"/>
    <w:rsid w:val="004F2D9A"/>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376"/>
    <w:rsid w:val="004F4752"/>
    <w:rsid w:val="004F4870"/>
    <w:rsid w:val="004F4990"/>
    <w:rsid w:val="004F4D17"/>
    <w:rsid w:val="004F4FDD"/>
    <w:rsid w:val="004F50AD"/>
    <w:rsid w:val="004F535D"/>
    <w:rsid w:val="004F54BD"/>
    <w:rsid w:val="004F55EA"/>
    <w:rsid w:val="004F599C"/>
    <w:rsid w:val="004F6066"/>
    <w:rsid w:val="004F61E3"/>
    <w:rsid w:val="004F6349"/>
    <w:rsid w:val="004F639C"/>
    <w:rsid w:val="004F6435"/>
    <w:rsid w:val="004F66C8"/>
    <w:rsid w:val="004F670B"/>
    <w:rsid w:val="004F68E3"/>
    <w:rsid w:val="004F6B36"/>
    <w:rsid w:val="004F6DC6"/>
    <w:rsid w:val="004F6E67"/>
    <w:rsid w:val="004F70B5"/>
    <w:rsid w:val="004F75F7"/>
    <w:rsid w:val="004F7691"/>
    <w:rsid w:val="004F78C8"/>
    <w:rsid w:val="004F7A5D"/>
    <w:rsid w:val="004F7B83"/>
    <w:rsid w:val="004F7D30"/>
    <w:rsid w:val="004F7DAE"/>
    <w:rsid w:val="004F7FC7"/>
    <w:rsid w:val="0050023C"/>
    <w:rsid w:val="00500AC9"/>
    <w:rsid w:val="00500DA9"/>
    <w:rsid w:val="00500FA8"/>
    <w:rsid w:val="005013E9"/>
    <w:rsid w:val="005015E0"/>
    <w:rsid w:val="00501649"/>
    <w:rsid w:val="00501682"/>
    <w:rsid w:val="005016C9"/>
    <w:rsid w:val="005017FC"/>
    <w:rsid w:val="00501942"/>
    <w:rsid w:val="00501BD4"/>
    <w:rsid w:val="00501E75"/>
    <w:rsid w:val="00502355"/>
    <w:rsid w:val="005024F5"/>
    <w:rsid w:val="00502573"/>
    <w:rsid w:val="0050271D"/>
    <w:rsid w:val="00502728"/>
    <w:rsid w:val="00502DA6"/>
    <w:rsid w:val="0050319D"/>
    <w:rsid w:val="005031B4"/>
    <w:rsid w:val="00503228"/>
    <w:rsid w:val="00503327"/>
    <w:rsid w:val="005034A0"/>
    <w:rsid w:val="005035D6"/>
    <w:rsid w:val="00503948"/>
    <w:rsid w:val="005039CC"/>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780"/>
    <w:rsid w:val="0050693D"/>
    <w:rsid w:val="00506B42"/>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76"/>
    <w:rsid w:val="00507EC6"/>
    <w:rsid w:val="00510035"/>
    <w:rsid w:val="005100D9"/>
    <w:rsid w:val="005104C5"/>
    <w:rsid w:val="0051058D"/>
    <w:rsid w:val="0051066B"/>
    <w:rsid w:val="00510766"/>
    <w:rsid w:val="0051082E"/>
    <w:rsid w:val="00510C64"/>
    <w:rsid w:val="00510DE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6EA"/>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E2"/>
    <w:rsid w:val="00514A01"/>
    <w:rsid w:val="00514B4F"/>
    <w:rsid w:val="005151AE"/>
    <w:rsid w:val="00515238"/>
    <w:rsid w:val="0051557F"/>
    <w:rsid w:val="005156C8"/>
    <w:rsid w:val="00515A8D"/>
    <w:rsid w:val="00515DEB"/>
    <w:rsid w:val="00515E1A"/>
    <w:rsid w:val="0051618D"/>
    <w:rsid w:val="005161C1"/>
    <w:rsid w:val="005167F0"/>
    <w:rsid w:val="0051687D"/>
    <w:rsid w:val="005169B6"/>
    <w:rsid w:val="00516B04"/>
    <w:rsid w:val="00516F93"/>
    <w:rsid w:val="00517139"/>
    <w:rsid w:val="0051713F"/>
    <w:rsid w:val="00517299"/>
    <w:rsid w:val="00517441"/>
    <w:rsid w:val="005176F7"/>
    <w:rsid w:val="005177DB"/>
    <w:rsid w:val="00517830"/>
    <w:rsid w:val="00517871"/>
    <w:rsid w:val="005178F0"/>
    <w:rsid w:val="00517A3D"/>
    <w:rsid w:val="00517A74"/>
    <w:rsid w:val="00517EE4"/>
    <w:rsid w:val="00517F52"/>
    <w:rsid w:val="0052017B"/>
    <w:rsid w:val="0052052D"/>
    <w:rsid w:val="005205B6"/>
    <w:rsid w:val="00520708"/>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58B"/>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CE"/>
    <w:rsid w:val="005251EB"/>
    <w:rsid w:val="005253DB"/>
    <w:rsid w:val="005259A9"/>
    <w:rsid w:val="00525C6E"/>
    <w:rsid w:val="00525D60"/>
    <w:rsid w:val="0052628E"/>
    <w:rsid w:val="005262A1"/>
    <w:rsid w:val="005264CD"/>
    <w:rsid w:val="005266BF"/>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568"/>
    <w:rsid w:val="005335C9"/>
    <w:rsid w:val="00533664"/>
    <w:rsid w:val="005338EA"/>
    <w:rsid w:val="00533912"/>
    <w:rsid w:val="00533C0A"/>
    <w:rsid w:val="00533C2D"/>
    <w:rsid w:val="00533F25"/>
    <w:rsid w:val="00533FD9"/>
    <w:rsid w:val="005341C6"/>
    <w:rsid w:val="00534376"/>
    <w:rsid w:val="0053484F"/>
    <w:rsid w:val="00534959"/>
    <w:rsid w:val="00534A24"/>
    <w:rsid w:val="00534BBD"/>
    <w:rsid w:val="00534BD4"/>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9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BD7"/>
    <w:rsid w:val="00540C88"/>
    <w:rsid w:val="00540D31"/>
    <w:rsid w:val="00540D35"/>
    <w:rsid w:val="00540D81"/>
    <w:rsid w:val="00540D97"/>
    <w:rsid w:val="00540EBE"/>
    <w:rsid w:val="00540F79"/>
    <w:rsid w:val="00541207"/>
    <w:rsid w:val="0054132D"/>
    <w:rsid w:val="00541555"/>
    <w:rsid w:val="00541AD3"/>
    <w:rsid w:val="00541B36"/>
    <w:rsid w:val="00541CD1"/>
    <w:rsid w:val="00541DC9"/>
    <w:rsid w:val="00541E06"/>
    <w:rsid w:val="00541FCC"/>
    <w:rsid w:val="00542053"/>
    <w:rsid w:val="0054209A"/>
    <w:rsid w:val="005420E4"/>
    <w:rsid w:val="005421B1"/>
    <w:rsid w:val="00542212"/>
    <w:rsid w:val="005423A5"/>
    <w:rsid w:val="0054284A"/>
    <w:rsid w:val="005429E1"/>
    <w:rsid w:val="00542B25"/>
    <w:rsid w:val="00542DD5"/>
    <w:rsid w:val="005433E9"/>
    <w:rsid w:val="00543555"/>
    <w:rsid w:val="0054384C"/>
    <w:rsid w:val="00543983"/>
    <w:rsid w:val="00543AC9"/>
    <w:rsid w:val="00543AE6"/>
    <w:rsid w:val="00543B25"/>
    <w:rsid w:val="00543BCD"/>
    <w:rsid w:val="00543DE6"/>
    <w:rsid w:val="00543DF4"/>
    <w:rsid w:val="00543F80"/>
    <w:rsid w:val="0054402D"/>
    <w:rsid w:val="00544325"/>
    <w:rsid w:val="005446DB"/>
    <w:rsid w:val="0054492F"/>
    <w:rsid w:val="00544BD5"/>
    <w:rsid w:val="00544C4D"/>
    <w:rsid w:val="00545039"/>
    <w:rsid w:val="00545139"/>
    <w:rsid w:val="00545171"/>
    <w:rsid w:val="00545239"/>
    <w:rsid w:val="00545306"/>
    <w:rsid w:val="0054552D"/>
    <w:rsid w:val="00545B6F"/>
    <w:rsid w:val="00545B72"/>
    <w:rsid w:val="00545D40"/>
    <w:rsid w:val="00545DCC"/>
    <w:rsid w:val="00545EE0"/>
    <w:rsid w:val="00545EE7"/>
    <w:rsid w:val="00545FEA"/>
    <w:rsid w:val="00546087"/>
    <w:rsid w:val="005462C8"/>
    <w:rsid w:val="0054637F"/>
    <w:rsid w:val="00546442"/>
    <w:rsid w:val="005465AC"/>
    <w:rsid w:val="00546609"/>
    <w:rsid w:val="005466CB"/>
    <w:rsid w:val="005467F8"/>
    <w:rsid w:val="0054685F"/>
    <w:rsid w:val="00546860"/>
    <w:rsid w:val="00546C93"/>
    <w:rsid w:val="00547183"/>
    <w:rsid w:val="005471CF"/>
    <w:rsid w:val="0054720F"/>
    <w:rsid w:val="005473EF"/>
    <w:rsid w:val="00547524"/>
    <w:rsid w:val="005476CA"/>
    <w:rsid w:val="005478D7"/>
    <w:rsid w:val="00547F9C"/>
    <w:rsid w:val="005501FB"/>
    <w:rsid w:val="005503D2"/>
    <w:rsid w:val="005505D4"/>
    <w:rsid w:val="005506ED"/>
    <w:rsid w:val="00550771"/>
    <w:rsid w:val="005507E7"/>
    <w:rsid w:val="0055095F"/>
    <w:rsid w:val="005509B9"/>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D99"/>
    <w:rsid w:val="00553E7F"/>
    <w:rsid w:val="00553FC8"/>
    <w:rsid w:val="00553FF7"/>
    <w:rsid w:val="00554519"/>
    <w:rsid w:val="00554554"/>
    <w:rsid w:val="00554643"/>
    <w:rsid w:val="005546F8"/>
    <w:rsid w:val="00554735"/>
    <w:rsid w:val="005548AC"/>
    <w:rsid w:val="00554FE7"/>
    <w:rsid w:val="00555056"/>
    <w:rsid w:val="0055508D"/>
    <w:rsid w:val="005550F2"/>
    <w:rsid w:val="00555341"/>
    <w:rsid w:val="005559CB"/>
    <w:rsid w:val="00555A56"/>
    <w:rsid w:val="00555AC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DB7"/>
    <w:rsid w:val="00556E9E"/>
    <w:rsid w:val="005571A1"/>
    <w:rsid w:val="00557648"/>
    <w:rsid w:val="005577C4"/>
    <w:rsid w:val="00557D30"/>
    <w:rsid w:val="00560344"/>
    <w:rsid w:val="005603D9"/>
    <w:rsid w:val="00560420"/>
    <w:rsid w:val="0056044E"/>
    <w:rsid w:val="0056055F"/>
    <w:rsid w:val="005607CA"/>
    <w:rsid w:val="005608DB"/>
    <w:rsid w:val="00561001"/>
    <w:rsid w:val="00561038"/>
    <w:rsid w:val="00561075"/>
    <w:rsid w:val="005611A8"/>
    <w:rsid w:val="00561329"/>
    <w:rsid w:val="00561446"/>
    <w:rsid w:val="0056153B"/>
    <w:rsid w:val="005617D0"/>
    <w:rsid w:val="005618F1"/>
    <w:rsid w:val="00561AC8"/>
    <w:rsid w:val="00561AD8"/>
    <w:rsid w:val="00561C44"/>
    <w:rsid w:val="00561E31"/>
    <w:rsid w:val="00561FAD"/>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0"/>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4C2"/>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52C"/>
    <w:rsid w:val="00570707"/>
    <w:rsid w:val="00570896"/>
    <w:rsid w:val="005708B3"/>
    <w:rsid w:val="00571152"/>
    <w:rsid w:val="005715E8"/>
    <w:rsid w:val="005717D2"/>
    <w:rsid w:val="00571987"/>
    <w:rsid w:val="00571C53"/>
    <w:rsid w:val="00571C5B"/>
    <w:rsid w:val="00571FD3"/>
    <w:rsid w:val="00572088"/>
    <w:rsid w:val="0057212C"/>
    <w:rsid w:val="00572859"/>
    <w:rsid w:val="00572941"/>
    <w:rsid w:val="00572B74"/>
    <w:rsid w:val="00572CB1"/>
    <w:rsid w:val="00572DEE"/>
    <w:rsid w:val="0057335A"/>
    <w:rsid w:val="005735DF"/>
    <w:rsid w:val="00573815"/>
    <w:rsid w:val="0057393D"/>
    <w:rsid w:val="00573978"/>
    <w:rsid w:val="00573AC3"/>
    <w:rsid w:val="00573C9E"/>
    <w:rsid w:val="00573E28"/>
    <w:rsid w:val="005740C0"/>
    <w:rsid w:val="00574280"/>
    <w:rsid w:val="005742E1"/>
    <w:rsid w:val="00574424"/>
    <w:rsid w:val="005744BF"/>
    <w:rsid w:val="00574529"/>
    <w:rsid w:val="0057456B"/>
    <w:rsid w:val="00574C88"/>
    <w:rsid w:val="00574F21"/>
    <w:rsid w:val="005750CD"/>
    <w:rsid w:val="00575315"/>
    <w:rsid w:val="00575378"/>
    <w:rsid w:val="005754EE"/>
    <w:rsid w:val="00575506"/>
    <w:rsid w:val="00575AEB"/>
    <w:rsid w:val="00575E57"/>
    <w:rsid w:val="0057601E"/>
    <w:rsid w:val="00576180"/>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3C7"/>
    <w:rsid w:val="0057777F"/>
    <w:rsid w:val="005779CF"/>
    <w:rsid w:val="00577BEE"/>
    <w:rsid w:val="00577DDD"/>
    <w:rsid w:val="00577F0C"/>
    <w:rsid w:val="00577F3D"/>
    <w:rsid w:val="00577FA5"/>
    <w:rsid w:val="00580073"/>
    <w:rsid w:val="00580602"/>
    <w:rsid w:val="00580669"/>
    <w:rsid w:val="00580B68"/>
    <w:rsid w:val="00580D5A"/>
    <w:rsid w:val="00580F2F"/>
    <w:rsid w:val="00581066"/>
    <w:rsid w:val="005811FF"/>
    <w:rsid w:val="00581413"/>
    <w:rsid w:val="00581442"/>
    <w:rsid w:val="00581498"/>
    <w:rsid w:val="0058159F"/>
    <w:rsid w:val="005815A1"/>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42B"/>
    <w:rsid w:val="0058361D"/>
    <w:rsid w:val="005839EF"/>
    <w:rsid w:val="00583E24"/>
    <w:rsid w:val="00584267"/>
    <w:rsid w:val="00584368"/>
    <w:rsid w:val="005845B8"/>
    <w:rsid w:val="005845EF"/>
    <w:rsid w:val="00584860"/>
    <w:rsid w:val="00584865"/>
    <w:rsid w:val="00584D9D"/>
    <w:rsid w:val="00584EAC"/>
    <w:rsid w:val="00585427"/>
    <w:rsid w:val="0058555E"/>
    <w:rsid w:val="0058561C"/>
    <w:rsid w:val="00585846"/>
    <w:rsid w:val="00585CE1"/>
    <w:rsid w:val="00585D4C"/>
    <w:rsid w:val="00585D87"/>
    <w:rsid w:val="00585DE7"/>
    <w:rsid w:val="00585ECD"/>
    <w:rsid w:val="005863A7"/>
    <w:rsid w:val="005864DF"/>
    <w:rsid w:val="00586571"/>
    <w:rsid w:val="005865DE"/>
    <w:rsid w:val="005865EA"/>
    <w:rsid w:val="005866D5"/>
    <w:rsid w:val="00586D23"/>
    <w:rsid w:val="00586D58"/>
    <w:rsid w:val="00586D72"/>
    <w:rsid w:val="00586F1B"/>
    <w:rsid w:val="0058716D"/>
    <w:rsid w:val="0058773E"/>
    <w:rsid w:val="00587A6C"/>
    <w:rsid w:val="005900BF"/>
    <w:rsid w:val="005902D0"/>
    <w:rsid w:val="005907FE"/>
    <w:rsid w:val="00590CA6"/>
    <w:rsid w:val="00590CB2"/>
    <w:rsid w:val="00590CFA"/>
    <w:rsid w:val="00590F63"/>
    <w:rsid w:val="005915BE"/>
    <w:rsid w:val="005917C0"/>
    <w:rsid w:val="0059195C"/>
    <w:rsid w:val="00591A04"/>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5D0"/>
    <w:rsid w:val="0059389C"/>
    <w:rsid w:val="00593C7C"/>
    <w:rsid w:val="00593D33"/>
    <w:rsid w:val="0059405A"/>
    <w:rsid w:val="00594208"/>
    <w:rsid w:val="00594506"/>
    <w:rsid w:val="00594523"/>
    <w:rsid w:val="005947B9"/>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CC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9F7"/>
    <w:rsid w:val="005A2F44"/>
    <w:rsid w:val="005A2F45"/>
    <w:rsid w:val="005A2F85"/>
    <w:rsid w:val="005A307E"/>
    <w:rsid w:val="005A30B5"/>
    <w:rsid w:val="005A36BC"/>
    <w:rsid w:val="005A37E5"/>
    <w:rsid w:val="005A3933"/>
    <w:rsid w:val="005A3B89"/>
    <w:rsid w:val="005A3DBA"/>
    <w:rsid w:val="005A3EAD"/>
    <w:rsid w:val="005A3EC6"/>
    <w:rsid w:val="005A44AE"/>
    <w:rsid w:val="005A44D3"/>
    <w:rsid w:val="005A4A2A"/>
    <w:rsid w:val="005A4EB2"/>
    <w:rsid w:val="005A4FD3"/>
    <w:rsid w:val="005A523A"/>
    <w:rsid w:val="005A532E"/>
    <w:rsid w:val="005A536D"/>
    <w:rsid w:val="005A53AD"/>
    <w:rsid w:val="005A5532"/>
    <w:rsid w:val="005A5855"/>
    <w:rsid w:val="005A594D"/>
    <w:rsid w:val="005A5953"/>
    <w:rsid w:val="005A5B16"/>
    <w:rsid w:val="005A5FA2"/>
    <w:rsid w:val="005A6109"/>
    <w:rsid w:val="005A624A"/>
    <w:rsid w:val="005A6302"/>
    <w:rsid w:val="005A639A"/>
    <w:rsid w:val="005A63DA"/>
    <w:rsid w:val="005A6824"/>
    <w:rsid w:val="005A6A07"/>
    <w:rsid w:val="005A6AD0"/>
    <w:rsid w:val="005A6D88"/>
    <w:rsid w:val="005A6DC0"/>
    <w:rsid w:val="005A6EC5"/>
    <w:rsid w:val="005A6FAD"/>
    <w:rsid w:val="005A7050"/>
    <w:rsid w:val="005A7369"/>
    <w:rsid w:val="005A7536"/>
    <w:rsid w:val="005A7D06"/>
    <w:rsid w:val="005A7E7E"/>
    <w:rsid w:val="005A7F16"/>
    <w:rsid w:val="005A7F50"/>
    <w:rsid w:val="005B0002"/>
    <w:rsid w:val="005B007D"/>
    <w:rsid w:val="005B00E7"/>
    <w:rsid w:val="005B02E6"/>
    <w:rsid w:val="005B03D8"/>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AC6"/>
    <w:rsid w:val="005B3C99"/>
    <w:rsid w:val="005B3E7B"/>
    <w:rsid w:val="005B3EFF"/>
    <w:rsid w:val="005B404D"/>
    <w:rsid w:val="005B40C9"/>
    <w:rsid w:val="005B4888"/>
    <w:rsid w:val="005B49B4"/>
    <w:rsid w:val="005B4B6C"/>
    <w:rsid w:val="005B4D05"/>
    <w:rsid w:val="005B5189"/>
    <w:rsid w:val="005B57CD"/>
    <w:rsid w:val="005B58F8"/>
    <w:rsid w:val="005B5AEA"/>
    <w:rsid w:val="005B5BFF"/>
    <w:rsid w:val="005B5F99"/>
    <w:rsid w:val="005B5FF2"/>
    <w:rsid w:val="005B603E"/>
    <w:rsid w:val="005B60C4"/>
    <w:rsid w:val="005B60D3"/>
    <w:rsid w:val="005B65A2"/>
    <w:rsid w:val="005B670A"/>
    <w:rsid w:val="005B6903"/>
    <w:rsid w:val="005B6996"/>
    <w:rsid w:val="005B69B6"/>
    <w:rsid w:val="005B6A92"/>
    <w:rsid w:val="005B6B20"/>
    <w:rsid w:val="005B6BD4"/>
    <w:rsid w:val="005B6C58"/>
    <w:rsid w:val="005B6DDD"/>
    <w:rsid w:val="005B6E54"/>
    <w:rsid w:val="005B6E6C"/>
    <w:rsid w:val="005B7074"/>
    <w:rsid w:val="005B71B7"/>
    <w:rsid w:val="005B7328"/>
    <w:rsid w:val="005B752A"/>
    <w:rsid w:val="005B752E"/>
    <w:rsid w:val="005B7A43"/>
    <w:rsid w:val="005B7BBC"/>
    <w:rsid w:val="005C0398"/>
    <w:rsid w:val="005C04CD"/>
    <w:rsid w:val="005C08DD"/>
    <w:rsid w:val="005C0C8D"/>
    <w:rsid w:val="005C0D6F"/>
    <w:rsid w:val="005C0E2C"/>
    <w:rsid w:val="005C0F0C"/>
    <w:rsid w:val="005C11B0"/>
    <w:rsid w:val="005C129A"/>
    <w:rsid w:val="005C17B9"/>
    <w:rsid w:val="005C1913"/>
    <w:rsid w:val="005C1B09"/>
    <w:rsid w:val="005C1E5C"/>
    <w:rsid w:val="005C1E93"/>
    <w:rsid w:val="005C200F"/>
    <w:rsid w:val="005C21A6"/>
    <w:rsid w:val="005C2210"/>
    <w:rsid w:val="005C239D"/>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4F4B"/>
    <w:rsid w:val="005C54D3"/>
    <w:rsid w:val="005C5540"/>
    <w:rsid w:val="005C5719"/>
    <w:rsid w:val="005C58BB"/>
    <w:rsid w:val="005C5911"/>
    <w:rsid w:val="005C5944"/>
    <w:rsid w:val="005C5A89"/>
    <w:rsid w:val="005C5B2A"/>
    <w:rsid w:val="005C5E5C"/>
    <w:rsid w:val="005C63CC"/>
    <w:rsid w:val="005C65F6"/>
    <w:rsid w:val="005C668A"/>
    <w:rsid w:val="005C68F2"/>
    <w:rsid w:val="005C6B27"/>
    <w:rsid w:val="005C6B7E"/>
    <w:rsid w:val="005C6BF1"/>
    <w:rsid w:val="005C710E"/>
    <w:rsid w:val="005C737F"/>
    <w:rsid w:val="005C7384"/>
    <w:rsid w:val="005C73EA"/>
    <w:rsid w:val="005C740B"/>
    <w:rsid w:val="005C76C6"/>
    <w:rsid w:val="005C7811"/>
    <w:rsid w:val="005C7C45"/>
    <w:rsid w:val="005C7F60"/>
    <w:rsid w:val="005D0079"/>
    <w:rsid w:val="005D02EF"/>
    <w:rsid w:val="005D032D"/>
    <w:rsid w:val="005D0456"/>
    <w:rsid w:val="005D04B0"/>
    <w:rsid w:val="005D0859"/>
    <w:rsid w:val="005D088A"/>
    <w:rsid w:val="005D0980"/>
    <w:rsid w:val="005D10FC"/>
    <w:rsid w:val="005D15F9"/>
    <w:rsid w:val="005D1785"/>
    <w:rsid w:val="005D1BD8"/>
    <w:rsid w:val="005D1CE6"/>
    <w:rsid w:val="005D23E7"/>
    <w:rsid w:val="005D24D1"/>
    <w:rsid w:val="005D2975"/>
    <w:rsid w:val="005D2AB7"/>
    <w:rsid w:val="005D2CCA"/>
    <w:rsid w:val="005D2DE0"/>
    <w:rsid w:val="005D2FFC"/>
    <w:rsid w:val="005D3143"/>
    <w:rsid w:val="005D336D"/>
    <w:rsid w:val="005D33A1"/>
    <w:rsid w:val="005D35FD"/>
    <w:rsid w:val="005D362F"/>
    <w:rsid w:val="005D36A2"/>
    <w:rsid w:val="005D3772"/>
    <w:rsid w:val="005D3842"/>
    <w:rsid w:val="005D396D"/>
    <w:rsid w:val="005D3A16"/>
    <w:rsid w:val="005D3BC1"/>
    <w:rsid w:val="005D3D2C"/>
    <w:rsid w:val="005D3F21"/>
    <w:rsid w:val="005D4550"/>
    <w:rsid w:val="005D4579"/>
    <w:rsid w:val="005D45F8"/>
    <w:rsid w:val="005D48E9"/>
    <w:rsid w:val="005D4B6E"/>
    <w:rsid w:val="005D4C8B"/>
    <w:rsid w:val="005D5032"/>
    <w:rsid w:val="005D520D"/>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5E1"/>
    <w:rsid w:val="005D6848"/>
    <w:rsid w:val="005D68CE"/>
    <w:rsid w:val="005D6B1F"/>
    <w:rsid w:val="005D6B9A"/>
    <w:rsid w:val="005D6BF0"/>
    <w:rsid w:val="005D6D9E"/>
    <w:rsid w:val="005D6E76"/>
    <w:rsid w:val="005D6EF2"/>
    <w:rsid w:val="005D70EF"/>
    <w:rsid w:val="005D7117"/>
    <w:rsid w:val="005D7261"/>
    <w:rsid w:val="005D72C9"/>
    <w:rsid w:val="005D7646"/>
    <w:rsid w:val="005D770B"/>
    <w:rsid w:val="005D7A07"/>
    <w:rsid w:val="005D7C2A"/>
    <w:rsid w:val="005D7CC7"/>
    <w:rsid w:val="005D7DA9"/>
    <w:rsid w:val="005D7DAC"/>
    <w:rsid w:val="005E00A6"/>
    <w:rsid w:val="005E019B"/>
    <w:rsid w:val="005E0B26"/>
    <w:rsid w:val="005E0FEF"/>
    <w:rsid w:val="005E1590"/>
    <w:rsid w:val="005E1749"/>
    <w:rsid w:val="005E1848"/>
    <w:rsid w:val="005E1921"/>
    <w:rsid w:val="005E1C8A"/>
    <w:rsid w:val="005E1DA5"/>
    <w:rsid w:val="005E202B"/>
    <w:rsid w:val="005E222A"/>
    <w:rsid w:val="005E23B5"/>
    <w:rsid w:val="005E23E1"/>
    <w:rsid w:val="005E24E4"/>
    <w:rsid w:val="005E291A"/>
    <w:rsid w:val="005E2B37"/>
    <w:rsid w:val="005E33C3"/>
    <w:rsid w:val="005E3679"/>
    <w:rsid w:val="005E38EB"/>
    <w:rsid w:val="005E3A8C"/>
    <w:rsid w:val="005E3DB2"/>
    <w:rsid w:val="005E4759"/>
    <w:rsid w:val="005E47C2"/>
    <w:rsid w:val="005E4A56"/>
    <w:rsid w:val="005E4BD8"/>
    <w:rsid w:val="005E4F07"/>
    <w:rsid w:val="005E4F2D"/>
    <w:rsid w:val="005E4FE1"/>
    <w:rsid w:val="005E5327"/>
    <w:rsid w:val="005E5605"/>
    <w:rsid w:val="005E5AC7"/>
    <w:rsid w:val="005E5B6D"/>
    <w:rsid w:val="005E5D33"/>
    <w:rsid w:val="005E6164"/>
    <w:rsid w:val="005E6402"/>
    <w:rsid w:val="005E6430"/>
    <w:rsid w:val="005E6457"/>
    <w:rsid w:val="005E64C2"/>
    <w:rsid w:val="005E6DAD"/>
    <w:rsid w:val="005E6E35"/>
    <w:rsid w:val="005E6EB7"/>
    <w:rsid w:val="005E72AA"/>
    <w:rsid w:val="005E73CA"/>
    <w:rsid w:val="005E74F8"/>
    <w:rsid w:val="005E76B5"/>
    <w:rsid w:val="005E7725"/>
    <w:rsid w:val="005E792F"/>
    <w:rsid w:val="005E7E29"/>
    <w:rsid w:val="005F035F"/>
    <w:rsid w:val="005F0396"/>
    <w:rsid w:val="005F03BF"/>
    <w:rsid w:val="005F048D"/>
    <w:rsid w:val="005F049F"/>
    <w:rsid w:val="005F0553"/>
    <w:rsid w:val="005F0580"/>
    <w:rsid w:val="005F0801"/>
    <w:rsid w:val="005F0BFE"/>
    <w:rsid w:val="005F0F57"/>
    <w:rsid w:val="005F0FC1"/>
    <w:rsid w:val="005F0FD2"/>
    <w:rsid w:val="005F173C"/>
    <w:rsid w:val="005F18D0"/>
    <w:rsid w:val="005F1AED"/>
    <w:rsid w:val="005F1D62"/>
    <w:rsid w:val="005F215B"/>
    <w:rsid w:val="005F21BC"/>
    <w:rsid w:val="005F22AF"/>
    <w:rsid w:val="005F25BE"/>
    <w:rsid w:val="005F2711"/>
    <w:rsid w:val="005F2739"/>
    <w:rsid w:val="005F27CD"/>
    <w:rsid w:val="005F2AB4"/>
    <w:rsid w:val="005F2BAE"/>
    <w:rsid w:val="005F2D37"/>
    <w:rsid w:val="005F311F"/>
    <w:rsid w:val="005F3171"/>
    <w:rsid w:val="005F31BB"/>
    <w:rsid w:val="005F32DD"/>
    <w:rsid w:val="005F36BE"/>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1F0"/>
    <w:rsid w:val="005F57E0"/>
    <w:rsid w:val="005F58FD"/>
    <w:rsid w:val="005F599E"/>
    <w:rsid w:val="005F59C1"/>
    <w:rsid w:val="005F5B2D"/>
    <w:rsid w:val="005F5C83"/>
    <w:rsid w:val="005F5ED6"/>
    <w:rsid w:val="005F5FE6"/>
    <w:rsid w:val="005F645C"/>
    <w:rsid w:val="005F64D4"/>
    <w:rsid w:val="005F699D"/>
    <w:rsid w:val="005F6C2C"/>
    <w:rsid w:val="005F6E40"/>
    <w:rsid w:val="005F6EFA"/>
    <w:rsid w:val="005F7011"/>
    <w:rsid w:val="005F70F0"/>
    <w:rsid w:val="005F71A9"/>
    <w:rsid w:val="005F7239"/>
    <w:rsid w:val="005F72F4"/>
    <w:rsid w:val="005F741B"/>
    <w:rsid w:val="005F74FA"/>
    <w:rsid w:val="005F7602"/>
    <w:rsid w:val="005F7682"/>
    <w:rsid w:val="005F7CBF"/>
    <w:rsid w:val="005F7E87"/>
    <w:rsid w:val="005F7E9E"/>
    <w:rsid w:val="005F7ED5"/>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963"/>
    <w:rsid w:val="00603A39"/>
    <w:rsid w:val="00603EAF"/>
    <w:rsid w:val="006043FC"/>
    <w:rsid w:val="006046C4"/>
    <w:rsid w:val="00604734"/>
    <w:rsid w:val="00604770"/>
    <w:rsid w:val="00604AD6"/>
    <w:rsid w:val="00604D09"/>
    <w:rsid w:val="00604EDD"/>
    <w:rsid w:val="00604FBF"/>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57"/>
    <w:rsid w:val="0060748A"/>
    <w:rsid w:val="00607676"/>
    <w:rsid w:val="006076E4"/>
    <w:rsid w:val="00607948"/>
    <w:rsid w:val="006079E8"/>
    <w:rsid w:val="00607B0C"/>
    <w:rsid w:val="00607ECB"/>
    <w:rsid w:val="0061005E"/>
    <w:rsid w:val="0061021C"/>
    <w:rsid w:val="00610920"/>
    <w:rsid w:val="00610B2D"/>
    <w:rsid w:val="00610CCC"/>
    <w:rsid w:val="006114E4"/>
    <w:rsid w:val="00611605"/>
    <w:rsid w:val="00611A40"/>
    <w:rsid w:val="00611EA5"/>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7B1"/>
    <w:rsid w:val="00615B17"/>
    <w:rsid w:val="00615E7C"/>
    <w:rsid w:val="00615FA2"/>
    <w:rsid w:val="00616057"/>
    <w:rsid w:val="0061636D"/>
    <w:rsid w:val="00616373"/>
    <w:rsid w:val="006168DF"/>
    <w:rsid w:val="0061698F"/>
    <w:rsid w:val="00616A4C"/>
    <w:rsid w:val="00616B70"/>
    <w:rsid w:val="00616E0C"/>
    <w:rsid w:val="006174C4"/>
    <w:rsid w:val="00617613"/>
    <w:rsid w:val="0061776F"/>
    <w:rsid w:val="006179DD"/>
    <w:rsid w:val="00617B36"/>
    <w:rsid w:val="00620093"/>
    <w:rsid w:val="006202D7"/>
    <w:rsid w:val="006203E2"/>
    <w:rsid w:val="00620414"/>
    <w:rsid w:val="0062047E"/>
    <w:rsid w:val="0062051B"/>
    <w:rsid w:val="006206D0"/>
    <w:rsid w:val="006207AE"/>
    <w:rsid w:val="00620976"/>
    <w:rsid w:val="00620AAA"/>
    <w:rsid w:val="00620D10"/>
    <w:rsid w:val="00620E82"/>
    <w:rsid w:val="00620EC4"/>
    <w:rsid w:val="0062105C"/>
    <w:rsid w:val="00621521"/>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114"/>
    <w:rsid w:val="00623180"/>
    <w:rsid w:val="0062330E"/>
    <w:rsid w:val="00623323"/>
    <w:rsid w:val="00623327"/>
    <w:rsid w:val="0062335C"/>
    <w:rsid w:val="006234BB"/>
    <w:rsid w:val="006236F1"/>
    <w:rsid w:val="00623B86"/>
    <w:rsid w:val="00623E9D"/>
    <w:rsid w:val="00624010"/>
    <w:rsid w:val="006242E3"/>
    <w:rsid w:val="006242F5"/>
    <w:rsid w:val="006247DF"/>
    <w:rsid w:val="00624804"/>
    <w:rsid w:val="00624919"/>
    <w:rsid w:val="006249AF"/>
    <w:rsid w:val="00624A21"/>
    <w:rsid w:val="00624AAA"/>
    <w:rsid w:val="00624BC5"/>
    <w:rsid w:val="0062528A"/>
    <w:rsid w:val="006252D0"/>
    <w:rsid w:val="00625701"/>
    <w:rsid w:val="006259FA"/>
    <w:rsid w:val="00625AFD"/>
    <w:rsid w:val="00625E11"/>
    <w:rsid w:val="00626043"/>
    <w:rsid w:val="0062606A"/>
    <w:rsid w:val="006264C7"/>
    <w:rsid w:val="00626513"/>
    <w:rsid w:val="00626622"/>
    <w:rsid w:val="00626664"/>
    <w:rsid w:val="00626959"/>
    <w:rsid w:val="006269EF"/>
    <w:rsid w:val="006269F6"/>
    <w:rsid w:val="00626DBE"/>
    <w:rsid w:val="0062711B"/>
    <w:rsid w:val="006274B7"/>
    <w:rsid w:val="0062759C"/>
    <w:rsid w:val="006275B6"/>
    <w:rsid w:val="0062791B"/>
    <w:rsid w:val="00627D8F"/>
    <w:rsid w:val="00627E72"/>
    <w:rsid w:val="00627EA6"/>
    <w:rsid w:val="00630146"/>
    <w:rsid w:val="0063019B"/>
    <w:rsid w:val="00630254"/>
    <w:rsid w:val="00630272"/>
    <w:rsid w:val="006302E5"/>
    <w:rsid w:val="00630341"/>
    <w:rsid w:val="006307CB"/>
    <w:rsid w:val="00630865"/>
    <w:rsid w:val="006309C3"/>
    <w:rsid w:val="00630B19"/>
    <w:rsid w:val="00630BC2"/>
    <w:rsid w:val="00630BFE"/>
    <w:rsid w:val="00630C59"/>
    <w:rsid w:val="00630D89"/>
    <w:rsid w:val="00630FE0"/>
    <w:rsid w:val="00631034"/>
    <w:rsid w:val="00631229"/>
    <w:rsid w:val="00631401"/>
    <w:rsid w:val="00631426"/>
    <w:rsid w:val="006314B3"/>
    <w:rsid w:val="006315D7"/>
    <w:rsid w:val="006317F0"/>
    <w:rsid w:val="00631894"/>
    <w:rsid w:val="006318C2"/>
    <w:rsid w:val="00631A0C"/>
    <w:rsid w:val="00631A74"/>
    <w:rsid w:val="00631C70"/>
    <w:rsid w:val="00631D94"/>
    <w:rsid w:val="00631EB7"/>
    <w:rsid w:val="00631F57"/>
    <w:rsid w:val="00631F8E"/>
    <w:rsid w:val="00631FC4"/>
    <w:rsid w:val="006322A4"/>
    <w:rsid w:val="006322FC"/>
    <w:rsid w:val="006323A0"/>
    <w:rsid w:val="006325B9"/>
    <w:rsid w:val="0063276B"/>
    <w:rsid w:val="006327B3"/>
    <w:rsid w:val="00632A0D"/>
    <w:rsid w:val="00632A99"/>
    <w:rsid w:val="00632DC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5428"/>
    <w:rsid w:val="00635674"/>
    <w:rsid w:val="00635835"/>
    <w:rsid w:val="00635BEC"/>
    <w:rsid w:val="00635F69"/>
    <w:rsid w:val="00636142"/>
    <w:rsid w:val="006362B2"/>
    <w:rsid w:val="00636440"/>
    <w:rsid w:val="0063675D"/>
    <w:rsid w:val="00636942"/>
    <w:rsid w:val="006369C7"/>
    <w:rsid w:val="00636A13"/>
    <w:rsid w:val="00636A1E"/>
    <w:rsid w:val="00636AB1"/>
    <w:rsid w:val="00636BC1"/>
    <w:rsid w:val="00636BE3"/>
    <w:rsid w:val="00636C82"/>
    <w:rsid w:val="00637207"/>
    <w:rsid w:val="00637418"/>
    <w:rsid w:val="006374C1"/>
    <w:rsid w:val="00637514"/>
    <w:rsid w:val="0063757B"/>
    <w:rsid w:val="00637605"/>
    <w:rsid w:val="00637668"/>
    <w:rsid w:val="0063771C"/>
    <w:rsid w:val="00637955"/>
    <w:rsid w:val="00637A0E"/>
    <w:rsid w:val="00637B2E"/>
    <w:rsid w:val="00637D07"/>
    <w:rsid w:val="00637DA1"/>
    <w:rsid w:val="006401B7"/>
    <w:rsid w:val="00640518"/>
    <w:rsid w:val="00640575"/>
    <w:rsid w:val="006405B9"/>
    <w:rsid w:val="006407B6"/>
    <w:rsid w:val="00640A73"/>
    <w:rsid w:val="00640E8D"/>
    <w:rsid w:val="00640FC0"/>
    <w:rsid w:val="00641130"/>
    <w:rsid w:val="00641284"/>
    <w:rsid w:val="006412BA"/>
    <w:rsid w:val="00641492"/>
    <w:rsid w:val="006414CC"/>
    <w:rsid w:val="00641A10"/>
    <w:rsid w:val="00641C0E"/>
    <w:rsid w:val="00641C6D"/>
    <w:rsid w:val="00641D8F"/>
    <w:rsid w:val="00641DD1"/>
    <w:rsid w:val="00641FC0"/>
    <w:rsid w:val="0064202D"/>
    <w:rsid w:val="006420BA"/>
    <w:rsid w:val="00642245"/>
    <w:rsid w:val="0064224A"/>
    <w:rsid w:val="00642278"/>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78B"/>
    <w:rsid w:val="006448CC"/>
    <w:rsid w:val="00644CBB"/>
    <w:rsid w:val="00644D6E"/>
    <w:rsid w:val="00644EBD"/>
    <w:rsid w:val="00645218"/>
    <w:rsid w:val="0064573F"/>
    <w:rsid w:val="00645AE4"/>
    <w:rsid w:val="006463DB"/>
    <w:rsid w:val="006464DA"/>
    <w:rsid w:val="006465F8"/>
    <w:rsid w:val="00646670"/>
    <w:rsid w:val="0064695D"/>
    <w:rsid w:val="00646A70"/>
    <w:rsid w:val="00646C62"/>
    <w:rsid w:val="00646DDB"/>
    <w:rsid w:val="00646DFA"/>
    <w:rsid w:val="00646E0D"/>
    <w:rsid w:val="00646F0D"/>
    <w:rsid w:val="00646F40"/>
    <w:rsid w:val="0064725E"/>
    <w:rsid w:val="0064736E"/>
    <w:rsid w:val="006473D3"/>
    <w:rsid w:val="00647402"/>
    <w:rsid w:val="00647B99"/>
    <w:rsid w:val="00647D06"/>
    <w:rsid w:val="00647E7B"/>
    <w:rsid w:val="00647ED1"/>
    <w:rsid w:val="00650002"/>
    <w:rsid w:val="006500B8"/>
    <w:rsid w:val="006502FC"/>
    <w:rsid w:val="00650441"/>
    <w:rsid w:val="00650683"/>
    <w:rsid w:val="00650A9A"/>
    <w:rsid w:val="00650D13"/>
    <w:rsid w:val="00650D42"/>
    <w:rsid w:val="00650F31"/>
    <w:rsid w:val="00650F5C"/>
    <w:rsid w:val="00651076"/>
    <w:rsid w:val="00651223"/>
    <w:rsid w:val="0065133D"/>
    <w:rsid w:val="00651373"/>
    <w:rsid w:val="00651490"/>
    <w:rsid w:val="006514DB"/>
    <w:rsid w:val="00651918"/>
    <w:rsid w:val="00651A5C"/>
    <w:rsid w:val="00651D5F"/>
    <w:rsid w:val="00651D6E"/>
    <w:rsid w:val="00651E7E"/>
    <w:rsid w:val="00652258"/>
    <w:rsid w:val="006523E8"/>
    <w:rsid w:val="0065247D"/>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69D"/>
    <w:rsid w:val="006556CF"/>
    <w:rsid w:val="0065577D"/>
    <w:rsid w:val="006557DC"/>
    <w:rsid w:val="006559E7"/>
    <w:rsid w:val="00655F67"/>
    <w:rsid w:val="00656011"/>
    <w:rsid w:val="006563B4"/>
    <w:rsid w:val="006567CE"/>
    <w:rsid w:val="00656ACD"/>
    <w:rsid w:val="006574DF"/>
    <w:rsid w:val="006575D0"/>
    <w:rsid w:val="006579FD"/>
    <w:rsid w:val="00657D0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0EF8"/>
    <w:rsid w:val="00661191"/>
    <w:rsid w:val="0066119E"/>
    <w:rsid w:val="006612D1"/>
    <w:rsid w:val="0066138A"/>
    <w:rsid w:val="0066157A"/>
    <w:rsid w:val="0066162F"/>
    <w:rsid w:val="006618D4"/>
    <w:rsid w:val="006619A4"/>
    <w:rsid w:val="006621EF"/>
    <w:rsid w:val="0066247E"/>
    <w:rsid w:val="00662533"/>
    <w:rsid w:val="00662727"/>
    <w:rsid w:val="00662898"/>
    <w:rsid w:val="00662A95"/>
    <w:rsid w:val="00662E68"/>
    <w:rsid w:val="00662EB7"/>
    <w:rsid w:val="00662EE5"/>
    <w:rsid w:val="006630CB"/>
    <w:rsid w:val="0066327C"/>
    <w:rsid w:val="0066354E"/>
    <w:rsid w:val="006635CB"/>
    <w:rsid w:val="006636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9C6"/>
    <w:rsid w:val="00665A65"/>
    <w:rsid w:val="00665B53"/>
    <w:rsid w:val="00665C03"/>
    <w:rsid w:val="00665C67"/>
    <w:rsid w:val="00665EC5"/>
    <w:rsid w:val="00666097"/>
    <w:rsid w:val="00666355"/>
    <w:rsid w:val="00666528"/>
    <w:rsid w:val="0066659E"/>
    <w:rsid w:val="00666962"/>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0B6"/>
    <w:rsid w:val="00670209"/>
    <w:rsid w:val="006702F1"/>
    <w:rsid w:val="00670413"/>
    <w:rsid w:val="00670456"/>
    <w:rsid w:val="0067055A"/>
    <w:rsid w:val="00670815"/>
    <w:rsid w:val="0067085A"/>
    <w:rsid w:val="006708B6"/>
    <w:rsid w:val="00670B0F"/>
    <w:rsid w:val="00670B37"/>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288"/>
    <w:rsid w:val="006733C6"/>
    <w:rsid w:val="00673687"/>
    <w:rsid w:val="006739BF"/>
    <w:rsid w:val="00673BA1"/>
    <w:rsid w:val="00673BE3"/>
    <w:rsid w:val="00673E19"/>
    <w:rsid w:val="00674596"/>
    <w:rsid w:val="006747E7"/>
    <w:rsid w:val="00674BD5"/>
    <w:rsid w:val="00674DAE"/>
    <w:rsid w:val="00674F95"/>
    <w:rsid w:val="00675379"/>
    <w:rsid w:val="0067561D"/>
    <w:rsid w:val="00675628"/>
    <w:rsid w:val="00675B79"/>
    <w:rsid w:val="00675C31"/>
    <w:rsid w:val="00676065"/>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25D"/>
    <w:rsid w:val="00683471"/>
    <w:rsid w:val="006834FA"/>
    <w:rsid w:val="006835A5"/>
    <w:rsid w:val="0068374C"/>
    <w:rsid w:val="006839F5"/>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2A"/>
    <w:rsid w:val="006875FB"/>
    <w:rsid w:val="0068768A"/>
    <w:rsid w:val="00687AFD"/>
    <w:rsid w:val="00687C7A"/>
    <w:rsid w:val="00687D9F"/>
    <w:rsid w:val="006901A5"/>
    <w:rsid w:val="006902AC"/>
    <w:rsid w:val="0069030C"/>
    <w:rsid w:val="0069032C"/>
    <w:rsid w:val="00690509"/>
    <w:rsid w:val="006906AD"/>
    <w:rsid w:val="00690722"/>
    <w:rsid w:val="0069072C"/>
    <w:rsid w:val="00690740"/>
    <w:rsid w:val="006907A4"/>
    <w:rsid w:val="00690C47"/>
    <w:rsid w:val="00690D91"/>
    <w:rsid w:val="00691377"/>
    <w:rsid w:val="00691490"/>
    <w:rsid w:val="0069155C"/>
    <w:rsid w:val="006917AE"/>
    <w:rsid w:val="00691B47"/>
    <w:rsid w:val="00691B6D"/>
    <w:rsid w:val="00691C82"/>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047"/>
    <w:rsid w:val="00694568"/>
    <w:rsid w:val="00694572"/>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5DB7"/>
    <w:rsid w:val="00695E83"/>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B99"/>
    <w:rsid w:val="006A1BDA"/>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2B7"/>
    <w:rsid w:val="006A440E"/>
    <w:rsid w:val="006A4510"/>
    <w:rsid w:val="006A4732"/>
    <w:rsid w:val="006A474E"/>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8CD"/>
    <w:rsid w:val="006A79D6"/>
    <w:rsid w:val="006A7A5F"/>
    <w:rsid w:val="006A7D87"/>
    <w:rsid w:val="006A7E11"/>
    <w:rsid w:val="006A7E37"/>
    <w:rsid w:val="006B006E"/>
    <w:rsid w:val="006B01E0"/>
    <w:rsid w:val="006B0671"/>
    <w:rsid w:val="006B0674"/>
    <w:rsid w:val="006B06A9"/>
    <w:rsid w:val="006B0CFE"/>
    <w:rsid w:val="006B1003"/>
    <w:rsid w:val="006B1334"/>
    <w:rsid w:val="006B1449"/>
    <w:rsid w:val="006B179D"/>
    <w:rsid w:val="006B1815"/>
    <w:rsid w:val="006B1A58"/>
    <w:rsid w:val="006B1ACC"/>
    <w:rsid w:val="006B1C2B"/>
    <w:rsid w:val="006B1C4E"/>
    <w:rsid w:val="006B1E1A"/>
    <w:rsid w:val="006B1E6E"/>
    <w:rsid w:val="006B1F37"/>
    <w:rsid w:val="006B1FAF"/>
    <w:rsid w:val="006B23E0"/>
    <w:rsid w:val="006B24F7"/>
    <w:rsid w:val="006B260E"/>
    <w:rsid w:val="006B261E"/>
    <w:rsid w:val="006B29B7"/>
    <w:rsid w:val="006B29C5"/>
    <w:rsid w:val="006B2DC8"/>
    <w:rsid w:val="006B3054"/>
    <w:rsid w:val="006B32BF"/>
    <w:rsid w:val="006B36B9"/>
    <w:rsid w:val="006B37B0"/>
    <w:rsid w:val="006B3809"/>
    <w:rsid w:val="006B398D"/>
    <w:rsid w:val="006B3B6C"/>
    <w:rsid w:val="006B3D55"/>
    <w:rsid w:val="006B3F75"/>
    <w:rsid w:val="006B4499"/>
    <w:rsid w:val="006B48A6"/>
    <w:rsid w:val="006B49A8"/>
    <w:rsid w:val="006B4CAE"/>
    <w:rsid w:val="006B4E36"/>
    <w:rsid w:val="006B4FD1"/>
    <w:rsid w:val="006B53C2"/>
    <w:rsid w:val="006B5575"/>
    <w:rsid w:val="006B5619"/>
    <w:rsid w:val="006B5624"/>
    <w:rsid w:val="006B58D8"/>
    <w:rsid w:val="006B5A24"/>
    <w:rsid w:val="006B6020"/>
    <w:rsid w:val="006B6074"/>
    <w:rsid w:val="006B61BE"/>
    <w:rsid w:val="006B624F"/>
    <w:rsid w:val="006B627F"/>
    <w:rsid w:val="006B63E5"/>
    <w:rsid w:val="006B666A"/>
    <w:rsid w:val="006B69B8"/>
    <w:rsid w:val="006B6A84"/>
    <w:rsid w:val="006B6AEC"/>
    <w:rsid w:val="006B6BDF"/>
    <w:rsid w:val="006B6CF2"/>
    <w:rsid w:val="006B6D19"/>
    <w:rsid w:val="006B6D74"/>
    <w:rsid w:val="006B728E"/>
    <w:rsid w:val="006B7295"/>
    <w:rsid w:val="006B7548"/>
    <w:rsid w:val="006B7AB6"/>
    <w:rsid w:val="006B7B20"/>
    <w:rsid w:val="006B7CB2"/>
    <w:rsid w:val="006B7DFB"/>
    <w:rsid w:val="006B7FA1"/>
    <w:rsid w:val="006C000D"/>
    <w:rsid w:val="006C0012"/>
    <w:rsid w:val="006C008C"/>
    <w:rsid w:val="006C0294"/>
    <w:rsid w:val="006C0346"/>
    <w:rsid w:val="006C0487"/>
    <w:rsid w:val="006C05BC"/>
    <w:rsid w:val="006C06CE"/>
    <w:rsid w:val="006C075E"/>
    <w:rsid w:val="006C0A79"/>
    <w:rsid w:val="006C0B14"/>
    <w:rsid w:val="006C0B2D"/>
    <w:rsid w:val="006C0C5B"/>
    <w:rsid w:val="006C0CC4"/>
    <w:rsid w:val="006C1241"/>
    <w:rsid w:val="006C128B"/>
    <w:rsid w:val="006C1325"/>
    <w:rsid w:val="006C15D6"/>
    <w:rsid w:val="006C1619"/>
    <w:rsid w:val="006C1723"/>
    <w:rsid w:val="006C17C0"/>
    <w:rsid w:val="006C181C"/>
    <w:rsid w:val="006C1989"/>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2C2"/>
    <w:rsid w:val="006C44AB"/>
    <w:rsid w:val="006C44F0"/>
    <w:rsid w:val="006C453E"/>
    <w:rsid w:val="006C4872"/>
    <w:rsid w:val="006C4980"/>
    <w:rsid w:val="006C4C23"/>
    <w:rsid w:val="006C4E50"/>
    <w:rsid w:val="006C4E9A"/>
    <w:rsid w:val="006C512C"/>
    <w:rsid w:val="006C52A4"/>
    <w:rsid w:val="006C55E2"/>
    <w:rsid w:val="006C5614"/>
    <w:rsid w:val="006C57DE"/>
    <w:rsid w:val="006C58ED"/>
    <w:rsid w:val="006C5E1A"/>
    <w:rsid w:val="006C632A"/>
    <w:rsid w:val="006C6376"/>
    <w:rsid w:val="006C63FC"/>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0FE9"/>
    <w:rsid w:val="006D1130"/>
    <w:rsid w:val="006D15BE"/>
    <w:rsid w:val="006D1725"/>
    <w:rsid w:val="006D191A"/>
    <w:rsid w:val="006D1935"/>
    <w:rsid w:val="006D19C7"/>
    <w:rsid w:val="006D19FF"/>
    <w:rsid w:val="006D1D65"/>
    <w:rsid w:val="006D1E43"/>
    <w:rsid w:val="006D20DB"/>
    <w:rsid w:val="006D21DA"/>
    <w:rsid w:val="006D2615"/>
    <w:rsid w:val="006D2631"/>
    <w:rsid w:val="006D27D7"/>
    <w:rsid w:val="006D29B4"/>
    <w:rsid w:val="006D2A8E"/>
    <w:rsid w:val="006D2B2E"/>
    <w:rsid w:val="006D2B4E"/>
    <w:rsid w:val="006D2EF2"/>
    <w:rsid w:val="006D3042"/>
    <w:rsid w:val="006D30DF"/>
    <w:rsid w:val="006D342A"/>
    <w:rsid w:val="006D34DF"/>
    <w:rsid w:val="006D38A7"/>
    <w:rsid w:val="006D3A97"/>
    <w:rsid w:val="006D3B23"/>
    <w:rsid w:val="006D3BF5"/>
    <w:rsid w:val="006D3CA6"/>
    <w:rsid w:val="006D42C5"/>
    <w:rsid w:val="006D455A"/>
    <w:rsid w:val="006D4588"/>
    <w:rsid w:val="006D476E"/>
    <w:rsid w:val="006D4A83"/>
    <w:rsid w:val="006D4DD2"/>
    <w:rsid w:val="006D4E72"/>
    <w:rsid w:val="006D4E86"/>
    <w:rsid w:val="006D5150"/>
    <w:rsid w:val="006D575A"/>
    <w:rsid w:val="006D5889"/>
    <w:rsid w:val="006D5DE2"/>
    <w:rsid w:val="006D5EB1"/>
    <w:rsid w:val="006D6063"/>
    <w:rsid w:val="006D60F1"/>
    <w:rsid w:val="006D6246"/>
    <w:rsid w:val="006D6267"/>
    <w:rsid w:val="006D62A6"/>
    <w:rsid w:val="006D659B"/>
    <w:rsid w:val="006D688A"/>
    <w:rsid w:val="006D68CD"/>
    <w:rsid w:val="006D697D"/>
    <w:rsid w:val="006D6AEF"/>
    <w:rsid w:val="006D6C35"/>
    <w:rsid w:val="006D6C36"/>
    <w:rsid w:val="006D6E74"/>
    <w:rsid w:val="006D6F32"/>
    <w:rsid w:val="006D6FC2"/>
    <w:rsid w:val="006D6FC3"/>
    <w:rsid w:val="006D7070"/>
    <w:rsid w:val="006D71CE"/>
    <w:rsid w:val="006D720A"/>
    <w:rsid w:val="006D72C2"/>
    <w:rsid w:val="006D74CC"/>
    <w:rsid w:val="006D74EF"/>
    <w:rsid w:val="006D760C"/>
    <w:rsid w:val="006D7914"/>
    <w:rsid w:val="006D7B05"/>
    <w:rsid w:val="006D7C8A"/>
    <w:rsid w:val="006D7E46"/>
    <w:rsid w:val="006E0388"/>
    <w:rsid w:val="006E03F6"/>
    <w:rsid w:val="006E0413"/>
    <w:rsid w:val="006E04D5"/>
    <w:rsid w:val="006E056A"/>
    <w:rsid w:val="006E05F2"/>
    <w:rsid w:val="006E080B"/>
    <w:rsid w:val="006E0ABA"/>
    <w:rsid w:val="006E0AFE"/>
    <w:rsid w:val="006E0BE7"/>
    <w:rsid w:val="006E0C33"/>
    <w:rsid w:val="006E0CD0"/>
    <w:rsid w:val="006E0D88"/>
    <w:rsid w:val="006E0DDD"/>
    <w:rsid w:val="006E0E66"/>
    <w:rsid w:val="006E0F8E"/>
    <w:rsid w:val="006E10FC"/>
    <w:rsid w:val="006E111A"/>
    <w:rsid w:val="006E1228"/>
    <w:rsid w:val="006E1563"/>
    <w:rsid w:val="006E157D"/>
    <w:rsid w:val="006E159A"/>
    <w:rsid w:val="006E15FC"/>
    <w:rsid w:val="006E16B5"/>
    <w:rsid w:val="006E16F8"/>
    <w:rsid w:val="006E17C5"/>
    <w:rsid w:val="006E1957"/>
    <w:rsid w:val="006E1B9A"/>
    <w:rsid w:val="006E1F38"/>
    <w:rsid w:val="006E202F"/>
    <w:rsid w:val="006E209F"/>
    <w:rsid w:val="006E233C"/>
    <w:rsid w:val="006E24AB"/>
    <w:rsid w:val="006E2649"/>
    <w:rsid w:val="006E27AC"/>
    <w:rsid w:val="006E2B6F"/>
    <w:rsid w:val="006E3029"/>
    <w:rsid w:val="006E316F"/>
    <w:rsid w:val="006E32BB"/>
    <w:rsid w:val="006E3340"/>
    <w:rsid w:val="006E33DD"/>
    <w:rsid w:val="006E361A"/>
    <w:rsid w:val="006E39A4"/>
    <w:rsid w:val="006E3A24"/>
    <w:rsid w:val="006E3D1B"/>
    <w:rsid w:val="006E3D46"/>
    <w:rsid w:val="006E42A7"/>
    <w:rsid w:val="006E456D"/>
    <w:rsid w:val="006E45E5"/>
    <w:rsid w:val="006E474D"/>
    <w:rsid w:val="006E4C0A"/>
    <w:rsid w:val="006E4C39"/>
    <w:rsid w:val="006E4D1E"/>
    <w:rsid w:val="006E4D65"/>
    <w:rsid w:val="006E4F8F"/>
    <w:rsid w:val="006E5092"/>
    <w:rsid w:val="006E55C2"/>
    <w:rsid w:val="006E55F8"/>
    <w:rsid w:val="006E592C"/>
    <w:rsid w:val="006E5CB6"/>
    <w:rsid w:val="006E5ECA"/>
    <w:rsid w:val="006E61F1"/>
    <w:rsid w:val="006E650E"/>
    <w:rsid w:val="006E6590"/>
    <w:rsid w:val="006E65D7"/>
    <w:rsid w:val="006E6602"/>
    <w:rsid w:val="006E665D"/>
    <w:rsid w:val="006E6877"/>
    <w:rsid w:val="006E697D"/>
    <w:rsid w:val="006E6AA9"/>
    <w:rsid w:val="006E6C24"/>
    <w:rsid w:val="006E6C36"/>
    <w:rsid w:val="006E7119"/>
    <w:rsid w:val="006E73A5"/>
    <w:rsid w:val="006E7684"/>
    <w:rsid w:val="006E7802"/>
    <w:rsid w:val="006E78AF"/>
    <w:rsid w:val="006E7C40"/>
    <w:rsid w:val="006E7D21"/>
    <w:rsid w:val="006F003B"/>
    <w:rsid w:val="006F00E8"/>
    <w:rsid w:val="006F0106"/>
    <w:rsid w:val="006F0193"/>
    <w:rsid w:val="006F0427"/>
    <w:rsid w:val="006F075E"/>
    <w:rsid w:val="006F087C"/>
    <w:rsid w:val="006F0AB6"/>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BBD"/>
    <w:rsid w:val="006F4D37"/>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BDA"/>
    <w:rsid w:val="006F6CD0"/>
    <w:rsid w:val="006F6EFC"/>
    <w:rsid w:val="006F725F"/>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94E"/>
    <w:rsid w:val="00700B3A"/>
    <w:rsid w:val="00700E2A"/>
    <w:rsid w:val="00700F49"/>
    <w:rsid w:val="00700F53"/>
    <w:rsid w:val="00701108"/>
    <w:rsid w:val="007012FE"/>
    <w:rsid w:val="007013AD"/>
    <w:rsid w:val="00701675"/>
    <w:rsid w:val="0070179D"/>
    <w:rsid w:val="00701852"/>
    <w:rsid w:val="00702107"/>
    <w:rsid w:val="007025C2"/>
    <w:rsid w:val="007025F4"/>
    <w:rsid w:val="007026F3"/>
    <w:rsid w:val="007028AC"/>
    <w:rsid w:val="00702926"/>
    <w:rsid w:val="00702B46"/>
    <w:rsid w:val="0070331E"/>
    <w:rsid w:val="007037AA"/>
    <w:rsid w:val="00703821"/>
    <w:rsid w:val="00703A67"/>
    <w:rsid w:val="00703B32"/>
    <w:rsid w:val="00703C88"/>
    <w:rsid w:val="00703D1C"/>
    <w:rsid w:val="00703FA5"/>
    <w:rsid w:val="00704004"/>
    <w:rsid w:val="007040DA"/>
    <w:rsid w:val="00704330"/>
    <w:rsid w:val="0070435F"/>
    <w:rsid w:val="00704407"/>
    <w:rsid w:val="007049F8"/>
    <w:rsid w:val="00704A5A"/>
    <w:rsid w:val="00704D75"/>
    <w:rsid w:val="00704FDF"/>
    <w:rsid w:val="007052A4"/>
    <w:rsid w:val="0070538F"/>
    <w:rsid w:val="00705549"/>
    <w:rsid w:val="007059BB"/>
    <w:rsid w:val="00705A2C"/>
    <w:rsid w:val="00705AC9"/>
    <w:rsid w:val="00705B8F"/>
    <w:rsid w:val="00705C10"/>
    <w:rsid w:val="00705C3F"/>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067"/>
    <w:rsid w:val="00712139"/>
    <w:rsid w:val="007123E6"/>
    <w:rsid w:val="00712646"/>
    <w:rsid w:val="0071286D"/>
    <w:rsid w:val="00712958"/>
    <w:rsid w:val="00712B26"/>
    <w:rsid w:val="00712C92"/>
    <w:rsid w:val="00712D21"/>
    <w:rsid w:val="00712ECA"/>
    <w:rsid w:val="00712EDE"/>
    <w:rsid w:val="00713063"/>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A2"/>
    <w:rsid w:val="007155F3"/>
    <w:rsid w:val="0071568F"/>
    <w:rsid w:val="007158BE"/>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0F2B"/>
    <w:rsid w:val="0072110E"/>
    <w:rsid w:val="0072118B"/>
    <w:rsid w:val="007212AB"/>
    <w:rsid w:val="007212F3"/>
    <w:rsid w:val="007215F8"/>
    <w:rsid w:val="00721725"/>
    <w:rsid w:val="00721779"/>
    <w:rsid w:val="00721C43"/>
    <w:rsid w:val="00721C65"/>
    <w:rsid w:val="00721F04"/>
    <w:rsid w:val="0072231C"/>
    <w:rsid w:val="0072236A"/>
    <w:rsid w:val="00722838"/>
    <w:rsid w:val="00722864"/>
    <w:rsid w:val="00722BB4"/>
    <w:rsid w:val="00722BBD"/>
    <w:rsid w:val="00723202"/>
    <w:rsid w:val="0072323C"/>
    <w:rsid w:val="007237EB"/>
    <w:rsid w:val="0072380C"/>
    <w:rsid w:val="007239F9"/>
    <w:rsid w:val="00723A0F"/>
    <w:rsid w:val="00723A31"/>
    <w:rsid w:val="00723AC2"/>
    <w:rsid w:val="00723B97"/>
    <w:rsid w:val="00723BD9"/>
    <w:rsid w:val="00723EE2"/>
    <w:rsid w:val="00723F71"/>
    <w:rsid w:val="00723F81"/>
    <w:rsid w:val="00723FB9"/>
    <w:rsid w:val="00724035"/>
    <w:rsid w:val="00724057"/>
    <w:rsid w:val="00724176"/>
    <w:rsid w:val="007243E5"/>
    <w:rsid w:val="007246A6"/>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F74"/>
    <w:rsid w:val="00727520"/>
    <w:rsid w:val="00727552"/>
    <w:rsid w:val="007279B8"/>
    <w:rsid w:val="007279FC"/>
    <w:rsid w:val="00727AE6"/>
    <w:rsid w:val="00727BEE"/>
    <w:rsid w:val="00727DD8"/>
    <w:rsid w:val="0073000A"/>
    <w:rsid w:val="007300F6"/>
    <w:rsid w:val="0073016A"/>
    <w:rsid w:val="007301A7"/>
    <w:rsid w:val="007307C9"/>
    <w:rsid w:val="00730A14"/>
    <w:rsid w:val="00730BB1"/>
    <w:rsid w:val="00730D35"/>
    <w:rsid w:val="00730DFE"/>
    <w:rsid w:val="00730F0E"/>
    <w:rsid w:val="00730FCE"/>
    <w:rsid w:val="007312F7"/>
    <w:rsid w:val="0073137B"/>
    <w:rsid w:val="007313C9"/>
    <w:rsid w:val="00731485"/>
    <w:rsid w:val="007315B1"/>
    <w:rsid w:val="00731615"/>
    <w:rsid w:val="007316A1"/>
    <w:rsid w:val="00731A45"/>
    <w:rsid w:val="00731A7C"/>
    <w:rsid w:val="00731C3C"/>
    <w:rsid w:val="00731D06"/>
    <w:rsid w:val="00731D9B"/>
    <w:rsid w:val="00731EF3"/>
    <w:rsid w:val="007320F9"/>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4062"/>
    <w:rsid w:val="007340FE"/>
    <w:rsid w:val="00734121"/>
    <w:rsid w:val="0073414A"/>
    <w:rsid w:val="007343BA"/>
    <w:rsid w:val="0073465A"/>
    <w:rsid w:val="007348C3"/>
    <w:rsid w:val="00734B38"/>
    <w:rsid w:val="00734B51"/>
    <w:rsid w:val="00734CDA"/>
    <w:rsid w:val="00734EE0"/>
    <w:rsid w:val="00735030"/>
    <w:rsid w:val="00735455"/>
    <w:rsid w:val="00735530"/>
    <w:rsid w:val="0073572B"/>
    <w:rsid w:val="00735A94"/>
    <w:rsid w:val="00735E0B"/>
    <w:rsid w:val="00735EA0"/>
    <w:rsid w:val="00735F71"/>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6E9"/>
    <w:rsid w:val="0074088B"/>
    <w:rsid w:val="00740A2B"/>
    <w:rsid w:val="00740A8B"/>
    <w:rsid w:val="00740F1F"/>
    <w:rsid w:val="00740F28"/>
    <w:rsid w:val="00741013"/>
    <w:rsid w:val="007419EE"/>
    <w:rsid w:val="00741A5E"/>
    <w:rsid w:val="00741CCC"/>
    <w:rsid w:val="00742141"/>
    <w:rsid w:val="0074221D"/>
    <w:rsid w:val="0074224C"/>
    <w:rsid w:val="00742252"/>
    <w:rsid w:val="0074263F"/>
    <w:rsid w:val="007426B7"/>
    <w:rsid w:val="007426EA"/>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C79"/>
    <w:rsid w:val="00743F37"/>
    <w:rsid w:val="00744040"/>
    <w:rsid w:val="00744091"/>
    <w:rsid w:val="00744295"/>
    <w:rsid w:val="007442B6"/>
    <w:rsid w:val="007443F7"/>
    <w:rsid w:val="00744430"/>
    <w:rsid w:val="0074495E"/>
    <w:rsid w:val="00744B85"/>
    <w:rsid w:val="00744E0F"/>
    <w:rsid w:val="00745083"/>
    <w:rsid w:val="007451F9"/>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BBE"/>
    <w:rsid w:val="00746CFB"/>
    <w:rsid w:val="00746FCE"/>
    <w:rsid w:val="00747030"/>
    <w:rsid w:val="007473E7"/>
    <w:rsid w:val="00747411"/>
    <w:rsid w:val="007479EB"/>
    <w:rsid w:val="00747CF9"/>
    <w:rsid w:val="00747F2A"/>
    <w:rsid w:val="007500D3"/>
    <w:rsid w:val="00750376"/>
    <w:rsid w:val="00750408"/>
    <w:rsid w:val="00750915"/>
    <w:rsid w:val="00750B42"/>
    <w:rsid w:val="00750DB3"/>
    <w:rsid w:val="00750E44"/>
    <w:rsid w:val="00750EC3"/>
    <w:rsid w:val="00751199"/>
    <w:rsid w:val="00751311"/>
    <w:rsid w:val="007515BE"/>
    <w:rsid w:val="0075161A"/>
    <w:rsid w:val="00751695"/>
    <w:rsid w:val="00751BEF"/>
    <w:rsid w:val="00751F9F"/>
    <w:rsid w:val="00752031"/>
    <w:rsid w:val="007521BC"/>
    <w:rsid w:val="007522FD"/>
    <w:rsid w:val="0075237B"/>
    <w:rsid w:val="00752532"/>
    <w:rsid w:val="00752757"/>
    <w:rsid w:val="00752C38"/>
    <w:rsid w:val="00752E6D"/>
    <w:rsid w:val="00752EC9"/>
    <w:rsid w:val="00752FEA"/>
    <w:rsid w:val="007530B3"/>
    <w:rsid w:val="007532EF"/>
    <w:rsid w:val="00753453"/>
    <w:rsid w:val="00753646"/>
    <w:rsid w:val="007539A9"/>
    <w:rsid w:val="00753A77"/>
    <w:rsid w:val="00753AC1"/>
    <w:rsid w:val="00753B72"/>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053"/>
    <w:rsid w:val="0075719C"/>
    <w:rsid w:val="007571DF"/>
    <w:rsid w:val="00757564"/>
    <w:rsid w:val="00757659"/>
    <w:rsid w:val="007577CB"/>
    <w:rsid w:val="00757AF7"/>
    <w:rsid w:val="00760008"/>
    <w:rsid w:val="007600FB"/>
    <w:rsid w:val="00760258"/>
    <w:rsid w:val="007602C9"/>
    <w:rsid w:val="007604C1"/>
    <w:rsid w:val="00760816"/>
    <w:rsid w:val="00760C0D"/>
    <w:rsid w:val="00760FB1"/>
    <w:rsid w:val="0076128B"/>
    <w:rsid w:val="007612CA"/>
    <w:rsid w:val="00761924"/>
    <w:rsid w:val="00761A15"/>
    <w:rsid w:val="00761A4D"/>
    <w:rsid w:val="00761ADD"/>
    <w:rsid w:val="00761DFA"/>
    <w:rsid w:val="00761E2D"/>
    <w:rsid w:val="00761EA7"/>
    <w:rsid w:val="00761F57"/>
    <w:rsid w:val="00762346"/>
    <w:rsid w:val="007623CF"/>
    <w:rsid w:val="0076249C"/>
    <w:rsid w:val="00762547"/>
    <w:rsid w:val="007628B8"/>
    <w:rsid w:val="00762B1E"/>
    <w:rsid w:val="00762B2A"/>
    <w:rsid w:val="00762D3A"/>
    <w:rsid w:val="00762D8E"/>
    <w:rsid w:val="00762DDF"/>
    <w:rsid w:val="00762F77"/>
    <w:rsid w:val="007632B8"/>
    <w:rsid w:val="007634BF"/>
    <w:rsid w:val="00763623"/>
    <w:rsid w:val="007636DA"/>
    <w:rsid w:val="0076395A"/>
    <w:rsid w:val="00763999"/>
    <w:rsid w:val="00763A7E"/>
    <w:rsid w:val="00764095"/>
    <w:rsid w:val="00764200"/>
    <w:rsid w:val="00764235"/>
    <w:rsid w:val="00764241"/>
    <w:rsid w:val="0076425F"/>
    <w:rsid w:val="007643DD"/>
    <w:rsid w:val="007648C5"/>
    <w:rsid w:val="00764BAB"/>
    <w:rsid w:val="00764BF4"/>
    <w:rsid w:val="00764CD3"/>
    <w:rsid w:val="00764D59"/>
    <w:rsid w:val="00764DA1"/>
    <w:rsid w:val="00764E09"/>
    <w:rsid w:val="00764E22"/>
    <w:rsid w:val="00764F8F"/>
    <w:rsid w:val="007651ED"/>
    <w:rsid w:val="007651FA"/>
    <w:rsid w:val="0076543B"/>
    <w:rsid w:val="00765567"/>
    <w:rsid w:val="007655FE"/>
    <w:rsid w:val="00765A17"/>
    <w:rsid w:val="00765C2F"/>
    <w:rsid w:val="00765C6A"/>
    <w:rsid w:val="00765E51"/>
    <w:rsid w:val="007660A3"/>
    <w:rsid w:val="00766142"/>
    <w:rsid w:val="007661D1"/>
    <w:rsid w:val="007662BE"/>
    <w:rsid w:val="00766480"/>
    <w:rsid w:val="007664C0"/>
    <w:rsid w:val="00766703"/>
    <w:rsid w:val="00766763"/>
    <w:rsid w:val="0076680D"/>
    <w:rsid w:val="00766AD4"/>
    <w:rsid w:val="00766F8B"/>
    <w:rsid w:val="00767563"/>
    <w:rsid w:val="007677FF"/>
    <w:rsid w:val="00767818"/>
    <w:rsid w:val="00767B17"/>
    <w:rsid w:val="00767C00"/>
    <w:rsid w:val="00767C58"/>
    <w:rsid w:val="00767CCF"/>
    <w:rsid w:val="0077016F"/>
    <w:rsid w:val="00770319"/>
    <w:rsid w:val="007705C5"/>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3D6"/>
    <w:rsid w:val="0077248E"/>
    <w:rsid w:val="007728B1"/>
    <w:rsid w:val="007729F5"/>
    <w:rsid w:val="00772A24"/>
    <w:rsid w:val="00772A52"/>
    <w:rsid w:val="00772F8D"/>
    <w:rsid w:val="007730B5"/>
    <w:rsid w:val="007733C7"/>
    <w:rsid w:val="007736AB"/>
    <w:rsid w:val="007738C3"/>
    <w:rsid w:val="00773A62"/>
    <w:rsid w:val="00773C34"/>
    <w:rsid w:val="00773E05"/>
    <w:rsid w:val="00773F38"/>
    <w:rsid w:val="00774054"/>
    <w:rsid w:val="007742C6"/>
    <w:rsid w:val="0077433D"/>
    <w:rsid w:val="0077449C"/>
    <w:rsid w:val="007744B2"/>
    <w:rsid w:val="0077455A"/>
    <w:rsid w:val="0077459A"/>
    <w:rsid w:val="007745FD"/>
    <w:rsid w:val="007748DD"/>
    <w:rsid w:val="007749EF"/>
    <w:rsid w:val="00775263"/>
    <w:rsid w:val="00775308"/>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25"/>
    <w:rsid w:val="0077709D"/>
    <w:rsid w:val="007772F6"/>
    <w:rsid w:val="00777313"/>
    <w:rsid w:val="00777521"/>
    <w:rsid w:val="00777532"/>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3F"/>
    <w:rsid w:val="00781860"/>
    <w:rsid w:val="00781942"/>
    <w:rsid w:val="00781AEB"/>
    <w:rsid w:val="00781CF8"/>
    <w:rsid w:val="00781DDE"/>
    <w:rsid w:val="00782139"/>
    <w:rsid w:val="007824B9"/>
    <w:rsid w:val="0078268E"/>
    <w:rsid w:val="0078291C"/>
    <w:rsid w:val="0078296E"/>
    <w:rsid w:val="00782B9E"/>
    <w:rsid w:val="00782C55"/>
    <w:rsid w:val="00782DA3"/>
    <w:rsid w:val="00782F60"/>
    <w:rsid w:val="00782FD8"/>
    <w:rsid w:val="00783091"/>
    <w:rsid w:val="007831A8"/>
    <w:rsid w:val="00783211"/>
    <w:rsid w:val="00783302"/>
    <w:rsid w:val="0078339C"/>
    <w:rsid w:val="00783429"/>
    <w:rsid w:val="007835D6"/>
    <w:rsid w:val="00783ACD"/>
    <w:rsid w:val="00783BC4"/>
    <w:rsid w:val="00783BD9"/>
    <w:rsid w:val="00783D62"/>
    <w:rsid w:val="00783E57"/>
    <w:rsid w:val="00783F10"/>
    <w:rsid w:val="00784065"/>
    <w:rsid w:val="00784123"/>
    <w:rsid w:val="00784241"/>
    <w:rsid w:val="00784282"/>
    <w:rsid w:val="00784308"/>
    <w:rsid w:val="00784408"/>
    <w:rsid w:val="00784541"/>
    <w:rsid w:val="00784788"/>
    <w:rsid w:val="00784C5A"/>
    <w:rsid w:val="00784CBE"/>
    <w:rsid w:val="00784CD4"/>
    <w:rsid w:val="00784E3B"/>
    <w:rsid w:val="00784F26"/>
    <w:rsid w:val="00784F60"/>
    <w:rsid w:val="0078509D"/>
    <w:rsid w:val="00785759"/>
    <w:rsid w:val="00785B54"/>
    <w:rsid w:val="007860AA"/>
    <w:rsid w:val="00786364"/>
    <w:rsid w:val="0078643C"/>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CEA"/>
    <w:rsid w:val="00790E54"/>
    <w:rsid w:val="00790EDE"/>
    <w:rsid w:val="00790FCA"/>
    <w:rsid w:val="00791637"/>
    <w:rsid w:val="007917BA"/>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3F4C"/>
    <w:rsid w:val="00794010"/>
    <w:rsid w:val="0079405E"/>
    <w:rsid w:val="00794785"/>
    <w:rsid w:val="007948BF"/>
    <w:rsid w:val="00794928"/>
    <w:rsid w:val="007949E2"/>
    <w:rsid w:val="00794A1C"/>
    <w:rsid w:val="00794AB9"/>
    <w:rsid w:val="00794B55"/>
    <w:rsid w:val="00794CC0"/>
    <w:rsid w:val="00794E05"/>
    <w:rsid w:val="0079504B"/>
    <w:rsid w:val="00795104"/>
    <w:rsid w:val="007955F7"/>
    <w:rsid w:val="0079571B"/>
    <w:rsid w:val="007957DE"/>
    <w:rsid w:val="007958CE"/>
    <w:rsid w:val="00795905"/>
    <w:rsid w:val="007959D6"/>
    <w:rsid w:val="00795A58"/>
    <w:rsid w:val="00795EE5"/>
    <w:rsid w:val="00795F87"/>
    <w:rsid w:val="007961C9"/>
    <w:rsid w:val="00796337"/>
    <w:rsid w:val="00796383"/>
    <w:rsid w:val="007964B2"/>
    <w:rsid w:val="007964DB"/>
    <w:rsid w:val="00796716"/>
    <w:rsid w:val="007967B9"/>
    <w:rsid w:val="007967D0"/>
    <w:rsid w:val="00796858"/>
    <w:rsid w:val="00796AB3"/>
    <w:rsid w:val="00796B09"/>
    <w:rsid w:val="00796BEB"/>
    <w:rsid w:val="00796E3D"/>
    <w:rsid w:val="0079766C"/>
    <w:rsid w:val="007976C5"/>
    <w:rsid w:val="00797773"/>
    <w:rsid w:val="00797A33"/>
    <w:rsid w:val="00797C4B"/>
    <w:rsid w:val="00797DF7"/>
    <w:rsid w:val="007A019B"/>
    <w:rsid w:val="007A0367"/>
    <w:rsid w:val="007A04BC"/>
    <w:rsid w:val="007A0599"/>
    <w:rsid w:val="007A082D"/>
    <w:rsid w:val="007A08DE"/>
    <w:rsid w:val="007A0D87"/>
    <w:rsid w:val="007A0DC0"/>
    <w:rsid w:val="007A0FD5"/>
    <w:rsid w:val="007A155E"/>
    <w:rsid w:val="007A157D"/>
    <w:rsid w:val="007A163F"/>
    <w:rsid w:val="007A167F"/>
    <w:rsid w:val="007A193C"/>
    <w:rsid w:val="007A1E12"/>
    <w:rsid w:val="007A1EE0"/>
    <w:rsid w:val="007A1EE3"/>
    <w:rsid w:val="007A20DD"/>
    <w:rsid w:val="007A2243"/>
    <w:rsid w:val="007A234F"/>
    <w:rsid w:val="007A23D1"/>
    <w:rsid w:val="007A2429"/>
    <w:rsid w:val="007A2455"/>
    <w:rsid w:val="007A2457"/>
    <w:rsid w:val="007A2483"/>
    <w:rsid w:val="007A2630"/>
    <w:rsid w:val="007A27A0"/>
    <w:rsid w:val="007A2C36"/>
    <w:rsid w:val="007A2C72"/>
    <w:rsid w:val="007A2D17"/>
    <w:rsid w:val="007A2ECA"/>
    <w:rsid w:val="007A3003"/>
    <w:rsid w:val="007A3986"/>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ADC"/>
    <w:rsid w:val="007A5B79"/>
    <w:rsid w:val="007A5BC9"/>
    <w:rsid w:val="007A5C27"/>
    <w:rsid w:val="007A5C5C"/>
    <w:rsid w:val="007A5F13"/>
    <w:rsid w:val="007A5F25"/>
    <w:rsid w:val="007A610C"/>
    <w:rsid w:val="007A613F"/>
    <w:rsid w:val="007A61BA"/>
    <w:rsid w:val="007A6266"/>
    <w:rsid w:val="007A6383"/>
    <w:rsid w:val="007A6583"/>
    <w:rsid w:val="007A66DD"/>
    <w:rsid w:val="007A677F"/>
    <w:rsid w:val="007A6A96"/>
    <w:rsid w:val="007A6B54"/>
    <w:rsid w:val="007A6C2B"/>
    <w:rsid w:val="007A70AB"/>
    <w:rsid w:val="007A70C1"/>
    <w:rsid w:val="007A7128"/>
    <w:rsid w:val="007A736E"/>
    <w:rsid w:val="007A743B"/>
    <w:rsid w:val="007A74E1"/>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90"/>
    <w:rsid w:val="007B6BEF"/>
    <w:rsid w:val="007B6C3E"/>
    <w:rsid w:val="007B6D96"/>
    <w:rsid w:val="007B6DF1"/>
    <w:rsid w:val="007B6E3C"/>
    <w:rsid w:val="007B6E50"/>
    <w:rsid w:val="007B73E4"/>
    <w:rsid w:val="007B7A3A"/>
    <w:rsid w:val="007B7AE6"/>
    <w:rsid w:val="007C04B1"/>
    <w:rsid w:val="007C04E8"/>
    <w:rsid w:val="007C0B09"/>
    <w:rsid w:val="007C0DC3"/>
    <w:rsid w:val="007C1117"/>
    <w:rsid w:val="007C1443"/>
    <w:rsid w:val="007C156D"/>
    <w:rsid w:val="007C1981"/>
    <w:rsid w:val="007C1ADC"/>
    <w:rsid w:val="007C1EBE"/>
    <w:rsid w:val="007C1FEA"/>
    <w:rsid w:val="007C212C"/>
    <w:rsid w:val="007C235B"/>
    <w:rsid w:val="007C2A17"/>
    <w:rsid w:val="007C2DC6"/>
    <w:rsid w:val="007C2E5B"/>
    <w:rsid w:val="007C3636"/>
    <w:rsid w:val="007C3C52"/>
    <w:rsid w:val="007C3C9E"/>
    <w:rsid w:val="007C3CF7"/>
    <w:rsid w:val="007C3E4E"/>
    <w:rsid w:val="007C3E51"/>
    <w:rsid w:val="007C3F32"/>
    <w:rsid w:val="007C3FBD"/>
    <w:rsid w:val="007C4052"/>
    <w:rsid w:val="007C4060"/>
    <w:rsid w:val="007C40FE"/>
    <w:rsid w:val="007C41F3"/>
    <w:rsid w:val="007C4266"/>
    <w:rsid w:val="007C42BB"/>
    <w:rsid w:val="007C4628"/>
    <w:rsid w:val="007C4654"/>
    <w:rsid w:val="007C4864"/>
    <w:rsid w:val="007C49D2"/>
    <w:rsid w:val="007C49F7"/>
    <w:rsid w:val="007C4C6E"/>
    <w:rsid w:val="007C4D9C"/>
    <w:rsid w:val="007C4DFD"/>
    <w:rsid w:val="007C50A8"/>
    <w:rsid w:val="007C51A4"/>
    <w:rsid w:val="007C51FA"/>
    <w:rsid w:val="007C5514"/>
    <w:rsid w:val="007C55C2"/>
    <w:rsid w:val="007C59E7"/>
    <w:rsid w:val="007C5B04"/>
    <w:rsid w:val="007C5D1D"/>
    <w:rsid w:val="007C5DE1"/>
    <w:rsid w:val="007C5F5F"/>
    <w:rsid w:val="007C6407"/>
    <w:rsid w:val="007C6835"/>
    <w:rsid w:val="007C688F"/>
    <w:rsid w:val="007C68D6"/>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442"/>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7F1"/>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C6B"/>
    <w:rsid w:val="007E0E0B"/>
    <w:rsid w:val="007E0E50"/>
    <w:rsid w:val="007E1191"/>
    <w:rsid w:val="007E13A3"/>
    <w:rsid w:val="007E1435"/>
    <w:rsid w:val="007E14CF"/>
    <w:rsid w:val="007E1531"/>
    <w:rsid w:val="007E15CA"/>
    <w:rsid w:val="007E167C"/>
    <w:rsid w:val="007E16CF"/>
    <w:rsid w:val="007E1BEF"/>
    <w:rsid w:val="007E1C1C"/>
    <w:rsid w:val="007E1F90"/>
    <w:rsid w:val="007E2293"/>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E24"/>
    <w:rsid w:val="007E5F1A"/>
    <w:rsid w:val="007E60DE"/>
    <w:rsid w:val="007E6261"/>
    <w:rsid w:val="007E63F7"/>
    <w:rsid w:val="007E69B0"/>
    <w:rsid w:val="007E6A2A"/>
    <w:rsid w:val="007E6D4F"/>
    <w:rsid w:val="007E6DCC"/>
    <w:rsid w:val="007E6DD5"/>
    <w:rsid w:val="007E6F84"/>
    <w:rsid w:val="007E72DD"/>
    <w:rsid w:val="007E747A"/>
    <w:rsid w:val="007E750A"/>
    <w:rsid w:val="007E761A"/>
    <w:rsid w:val="007E7AD7"/>
    <w:rsid w:val="007E7DF4"/>
    <w:rsid w:val="007E7ED3"/>
    <w:rsid w:val="007E7EE2"/>
    <w:rsid w:val="007E7F95"/>
    <w:rsid w:val="007F02BA"/>
    <w:rsid w:val="007F075E"/>
    <w:rsid w:val="007F07AE"/>
    <w:rsid w:val="007F08B3"/>
    <w:rsid w:val="007F09FA"/>
    <w:rsid w:val="007F0C35"/>
    <w:rsid w:val="007F0C6A"/>
    <w:rsid w:val="007F0FD6"/>
    <w:rsid w:val="007F109E"/>
    <w:rsid w:val="007F1320"/>
    <w:rsid w:val="007F16CB"/>
    <w:rsid w:val="007F1709"/>
    <w:rsid w:val="007F1864"/>
    <w:rsid w:val="007F199C"/>
    <w:rsid w:val="007F1AF1"/>
    <w:rsid w:val="007F1B3D"/>
    <w:rsid w:val="007F1B44"/>
    <w:rsid w:val="007F1BB4"/>
    <w:rsid w:val="007F224E"/>
    <w:rsid w:val="007F22F9"/>
    <w:rsid w:val="007F2509"/>
    <w:rsid w:val="007F255E"/>
    <w:rsid w:val="007F2637"/>
    <w:rsid w:val="007F26A3"/>
    <w:rsid w:val="007F2B0C"/>
    <w:rsid w:val="007F2EDF"/>
    <w:rsid w:val="007F31AB"/>
    <w:rsid w:val="007F32AE"/>
    <w:rsid w:val="007F33C2"/>
    <w:rsid w:val="007F340F"/>
    <w:rsid w:val="007F34BD"/>
    <w:rsid w:val="007F3802"/>
    <w:rsid w:val="007F38D0"/>
    <w:rsid w:val="007F3AD1"/>
    <w:rsid w:val="007F3C5D"/>
    <w:rsid w:val="007F3D8E"/>
    <w:rsid w:val="007F3EB7"/>
    <w:rsid w:val="007F3F48"/>
    <w:rsid w:val="007F4162"/>
    <w:rsid w:val="007F457B"/>
    <w:rsid w:val="007F4A41"/>
    <w:rsid w:val="007F4AC6"/>
    <w:rsid w:val="007F4B3B"/>
    <w:rsid w:val="007F4B5E"/>
    <w:rsid w:val="007F4E0E"/>
    <w:rsid w:val="007F4E9D"/>
    <w:rsid w:val="007F5150"/>
    <w:rsid w:val="007F51F7"/>
    <w:rsid w:val="007F55EE"/>
    <w:rsid w:val="007F5834"/>
    <w:rsid w:val="007F5C0C"/>
    <w:rsid w:val="007F5D71"/>
    <w:rsid w:val="007F5FAB"/>
    <w:rsid w:val="007F615C"/>
    <w:rsid w:val="007F67A8"/>
    <w:rsid w:val="007F6857"/>
    <w:rsid w:val="007F6B9A"/>
    <w:rsid w:val="007F6EFD"/>
    <w:rsid w:val="007F6F15"/>
    <w:rsid w:val="007F7080"/>
    <w:rsid w:val="007F70A1"/>
    <w:rsid w:val="007F72CE"/>
    <w:rsid w:val="007F74F9"/>
    <w:rsid w:val="007F7528"/>
    <w:rsid w:val="0080016C"/>
    <w:rsid w:val="008001CE"/>
    <w:rsid w:val="00800249"/>
    <w:rsid w:val="00800280"/>
    <w:rsid w:val="00800904"/>
    <w:rsid w:val="00800919"/>
    <w:rsid w:val="00800A8E"/>
    <w:rsid w:val="00800C4E"/>
    <w:rsid w:val="00800D8E"/>
    <w:rsid w:val="00800DEE"/>
    <w:rsid w:val="00800E4F"/>
    <w:rsid w:val="0080104C"/>
    <w:rsid w:val="008014CF"/>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BBD"/>
    <w:rsid w:val="00804C23"/>
    <w:rsid w:val="00804D33"/>
    <w:rsid w:val="00804F05"/>
    <w:rsid w:val="008052FD"/>
    <w:rsid w:val="00805538"/>
    <w:rsid w:val="00805763"/>
    <w:rsid w:val="00805C03"/>
    <w:rsid w:val="00805D99"/>
    <w:rsid w:val="0080611C"/>
    <w:rsid w:val="008061FF"/>
    <w:rsid w:val="0080631D"/>
    <w:rsid w:val="0080668A"/>
    <w:rsid w:val="00806957"/>
    <w:rsid w:val="008069EC"/>
    <w:rsid w:val="00806C4A"/>
    <w:rsid w:val="00806DDE"/>
    <w:rsid w:val="00807183"/>
    <w:rsid w:val="0080721C"/>
    <w:rsid w:val="008073FA"/>
    <w:rsid w:val="00807499"/>
    <w:rsid w:val="00807525"/>
    <w:rsid w:val="008075F7"/>
    <w:rsid w:val="008077D5"/>
    <w:rsid w:val="00807869"/>
    <w:rsid w:val="008078BF"/>
    <w:rsid w:val="00807A30"/>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1B"/>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7FA"/>
    <w:rsid w:val="00812D05"/>
    <w:rsid w:val="00812E97"/>
    <w:rsid w:val="00813005"/>
    <w:rsid w:val="008133C1"/>
    <w:rsid w:val="008135FE"/>
    <w:rsid w:val="00813756"/>
    <w:rsid w:val="008137B4"/>
    <w:rsid w:val="00813BE7"/>
    <w:rsid w:val="00813C24"/>
    <w:rsid w:val="00813F08"/>
    <w:rsid w:val="00813F36"/>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5EDF"/>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D77"/>
    <w:rsid w:val="00817EEC"/>
    <w:rsid w:val="00820288"/>
    <w:rsid w:val="008206CD"/>
    <w:rsid w:val="00820AB3"/>
    <w:rsid w:val="00821209"/>
    <w:rsid w:val="00821281"/>
    <w:rsid w:val="00821348"/>
    <w:rsid w:val="00821370"/>
    <w:rsid w:val="008214FC"/>
    <w:rsid w:val="0082174C"/>
    <w:rsid w:val="00821753"/>
    <w:rsid w:val="008218B4"/>
    <w:rsid w:val="008219D5"/>
    <w:rsid w:val="00821B21"/>
    <w:rsid w:val="00821BF7"/>
    <w:rsid w:val="00821C3B"/>
    <w:rsid w:val="00821CA9"/>
    <w:rsid w:val="00821CFD"/>
    <w:rsid w:val="00822412"/>
    <w:rsid w:val="008226A5"/>
    <w:rsid w:val="00822A9E"/>
    <w:rsid w:val="00822C21"/>
    <w:rsid w:val="00822C7F"/>
    <w:rsid w:val="00822E76"/>
    <w:rsid w:val="0082327A"/>
    <w:rsid w:val="008233DC"/>
    <w:rsid w:val="008233EA"/>
    <w:rsid w:val="0082343C"/>
    <w:rsid w:val="00823473"/>
    <w:rsid w:val="00823672"/>
    <w:rsid w:val="00823849"/>
    <w:rsid w:val="00823979"/>
    <w:rsid w:val="00823B04"/>
    <w:rsid w:val="00823BC5"/>
    <w:rsid w:val="00823C8B"/>
    <w:rsid w:val="00823CBE"/>
    <w:rsid w:val="00823CE7"/>
    <w:rsid w:val="00823E22"/>
    <w:rsid w:val="008247AE"/>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92"/>
    <w:rsid w:val="008260AB"/>
    <w:rsid w:val="008260F2"/>
    <w:rsid w:val="008263C1"/>
    <w:rsid w:val="008263E1"/>
    <w:rsid w:val="00826907"/>
    <w:rsid w:val="00826C10"/>
    <w:rsid w:val="00826CB3"/>
    <w:rsid w:val="00826EB9"/>
    <w:rsid w:val="0082700E"/>
    <w:rsid w:val="008270A9"/>
    <w:rsid w:val="00827320"/>
    <w:rsid w:val="00827366"/>
    <w:rsid w:val="008273DE"/>
    <w:rsid w:val="008274CC"/>
    <w:rsid w:val="00827F5D"/>
    <w:rsid w:val="008300DC"/>
    <w:rsid w:val="008301E5"/>
    <w:rsid w:val="00830300"/>
    <w:rsid w:val="00830623"/>
    <w:rsid w:val="0083090B"/>
    <w:rsid w:val="00830A8F"/>
    <w:rsid w:val="00830C2B"/>
    <w:rsid w:val="0083123C"/>
    <w:rsid w:val="008312B0"/>
    <w:rsid w:val="008313E5"/>
    <w:rsid w:val="00831774"/>
    <w:rsid w:val="0083183F"/>
    <w:rsid w:val="00831A3C"/>
    <w:rsid w:val="00831B3D"/>
    <w:rsid w:val="00831BD9"/>
    <w:rsid w:val="00831C76"/>
    <w:rsid w:val="00831D99"/>
    <w:rsid w:val="00831FA9"/>
    <w:rsid w:val="008323B0"/>
    <w:rsid w:val="008324E0"/>
    <w:rsid w:val="008326FC"/>
    <w:rsid w:val="00832890"/>
    <w:rsid w:val="0083290A"/>
    <w:rsid w:val="00832F7A"/>
    <w:rsid w:val="00833677"/>
    <w:rsid w:val="008337A3"/>
    <w:rsid w:val="0083395D"/>
    <w:rsid w:val="00834EE2"/>
    <w:rsid w:val="00834F3A"/>
    <w:rsid w:val="0083530C"/>
    <w:rsid w:val="00835420"/>
    <w:rsid w:val="00835645"/>
    <w:rsid w:val="0083566F"/>
    <w:rsid w:val="00835753"/>
    <w:rsid w:val="00835A5F"/>
    <w:rsid w:val="00835B7E"/>
    <w:rsid w:val="00835BC4"/>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77"/>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C1B"/>
    <w:rsid w:val="00843FB9"/>
    <w:rsid w:val="0084415C"/>
    <w:rsid w:val="00844428"/>
    <w:rsid w:val="0084476C"/>
    <w:rsid w:val="00844A39"/>
    <w:rsid w:val="0084509D"/>
    <w:rsid w:val="0084534E"/>
    <w:rsid w:val="00845604"/>
    <w:rsid w:val="00845C18"/>
    <w:rsid w:val="00845D51"/>
    <w:rsid w:val="00845D5A"/>
    <w:rsid w:val="008462D7"/>
    <w:rsid w:val="00846501"/>
    <w:rsid w:val="00846875"/>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21"/>
    <w:rsid w:val="0085003E"/>
    <w:rsid w:val="00850077"/>
    <w:rsid w:val="008502F7"/>
    <w:rsid w:val="00850481"/>
    <w:rsid w:val="008505CA"/>
    <w:rsid w:val="0085060B"/>
    <w:rsid w:val="00850648"/>
    <w:rsid w:val="00850861"/>
    <w:rsid w:val="00850862"/>
    <w:rsid w:val="00850AFA"/>
    <w:rsid w:val="00850B2A"/>
    <w:rsid w:val="00850C99"/>
    <w:rsid w:val="00850F7D"/>
    <w:rsid w:val="0085108B"/>
    <w:rsid w:val="008512C9"/>
    <w:rsid w:val="0085136E"/>
    <w:rsid w:val="00851455"/>
    <w:rsid w:val="00851468"/>
    <w:rsid w:val="008516AE"/>
    <w:rsid w:val="008516ED"/>
    <w:rsid w:val="00851706"/>
    <w:rsid w:val="00851A1D"/>
    <w:rsid w:val="00851A88"/>
    <w:rsid w:val="00851D4F"/>
    <w:rsid w:val="008527C5"/>
    <w:rsid w:val="00852842"/>
    <w:rsid w:val="0085291D"/>
    <w:rsid w:val="00852A85"/>
    <w:rsid w:val="00852EA6"/>
    <w:rsid w:val="00852F47"/>
    <w:rsid w:val="00852F5D"/>
    <w:rsid w:val="0085329A"/>
    <w:rsid w:val="00853515"/>
    <w:rsid w:val="008536A0"/>
    <w:rsid w:val="0085385B"/>
    <w:rsid w:val="008539BA"/>
    <w:rsid w:val="00853A25"/>
    <w:rsid w:val="00853A4A"/>
    <w:rsid w:val="00853C8C"/>
    <w:rsid w:val="00853D1D"/>
    <w:rsid w:val="00853D2C"/>
    <w:rsid w:val="00853DCF"/>
    <w:rsid w:val="00853F87"/>
    <w:rsid w:val="00853F94"/>
    <w:rsid w:val="008540C6"/>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05"/>
    <w:rsid w:val="00856445"/>
    <w:rsid w:val="008564A8"/>
    <w:rsid w:val="00856753"/>
    <w:rsid w:val="008568E5"/>
    <w:rsid w:val="00856A89"/>
    <w:rsid w:val="0085742E"/>
    <w:rsid w:val="00857749"/>
    <w:rsid w:val="00857882"/>
    <w:rsid w:val="00857889"/>
    <w:rsid w:val="0085793E"/>
    <w:rsid w:val="00857AF5"/>
    <w:rsid w:val="00857F5E"/>
    <w:rsid w:val="008600D4"/>
    <w:rsid w:val="00860211"/>
    <w:rsid w:val="00860418"/>
    <w:rsid w:val="008604D4"/>
    <w:rsid w:val="00860614"/>
    <w:rsid w:val="0086081D"/>
    <w:rsid w:val="00860AE9"/>
    <w:rsid w:val="00860B28"/>
    <w:rsid w:val="00860BD7"/>
    <w:rsid w:val="00860E03"/>
    <w:rsid w:val="008611C9"/>
    <w:rsid w:val="008613B8"/>
    <w:rsid w:val="008618B4"/>
    <w:rsid w:val="008618FA"/>
    <w:rsid w:val="00861B50"/>
    <w:rsid w:val="00861B6C"/>
    <w:rsid w:val="00861C42"/>
    <w:rsid w:val="00861C46"/>
    <w:rsid w:val="00861C4F"/>
    <w:rsid w:val="00861D04"/>
    <w:rsid w:val="00861D84"/>
    <w:rsid w:val="008622FF"/>
    <w:rsid w:val="00862479"/>
    <w:rsid w:val="008625A1"/>
    <w:rsid w:val="008626CC"/>
    <w:rsid w:val="008627F4"/>
    <w:rsid w:val="008628E9"/>
    <w:rsid w:val="00862AC5"/>
    <w:rsid w:val="00862B0F"/>
    <w:rsid w:val="00862B1B"/>
    <w:rsid w:val="00862C8A"/>
    <w:rsid w:val="00862CB3"/>
    <w:rsid w:val="00862F19"/>
    <w:rsid w:val="008633A2"/>
    <w:rsid w:val="008634F7"/>
    <w:rsid w:val="008638CC"/>
    <w:rsid w:val="00863BBD"/>
    <w:rsid w:val="00863C9D"/>
    <w:rsid w:val="008645B9"/>
    <w:rsid w:val="00864762"/>
    <w:rsid w:val="008647B1"/>
    <w:rsid w:val="00864838"/>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1C"/>
    <w:rsid w:val="00866DC7"/>
    <w:rsid w:val="00866F8D"/>
    <w:rsid w:val="008674D3"/>
    <w:rsid w:val="00867712"/>
    <w:rsid w:val="00867B19"/>
    <w:rsid w:val="00867D83"/>
    <w:rsid w:val="00867E81"/>
    <w:rsid w:val="00870274"/>
    <w:rsid w:val="00870285"/>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0F1"/>
    <w:rsid w:val="008722BC"/>
    <w:rsid w:val="008727CF"/>
    <w:rsid w:val="008727D4"/>
    <w:rsid w:val="0087297B"/>
    <w:rsid w:val="00872B25"/>
    <w:rsid w:val="00872CD4"/>
    <w:rsid w:val="00872CD5"/>
    <w:rsid w:val="00872F5A"/>
    <w:rsid w:val="00872FD8"/>
    <w:rsid w:val="0087306A"/>
    <w:rsid w:val="0087348E"/>
    <w:rsid w:val="008735D9"/>
    <w:rsid w:val="0087363C"/>
    <w:rsid w:val="0087393E"/>
    <w:rsid w:val="00873AF2"/>
    <w:rsid w:val="00873B8E"/>
    <w:rsid w:val="00873E87"/>
    <w:rsid w:val="00874044"/>
    <w:rsid w:val="0087444B"/>
    <w:rsid w:val="008745D8"/>
    <w:rsid w:val="00874CC2"/>
    <w:rsid w:val="00874E0E"/>
    <w:rsid w:val="00874F7B"/>
    <w:rsid w:val="00875025"/>
    <w:rsid w:val="008753BC"/>
    <w:rsid w:val="00875BA4"/>
    <w:rsid w:val="00875BA5"/>
    <w:rsid w:val="00875D85"/>
    <w:rsid w:val="00875ED9"/>
    <w:rsid w:val="00875EEA"/>
    <w:rsid w:val="00875FAB"/>
    <w:rsid w:val="0087642E"/>
    <w:rsid w:val="00876560"/>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BA3"/>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AF"/>
    <w:rsid w:val="00883AC7"/>
    <w:rsid w:val="00883B36"/>
    <w:rsid w:val="00883C40"/>
    <w:rsid w:val="00883C8D"/>
    <w:rsid w:val="00883C9E"/>
    <w:rsid w:val="00883CB5"/>
    <w:rsid w:val="00883D39"/>
    <w:rsid w:val="00883F45"/>
    <w:rsid w:val="00883FF3"/>
    <w:rsid w:val="00884021"/>
    <w:rsid w:val="00884045"/>
    <w:rsid w:val="00884627"/>
    <w:rsid w:val="00884699"/>
    <w:rsid w:val="0088470D"/>
    <w:rsid w:val="008848E2"/>
    <w:rsid w:val="00884B98"/>
    <w:rsid w:val="00884BFB"/>
    <w:rsid w:val="00884F12"/>
    <w:rsid w:val="008850C2"/>
    <w:rsid w:val="008850EF"/>
    <w:rsid w:val="008851ED"/>
    <w:rsid w:val="00885409"/>
    <w:rsid w:val="00885448"/>
    <w:rsid w:val="00885633"/>
    <w:rsid w:val="00885811"/>
    <w:rsid w:val="00885D46"/>
    <w:rsid w:val="00885D73"/>
    <w:rsid w:val="00885EB7"/>
    <w:rsid w:val="00885F02"/>
    <w:rsid w:val="008861C6"/>
    <w:rsid w:val="0088631A"/>
    <w:rsid w:val="00886533"/>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B3A"/>
    <w:rsid w:val="00887C8C"/>
    <w:rsid w:val="00887E69"/>
    <w:rsid w:val="00887F78"/>
    <w:rsid w:val="008900C0"/>
    <w:rsid w:val="008900F3"/>
    <w:rsid w:val="00890728"/>
    <w:rsid w:val="00890780"/>
    <w:rsid w:val="00890812"/>
    <w:rsid w:val="00890A87"/>
    <w:rsid w:val="00890FAB"/>
    <w:rsid w:val="0089125B"/>
    <w:rsid w:val="008912F8"/>
    <w:rsid w:val="0089130C"/>
    <w:rsid w:val="00891B95"/>
    <w:rsid w:val="00891CB4"/>
    <w:rsid w:val="00891CBC"/>
    <w:rsid w:val="008923EF"/>
    <w:rsid w:val="00892554"/>
    <w:rsid w:val="008927ED"/>
    <w:rsid w:val="0089297A"/>
    <w:rsid w:val="00892A3A"/>
    <w:rsid w:val="00892A8C"/>
    <w:rsid w:val="00892DD0"/>
    <w:rsid w:val="00892DDB"/>
    <w:rsid w:val="00893391"/>
    <w:rsid w:val="008933EB"/>
    <w:rsid w:val="00893435"/>
    <w:rsid w:val="00893470"/>
    <w:rsid w:val="0089394D"/>
    <w:rsid w:val="008939F8"/>
    <w:rsid w:val="00893B56"/>
    <w:rsid w:val="00893BD4"/>
    <w:rsid w:val="00893C94"/>
    <w:rsid w:val="00893E6C"/>
    <w:rsid w:val="00893E73"/>
    <w:rsid w:val="00893F26"/>
    <w:rsid w:val="008945E2"/>
    <w:rsid w:val="0089478D"/>
    <w:rsid w:val="008947F8"/>
    <w:rsid w:val="0089491C"/>
    <w:rsid w:val="00894A3C"/>
    <w:rsid w:val="00894BC7"/>
    <w:rsid w:val="00894DF2"/>
    <w:rsid w:val="00895094"/>
    <w:rsid w:val="00895161"/>
    <w:rsid w:val="0089520B"/>
    <w:rsid w:val="008952ED"/>
    <w:rsid w:val="008955B1"/>
    <w:rsid w:val="00895B87"/>
    <w:rsid w:val="00895BD8"/>
    <w:rsid w:val="00896127"/>
    <w:rsid w:val="00896206"/>
    <w:rsid w:val="008968C2"/>
    <w:rsid w:val="00896964"/>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CC1"/>
    <w:rsid w:val="008A1E23"/>
    <w:rsid w:val="008A237E"/>
    <w:rsid w:val="008A2407"/>
    <w:rsid w:val="008A242B"/>
    <w:rsid w:val="008A2730"/>
    <w:rsid w:val="008A282E"/>
    <w:rsid w:val="008A29FD"/>
    <w:rsid w:val="008A2CBB"/>
    <w:rsid w:val="008A2ED4"/>
    <w:rsid w:val="008A32BA"/>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398"/>
    <w:rsid w:val="008A5582"/>
    <w:rsid w:val="008A5883"/>
    <w:rsid w:val="008A5A2E"/>
    <w:rsid w:val="008A5A78"/>
    <w:rsid w:val="008A5EC5"/>
    <w:rsid w:val="008A5ED2"/>
    <w:rsid w:val="008A5F93"/>
    <w:rsid w:val="008A6082"/>
    <w:rsid w:val="008A60B6"/>
    <w:rsid w:val="008A613D"/>
    <w:rsid w:val="008A632B"/>
    <w:rsid w:val="008A6594"/>
    <w:rsid w:val="008A66CE"/>
    <w:rsid w:val="008A6703"/>
    <w:rsid w:val="008A678E"/>
    <w:rsid w:val="008A6819"/>
    <w:rsid w:val="008A6B15"/>
    <w:rsid w:val="008A6E91"/>
    <w:rsid w:val="008A7036"/>
    <w:rsid w:val="008A7407"/>
    <w:rsid w:val="008A7410"/>
    <w:rsid w:val="008A7567"/>
    <w:rsid w:val="008A75EE"/>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3FC"/>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6EA"/>
    <w:rsid w:val="008B2708"/>
    <w:rsid w:val="008B2A93"/>
    <w:rsid w:val="008B2B7A"/>
    <w:rsid w:val="008B2F50"/>
    <w:rsid w:val="008B3075"/>
    <w:rsid w:val="008B3113"/>
    <w:rsid w:val="008B350D"/>
    <w:rsid w:val="008B3586"/>
    <w:rsid w:val="008B3CD3"/>
    <w:rsid w:val="008B3EB4"/>
    <w:rsid w:val="008B3EE8"/>
    <w:rsid w:val="008B400F"/>
    <w:rsid w:val="008B4139"/>
    <w:rsid w:val="008B41F0"/>
    <w:rsid w:val="008B42B2"/>
    <w:rsid w:val="008B44EB"/>
    <w:rsid w:val="008B4527"/>
    <w:rsid w:val="008B4566"/>
    <w:rsid w:val="008B482A"/>
    <w:rsid w:val="008B49B0"/>
    <w:rsid w:val="008B4A8E"/>
    <w:rsid w:val="008B4C73"/>
    <w:rsid w:val="008B4DD3"/>
    <w:rsid w:val="008B4E26"/>
    <w:rsid w:val="008B4E67"/>
    <w:rsid w:val="008B5270"/>
    <w:rsid w:val="008B5336"/>
    <w:rsid w:val="008B5785"/>
    <w:rsid w:val="008B59C0"/>
    <w:rsid w:val="008B5AB2"/>
    <w:rsid w:val="008B5FFB"/>
    <w:rsid w:val="008B6197"/>
    <w:rsid w:val="008B6220"/>
    <w:rsid w:val="008B63E5"/>
    <w:rsid w:val="008B640F"/>
    <w:rsid w:val="008B645E"/>
    <w:rsid w:val="008B6652"/>
    <w:rsid w:val="008B675D"/>
    <w:rsid w:val="008B6A03"/>
    <w:rsid w:val="008B6A3E"/>
    <w:rsid w:val="008B6AAE"/>
    <w:rsid w:val="008B6B85"/>
    <w:rsid w:val="008B7090"/>
    <w:rsid w:val="008B71F9"/>
    <w:rsid w:val="008B7214"/>
    <w:rsid w:val="008B7283"/>
    <w:rsid w:val="008B7442"/>
    <w:rsid w:val="008B755E"/>
    <w:rsid w:val="008B7576"/>
    <w:rsid w:val="008B7587"/>
    <w:rsid w:val="008B7ADB"/>
    <w:rsid w:val="008B7DD3"/>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20AA"/>
    <w:rsid w:val="008C226E"/>
    <w:rsid w:val="008C228E"/>
    <w:rsid w:val="008C2431"/>
    <w:rsid w:val="008C245A"/>
    <w:rsid w:val="008C25BB"/>
    <w:rsid w:val="008C2847"/>
    <w:rsid w:val="008C29A0"/>
    <w:rsid w:val="008C2ADD"/>
    <w:rsid w:val="008C2C38"/>
    <w:rsid w:val="008C2D87"/>
    <w:rsid w:val="008C2E0B"/>
    <w:rsid w:val="008C30E5"/>
    <w:rsid w:val="008C3214"/>
    <w:rsid w:val="008C3AB7"/>
    <w:rsid w:val="008C3C01"/>
    <w:rsid w:val="008C3F40"/>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275"/>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AA5"/>
    <w:rsid w:val="008D1B24"/>
    <w:rsid w:val="008D1B57"/>
    <w:rsid w:val="008D1B8D"/>
    <w:rsid w:val="008D1BF7"/>
    <w:rsid w:val="008D1C7B"/>
    <w:rsid w:val="008D1DAE"/>
    <w:rsid w:val="008D1F24"/>
    <w:rsid w:val="008D208D"/>
    <w:rsid w:val="008D216F"/>
    <w:rsid w:val="008D242A"/>
    <w:rsid w:val="008D2845"/>
    <w:rsid w:val="008D2A8B"/>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5DB"/>
    <w:rsid w:val="008D4972"/>
    <w:rsid w:val="008D4C14"/>
    <w:rsid w:val="008D4C2C"/>
    <w:rsid w:val="008D4D0E"/>
    <w:rsid w:val="008D5435"/>
    <w:rsid w:val="008D57EE"/>
    <w:rsid w:val="008D590C"/>
    <w:rsid w:val="008D5A3E"/>
    <w:rsid w:val="008D5B1F"/>
    <w:rsid w:val="008D5D7C"/>
    <w:rsid w:val="008D5D9C"/>
    <w:rsid w:val="008D5E11"/>
    <w:rsid w:val="008D5EEF"/>
    <w:rsid w:val="008D5F81"/>
    <w:rsid w:val="008D6146"/>
    <w:rsid w:val="008D621A"/>
    <w:rsid w:val="008D6760"/>
    <w:rsid w:val="008D68F4"/>
    <w:rsid w:val="008D694B"/>
    <w:rsid w:val="008D6A14"/>
    <w:rsid w:val="008D6D26"/>
    <w:rsid w:val="008D6F8B"/>
    <w:rsid w:val="008D6FAF"/>
    <w:rsid w:val="008D70BC"/>
    <w:rsid w:val="008D74A9"/>
    <w:rsid w:val="008D74B5"/>
    <w:rsid w:val="008D7582"/>
    <w:rsid w:val="008D7609"/>
    <w:rsid w:val="008D765C"/>
    <w:rsid w:val="008D7A32"/>
    <w:rsid w:val="008D7B67"/>
    <w:rsid w:val="008D7BAB"/>
    <w:rsid w:val="008D7D28"/>
    <w:rsid w:val="008E06D4"/>
    <w:rsid w:val="008E07AB"/>
    <w:rsid w:val="008E07E6"/>
    <w:rsid w:val="008E0855"/>
    <w:rsid w:val="008E099B"/>
    <w:rsid w:val="008E0A61"/>
    <w:rsid w:val="008E0FBB"/>
    <w:rsid w:val="008E1624"/>
    <w:rsid w:val="008E180F"/>
    <w:rsid w:val="008E1970"/>
    <w:rsid w:val="008E1A99"/>
    <w:rsid w:val="008E1D36"/>
    <w:rsid w:val="008E1E77"/>
    <w:rsid w:val="008E1EC8"/>
    <w:rsid w:val="008E1F5F"/>
    <w:rsid w:val="008E1FA7"/>
    <w:rsid w:val="008E207F"/>
    <w:rsid w:val="008E20F0"/>
    <w:rsid w:val="008E20FC"/>
    <w:rsid w:val="008E218C"/>
    <w:rsid w:val="008E28A5"/>
    <w:rsid w:val="008E298E"/>
    <w:rsid w:val="008E2DEF"/>
    <w:rsid w:val="008E2EA9"/>
    <w:rsid w:val="008E2F78"/>
    <w:rsid w:val="008E2FB9"/>
    <w:rsid w:val="008E308B"/>
    <w:rsid w:val="008E319D"/>
    <w:rsid w:val="008E3292"/>
    <w:rsid w:val="008E3B5B"/>
    <w:rsid w:val="008E3C89"/>
    <w:rsid w:val="008E3CA1"/>
    <w:rsid w:val="008E3CEB"/>
    <w:rsid w:val="008E3CF9"/>
    <w:rsid w:val="008E3D68"/>
    <w:rsid w:val="008E4046"/>
    <w:rsid w:val="008E41CA"/>
    <w:rsid w:val="008E4234"/>
    <w:rsid w:val="008E4363"/>
    <w:rsid w:val="008E4366"/>
    <w:rsid w:val="008E43BE"/>
    <w:rsid w:val="008E441B"/>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45E"/>
    <w:rsid w:val="008E6638"/>
    <w:rsid w:val="008E6698"/>
    <w:rsid w:val="008E66F0"/>
    <w:rsid w:val="008E6995"/>
    <w:rsid w:val="008E69A1"/>
    <w:rsid w:val="008E6A88"/>
    <w:rsid w:val="008E6ACE"/>
    <w:rsid w:val="008E6AF8"/>
    <w:rsid w:val="008E6DA9"/>
    <w:rsid w:val="008E7545"/>
    <w:rsid w:val="008F0102"/>
    <w:rsid w:val="008F01F5"/>
    <w:rsid w:val="008F0795"/>
    <w:rsid w:val="008F07C6"/>
    <w:rsid w:val="008F084E"/>
    <w:rsid w:val="008F08B0"/>
    <w:rsid w:val="008F0F1F"/>
    <w:rsid w:val="008F0FEA"/>
    <w:rsid w:val="008F115D"/>
    <w:rsid w:val="008F13B1"/>
    <w:rsid w:val="008F13F7"/>
    <w:rsid w:val="008F1714"/>
    <w:rsid w:val="008F179C"/>
    <w:rsid w:val="008F1957"/>
    <w:rsid w:val="008F19F6"/>
    <w:rsid w:val="008F1D28"/>
    <w:rsid w:val="008F2218"/>
    <w:rsid w:val="008F22A6"/>
    <w:rsid w:val="008F2342"/>
    <w:rsid w:val="008F23EF"/>
    <w:rsid w:val="008F245D"/>
    <w:rsid w:val="008F24D9"/>
    <w:rsid w:val="008F2700"/>
    <w:rsid w:val="008F2982"/>
    <w:rsid w:val="008F298A"/>
    <w:rsid w:val="008F2A75"/>
    <w:rsid w:val="008F2DCE"/>
    <w:rsid w:val="008F2F30"/>
    <w:rsid w:val="008F334F"/>
    <w:rsid w:val="008F3A24"/>
    <w:rsid w:val="008F3CB2"/>
    <w:rsid w:val="008F3DCB"/>
    <w:rsid w:val="008F40F9"/>
    <w:rsid w:val="008F41D4"/>
    <w:rsid w:val="008F475C"/>
    <w:rsid w:val="008F47BE"/>
    <w:rsid w:val="008F49E2"/>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889"/>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3EFE"/>
    <w:rsid w:val="0090404C"/>
    <w:rsid w:val="009043BA"/>
    <w:rsid w:val="009044EA"/>
    <w:rsid w:val="0090463B"/>
    <w:rsid w:val="009046D4"/>
    <w:rsid w:val="00904925"/>
    <w:rsid w:val="00904AF3"/>
    <w:rsid w:val="00904DCE"/>
    <w:rsid w:val="0090517C"/>
    <w:rsid w:val="0090539C"/>
    <w:rsid w:val="009053FA"/>
    <w:rsid w:val="009057AC"/>
    <w:rsid w:val="00905823"/>
    <w:rsid w:val="00905A08"/>
    <w:rsid w:val="00905BC2"/>
    <w:rsid w:val="00905C79"/>
    <w:rsid w:val="00905E5C"/>
    <w:rsid w:val="00905EAF"/>
    <w:rsid w:val="00905FC6"/>
    <w:rsid w:val="00906996"/>
    <w:rsid w:val="009069A3"/>
    <w:rsid w:val="00906D3B"/>
    <w:rsid w:val="00906E61"/>
    <w:rsid w:val="00907066"/>
    <w:rsid w:val="0090717F"/>
    <w:rsid w:val="009075C0"/>
    <w:rsid w:val="00907B53"/>
    <w:rsid w:val="00907DC8"/>
    <w:rsid w:val="00910070"/>
    <w:rsid w:val="00910091"/>
    <w:rsid w:val="0091013C"/>
    <w:rsid w:val="009101DF"/>
    <w:rsid w:val="00910647"/>
    <w:rsid w:val="0091081D"/>
    <w:rsid w:val="00910933"/>
    <w:rsid w:val="00910B75"/>
    <w:rsid w:val="00910CD7"/>
    <w:rsid w:val="00910D1F"/>
    <w:rsid w:val="00910D9D"/>
    <w:rsid w:val="00910E48"/>
    <w:rsid w:val="00910EB3"/>
    <w:rsid w:val="00910ECD"/>
    <w:rsid w:val="00910F42"/>
    <w:rsid w:val="009114CB"/>
    <w:rsid w:val="009115D8"/>
    <w:rsid w:val="0091171A"/>
    <w:rsid w:val="0091173A"/>
    <w:rsid w:val="009118CD"/>
    <w:rsid w:val="00911944"/>
    <w:rsid w:val="009119E4"/>
    <w:rsid w:val="00911B5B"/>
    <w:rsid w:val="00911C67"/>
    <w:rsid w:val="00911DB0"/>
    <w:rsid w:val="00911E9A"/>
    <w:rsid w:val="00911F43"/>
    <w:rsid w:val="009121A7"/>
    <w:rsid w:val="00912218"/>
    <w:rsid w:val="009125E8"/>
    <w:rsid w:val="0091271A"/>
    <w:rsid w:val="0091285C"/>
    <w:rsid w:val="00912C4A"/>
    <w:rsid w:val="00912E8F"/>
    <w:rsid w:val="00913077"/>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A84"/>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B1B"/>
    <w:rsid w:val="00917B3C"/>
    <w:rsid w:val="00917D31"/>
    <w:rsid w:val="00917D3D"/>
    <w:rsid w:val="00917DC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707"/>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94"/>
    <w:rsid w:val="00922AA6"/>
    <w:rsid w:val="00922BE5"/>
    <w:rsid w:val="00922C9F"/>
    <w:rsid w:val="00923034"/>
    <w:rsid w:val="009231DA"/>
    <w:rsid w:val="00923234"/>
    <w:rsid w:val="00923842"/>
    <w:rsid w:val="009238E8"/>
    <w:rsid w:val="009239EC"/>
    <w:rsid w:val="00923C11"/>
    <w:rsid w:val="00923CEE"/>
    <w:rsid w:val="00923DA7"/>
    <w:rsid w:val="0092415A"/>
    <w:rsid w:val="009245BA"/>
    <w:rsid w:val="009245BB"/>
    <w:rsid w:val="00924790"/>
    <w:rsid w:val="00924837"/>
    <w:rsid w:val="00924A63"/>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5CBD"/>
    <w:rsid w:val="00925DEE"/>
    <w:rsid w:val="00925E0C"/>
    <w:rsid w:val="00926339"/>
    <w:rsid w:val="0092642B"/>
    <w:rsid w:val="00926670"/>
    <w:rsid w:val="00926964"/>
    <w:rsid w:val="0092697A"/>
    <w:rsid w:val="00926A92"/>
    <w:rsid w:val="00926C6C"/>
    <w:rsid w:val="00926D57"/>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D43"/>
    <w:rsid w:val="00930FF5"/>
    <w:rsid w:val="009311EF"/>
    <w:rsid w:val="0093136E"/>
    <w:rsid w:val="00931419"/>
    <w:rsid w:val="0093179A"/>
    <w:rsid w:val="0093198C"/>
    <w:rsid w:val="0093253B"/>
    <w:rsid w:val="009328E3"/>
    <w:rsid w:val="00932B27"/>
    <w:rsid w:val="00932B6D"/>
    <w:rsid w:val="00932D38"/>
    <w:rsid w:val="00932D76"/>
    <w:rsid w:val="00932EB3"/>
    <w:rsid w:val="00932F41"/>
    <w:rsid w:val="00933004"/>
    <w:rsid w:val="00933215"/>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0EF"/>
    <w:rsid w:val="009401D0"/>
    <w:rsid w:val="00940263"/>
    <w:rsid w:val="009403C7"/>
    <w:rsid w:val="00940474"/>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A0D"/>
    <w:rsid w:val="00943170"/>
    <w:rsid w:val="009431E8"/>
    <w:rsid w:val="00943325"/>
    <w:rsid w:val="009436D4"/>
    <w:rsid w:val="0094371D"/>
    <w:rsid w:val="00943A66"/>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DB"/>
    <w:rsid w:val="009465FF"/>
    <w:rsid w:val="00946666"/>
    <w:rsid w:val="009468A6"/>
    <w:rsid w:val="009469D8"/>
    <w:rsid w:val="00946AA1"/>
    <w:rsid w:val="00946BDB"/>
    <w:rsid w:val="00946CCD"/>
    <w:rsid w:val="00946DF8"/>
    <w:rsid w:val="009474C9"/>
    <w:rsid w:val="00947531"/>
    <w:rsid w:val="0094774C"/>
    <w:rsid w:val="00947C7A"/>
    <w:rsid w:val="00947ECF"/>
    <w:rsid w:val="00947F0E"/>
    <w:rsid w:val="00950054"/>
    <w:rsid w:val="009500EF"/>
    <w:rsid w:val="009503F9"/>
    <w:rsid w:val="0095068D"/>
    <w:rsid w:val="00950706"/>
    <w:rsid w:val="009508D2"/>
    <w:rsid w:val="00950AAC"/>
    <w:rsid w:val="00950AB4"/>
    <w:rsid w:val="00951531"/>
    <w:rsid w:val="00951758"/>
    <w:rsid w:val="009517B8"/>
    <w:rsid w:val="009519F3"/>
    <w:rsid w:val="00951A27"/>
    <w:rsid w:val="00951D82"/>
    <w:rsid w:val="00951DE6"/>
    <w:rsid w:val="00952277"/>
    <w:rsid w:val="0095251F"/>
    <w:rsid w:val="009525DB"/>
    <w:rsid w:val="00952604"/>
    <w:rsid w:val="00952779"/>
    <w:rsid w:val="00952801"/>
    <w:rsid w:val="00952846"/>
    <w:rsid w:val="00952860"/>
    <w:rsid w:val="0095293C"/>
    <w:rsid w:val="00952AF8"/>
    <w:rsid w:val="00952BCC"/>
    <w:rsid w:val="00952DF4"/>
    <w:rsid w:val="00952F68"/>
    <w:rsid w:val="00952FDE"/>
    <w:rsid w:val="00952FF7"/>
    <w:rsid w:val="009533F0"/>
    <w:rsid w:val="0095370F"/>
    <w:rsid w:val="00953740"/>
    <w:rsid w:val="009538E8"/>
    <w:rsid w:val="00953904"/>
    <w:rsid w:val="00953A28"/>
    <w:rsid w:val="00953C20"/>
    <w:rsid w:val="00953EB0"/>
    <w:rsid w:val="009540A7"/>
    <w:rsid w:val="00954128"/>
    <w:rsid w:val="009547A7"/>
    <w:rsid w:val="00954DB9"/>
    <w:rsid w:val="00954F12"/>
    <w:rsid w:val="0095502C"/>
    <w:rsid w:val="009552E8"/>
    <w:rsid w:val="00955C13"/>
    <w:rsid w:val="00955DA2"/>
    <w:rsid w:val="00955EE1"/>
    <w:rsid w:val="00956060"/>
    <w:rsid w:val="009561D9"/>
    <w:rsid w:val="0095632F"/>
    <w:rsid w:val="0095634D"/>
    <w:rsid w:val="00956636"/>
    <w:rsid w:val="00956C12"/>
    <w:rsid w:val="00956DAB"/>
    <w:rsid w:val="009576B3"/>
    <w:rsid w:val="00957747"/>
    <w:rsid w:val="009578F0"/>
    <w:rsid w:val="00957AE1"/>
    <w:rsid w:val="00957C00"/>
    <w:rsid w:val="00957C4E"/>
    <w:rsid w:val="00957CB5"/>
    <w:rsid w:val="00957FBA"/>
    <w:rsid w:val="009606E9"/>
    <w:rsid w:val="0096076A"/>
    <w:rsid w:val="00960981"/>
    <w:rsid w:val="009609D0"/>
    <w:rsid w:val="00960C9C"/>
    <w:rsid w:val="00960E19"/>
    <w:rsid w:val="00960E79"/>
    <w:rsid w:val="00960E85"/>
    <w:rsid w:val="00960EF2"/>
    <w:rsid w:val="00960F82"/>
    <w:rsid w:val="009610BE"/>
    <w:rsid w:val="0096114D"/>
    <w:rsid w:val="00961307"/>
    <w:rsid w:val="0096138C"/>
    <w:rsid w:val="009614A4"/>
    <w:rsid w:val="009615D5"/>
    <w:rsid w:val="0096191D"/>
    <w:rsid w:val="00961935"/>
    <w:rsid w:val="00961E94"/>
    <w:rsid w:val="0096204D"/>
    <w:rsid w:val="009620AB"/>
    <w:rsid w:val="009623CA"/>
    <w:rsid w:val="0096292A"/>
    <w:rsid w:val="00962995"/>
    <w:rsid w:val="0096299A"/>
    <w:rsid w:val="00962B1A"/>
    <w:rsid w:val="00962B51"/>
    <w:rsid w:val="009632EE"/>
    <w:rsid w:val="009634DD"/>
    <w:rsid w:val="00963547"/>
    <w:rsid w:val="009636E9"/>
    <w:rsid w:val="00963710"/>
    <w:rsid w:val="009637A9"/>
    <w:rsid w:val="00963872"/>
    <w:rsid w:val="00963C5A"/>
    <w:rsid w:val="00963F36"/>
    <w:rsid w:val="00964197"/>
    <w:rsid w:val="0096425A"/>
    <w:rsid w:val="00964293"/>
    <w:rsid w:val="00964A43"/>
    <w:rsid w:val="00964B95"/>
    <w:rsid w:val="00964C01"/>
    <w:rsid w:val="00964C61"/>
    <w:rsid w:val="00964C79"/>
    <w:rsid w:val="00964CEF"/>
    <w:rsid w:val="00964DC8"/>
    <w:rsid w:val="00964F8C"/>
    <w:rsid w:val="0096555E"/>
    <w:rsid w:val="0096572F"/>
    <w:rsid w:val="00965818"/>
    <w:rsid w:val="00965B06"/>
    <w:rsid w:val="00965E07"/>
    <w:rsid w:val="00965F96"/>
    <w:rsid w:val="0096609A"/>
    <w:rsid w:val="00966189"/>
    <w:rsid w:val="00966A2D"/>
    <w:rsid w:val="00966D41"/>
    <w:rsid w:val="0096713B"/>
    <w:rsid w:val="0096720F"/>
    <w:rsid w:val="00967210"/>
    <w:rsid w:val="009672D3"/>
    <w:rsid w:val="00967513"/>
    <w:rsid w:val="00967A58"/>
    <w:rsid w:val="00967D01"/>
    <w:rsid w:val="00967D0F"/>
    <w:rsid w:val="00967E67"/>
    <w:rsid w:val="00967ECC"/>
    <w:rsid w:val="009706BF"/>
    <w:rsid w:val="00970862"/>
    <w:rsid w:val="0097086F"/>
    <w:rsid w:val="00970C01"/>
    <w:rsid w:val="00970E59"/>
    <w:rsid w:val="00970F06"/>
    <w:rsid w:val="00971237"/>
    <w:rsid w:val="00971511"/>
    <w:rsid w:val="0097185C"/>
    <w:rsid w:val="0097190C"/>
    <w:rsid w:val="00971BF5"/>
    <w:rsid w:val="00971D15"/>
    <w:rsid w:val="00971E50"/>
    <w:rsid w:val="00971E6D"/>
    <w:rsid w:val="00971F85"/>
    <w:rsid w:val="0097201A"/>
    <w:rsid w:val="0097201E"/>
    <w:rsid w:val="0097202F"/>
    <w:rsid w:val="00972063"/>
    <w:rsid w:val="009721D3"/>
    <w:rsid w:val="009723F2"/>
    <w:rsid w:val="009725D1"/>
    <w:rsid w:val="009726E4"/>
    <w:rsid w:val="0097285B"/>
    <w:rsid w:val="00972AB4"/>
    <w:rsid w:val="00972D36"/>
    <w:rsid w:val="00972EBB"/>
    <w:rsid w:val="00973416"/>
    <w:rsid w:val="0097347E"/>
    <w:rsid w:val="009736C3"/>
    <w:rsid w:val="0097397D"/>
    <w:rsid w:val="00973C21"/>
    <w:rsid w:val="00973C4C"/>
    <w:rsid w:val="00973C88"/>
    <w:rsid w:val="009745EE"/>
    <w:rsid w:val="0097476F"/>
    <w:rsid w:val="0097481B"/>
    <w:rsid w:val="00974CA4"/>
    <w:rsid w:val="00974D42"/>
    <w:rsid w:val="00975051"/>
    <w:rsid w:val="00975348"/>
    <w:rsid w:val="00975395"/>
    <w:rsid w:val="00975409"/>
    <w:rsid w:val="0097555A"/>
    <w:rsid w:val="00975603"/>
    <w:rsid w:val="00975717"/>
    <w:rsid w:val="00975818"/>
    <w:rsid w:val="0097591A"/>
    <w:rsid w:val="009759ED"/>
    <w:rsid w:val="00975ADD"/>
    <w:rsid w:val="00975AE5"/>
    <w:rsid w:val="00975CEC"/>
    <w:rsid w:val="0097610D"/>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649"/>
    <w:rsid w:val="009808AF"/>
    <w:rsid w:val="009809EA"/>
    <w:rsid w:val="00980A46"/>
    <w:rsid w:val="00980AEB"/>
    <w:rsid w:val="00980B8F"/>
    <w:rsid w:val="00980EC9"/>
    <w:rsid w:val="00981009"/>
    <w:rsid w:val="00981129"/>
    <w:rsid w:val="009812D2"/>
    <w:rsid w:val="0098138D"/>
    <w:rsid w:val="0098165B"/>
    <w:rsid w:val="00981D34"/>
    <w:rsid w:val="00981DCC"/>
    <w:rsid w:val="009820D0"/>
    <w:rsid w:val="0098229E"/>
    <w:rsid w:val="00982649"/>
    <w:rsid w:val="009827D6"/>
    <w:rsid w:val="009828C1"/>
    <w:rsid w:val="00982AB7"/>
    <w:rsid w:val="00982C2F"/>
    <w:rsid w:val="00982E88"/>
    <w:rsid w:val="00982EDC"/>
    <w:rsid w:val="009836AB"/>
    <w:rsid w:val="009836F3"/>
    <w:rsid w:val="009839ED"/>
    <w:rsid w:val="00983DF4"/>
    <w:rsid w:val="009840B2"/>
    <w:rsid w:val="009841EB"/>
    <w:rsid w:val="0098446D"/>
    <w:rsid w:val="009846CB"/>
    <w:rsid w:val="00984798"/>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5D2"/>
    <w:rsid w:val="00987603"/>
    <w:rsid w:val="009878F1"/>
    <w:rsid w:val="009878FE"/>
    <w:rsid w:val="00987A5E"/>
    <w:rsid w:val="00987A7F"/>
    <w:rsid w:val="00987A95"/>
    <w:rsid w:val="00987CBD"/>
    <w:rsid w:val="00987D10"/>
    <w:rsid w:val="00987F74"/>
    <w:rsid w:val="0099036B"/>
    <w:rsid w:val="00990515"/>
    <w:rsid w:val="009906E2"/>
    <w:rsid w:val="009907F8"/>
    <w:rsid w:val="00990878"/>
    <w:rsid w:val="00990C0D"/>
    <w:rsid w:val="00990C70"/>
    <w:rsid w:val="00990D73"/>
    <w:rsid w:val="00990E71"/>
    <w:rsid w:val="00990E8F"/>
    <w:rsid w:val="00990F66"/>
    <w:rsid w:val="00990FCD"/>
    <w:rsid w:val="00991116"/>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EC2"/>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30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08C"/>
    <w:rsid w:val="0099709E"/>
    <w:rsid w:val="00997308"/>
    <w:rsid w:val="0099735C"/>
    <w:rsid w:val="00997395"/>
    <w:rsid w:val="00997495"/>
    <w:rsid w:val="0099762E"/>
    <w:rsid w:val="0099780B"/>
    <w:rsid w:val="0099785E"/>
    <w:rsid w:val="00997E5D"/>
    <w:rsid w:val="009A021D"/>
    <w:rsid w:val="009A0512"/>
    <w:rsid w:val="009A0D3B"/>
    <w:rsid w:val="009A0F97"/>
    <w:rsid w:val="009A120B"/>
    <w:rsid w:val="009A133D"/>
    <w:rsid w:val="009A139E"/>
    <w:rsid w:val="009A151C"/>
    <w:rsid w:val="009A1919"/>
    <w:rsid w:val="009A1ADC"/>
    <w:rsid w:val="009A1BAA"/>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BD"/>
    <w:rsid w:val="009A2DC9"/>
    <w:rsid w:val="009A3288"/>
    <w:rsid w:val="009A3307"/>
    <w:rsid w:val="009A348B"/>
    <w:rsid w:val="009A373A"/>
    <w:rsid w:val="009A3F6E"/>
    <w:rsid w:val="009A4086"/>
    <w:rsid w:val="009A4180"/>
    <w:rsid w:val="009A445C"/>
    <w:rsid w:val="009A47BD"/>
    <w:rsid w:val="009A496E"/>
    <w:rsid w:val="009A4BFB"/>
    <w:rsid w:val="009A4C5A"/>
    <w:rsid w:val="009A4C6B"/>
    <w:rsid w:val="009A4D1D"/>
    <w:rsid w:val="009A5244"/>
    <w:rsid w:val="009A534F"/>
    <w:rsid w:val="009A5429"/>
    <w:rsid w:val="009A5677"/>
    <w:rsid w:val="009A585D"/>
    <w:rsid w:val="009A59E9"/>
    <w:rsid w:val="009A5D2A"/>
    <w:rsid w:val="009A5E2B"/>
    <w:rsid w:val="009A6021"/>
    <w:rsid w:val="009A62D2"/>
    <w:rsid w:val="009A6737"/>
    <w:rsid w:val="009A6B12"/>
    <w:rsid w:val="009A6E3E"/>
    <w:rsid w:val="009A715B"/>
    <w:rsid w:val="009A720E"/>
    <w:rsid w:val="009A72D1"/>
    <w:rsid w:val="009A73D5"/>
    <w:rsid w:val="009A758A"/>
    <w:rsid w:val="009A76CA"/>
    <w:rsid w:val="009A7727"/>
    <w:rsid w:val="009A78B4"/>
    <w:rsid w:val="009A7D7B"/>
    <w:rsid w:val="009A7E5E"/>
    <w:rsid w:val="009B0014"/>
    <w:rsid w:val="009B0059"/>
    <w:rsid w:val="009B017F"/>
    <w:rsid w:val="009B03C2"/>
    <w:rsid w:val="009B04AB"/>
    <w:rsid w:val="009B091A"/>
    <w:rsid w:val="009B0A64"/>
    <w:rsid w:val="009B0AD7"/>
    <w:rsid w:val="009B0BE2"/>
    <w:rsid w:val="009B0C7C"/>
    <w:rsid w:val="009B0D21"/>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9A1"/>
    <w:rsid w:val="009B3A11"/>
    <w:rsid w:val="009B3F50"/>
    <w:rsid w:val="009B3F9B"/>
    <w:rsid w:val="009B4164"/>
    <w:rsid w:val="009B4231"/>
    <w:rsid w:val="009B4234"/>
    <w:rsid w:val="009B42A4"/>
    <w:rsid w:val="009B4319"/>
    <w:rsid w:val="009B43D2"/>
    <w:rsid w:val="009B4676"/>
    <w:rsid w:val="009B477C"/>
    <w:rsid w:val="009B485A"/>
    <w:rsid w:val="009B4D64"/>
    <w:rsid w:val="009B4DD2"/>
    <w:rsid w:val="009B4E95"/>
    <w:rsid w:val="009B50D4"/>
    <w:rsid w:val="009B511C"/>
    <w:rsid w:val="009B51FB"/>
    <w:rsid w:val="009B53FA"/>
    <w:rsid w:val="009B5488"/>
    <w:rsid w:val="009B55F9"/>
    <w:rsid w:val="009B573E"/>
    <w:rsid w:val="009B5ABB"/>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B7E93"/>
    <w:rsid w:val="009C004B"/>
    <w:rsid w:val="009C02F4"/>
    <w:rsid w:val="009C0529"/>
    <w:rsid w:val="009C08FE"/>
    <w:rsid w:val="009C0B37"/>
    <w:rsid w:val="009C0E08"/>
    <w:rsid w:val="009C113D"/>
    <w:rsid w:val="009C11C0"/>
    <w:rsid w:val="009C15EC"/>
    <w:rsid w:val="009C15F0"/>
    <w:rsid w:val="009C16A5"/>
    <w:rsid w:val="009C1993"/>
    <w:rsid w:val="009C199B"/>
    <w:rsid w:val="009C1D81"/>
    <w:rsid w:val="009C1D8C"/>
    <w:rsid w:val="009C1FBB"/>
    <w:rsid w:val="009C1FCE"/>
    <w:rsid w:val="009C2579"/>
    <w:rsid w:val="009C25D7"/>
    <w:rsid w:val="009C2819"/>
    <w:rsid w:val="009C2AD3"/>
    <w:rsid w:val="009C2AEC"/>
    <w:rsid w:val="009C2E42"/>
    <w:rsid w:val="009C3097"/>
    <w:rsid w:val="009C32A3"/>
    <w:rsid w:val="009C3486"/>
    <w:rsid w:val="009C3875"/>
    <w:rsid w:val="009C3CF4"/>
    <w:rsid w:val="009C3CFE"/>
    <w:rsid w:val="009C3EA4"/>
    <w:rsid w:val="009C406A"/>
    <w:rsid w:val="009C42EE"/>
    <w:rsid w:val="009C44CD"/>
    <w:rsid w:val="009C45C5"/>
    <w:rsid w:val="009C45EF"/>
    <w:rsid w:val="009C49DA"/>
    <w:rsid w:val="009C4B2A"/>
    <w:rsid w:val="009C4C3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4C7"/>
    <w:rsid w:val="009C66AE"/>
    <w:rsid w:val="009C671A"/>
    <w:rsid w:val="009C687F"/>
    <w:rsid w:val="009C692B"/>
    <w:rsid w:val="009C6CAF"/>
    <w:rsid w:val="009C6CBB"/>
    <w:rsid w:val="009C6EF6"/>
    <w:rsid w:val="009C6F46"/>
    <w:rsid w:val="009C71EE"/>
    <w:rsid w:val="009C72A1"/>
    <w:rsid w:val="009C72D8"/>
    <w:rsid w:val="009C72E6"/>
    <w:rsid w:val="009C7423"/>
    <w:rsid w:val="009C75A3"/>
    <w:rsid w:val="009C7C37"/>
    <w:rsid w:val="009D0003"/>
    <w:rsid w:val="009D0287"/>
    <w:rsid w:val="009D03DF"/>
    <w:rsid w:val="009D0423"/>
    <w:rsid w:val="009D0542"/>
    <w:rsid w:val="009D06BF"/>
    <w:rsid w:val="009D08D0"/>
    <w:rsid w:val="009D0CCB"/>
    <w:rsid w:val="009D0CFE"/>
    <w:rsid w:val="009D0D6B"/>
    <w:rsid w:val="009D1098"/>
    <w:rsid w:val="009D10F3"/>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02"/>
    <w:rsid w:val="009D2349"/>
    <w:rsid w:val="009D2A80"/>
    <w:rsid w:val="009D2B5A"/>
    <w:rsid w:val="009D2B8F"/>
    <w:rsid w:val="009D2C18"/>
    <w:rsid w:val="009D2C19"/>
    <w:rsid w:val="009D316B"/>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4B8"/>
    <w:rsid w:val="009D6740"/>
    <w:rsid w:val="009D69B3"/>
    <w:rsid w:val="009D6CAE"/>
    <w:rsid w:val="009D6CF1"/>
    <w:rsid w:val="009D6CFB"/>
    <w:rsid w:val="009D6F9D"/>
    <w:rsid w:val="009D7188"/>
    <w:rsid w:val="009D73A2"/>
    <w:rsid w:val="009D74E9"/>
    <w:rsid w:val="009D75B6"/>
    <w:rsid w:val="009D75D6"/>
    <w:rsid w:val="009D76DC"/>
    <w:rsid w:val="009D7708"/>
    <w:rsid w:val="009D7DD8"/>
    <w:rsid w:val="009D7EB1"/>
    <w:rsid w:val="009D7EF0"/>
    <w:rsid w:val="009E0166"/>
    <w:rsid w:val="009E027C"/>
    <w:rsid w:val="009E064C"/>
    <w:rsid w:val="009E06B6"/>
    <w:rsid w:val="009E0759"/>
    <w:rsid w:val="009E07FC"/>
    <w:rsid w:val="009E08D7"/>
    <w:rsid w:val="009E0BBC"/>
    <w:rsid w:val="009E0D71"/>
    <w:rsid w:val="009E0DDB"/>
    <w:rsid w:val="009E1097"/>
    <w:rsid w:val="009E1130"/>
    <w:rsid w:val="009E11CA"/>
    <w:rsid w:val="009E12DF"/>
    <w:rsid w:val="009E143A"/>
    <w:rsid w:val="009E154F"/>
    <w:rsid w:val="009E1AC7"/>
    <w:rsid w:val="009E1ACA"/>
    <w:rsid w:val="009E1B56"/>
    <w:rsid w:val="009E1BA5"/>
    <w:rsid w:val="009E1DFD"/>
    <w:rsid w:val="009E1E0B"/>
    <w:rsid w:val="009E1E2C"/>
    <w:rsid w:val="009E2298"/>
    <w:rsid w:val="009E2533"/>
    <w:rsid w:val="009E25AA"/>
    <w:rsid w:val="009E267A"/>
    <w:rsid w:val="009E2709"/>
    <w:rsid w:val="009E271E"/>
    <w:rsid w:val="009E27CF"/>
    <w:rsid w:val="009E28FB"/>
    <w:rsid w:val="009E302B"/>
    <w:rsid w:val="009E3533"/>
    <w:rsid w:val="009E398D"/>
    <w:rsid w:val="009E39AA"/>
    <w:rsid w:val="009E4A6A"/>
    <w:rsid w:val="009E4EDF"/>
    <w:rsid w:val="009E4F39"/>
    <w:rsid w:val="009E505E"/>
    <w:rsid w:val="009E51F0"/>
    <w:rsid w:val="009E53B0"/>
    <w:rsid w:val="009E5427"/>
    <w:rsid w:val="009E55B5"/>
    <w:rsid w:val="009E5615"/>
    <w:rsid w:val="009E568E"/>
    <w:rsid w:val="009E56FE"/>
    <w:rsid w:val="009E5C9C"/>
    <w:rsid w:val="009E5DAC"/>
    <w:rsid w:val="009E5E80"/>
    <w:rsid w:val="009E5E96"/>
    <w:rsid w:val="009E5EDD"/>
    <w:rsid w:val="009E5FEB"/>
    <w:rsid w:val="009E6181"/>
    <w:rsid w:val="009E6204"/>
    <w:rsid w:val="009E634C"/>
    <w:rsid w:val="009E63CD"/>
    <w:rsid w:val="009E6783"/>
    <w:rsid w:val="009E688E"/>
    <w:rsid w:val="009E69D7"/>
    <w:rsid w:val="009E6A7A"/>
    <w:rsid w:val="009E6A9C"/>
    <w:rsid w:val="009E6B2A"/>
    <w:rsid w:val="009E6C6E"/>
    <w:rsid w:val="009E6F1A"/>
    <w:rsid w:val="009E7A35"/>
    <w:rsid w:val="009E7A72"/>
    <w:rsid w:val="009E7EC0"/>
    <w:rsid w:val="009F0011"/>
    <w:rsid w:val="009F062E"/>
    <w:rsid w:val="009F066D"/>
    <w:rsid w:val="009F06A9"/>
    <w:rsid w:val="009F0D6F"/>
    <w:rsid w:val="009F0FFD"/>
    <w:rsid w:val="009F1428"/>
    <w:rsid w:val="009F152C"/>
    <w:rsid w:val="009F178C"/>
    <w:rsid w:val="009F19FC"/>
    <w:rsid w:val="009F1AAB"/>
    <w:rsid w:val="009F1B19"/>
    <w:rsid w:val="009F1B6E"/>
    <w:rsid w:val="009F1E22"/>
    <w:rsid w:val="009F2076"/>
    <w:rsid w:val="009F2295"/>
    <w:rsid w:val="009F2467"/>
    <w:rsid w:val="009F297A"/>
    <w:rsid w:val="009F2B85"/>
    <w:rsid w:val="009F302A"/>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4C4"/>
    <w:rsid w:val="009F587E"/>
    <w:rsid w:val="009F58AE"/>
    <w:rsid w:val="009F60B3"/>
    <w:rsid w:val="009F6157"/>
    <w:rsid w:val="009F62E7"/>
    <w:rsid w:val="009F6691"/>
    <w:rsid w:val="009F6825"/>
    <w:rsid w:val="009F6847"/>
    <w:rsid w:val="009F6B7C"/>
    <w:rsid w:val="009F6B9A"/>
    <w:rsid w:val="009F6DF8"/>
    <w:rsid w:val="009F6E76"/>
    <w:rsid w:val="009F7088"/>
    <w:rsid w:val="009F727D"/>
    <w:rsid w:val="009F736A"/>
    <w:rsid w:val="009F761D"/>
    <w:rsid w:val="009F7866"/>
    <w:rsid w:val="009F7902"/>
    <w:rsid w:val="00A00029"/>
    <w:rsid w:val="00A00096"/>
    <w:rsid w:val="00A000E8"/>
    <w:rsid w:val="00A00524"/>
    <w:rsid w:val="00A00581"/>
    <w:rsid w:val="00A0083F"/>
    <w:rsid w:val="00A008A5"/>
    <w:rsid w:val="00A0092F"/>
    <w:rsid w:val="00A00AFF"/>
    <w:rsid w:val="00A00DE7"/>
    <w:rsid w:val="00A00E80"/>
    <w:rsid w:val="00A00E99"/>
    <w:rsid w:val="00A00F3E"/>
    <w:rsid w:val="00A01053"/>
    <w:rsid w:val="00A011A7"/>
    <w:rsid w:val="00A011AF"/>
    <w:rsid w:val="00A011E9"/>
    <w:rsid w:val="00A011FF"/>
    <w:rsid w:val="00A014CA"/>
    <w:rsid w:val="00A01659"/>
    <w:rsid w:val="00A01677"/>
    <w:rsid w:val="00A01809"/>
    <w:rsid w:val="00A01964"/>
    <w:rsid w:val="00A01AA4"/>
    <w:rsid w:val="00A01AD0"/>
    <w:rsid w:val="00A01B59"/>
    <w:rsid w:val="00A01C10"/>
    <w:rsid w:val="00A01DC9"/>
    <w:rsid w:val="00A01E33"/>
    <w:rsid w:val="00A02405"/>
    <w:rsid w:val="00A024C9"/>
    <w:rsid w:val="00A02805"/>
    <w:rsid w:val="00A02874"/>
    <w:rsid w:val="00A02B56"/>
    <w:rsid w:val="00A02C0C"/>
    <w:rsid w:val="00A02EE1"/>
    <w:rsid w:val="00A02F96"/>
    <w:rsid w:val="00A035AA"/>
    <w:rsid w:val="00A03D06"/>
    <w:rsid w:val="00A042A2"/>
    <w:rsid w:val="00A0438C"/>
    <w:rsid w:val="00A04A3E"/>
    <w:rsid w:val="00A04C50"/>
    <w:rsid w:val="00A05026"/>
    <w:rsid w:val="00A0511E"/>
    <w:rsid w:val="00A052ED"/>
    <w:rsid w:val="00A05371"/>
    <w:rsid w:val="00A054C9"/>
    <w:rsid w:val="00A05918"/>
    <w:rsid w:val="00A05AC6"/>
    <w:rsid w:val="00A060B4"/>
    <w:rsid w:val="00A060EB"/>
    <w:rsid w:val="00A0636B"/>
    <w:rsid w:val="00A06CF7"/>
    <w:rsid w:val="00A06D47"/>
    <w:rsid w:val="00A06D88"/>
    <w:rsid w:val="00A06E6F"/>
    <w:rsid w:val="00A070DD"/>
    <w:rsid w:val="00A07365"/>
    <w:rsid w:val="00A07514"/>
    <w:rsid w:val="00A07558"/>
    <w:rsid w:val="00A078AB"/>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E32"/>
    <w:rsid w:val="00A11F12"/>
    <w:rsid w:val="00A11FD6"/>
    <w:rsid w:val="00A12425"/>
    <w:rsid w:val="00A12641"/>
    <w:rsid w:val="00A126A9"/>
    <w:rsid w:val="00A1279B"/>
    <w:rsid w:val="00A12815"/>
    <w:rsid w:val="00A128F8"/>
    <w:rsid w:val="00A12AB9"/>
    <w:rsid w:val="00A12F49"/>
    <w:rsid w:val="00A12FA4"/>
    <w:rsid w:val="00A130CE"/>
    <w:rsid w:val="00A131A5"/>
    <w:rsid w:val="00A132A9"/>
    <w:rsid w:val="00A132EA"/>
    <w:rsid w:val="00A132F6"/>
    <w:rsid w:val="00A1361A"/>
    <w:rsid w:val="00A13CC8"/>
    <w:rsid w:val="00A14112"/>
    <w:rsid w:val="00A14113"/>
    <w:rsid w:val="00A14120"/>
    <w:rsid w:val="00A1416C"/>
    <w:rsid w:val="00A1424A"/>
    <w:rsid w:val="00A1427A"/>
    <w:rsid w:val="00A145E0"/>
    <w:rsid w:val="00A1462B"/>
    <w:rsid w:val="00A14693"/>
    <w:rsid w:val="00A14870"/>
    <w:rsid w:val="00A1488E"/>
    <w:rsid w:val="00A14906"/>
    <w:rsid w:val="00A1495D"/>
    <w:rsid w:val="00A149BE"/>
    <w:rsid w:val="00A14AB7"/>
    <w:rsid w:val="00A14CFA"/>
    <w:rsid w:val="00A14D1C"/>
    <w:rsid w:val="00A14DF4"/>
    <w:rsid w:val="00A14FC0"/>
    <w:rsid w:val="00A14FF6"/>
    <w:rsid w:val="00A15341"/>
    <w:rsid w:val="00A155F1"/>
    <w:rsid w:val="00A15748"/>
    <w:rsid w:val="00A15789"/>
    <w:rsid w:val="00A157CF"/>
    <w:rsid w:val="00A158D0"/>
    <w:rsid w:val="00A15A0C"/>
    <w:rsid w:val="00A15BD6"/>
    <w:rsid w:val="00A15D2E"/>
    <w:rsid w:val="00A15D94"/>
    <w:rsid w:val="00A15E30"/>
    <w:rsid w:val="00A15F56"/>
    <w:rsid w:val="00A15FD3"/>
    <w:rsid w:val="00A167E1"/>
    <w:rsid w:val="00A16AFB"/>
    <w:rsid w:val="00A16B6B"/>
    <w:rsid w:val="00A16BD2"/>
    <w:rsid w:val="00A170A8"/>
    <w:rsid w:val="00A17670"/>
    <w:rsid w:val="00A17926"/>
    <w:rsid w:val="00A17D36"/>
    <w:rsid w:val="00A17D8D"/>
    <w:rsid w:val="00A17D96"/>
    <w:rsid w:val="00A17EB7"/>
    <w:rsid w:val="00A17FEF"/>
    <w:rsid w:val="00A20035"/>
    <w:rsid w:val="00A2035D"/>
    <w:rsid w:val="00A203F0"/>
    <w:rsid w:val="00A20477"/>
    <w:rsid w:val="00A2059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B27"/>
    <w:rsid w:val="00A21CAE"/>
    <w:rsid w:val="00A21E42"/>
    <w:rsid w:val="00A21E7F"/>
    <w:rsid w:val="00A2236B"/>
    <w:rsid w:val="00A22866"/>
    <w:rsid w:val="00A22DDE"/>
    <w:rsid w:val="00A23076"/>
    <w:rsid w:val="00A238DC"/>
    <w:rsid w:val="00A239B8"/>
    <w:rsid w:val="00A23CA3"/>
    <w:rsid w:val="00A23D26"/>
    <w:rsid w:val="00A23E58"/>
    <w:rsid w:val="00A23E66"/>
    <w:rsid w:val="00A2429F"/>
    <w:rsid w:val="00A2433D"/>
    <w:rsid w:val="00A2433E"/>
    <w:rsid w:val="00A24445"/>
    <w:rsid w:val="00A24549"/>
    <w:rsid w:val="00A2467C"/>
    <w:rsid w:val="00A24820"/>
    <w:rsid w:val="00A24912"/>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17"/>
    <w:rsid w:val="00A266AD"/>
    <w:rsid w:val="00A26739"/>
    <w:rsid w:val="00A267BC"/>
    <w:rsid w:val="00A268AF"/>
    <w:rsid w:val="00A269EB"/>
    <w:rsid w:val="00A26B67"/>
    <w:rsid w:val="00A26C30"/>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0DB6"/>
    <w:rsid w:val="00A31059"/>
    <w:rsid w:val="00A31572"/>
    <w:rsid w:val="00A317A5"/>
    <w:rsid w:val="00A3190D"/>
    <w:rsid w:val="00A319E6"/>
    <w:rsid w:val="00A31B12"/>
    <w:rsid w:val="00A31BBD"/>
    <w:rsid w:val="00A31C94"/>
    <w:rsid w:val="00A31CB4"/>
    <w:rsid w:val="00A31D41"/>
    <w:rsid w:val="00A3208A"/>
    <w:rsid w:val="00A3231E"/>
    <w:rsid w:val="00A325BC"/>
    <w:rsid w:val="00A3267E"/>
    <w:rsid w:val="00A3268D"/>
    <w:rsid w:val="00A3288C"/>
    <w:rsid w:val="00A3291E"/>
    <w:rsid w:val="00A32A41"/>
    <w:rsid w:val="00A32E3A"/>
    <w:rsid w:val="00A32EEF"/>
    <w:rsid w:val="00A332CE"/>
    <w:rsid w:val="00A334A2"/>
    <w:rsid w:val="00A3368C"/>
    <w:rsid w:val="00A33866"/>
    <w:rsid w:val="00A339E7"/>
    <w:rsid w:val="00A340AA"/>
    <w:rsid w:val="00A341B5"/>
    <w:rsid w:val="00A341DB"/>
    <w:rsid w:val="00A343EF"/>
    <w:rsid w:val="00A3445C"/>
    <w:rsid w:val="00A3463A"/>
    <w:rsid w:val="00A347D1"/>
    <w:rsid w:val="00A34A2A"/>
    <w:rsid w:val="00A34A69"/>
    <w:rsid w:val="00A34B79"/>
    <w:rsid w:val="00A34F3B"/>
    <w:rsid w:val="00A34FE4"/>
    <w:rsid w:val="00A353E5"/>
    <w:rsid w:val="00A35417"/>
    <w:rsid w:val="00A35486"/>
    <w:rsid w:val="00A358FF"/>
    <w:rsid w:val="00A35B60"/>
    <w:rsid w:val="00A35B78"/>
    <w:rsid w:val="00A35FA3"/>
    <w:rsid w:val="00A36280"/>
    <w:rsid w:val="00A36296"/>
    <w:rsid w:val="00A3642D"/>
    <w:rsid w:val="00A364E1"/>
    <w:rsid w:val="00A36633"/>
    <w:rsid w:val="00A3698C"/>
    <w:rsid w:val="00A369BB"/>
    <w:rsid w:val="00A36CFA"/>
    <w:rsid w:val="00A36D4D"/>
    <w:rsid w:val="00A36E5C"/>
    <w:rsid w:val="00A373C2"/>
    <w:rsid w:val="00A3758E"/>
    <w:rsid w:val="00A375F3"/>
    <w:rsid w:val="00A37608"/>
    <w:rsid w:val="00A37636"/>
    <w:rsid w:val="00A37707"/>
    <w:rsid w:val="00A37A89"/>
    <w:rsid w:val="00A37E45"/>
    <w:rsid w:val="00A40110"/>
    <w:rsid w:val="00A40405"/>
    <w:rsid w:val="00A40430"/>
    <w:rsid w:val="00A404E3"/>
    <w:rsid w:val="00A40558"/>
    <w:rsid w:val="00A40AB2"/>
    <w:rsid w:val="00A40AED"/>
    <w:rsid w:val="00A40B5C"/>
    <w:rsid w:val="00A40BE8"/>
    <w:rsid w:val="00A40C65"/>
    <w:rsid w:val="00A40DFC"/>
    <w:rsid w:val="00A41273"/>
    <w:rsid w:val="00A415E6"/>
    <w:rsid w:val="00A41676"/>
    <w:rsid w:val="00A4189F"/>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70"/>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813"/>
    <w:rsid w:val="00A4798B"/>
    <w:rsid w:val="00A47A11"/>
    <w:rsid w:val="00A47B20"/>
    <w:rsid w:val="00A47B50"/>
    <w:rsid w:val="00A5018B"/>
    <w:rsid w:val="00A50442"/>
    <w:rsid w:val="00A5083B"/>
    <w:rsid w:val="00A50851"/>
    <w:rsid w:val="00A50B6E"/>
    <w:rsid w:val="00A50BEE"/>
    <w:rsid w:val="00A50C46"/>
    <w:rsid w:val="00A50D01"/>
    <w:rsid w:val="00A50F5C"/>
    <w:rsid w:val="00A50FC2"/>
    <w:rsid w:val="00A514E9"/>
    <w:rsid w:val="00A5162C"/>
    <w:rsid w:val="00A51DA9"/>
    <w:rsid w:val="00A521D5"/>
    <w:rsid w:val="00A5270C"/>
    <w:rsid w:val="00A5270F"/>
    <w:rsid w:val="00A528B6"/>
    <w:rsid w:val="00A528F3"/>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43B"/>
    <w:rsid w:val="00A545D5"/>
    <w:rsid w:val="00A546C5"/>
    <w:rsid w:val="00A54B2F"/>
    <w:rsid w:val="00A54C74"/>
    <w:rsid w:val="00A54D26"/>
    <w:rsid w:val="00A54D4F"/>
    <w:rsid w:val="00A54E86"/>
    <w:rsid w:val="00A551E5"/>
    <w:rsid w:val="00A55260"/>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4CB"/>
    <w:rsid w:val="00A606DD"/>
    <w:rsid w:val="00A60707"/>
    <w:rsid w:val="00A60835"/>
    <w:rsid w:val="00A608BC"/>
    <w:rsid w:val="00A608F4"/>
    <w:rsid w:val="00A60920"/>
    <w:rsid w:val="00A60AB1"/>
    <w:rsid w:val="00A60ACC"/>
    <w:rsid w:val="00A60D21"/>
    <w:rsid w:val="00A60FAF"/>
    <w:rsid w:val="00A610FF"/>
    <w:rsid w:val="00A6134C"/>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3F08"/>
    <w:rsid w:val="00A64055"/>
    <w:rsid w:val="00A64171"/>
    <w:rsid w:val="00A6455B"/>
    <w:rsid w:val="00A64582"/>
    <w:rsid w:val="00A64805"/>
    <w:rsid w:val="00A648EF"/>
    <w:rsid w:val="00A64924"/>
    <w:rsid w:val="00A6493F"/>
    <w:rsid w:val="00A6499E"/>
    <w:rsid w:val="00A64A40"/>
    <w:rsid w:val="00A64CA7"/>
    <w:rsid w:val="00A64DC9"/>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B2"/>
    <w:rsid w:val="00A66DDD"/>
    <w:rsid w:val="00A67120"/>
    <w:rsid w:val="00A6739E"/>
    <w:rsid w:val="00A676A8"/>
    <w:rsid w:val="00A67883"/>
    <w:rsid w:val="00A67886"/>
    <w:rsid w:val="00A678A4"/>
    <w:rsid w:val="00A6790D"/>
    <w:rsid w:val="00A67C35"/>
    <w:rsid w:val="00A70367"/>
    <w:rsid w:val="00A7040A"/>
    <w:rsid w:val="00A704FC"/>
    <w:rsid w:val="00A70505"/>
    <w:rsid w:val="00A70812"/>
    <w:rsid w:val="00A7096A"/>
    <w:rsid w:val="00A709A7"/>
    <w:rsid w:val="00A709FA"/>
    <w:rsid w:val="00A70CD7"/>
    <w:rsid w:val="00A71159"/>
    <w:rsid w:val="00A71190"/>
    <w:rsid w:val="00A711B4"/>
    <w:rsid w:val="00A712E1"/>
    <w:rsid w:val="00A7132A"/>
    <w:rsid w:val="00A71903"/>
    <w:rsid w:val="00A7199F"/>
    <w:rsid w:val="00A71A1F"/>
    <w:rsid w:val="00A71C5E"/>
    <w:rsid w:val="00A71D29"/>
    <w:rsid w:val="00A71E77"/>
    <w:rsid w:val="00A71ECA"/>
    <w:rsid w:val="00A71F32"/>
    <w:rsid w:val="00A72194"/>
    <w:rsid w:val="00A72306"/>
    <w:rsid w:val="00A725D9"/>
    <w:rsid w:val="00A72707"/>
    <w:rsid w:val="00A72774"/>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09"/>
    <w:rsid w:val="00A746CD"/>
    <w:rsid w:val="00A746E1"/>
    <w:rsid w:val="00A755A4"/>
    <w:rsid w:val="00A7563F"/>
    <w:rsid w:val="00A757BF"/>
    <w:rsid w:val="00A7581D"/>
    <w:rsid w:val="00A75A91"/>
    <w:rsid w:val="00A75AC9"/>
    <w:rsid w:val="00A75B1C"/>
    <w:rsid w:val="00A75C5A"/>
    <w:rsid w:val="00A75E2B"/>
    <w:rsid w:val="00A75EEF"/>
    <w:rsid w:val="00A76016"/>
    <w:rsid w:val="00A76147"/>
    <w:rsid w:val="00A76517"/>
    <w:rsid w:val="00A7663F"/>
    <w:rsid w:val="00A7683C"/>
    <w:rsid w:val="00A76A18"/>
    <w:rsid w:val="00A76A95"/>
    <w:rsid w:val="00A76C12"/>
    <w:rsid w:val="00A76C51"/>
    <w:rsid w:val="00A77035"/>
    <w:rsid w:val="00A77136"/>
    <w:rsid w:val="00A77267"/>
    <w:rsid w:val="00A773C6"/>
    <w:rsid w:val="00A775FD"/>
    <w:rsid w:val="00A77699"/>
    <w:rsid w:val="00A77784"/>
    <w:rsid w:val="00A77807"/>
    <w:rsid w:val="00A7789A"/>
    <w:rsid w:val="00A77993"/>
    <w:rsid w:val="00A80272"/>
    <w:rsid w:val="00A804D4"/>
    <w:rsid w:val="00A805DE"/>
    <w:rsid w:val="00A80976"/>
    <w:rsid w:val="00A809FD"/>
    <w:rsid w:val="00A80D5E"/>
    <w:rsid w:val="00A80D6F"/>
    <w:rsid w:val="00A81355"/>
    <w:rsid w:val="00A8147F"/>
    <w:rsid w:val="00A81590"/>
    <w:rsid w:val="00A81693"/>
    <w:rsid w:val="00A81825"/>
    <w:rsid w:val="00A819B1"/>
    <w:rsid w:val="00A81C5F"/>
    <w:rsid w:val="00A81CA7"/>
    <w:rsid w:val="00A81D0F"/>
    <w:rsid w:val="00A821C7"/>
    <w:rsid w:val="00A821D9"/>
    <w:rsid w:val="00A822DB"/>
    <w:rsid w:val="00A8269C"/>
    <w:rsid w:val="00A82719"/>
    <w:rsid w:val="00A8277E"/>
    <w:rsid w:val="00A827BD"/>
    <w:rsid w:val="00A82A0F"/>
    <w:rsid w:val="00A82AB3"/>
    <w:rsid w:val="00A82B11"/>
    <w:rsid w:val="00A82B43"/>
    <w:rsid w:val="00A82B66"/>
    <w:rsid w:val="00A82C21"/>
    <w:rsid w:val="00A82E19"/>
    <w:rsid w:val="00A82F1D"/>
    <w:rsid w:val="00A8303C"/>
    <w:rsid w:val="00A83679"/>
    <w:rsid w:val="00A83CF5"/>
    <w:rsid w:val="00A83EC4"/>
    <w:rsid w:val="00A83F88"/>
    <w:rsid w:val="00A83FA8"/>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8E5"/>
    <w:rsid w:val="00A87AF8"/>
    <w:rsid w:val="00A87B7D"/>
    <w:rsid w:val="00A87D56"/>
    <w:rsid w:val="00A9014B"/>
    <w:rsid w:val="00A90794"/>
    <w:rsid w:val="00A90795"/>
    <w:rsid w:val="00A90DEA"/>
    <w:rsid w:val="00A90E6B"/>
    <w:rsid w:val="00A90E85"/>
    <w:rsid w:val="00A90FA1"/>
    <w:rsid w:val="00A90FA4"/>
    <w:rsid w:val="00A91174"/>
    <w:rsid w:val="00A9174A"/>
    <w:rsid w:val="00A91A1C"/>
    <w:rsid w:val="00A91ACD"/>
    <w:rsid w:val="00A91EDF"/>
    <w:rsid w:val="00A91FF9"/>
    <w:rsid w:val="00A92347"/>
    <w:rsid w:val="00A92407"/>
    <w:rsid w:val="00A9253B"/>
    <w:rsid w:val="00A925F3"/>
    <w:rsid w:val="00A92AFF"/>
    <w:rsid w:val="00A92BD1"/>
    <w:rsid w:val="00A92DAC"/>
    <w:rsid w:val="00A92DF9"/>
    <w:rsid w:val="00A92EF0"/>
    <w:rsid w:val="00A93101"/>
    <w:rsid w:val="00A931F2"/>
    <w:rsid w:val="00A932B8"/>
    <w:rsid w:val="00A9336E"/>
    <w:rsid w:val="00A9338F"/>
    <w:rsid w:val="00A935BD"/>
    <w:rsid w:val="00A937D7"/>
    <w:rsid w:val="00A93C9B"/>
    <w:rsid w:val="00A93D0E"/>
    <w:rsid w:val="00A93F0B"/>
    <w:rsid w:val="00A93F4F"/>
    <w:rsid w:val="00A940DF"/>
    <w:rsid w:val="00A9421F"/>
    <w:rsid w:val="00A94354"/>
    <w:rsid w:val="00A94843"/>
    <w:rsid w:val="00A94BD7"/>
    <w:rsid w:val="00A94DED"/>
    <w:rsid w:val="00A94EA5"/>
    <w:rsid w:val="00A94F39"/>
    <w:rsid w:val="00A950FC"/>
    <w:rsid w:val="00A95198"/>
    <w:rsid w:val="00A951FE"/>
    <w:rsid w:val="00A95399"/>
    <w:rsid w:val="00A95740"/>
    <w:rsid w:val="00A95962"/>
    <w:rsid w:val="00A95A4A"/>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68F"/>
    <w:rsid w:val="00A977C6"/>
    <w:rsid w:val="00A97857"/>
    <w:rsid w:val="00A97E78"/>
    <w:rsid w:val="00A97FF2"/>
    <w:rsid w:val="00AA003E"/>
    <w:rsid w:val="00AA007C"/>
    <w:rsid w:val="00AA00EC"/>
    <w:rsid w:val="00AA03E9"/>
    <w:rsid w:val="00AA0746"/>
    <w:rsid w:val="00AA089A"/>
    <w:rsid w:val="00AA09A4"/>
    <w:rsid w:val="00AA0A27"/>
    <w:rsid w:val="00AA0AA9"/>
    <w:rsid w:val="00AA125A"/>
    <w:rsid w:val="00AA1285"/>
    <w:rsid w:val="00AA1692"/>
    <w:rsid w:val="00AA16EC"/>
    <w:rsid w:val="00AA1718"/>
    <w:rsid w:val="00AA17CC"/>
    <w:rsid w:val="00AA1937"/>
    <w:rsid w:val="00AA1A34"/>
    <w:rsid w:val="00AA1AE8"/>
    <w:rsid w:val="00AA1C95"/>
    <w:rsid w:val="00AA2140"/>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E77"/>
    <w:rsid w:val="00AA3F07"/>
    <w:rsid w:val="00AA4003"/>
    <w:rsid w:val="00AA44DF"/>
    <w:rsid w:val="00AA47D6"/>
    <w:rsid w:val="00AA480C"/>
    <w:rsid w:val="00AA4D54"/>
    <w:rsid w:val="00AA4E39"/>
    <w:rsid w:val="00AA4E8D"/>
    <w:rsid w:val="00AA54CD"/>
    <w:rsid w:val="00AA5555"/>
    <w:rsid w:val="00AA5760"/>
    <w:rsid w:val="00AA5B08"/>
    <w:rsid w:val="00AA5C8A"/>
    <w:rsid w:val="00AA5CD0"/>
    <w:rsid w:val="00AA5EDA"/>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0A"/>
    <w:rsid w:val="00AB0869"/>
    <w:rsid w:val="00AB0990"/>
    <w:rsid w:val="00AB0A9D"/>
    <w:rsid w:val="00AB0B8A"/>
    <w:rsid w:val="00AB0B8D"/>
    <w:rsid w:val="00AB1678"/>
    <w:rsid w:val="00AB16D4"/>
    <w:rsid w:val="00AB17A8"/>
    <w:rsid w:val="00AB1967"/>
    <w:rsid w:val="00AB1FCB"/>
    <w:rsid w:val="00AB26B5"/>
    <w:rsid w:val="00AB27ED"/>
    <w:rsid w:val="00AB2E6E"/>
    <w:rsid w:val="00AB2EC7"/>
    <w:rsid w:val="00AB2FA7"/>
    <w:rsid w:val="00AB303F"/>
    <w:rsid w:val="00AB3097"/>
    <w:rsid w:val="00AB3197"/>
    <w:rsid w:val="00AB31EB"/>
    <w:rsid w:val="00AB32D3"/>
    <w:rsid w:val="00AB338F"/>
    <w:rsid w:val="00AB348C"/>
    <w:rsid w:val="00AB34BD"/>
    <w:rsid w:val="00AB3566"/>
    <w:rsid w:val="00AB38F7"/>
    <w:rsid w:val="00AB3957"/>
    <w:rsid w:val="00AB3A06"/>
    <w:rsid w:val="00AB3AAE"/>
    <w:rsid w:val="00AB3B39"/>
    <w:rsid w:val="00AB3B57"/>
    <w:rsid w:val="00AB3B93"/>
    <w:rsid w:val="00AB3CB9"/>
    <w:rsid w:val="00AB3D53"/>
    <w:rsid w:val="00AB3E6E"/>
    <w:rsid w:val="00AB4283"/>
    <w:rsid w:val="00AB462E"/>
    <w:rsid w:val="00AB4A81"/>
    <w:rsid w:val="00AB4B02"/>
    <w:rsid w:val="00AB4DB8"/>
    <w:rsid w:val="00AB4F5F"/>
    <w:rsid w:val="00AB514D"/>
    <w:rsid w:val="00AB5462"/>
    <w:rsid w:val="00AB5793"/>
    <w:rsid w:val="00AB595D"/>
    <w:rsid w:val="00AB5A1A"/>
    <w:rsid w:val="00AB5AAE"/>
    <w:rsid w:val="00AB5ADA"/>
    <w:rsid w:val="00AB5BEE"/>
    <w:rsid w:val="00AB5C18"/>
    <w:rsid w:val="00AB5CD2"/>
    <w:rsid w:val="00AB5CDF"/>
    <w:rsid w:val="00AB5F84"/>
    <w:rsid w:val="00AB6251"/>
    <w:rsid w:val="00AB62EC"/>
    <w:rsid w:val="00AB6356"/>
    <w:rsid w:val="00AB638F"/>
    <w:rsid w:val="00AB659A"/>
    <w:rsid w:val="00AB66B6"/>
    <w:rsid w:val="00AB673C"/>
    <w:rsid w:val="00AB6741"/>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65B"/>
    <w:rsid w:val="00AC182D"/>
    <w:rsid w:val="00AC1871"/>
    <w:rsid w:val="00AC18CE"/>
    <w:rsid w:val="00AC1B93"/>
    <w:rsid w:val="00AC20E6"/>
    <w:rsid w:val="00AC210F"/>
    <w:rsid w:val="00AC23F5"/>
    <w:rsid w:val="00AC2748"/>
    <w:rsid w:val="00AC2CC1"/>
    <w:rsid w:val="00AC2D3F"/>
    <w:rsid w:val="00AC2DD6"/>
    <w:rsid w:val="00AC2E89"/>
    <w:rsid w:val="00AC2F2D"/>
    <w:rsid w:val="00AC31D1"/>
    <w:rsid w:val="00AC33F1"/>
    <w:rsid w:val="00AC3717"/>
    <w:rsid w:val="00AC39D0"/>
    <w:rsid w:val="00AC3A68"/>
    <w:rsid w:val="00AC3B16"/>
    <w:rsid w:val="00AC3FBF"/>
    <w:rsid w:val="00AC424F"/>
    <w:rsid w:val="00AC45E1"/>
    <w:rsid w:val="00AC4C08"/>
    <w:rsid w:val="00AC511C"/>
    <w:rsid w:val="00AC5357"/>
    <w:rsid w:val="00AC566A"/>
    <w:rsid w:val="00AC5DDE"/>
    <w:rsid w:val="00AC5F08"/>
    <w:rsid w:val="00AC614A"/>
    <w:rsid w:val="00AC62F8"/>
    <w:rsid w:val="00AC64A3"/>
    <w:rsid w:val="00AC652D"/>
    <w:rsid w:val="00AC6845"/>
    <w:rsid w:val="00AC6A5A"/>
    <w:rsid w:val="00AC6A9B"/>
    <w:rsid w:val="00AC6CA4"/>
    <w:rsid w:val="00AC6F2E"/>
    <w:rsid w:val="00AC7115"/>
    <w:rsid w:val="00AC736F"/>
    <w:rsid w:val="00AC756F"/>
    <w:rsid w:val="00AC7694"/>
    <w:rsid w:val="00AC7D08"/>
    <w:rsid w:val="00AC7DAA"/>
    <w:rsid w:val="00AD0099"/>
    <w:rsid w:val="00AD0135"/>
    <w:rsid w:val="00AD06E3"/>
    <w:rsid w:val="00AD0AF2"/>
    <w:rsid w:val="00AD0D6E"/>
    <w:rsid w:val="00AD0F8B"/>
    <w:rsid w:val="00AD10E6"/>
    <w:rsid w:val="00AD1124"/>
    <w:rsid w:val="00AD1174"/>
    <w:rsid w:val="00AD176A"/>
    <w:rsid w:val="00AD1808"/>
    <w:rsid w:val="00AD19BD"/>
    <w:rsid w:val="00AD1AFF"/>
    <w:rsid w:val="00AD209C"/>
    <w:rsid w:val="00AD235D"/>
    <w:rsid w:val="00AD2668"/>
    <w:rsid w:val="00AD293E"/>
    <w:rsid w:val="00AD2D43"/>
    <w:rsid w:val="00AD34AA"/>
    <w:rsid w:val="00AD351F"/>
    <w:rsid w:val="00AD35EE"/>
    <w:rsid w:val="00AD36DC"/>
    <w:rsid w:val="00AD3B62"/>
    <w:rsid w:val="00AD3BD1"/>
    <w:rsid w:val="00AD3C9F"/>
    <w:rsid w:val="00AD3D64"/>
    <w:rsid w:val="00AD3DDE"/>
    <w:rsid w:val="00AD3E2E"/>
    <w:rsid w:val="00AD3F65"/>
    <w:rsid w:val="00AD3F83"/>
    <w:rsid w:val="00AD3FF3"/>
    <w:rsid w:val="00AD411D"/>
    <w:rsid w:val="00AD416B"/>
    <w:rsid w:val="00AD4193"/>
    <w:rsid w:val="00AD41EE"/>
    <w:rsid w:val="00AD42D2"/>
    <w:rsid w:val="00AD4420"/>
    <w:rsid w:val="00AD450E"/>
    <w:rsid w:val="00AD47EF"/>
    <w:rsid w:val="00AD486A"/>
    <w:rsid w:val="00AD4CA9"/>
    <w:rsid w:val="00AD4DDC"/>
    <w:rsid w:val="00AD4E56"/>
    <w:rsid w:val="00AD50EA"/>
    <w:rsid w:val="00AD50FB"/>
    <w:rsid w:val="00AD5377"/>
    <w:rsid w:val="00AD53D6"/>
    <w:rsid w:val="00AD5813"/>
    <w:rsid w:val="00AD59EB"/>
    <w:rsid w:val="00AD5A0B"/>
    <w:rsid w:val="00AD5A3D"/>
    <w:rsid w:val="00AD5AE7"/>
    <w:rsid w:val="00AD5BCC"/>
    <w:rsid w:val="00AD5BFF"/>
    <w:rsid w:val="00AD5C59"/>
    <w:rsid w:val="00AD5DD1"/>
    <w:rsid w:val="00AD600F"/>
    <w:rsid w:val="00AD60BB"/>
    <w:rsid w:val="00AD63B1"/>
    <w:rsid w:val="00AD65A4"/>
    <w:rsid w:val="00AD678D"/>
    <w:rsid w:val="00AD67CF"/>
    <w:rsid w:val="00AD6BDF"/>
    <w:rsid w:val="00AD70DA"/>
    <w:rsid w:val="00AD73C9"/>
    <w:rsid w:val="00AD75BF"/>
    <w:rsid w:val="00AD764F"/>
    <w:rsid w:val="00AD76E3"/>
    <w:rsid w:val="00AD77CA"/>
    <w:rsid w:val="00AD78E8"/>
    <w:rsid w:val="00AD7A28"/>
    <w:rsid w:val="00AD7CE7"/>
    <w:rsid w:val="00AD7F1E"/>
    <w:rsid w:val="00AD7F21"/>
    <w:rsid w:val="00AD7F73"/>
    <w:rsid w:val="00AE0298"/>
    <w:rsid w:val="00AE038C"/>
    <w:rsid w:val="00AE047F"/>
    <w:rsid w:val="00AE075D"/>
    <w:rsid w:val="00AE08B3"/>
    <w:rsid w:val="00AE0918"/>
    <w:rsid w:val="00AE0B6E"/>
    <w:rsid w:val="00AE0C70"/>
    <w:rsid w:val="00AE0D0A"/>
    <w:rsid w:val="00AE0F81"/>
    <w:rsid w:val="00AE1330"/>
    <w:rsid w:val="00AE138C"/>
    <w:rsid w:val="00AE1634"/>
    <w:rsid w:val="00AE16FE"/>
    <w:rsid w:val="00AE1733"/>
    <w:rsid w:val="00AE17BC"/>
    <w:rsid w:val="00AE17FC"/>
    <w:rsid w:val="00AE1A0B"/>
    <w:rsid w:val="00AE1FE4"/>
    <w:rsid w:val="00AE262B"/>
    <w:rsid w:val="00AE27F4"/>
    <w:rsid w:val="00AE27F9"/>
    <w:rsid w:val="00AE2C2B"/>
    <w:rsid w:val="00AE3058"/>
    <w:rsid w:val="00AE3310"/>
    <w:rsid w:val="00AE354F"/>
    <w:rsid w:val="00AE37A1"/>
    <w:rsid w:val="00AE3956"/>
    <w:rsid w:val="00AE3A4F"/>
    <w:rsid w:val="00AE3D5E"/>
    <w:rsid w:val="00AE3D85"/>
    <w:rsid w:val="00AE41EF"/>
    <w:rsid w:val="00AE4646"/>
    <w:rsid w:val="00AE4703"/>
    <w:rsid w:val="00AE4BF3"/>
    <w:rsid w:val="00AE4FE2"/>
    <w:rsid w:val="00AE516D"/>
    <w:rsid w:val="00AE517E"/>
    <w:rsid w:val="00AE5246"/>
    <w:rsid w:val="00AE5292"/>
    <w:rsid w:val="00AE52B4"/>
    <w:rsid w:val="00AE56A2"/>
    <w:rsid w:val="00AE56C7"/>
    <w:rsid w:val="00AE586E"/>
    <w:rsid w:val="00AE58C5"/>
    <w:rsid w:val="00AE5993"/>
    <w:rsid w:val="00AE5B55"/>
    <w:rsid w:val="00AE5BF8"/>
    <w:rsid w:val="00AE5F51"/>
    <w:rsid w:val="00AE5F73"/>
    <w:rsid w:val="00AE6070"/>
    <w:rsid w:val="00AE6119"/>
    <w:rsid w:val="00AE6127"/>
    <w:rsid w:val="00AE619F"/>
    <w:rsid w:val="00AE6957"/>
    <w:rsid w:val="00AE6AF4"/>
    <w:rsid w:val="00AE6B4D"/>
    <w:rsid w:val="00AE6BCD"/>
    <w:rsid w:val="00AE6D3E"/>
    <w:rsid w:val="00AE6DAC"/>
    <w:rsid w:val="00AE6E3C"/>
    <w:rsid w:val="00AE6E84"/>
    <w:rsid w:val="00AE6EFE"/>
    <w:rsid w:val="00AE6F29"/>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03A"/>
    <w:rsid w:val="00AF32EB"/>
    <w:rsid w:val="00AF333E"/>
    <w:rsid w:val="00AF37FA"/>
    <w:rsid w:val="00AF38BE"/>
    <w:rsid w:val="00AF3928"/>
    <w:rsid w:val="00AF3B06"/>
    <w:rsid w:val="00AF3C4D"/>
    <w:rsid w:val="00AF3D18"/>
    <w:rsid w:val="00AF40A0"/>
    <w:rsid w:val="00AF44F8"/>
    <w:rsid w:val="00AF4514"/>
    <w:rsid w:val="00AF46C4"/>
    <w:rsid w:val="00AF46C7"/>
    <w:rsid w:val="00AF4717"/>
    <w:rsid w:val="00AF4956"/>
    <w:rsid w:val="00AF53A4"/>
    <w:rsid w:val="00AF5798"/>
    <w:rsid w:val="00AF5959"/>
    <w:rsid w:val="00AF5C7C"/>
    <w:rsid w:val="00AF5CC9"/>
    <w:rsid w:val="00AF5EC5"/>
    <w:rsid w:val="00AF66DE"/>
    <w:rsid w:val="00AF6A8A"/>
    <w:rsid w:val="00AF6B26"/>
    <w:rsid w:val="00AF6BDB"/>
    <w:rsid w:val="00AF6DB3"/>
    <w:rsid w:val="00AF6DD6"/>
    <w:rsid w:val="00AF6F80"/>
    <w:rsid w:val="00AF70CB"/>
    <w:rsid w:val="00AF7535"/>
    <w:rsid w:val="00AF799C"/>
    <w:rsid w:val="00B00000"/>
    <w:rsid w:val="00B00959"/>
    <w:rsid w:val="00B00B19"/>
    <w:rsid w:val="00B00B7E"/>
    <w:rsid w:val="00B00D80"/>
    <w:rsid w:val="00B00F03"/>
    <w:rsid w:val="00B012CC"/>
    <w:rsid w:val="00B01732"/>
    <w:rsid w:val="00B0177D"/>
    <w:rsid w:val="00B01887"/>
    <w:rsid w:val="00B01E07"/>
    <w:rsid w:val="00B0237B"/>
    <w:rsid w:val="00B02557"/>
    <w:rsid w:val="00B02BFB"/>
    <w:rsid w:val="00B030F8"/>
    <w:rsid w:val="00B03106"/>
    <w:rsid w:val="00B03253"/>
    <w:rsid w:val="00B0332F"/>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1B2"/>
    <w:rsid w:val="00B063D3"/>
    <w:rsid w:val="00B06D28"/>
    <w:rsid w:val="00B06D9A"/>
    <w:rsid w:val="00B06DB4"/>
    <w:rsid w:val="00B06EB7"/>
    <w:rsid w:val="00B070B0"/>
    <w:rsid w:val="00B070CE"/>
    <w:rsid w:val="00B073F0"/>
    <w:rsid w:val="00B07756"/>
    <w:rsid w:val="00B07799"/>
    <w:rsid w:val="00B07D77"/>
    <w:rsid w:val="00B1041B"/>
    <w:rsid w:val="00B10616"/>
    <w:rsid w:val="00B10651"/>
    <w:rsid w:val="00B110A1"/>
    <w:rsid w:val="00B111CE"/>
    <w:rsid w:val="00B11204"/>
    <w:rsid w:val="00B1128E"/>
    <w:rsid w:val="00B112A0"/>
    <w:rsid w:val="00B11476"/>
    <w:rsid w:val="00B114BC"/>
    <w:rsid w:val="00B1153A"/>
    <w:rsid w:val="00B1169E"/>
    <w:rsid w:val="00B119E6"/>
    <w:rsid w:val="00B11A60"/>
    <w:rsid w:val="00B11A88"/>
    <w:rsid w:val="00B11CB2"/>
    <w:rsid w:val="00B11DB8"/>
    <w:rsid w:val="00B1246F"/>
    <w:rsid w:val="00B12729"/>
    <w:rsid w:val="00B12874"/>
    <w:rsid w:val="00B12B30"/>
    <w:rsid w:val="00B12DED"/>
    <w:rsid w:val="00B131F1"/>
    <w:rsid w:val="00B13222"/>
    <w:rsid w:val="00B1388B"/>
    <w:rsid w:val="00B138BE"/>
    <w:rsid w:val="00B13AB7"/>
    <w:rsid w:val="00B13BCC"/>
    <w:rsid w:val="00B13D36"/>
    <w:rsid w:val="00B13DDF"/>
    <w:rsid w:val="00B14018"/>
    <w:rsid w:val="00B1410B"/>
    <w:rsid w:val="00B143D6"/>
    <w:rsid w:val="00B14457"/>
    <w:rsid w:val="00B14596"/>
    <w:rsid w:val="00B147F7"/>
    <w:rsid w:val="00B14EA4"/>
    <w:rsid w:val="00B1504B"/>
    <w:rsid w:val="00B150C9"/>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370"/>
    <w:rsid w:val="00B17465"/>
    <w:rsid w:val="00B17555"/>
    <w:rsid w:val="00B175FE"/>
    <w:rsid w:val="00B17728"/>
    <w:rsid w:val="00B177C0"/>
    <w:rsid w:val="00B1791F"/>
    <w:rsid w:val="00B17C2C"/>
    <w:rsid w:val="00B17C49"/>
    <w:rsid w:val="00B17D83"/>
    <w:rsid w:val="00B17E55"/>
    <w:rsid w:val="00B17E99"/>
    <w:rsid w:val="00B203E8"/>
    <w:rsid w:val="00B203F9"/>
    <w:rsid w:val="00B2087F"/>
    <w:rsid w:val="00B20B60"/>
    <w:rsid w:val="00B20D55"/>
    <w:rsid w:val="00B21494"/>
    <w:rsid w:val="00B21CF0"/>
    <w:rsid w:val="00B21D08"/>
    <w:rsid w:val="00B21D2C"/>
    <w:rsid w:val="00B22269"/>
    <w:rsid w:val="00B222C8"/>
    <w:rsid w:val="00B2243C"/>
    <w:rsid w:val="00B225FE"/>
    <w:rsid w:val="00B226F2"/>
    <w:rsid w:val="00B2274E"/>
    <w:rsid w:val="00B227C5"/>
    <w:rsid w:val="00B22801"/>
    <w:rsid w:val="00B22829"/>
    <w:rsid w:val="00B22AC3"/>
    <w:rsid w:val="00B22C26"/>
    <w:rsid w:val="00B22DC1"/>
    <w:rsid w:val="00B22FC1"/>
    <w:rsid w:val="00B230D5"/>
    <w:rsid w:val="00B23827"/>
    <w:rsid w:val="00B23932"/>
    <w:rsid w:val="00B23B32"/>
    <w:rsid w:val="00B23C66"/>
    <w:rsid w:val="00B23D98"/>
    <w:rsid w:val="00B23DCC"/>
    <w:rsid w:val="00B23F89"/>
    <w:rsid w:val="00B2413F"/>
    <w:rsid w:val="00B246A8"/>
    <w:rsid w:val="00B24B3B"/>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81A"/>
    <w:rsid w:val="00B268AA"/>
    <w:rsid w:val="00B26ADC"/>
    <w:rsid w:val="00B26C56"/>
    <w:rsid w:val="00B27011"/>
    <w:rsid w:val="00B27180"/>
    <w:rsid w:val="00B27219"/>
    <w:rsid w:val="00B27349"/>
    <w:rsid w:val="00B27586"/>
    <w:rsid w:val="00B2775D"/>
    <w:rsid w:val="00B279A8"/>
    <w:rsid w:val="00B27C91"/>
    <w:rsid w:val="00B27E12"/>
    <w:rsid w:val="00B30180"/>
    <w:rsid w:val="00B30817"/>
    <w:rsid w:val="00B3086D"/>
    <w:rsid w:val="00B308F0"/>
    <w:rsid w:val="00B30920"/>
    <w:rsid w:val="00B30A5C"/>
    <w:rsid w:val="00B30AFC"/>
    <w:rsid w:val="00B30C8B"/>
    <w:rsid w:val="00B30CFB"/>
    <w:rsid w:val="00B30E52"/>
    <w:rsid w:val="00B31025"/>
    <w:rsid w:val="00B31204"/>
    <w:rsid w:val="00B314AB"/>
    <w:rsid w:val="00B31566"/>
    <w:rsid w:val="00B31581"/>
    <w:rsid w:val="00B31982"/>
    <w:rsid w:val="00B319BB"/>
    <w:rsid w:val="00B31A2B"/>
    <w:rsid w:val="00B31A5C"/>
    <w:rsid w:val="00B31E74"/>
    <w:rsid w:val="00B31FDF"/>
    <w:rsid w:val="00B3227B"/>
    <w:rsid w:val="00B322F9"/>
    <w:rsid w:val="00B3235B"/>
    <w:rsid w:val="00B3261B"/>
    <w:rsid w:val="00B3269A"/>
    <w:rsid w:val="00B32BB0"/>
    <w:rsid w:val="00B33185"/>
    <w:rsid w:val="00B33196"/>
    <w:rsid w:val="00B331B4"/>
    <w:rsid w:val="00B3334F"/>
    <w:rsid w:val="00B333C6"/>
    <w:rsid w:val="00B34035"/>
    <w:rsid w:val="00B341E3"/>
    <w:rsid w:val="00B3449D"/>
    <w:rsid w:val="00B34511"/>
    <w:rsid w:val="00B34544"/>
    <w:rsid w:val="00B34768"/>
    <w:rsid w:val="00B34929"/>
    <w:rsid w:val="00B34B78"/>
    <w:rsid w:val="00B34BD6"/>
    <w:rsid w:val="00B34D6A"/>
    <w:rsid w:val="00B34F23"/>
    <w:rsid w:val="00B34F3A"/>
    <w:rsid w:val="00B35083"/>
    <w:rsid w:val="00B35799"/>
    <w:rsid w:val="00B357D5"/>
    <w:rsid w:val="00B357EA"/>
    <w:rsid w:val="00B35A02"/>
    <w:rsid w:val="00B35C09"/>
    <w:rsid w:val="00B35FBF"/>
    <w:rsid w:val="00B36604"/>
    <w:rsid w:val="00B36817"/>
    <w:rsid w:val="00B36A04"/>
    <w:rsid w:val="00B36D32"/>
    <w:rsid w:val="00B3722B"/>
    <w:rsid w:val="00B3733A"/>
    <w:rsid w:val="00B373A4"/>
    <w:rsid w:val="00B373B1"/>
    <w:rsid w:val="00B3763C"/>
    <w:rsid w:val="00B37640"/>
    <w:rsid w:val="00B37769"/>
    <w:rsid w:val="00B378BB"/>
    <w:rsid w:val="00B37A70"/>
    <w:rsid w:val="00B37C5E"/>
    <w:rsid w:val="00B4009E"/>
    <w:rsid w:val="00B4013A"/>
    <w:rsid w:val="00B4031E"/>
    <w:rsid w:val="00B403E5"/>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00"/>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36F"/>
    <w:rsid w:val="00B453FF"/>
    <w:rsid w:val="00B45BB7"/>
    <w:rsid w:val="00B45F88"/>
    <w:rsid w:val="00B4604D"/>
    <w:rsid w:val="00B46080"/>
    <w:rsid w:val="00B461B6"/>
    <w:rsid w:val="00B463FF"/>
    <w:rsid w:val="00B464EF"/>
    <w:rsid w:val="00B4662E"/>
    <w:rsid w:val="00B466E4"/>
    <w:rsid w:val="00B4682D"/>
    <w:rsid w:val="00B46989"/>
    <w:rsid w:val="00B46CAE"/>
    <w:rsid w:val="00B46EF0"/>
    <w:rsid w:val="00B47049"/>
    <w:rsid w:val="00B47289"/>
    <w:rsid w:val="00B47A9B"/>
    <w:rsid w:val="00B47E82"/>
    <w:rsid w:val="00B47EAF"/>
    <w:rsid w:val="00B47EF4"/>
    <w:rsid w:val="00B47F59"/>
    <w:rsid w:val="00B5005D"/>
    <w:rsid w:val="00B501AD"/>
    <w:rsid w:val="00B502E7"/>
    <w:rsid w:val="00B50454"/>
    <w:rsid w:val="00B5048E"/>
    <w:rsid w:val="00B504D4"/>
    <w:rsid w:val="00B50566"/>
    <w:rsid w:val="00B505FD"/>
    <w:rsid w:val="00B50711"/>
    <w:rsid w:val="00B50AB8"/>
    <w:rsid w:val="00B50C6A"/>
    <w:rsid w:val="00B50C8A"/>
    <w:rsid w:val="00B5149E"/>
    <w:rsid w:val="00B517F8"/>
    <w:rsid w:val="00B5183F"/>
    <w:rsid w:val="00B51979"/>
    <w:rsid w:val="00B51A65"/>
    <w:rsid w:val="00B51A6A"/>
    <w:rsid w:val="00B51DBB"/>
    <w:rsid w:val="00B51FF2"/>
    <w:rsid w:val="00B521D0"/>
    <w:rsid w:val="00B5233E"/>
    <w:rsid w:val="00B52520"/>
    <w:rsid w:val="00B52684"/>
    <w:rsid w:val="00B528F3"/>
    <w:rsid w:val="00B52A02"/>
    <w:rsid w:val="00B52F7E"/>
    <w:rsid w:val="00B53165"/>
    <w:rsid w:val="00B53566"/>
    <w:rsid w:val="00B5362D"/>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3D1"/>
    <w:rsid w:val="00B55433"/>
    <w:rsid w:val="00B55894"/>
    <w:rsid w:val="00B558F6"/>
    <w:rsid w:val="00B55B8F"/>
    <w:rsid w:val="00B55D61"/>
    <w:rsid w:val="00B55F8D"/>
    <w:rsid w:val="00B5600E"/>
    <w:rsid w:val="00B56297"/>
    <w:rsid w:val="00B5651D"/>
    <w:rsid w:val="00B56796"/>
    <w:rsid w:val="00B56AF7"/>
    <w:rsid w:val="00B56B9B"/>
    <w:rsid w:val="00B56B9D"/>
    <w:rsid w:val="00B56F47"/>
    <w:rsid w:val="00B57039"/>
    <w:rsid w:val="00B574D6"/>
    <w:rsid w:val="00B574DA"/>
    <w:rsid w:val="00B57A5C"/>
    <w:rsid w:val="00B57DA4"/>
    <w:rsid w:val="00B57DFA"/>
    <w:rsid w:val="00B60168"/>
    <w:rsid w:val="00B60531"/>
    <w:rsid w:val="00B605F5"/>
    <w:rsid w:val="00B606D8"/>
    <w:rsid w:val="00B60720"/>
    <w:rsid w:val="00B609CF"/>
    <w:rsid w:val="00B60B94"/>
    <w:rsid w:val="00B60D77"/>
    <w:rsid w:val="00B6133F"/>
    <w:rsid w:val="00B6140D"/>
    <w:rsid w:val="00B614FB"/>
    <w:rsid w:val="00B615B0"/>
    <w:rsid w:val="00B6161C"/>
    <w:rsid w:val="00B61741"/>
    <w:rsid w:val="00B61C14"/>
    <w:rsid w:val="00B61E60"/>
    <w:rsid w:val="00B61EEC"/>
    <w:rsid w:val="00B62057"/>
    <w:rsid w:val="00B620EB"/>
    <w:rsid w:val="00B62742"/>
    <w:rsid w:val="00B6277A"/>
    <w:rsid w:val="00B627DF"/>
    <w:rsid w:val="00B62A1E"/>
    <w:rsid w:val="00B62A55"/>
    <w:rsid w:val="00B62B23"/>
    <w:rsid w:val="00B62C60"/>
    <w:rsid w:val="00B62DF4"/>
    <w:rsid w:val="00B62DFA"/>
    <w:rsid w:val="00B62E72"/>
    <w:rsid w:val="00B632AA"/>
    <w:rsid w:val="00B63385"/>
    <w:rsid w:val="00B63589"/>
    <w:rsid w:val="00B635F8"/>
    <w:rsid w:val="00B6387E"/>
    <w:rsid w:val="00B6391C"/>
    <w:rsid w:val="00B639A5"/>
    <w:rsid w:val="00B63AB7"/>
    <w:rsid w:val="00B63C37"/>
    <w:rsid w:val="00B63CBC"/>
    <w:rsid w:val="00B63E94"/>
    <w:rsid w:val="00B63F7D"/>
    <w:rsid w:val="00B64064"/>
    <w:rsid w:val="00B6437B"/>
    <w:rsid w:val="00B64439"/>
    <w:rsid w:val="00B64479"/>
    <w:rsid w:val="00B644CF"/>
    <w:rsid w:val="00B645A6"/>
    <w:rsid w:val="00B64BC8"/>
    <w:rsid w:val="00B64D0E"/>
    <w:rsid w:val="00B654E9"/>
    <w:rsid w:val="00B65616"/>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A47"/>
    <w:rsid w:val="00B67B72"/>
    <w:rsid w:val="00B67FAD"/>
    <w:rsid w:val="00B7022A"/>
    <w:rsid w:val="00B7048E"/>
    <w:rsid w:val="00B705FC"/>
    <w:rsid w:val="00B70771"/>
    <w:rsid w:val="00B709B3"/>
    <w:rsid w:val="00B71188"/>
    <w:rsid w:val="00B71267"/>
    <w:rsid w:val="00B714AC"/>
    <w:rsid w:val="00B7153E"/>
    <w:rsid w:val="00B71628"/>
    <w:rsid w:val="00B716A9"/>
    <w:rsid w:val="00B71770"/>
    <w:rsid w:val="00B71881"/>
    <w:rsid w:val="00B71BFD"/>
    <w:rsid w:val="00B7217B"/>
    <w:rsid w:val="00B721D9"/>
    <w:rsid w:val="00B7226F"/>
    <w:rsid w:val="00B72639"/>
    <w:rsid w:val="00B72767"/>
    <w:rsid w:val="00B7282B"/>
    <w:rsid w:val="00B72948"/>
    <w:rsid w:val="00B72C26"/>
    <w:rsid w:val="00B72E2A"/>
    <w:rsid w:val="00B72EAC"/>
    <w:rsid w:val="00B72F6D"/>
    <w:rsid w:val="00B72FA9"/>
    <w:rsid w:val="00B73062"/>
    <w:rsid w:val="00B7372C"/>
    <w:rsid w:val="00B738DB"/>
    <w:rsid w:val="00B73B96"/>
    <w:rsid w:val="00B73D9B"/>
    <w:rsid w:val="00B740DB"/>
    <w:rsid w:val="00B742AD"/>
    <w:rsid w:val="00B74331"/>
    <w:rsid w:val="00B7438F"/>
    <w:rsid w:val="00B74605"/>
    <w:rsid w:val="00B746F9"/>
    <w:rsid w:val="00B74776"/>
    <w:rsid w:val="00B7488D"/>
    <w:rsid w:val="00B74A78"/>
    <w:rsid w:val="00B74F28"/>
    <w:rsid w:val="00B751F2"/>
    <w:rsid w:val="00B75329"/>
    <w:rsid w:val="00B7537D"/>
    <w:rsid w:val="00B75580"/>
    <w:rsid w:val="00B75AFF"/>
    <w:rsid w:val="00B75BBA"/>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0F04"/>
    <w:rsid w:val="00B8104D"/>
    <w:rsid w:val="00B81080"/>
    <w:rsid w:val="00B810AC"/>
    <w:rsid w:val="00B81153"/>
    <w:rsid w:val="00B8127D"/>
    <w:rsid w:val="00B81361"/>
    <w:rsid w:val="00B8160D"/>
    <w:rsid w:val="00B816E8"/>
    <w:rsid w:val="00B819DA"/>
    <w:rsid w:val="00B81AED"/>
    <w:rsid w:val="00B81DB6"/>
    <w:rsid w:val="00B81F79"/>
    <w:rsid w:val="00B81FBD"/>
    <w:rsid w:val="00B8224B"/>
    <w:rsid w:val="00B8252D"/>
    <w:rsid w:val="00B8275D"/>
    <w:rsid w:val="00B8278C"/>
    <w:rsid w:val="00B827B3"/>
    <w:rsid w:val="00B827BF"/>
    <w:rsid w:val="00B82949"/>
    <w:rsid w:val="00B8298E"/>
    <w:rsid w:val="00B82A42"/>
    <w:rsid w:val="00B82D59"/>
    <w:rsid w:val="00B82DCD"/>
    <w:rsid w:val="00B831ED"/>
    <w:rsid w:val="00B83334"/>
    <w:rsid w:val="00B83433"/>
    <w:rsid w:val="00B8349C"/>
    <w:rsid w:val="00B834D2"/>
    <w:rsid w:val="00B8357B"/>
    <w:rsid w:val="00B83696"/>
    <w:rsid w:val="00B83BFF"/>
    <w:rsid w:val="00B83CAA"/>
    <w:rsid w:val="00B83D84"/>
    <w:rsid w:val="00B840CD"/>
    <w:rsid w:val="00B842F9"/>
    <w:rsid w:val="00B844A4"/>
    <w:rsid w:val="00B844AA"/>
    <w:rsid w:val="00B8453F"/>
    <w:rsid w:val="00B845D5"/>
    <w:rsid w:val="00B84609"/>
    <w:rsid w:val="00B84936"/>
    <w:rsid w:val="00B84AFC"/>
    <w:rsid w:val="00B84BD7"/>
    <w:rsid w:val="00B84C82"/>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C24"/>
    <w:rsid w:val="00B86EC0"/>
    <w:rsid w:val="00B86F6F"/>
    <w:rsid w:val="00B87270"/>
    <w:rsid w:val="00B87385"/>
    <w:rsid w:val="00B879A4"/>
    <w:rsid w:val="00B879AB"/>
    <w:rsid w:val="00B87DBE"/>
    <w:rsid w:val="00B87EEE"/>
    <w:rsid w:val="00B87EF2"/>
    <w:rsid w:val="00B900E9"/>
    <w:rsid w:val="00B9012D"/>
    <w:rsid w:val="00B90535"/>
    <w:rsid w:val="00B90566"/>
    <w:rsid w:val="00B905E0"/>
    <w:rsid w:val="00B90619"/>
    <w:rsid w:val="00B908C8"/>
    <w:rsid w:val="00B908E0"/>
    <w:rsid w:val="00B909A7"/>
    <w:rsid w:val="00B90E70"/>
    <w:rsid w:val="00B90F4B"/>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79"/>
    <w:rsid w:val="00B95DBF"/>
    <w:rsid w:val="00B95E24"/>
    <w:rsid w:val="00B96224"/>
    <w:rsid w:val="00B9626C"/>
    <w:rsid w:val="00B962F3"/>
    <w:rsid w:val="00B96418"/>
    <w:rsid w:val="00B9649D"/>
    <w:rsid w:val="00B96C70"/>
    <w:rsid w:val="00B96D23"/>
    <w:rsid w:val="00B96D4F"/>
    <w:rsid w:val="00B96D54"/>
    <w:rsid w:val="00B96ED9"/>
    <w:rsid w:val="00B97104"/>
    <w:rsid w:val="00B977B6"/>
    <w:rsid w:val="00B97934"/>
    <w:rsid w:val="00B97A1F"/>
    <w:rsid w:val="00B97A26"/>
    <w:rsid w:val="00B97A7A"/>
    <w:rsid w:val="00B97D6A"/>
    <w:rsid w:val="00B97D76"/>
    <w:rsid w:val="00B97FA4"/>
    <w:rsid w:val="00BA01F4"/>
    <w:rsid w:val="00BA0325"/>
    <w:rsid w:val="00BA03BD"/>
    <w:rsid w:val="00BA04CC"/>
    <w:rsid w:val="00BA0564"/>
    <w:rsid w:val="00BA070E"/>
    <w:rsid w:val="00BA083E"/>
    <w:rsid w:val="00BA08F2"/>
    <w:rsid w:val="00BA0A5E"/>
    <w:rsid w:val="00BA0BB1"/>
    <w:rsid w:val="00BA0D70"/>
    <w:rsid w:val="00BA0E24"/>
    <w:rsid w:val="00BA1112"/>
    <w:rsid w:val="00BA12C3"/>
    <w:rsid w:val="00BA1432"/>
    <w:rsid w:val="00BA15B9"/>
    <w:rsid w:val="00BA1913"/>
    <w:rsid w:val="00BA198C"/>
    <w:rsid w:val="00BA1AD6"/>
    <w:rsid w:val="00BA1C33"/>
    <w:rsid w:val="00BA1DA0"/>
    <w:rsid w:val="00BA1DF1"/>
    <w:rsid w:val="00BA1F19"/>
    <w:rsid w:val="00BA1FBE"/>
    <w:rsid w:val="00BA20CC"/>
    <w:rsid w:val="00BA23F6"/>
    <w:rsid w:val="00BA242D"/>
    <w:rsid w:val="00BA246A"/>
    <w:rsid w:val="00BA27FC"/>
    <w:rsid w:val="00BA3271"/>
    <w:rsid w:val="00BA3A40"/>
    <w:rsid w:val="00BA3FED"/>
    <w:rsid w:val="00BA401F"/>
    <w:rsid w:val="00BA424C"/>
    <w:rsid w:val="00BA43C9"/>
    <w:rsid w:val="00BA48DE"/>
    <w:rsid w:val="00BA4931"/>
    <w:rsid w:val="00BA4950"/>
    <w:rsid w:val="00BA4A43"/>
    <w:rsid w:val="00BA4AC6"/>
    <w:rsid w:val="00BA4CD6"/>
    <w:rsid w:val="00BA4CFB"/>
    <w:rsid w:val="00BA4D1B"/>
    <w:rsid w:val="00BA5729"/>
    <w:rsid w:val="00BA578E"/>
    <w:rsid w:val="00BA5A80"/>
    <w:rsid w:val="00BA5CD2"/>
    <w:rsid w:val="00BA5CF4"/>
    <w:rsid w:val="00BA5DA3"/>
    <w:rsid w:val="00BA5E0C"/>
    <w:rsid w:val="00BA5E19"/>
    <w:rsid w:val="00BA5EA4"/>
    <w:rsid w:val="00BA5F47"/>
    <w:rsid w:val="00BA615C"/>
    <w:rsid w:val="00BA62AC"/>
    <w:rsid w:val="00BA639F"/>
    <w:rsid w:val="00BA650B"/>
    <w:rsid w:val="00BA6B0A"/>
    <w:rsid w:val="00BA6C68"/>
    <w:rsid w:val="00BA7008"/>
    <w:rsid w:val="00BA7068"/>
    <w:rsid w:val="00BA71B4"/>
    <w:rsid w:val="00BA7218"/>
    <w:rsid w:val="00BA72BD"/>
    <w:rsid w:val="00BA73E5"/>
    <w:rsid w:val="00BA73F4"/>
    <w:rsid w:val="00BA78BA"/>
    <w:rsid w:val="00BA7AB7"/>
    <w:rsid w:val="00BA7E56"/>
    <w:rsid w:val="00BB00AA"/>
    <w:rsid w:val="00BB00FE"/>
    <w:rsid w:val="00BB046D"/>
    <w:rsid w:val="00BB04FF"/>
    <w:rsid w:val="00BB0673"/>
    <w:rsid w:val="00BB09BC"/>
    <w:rsid w:val="00BB0A06"/>
    <w:rsid w:val="00BB0B5D"/>
    <w:rsid w:val="00BB0C8E"/>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2"/>
    <w:rsid w:val="00BB2883"/>
    <w:rsid w:val="00BB29BF"/>
    <w:rsid w:val="00BB2B37"/>
    <w:rsid w:val="00BB2CC6"/>
    <w:rsid w:val="00BB30FF"/>
    <w:rsid w:val="00BB3306"/>
    <w:rsid w:val="00BB33C2"/>
    <w:rsid w:val="00BB3442"/>
    <w:rsid w:val="00BB38EA"/>
    <w:rsid w:val="00BB39DF"/>
    <w:rsid w:val="00BB39E4"/>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76"/>
    <w:rsid w:val="00BB55B4"/>
    <w:rsid w:val="00BB581B"/>
    <w:rsid w:val="00BB5830"/>
    <w:rsid w:val="00BB58F8"/>
    <w:rsid w:val="00BB5B64"/>
    <w:rsid w:val="00BB5EB3"/>
    <w:rsid w:val="00BB5F9B"/>
    <w:rsid w:val="00BB5FB1"/>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DAA"/>
    <w:rsid w:val="00BB7EEF"/>
    <w:rsid w:val="00BB7F93"/>
    <w:rsid w:val="00BC0005"/>
    <w:rsid w:val="00BC001B"/>
    <w:rsid w:val="00BC003D"/>
    <w:rsid w:val="00BC02EA"/>
    <w:rsid w:val="00BC0561"/>
    <w:rsid w:val="00BC0766"/>
    <w:rsid w:val="00BC082A"/>
    <w:rsid w:val="00BC0B24"/>
    <w:rsid w:val="00BC0DBD"/>
    <w:rsid w:val="00BC0E3E"/>
    <w:rsid w:val="00BC0EBB"/>
    <w:rsid w:val="00BC0EF4"/>
    <w:rsid w:val="00BC0FF3"/>
    <w:rsid w:val="00BC13D1"/>
    <w:rsid w:val="00BC1472"/>
    <w:rsid w:val="00BC14CB"/>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25"/>
    <w:rsid w:val="00BC3E8D"/>
    <w:rsid w:val="00BC41B4"/>
    <w:rsid w:val="00BC44C8"/>
    <w:rsid w:val="00BC452B"/>
    <w:rsid w:val="00BC47FA"/>
    <w:rsid w:val="00BC48C2"/>
    <w:rsid w:val="00BC504D"/>
    <w:rsid w:val="00BC5061"/>
    <w:rsid w:val="00BC50AA"/>
    <w:rsid w:val="00BC5372"/>
    <w:rsid w:val="00BC53B8"/>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7DF"/>
    <w:rsid w:val="00BC6C1B"/>
    <w:rsid w:val="00BC703D"/>
    <w:rsid w:val="00BC721C"/>
    <w:rsid w:val="00BC7362"/>
    <w:rsid w:val="00BC75DF"/>
    <w:rsid w:val="00BC7825"/>
    <w:rsid w:val="00BC7915"/>
    <w:rsid w:val="00BC79A7"/>
    <w:rsid w:val="00BC7A0E"/>
    <w:rsid w:val="00BC7A40"/>
    <w:rsid w:val="00BC7AE1"/>
    <w:rsid w:val="00BC7D0B"/>
    <w:rsid w:val="00BC7E8F"/>
    <w:rsid w:val="00BC7EA1"/>
    <w:rsid w:val="00BC7EC1"/>
    <w:rsid w:val="00BD0237"/>
    <w:rsid w:val="00BD031C"/>
    <w:rsid w:val="00BD03EE"/>
    <w:rsid w:val="00BD08EC"/>
    <w:rsid w:val="00BD0992"/>
    <w:rsid w:val="00BD0A98"/>
    <w:rsid w:val="00BD0ADB"/>
    <w:rsid w:val="00BD0B34"/>
    <w:rsid w:val="00BD0D90"/>
    <w:rsid w:val="00BD0E5B"/>
    <w:rsid w:val="00BD0FFE"/>
    <w:rsid w:val="00BD123F"/>
    <w:rsid w:val="00BD133D"/>
    <w:rsid w:val="00BD1389"/>
    <w:rsid w:val="00BD1500"/>
    <w:rsid w:val="00BD1589"/>
    <w:rsid w:val="00BD1792"/>
    <w:rsid w:val="00BD1A29"/>
    <w:rsid w:val="00BD1ABB"/>
    <w:rsid w:val="00BD1AC4"/>
    <w:rsid w:val="00BD1B2D"/>
    <w:rsid w:val="00BD1C3D"/>
    <w:rsid w:val="00BD2742"/>
    <w:rsid w:val="00BD2766"/>
    <w:rsid w:val="00BD2926"/>
    <w:rsid w:val="00BD299E"/>
    <w:rsid w:val="00BD2A5C"/>
    <w:rsid w:val="00BD2A66"/>
    <w:rsid w:val="00BD2AE5"/>
    <w:rsid w:val="00BD2C5F"/>
    <w:rsid w:val="00BD2D35"/>
    <w:rsid w:val="00BD2E77"/>
    <w:rsid w:val="00BD30CC"/>
    <w:rsid w:val="00BD32B6"/>
    <w:rsid w:val="00BD34DB"/>
    <w:rsid w:val="00BD3819"/>
    <w:rsid w:val="00BD3855"/>
    <w:rsid w:val="00BD3919"/>
    <w:rsid w:val="00BD3B4D"/>
    <w:rsid w:val="00BD3EAD"/>
    <w:rsid w:val="00BD3EC2"/>
    <w:rsid w:val="00BD412C"/>
    <w:rsid w:val="00BD41B0"/>
    <w:rsid w:val="00BD4327"/>
    <w:rsid w:val="00BD44B6"/>
    <w:rsid w:val="00BD4632"/>
    <w:rsid w:val="00BD480C"/>
    <w:rsid w:val="00BD4B10"/>
    <w:rsid w:val="00BD4C67"/>
    <w:rsid w:val="00BD4CC2"/>
    <w:rsid w:val="00BD4CED"/>
    <w:rsid w:val="00BD4EE8"/>
    <w:rsid w:val="00BD4F99"/>
    <w:rsid w:val="00BD5101"/>
    <w:rsid w:val="00BD51F2"/>
    <w:rsid w:val="00BD5375"/>
    <w:rsid w:val="00BD5397"/>
    <w:rsid w:val="00BD53A6"/>
    <w:rsid w:val="00BD5B74"/>
    <w:rsid w:val="00BD5C3F"/>
    <w:rsid w:val="00BD5CEA"/>
    <w:rsid w:val="00BD5E45"/>
    <w:rsid w:val="00BD5FDF"/>
    <w:rsid w:val="00BD64AF"/>
    <w:rsid w:val="00BD6552"/>
    <w:rsid w:val="00BD65DA"/>
    <w:rsid w:val="00BD66D6"/>
    <w:rsid w:val="00BD68EA"/>
    <w:rsid w:val="00BD6CD9"/>
    <w:rsid w:val="00BD6D6D"/>
    <w:rsid w:val="00BD7023"/>
    <w:rsid w:val="00BD720C"/>
    <w:rsid w:val="00BD7317"/>
    <w:rsid w:val="00BD732A"/>
    <w:rsid w:val="00BD7F8E"/>
    <w:rsid w:val="00BE02B3"/>
    <w:rsid w:val="00BE050B"/>
    <w:rsid w:val="00BE0590"/>
    <w:rsid w:val="00BE080D"/>
    <w:rsid w:val="00BE0AB8"/>
    <w:rsid w:val="00BE0E8B"/>
    <w:rsid w:val="00BE0FB8"/>
    <w:rsid w:val="00BE13D8"/>
    <w:rsid w:val="00BE14A0"/>
    <w:rsid w:val="00BE1866"/>
    <w:rsid w:val="00BE19F0"/>
    <w:rsid w:val="00BE1D5A"/>
    <w:rsid w:val="00BE1E31"/>
    <w:rsid w:val="00BE1F26"/>
    <w:rsid w:val="00BE21BC"/>
    <w:rsid w:val="00BE2249"/>
    <w:rsid w:val="00BE248C"/>
    <w:rsid w:val="00BE2593"/>
    <w:rsid w:val="00BE26BD"/>
    <w:rsid w:val="00BE26D7"/>
    <w:rsid w:val="00BE27F3"/>
    <w:rsid w:val="00BE2CD1"/>
    <w:rsid w:val="00BE3451"/>
    <w:rsid w:val="00BE3506"/>
    <w:rsid w:val="00BE3990"/>
    <w:rsid w:val="00BE3AE6"/>
    <w:rsid w:val="00BE3CA2"/>
    <w:rsid w:val="00BE3E18"/>
    <w:rsid w:val="00BE3FAB"/>
    <w:rsid w:val="00BE4A40"/>
    <w:rsid w:val="00BE4B1D"/>
    <w:rsid w:val="00BE53DF"/>
    <w:rsid w:val="00BE54CF"/>
    <w:rsid w:val="00BE5604"/>
    <w:rsid w:val="00BE5642"/>
    <w:rsid w:val="00BE5713"/>
    <w:rsid w:val="00BE5749"/>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8C"/>
    <w:rsid w:val="00BE69C2"/>
    <w:rsid w:val="00BE6B3F"/>
    <w:rsid w:val="00BE6C29"/>
    <w:rsid w:val="00BE6EFA"/>
    <w:rsid w:val="00BE6F03"/>
    <w:rsid w:val="00BE6F11"/>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0F34"/>
    <w:rsid w:val="00BF10B7"/>
    <w:rsid w:val="00BF114E"/>
    <w:rsid w:val="00BF1401"/>
    <w:rsid w:val="00BF1480"/>
    <w:rsid w:val="00BF1651"/>
    <w:rsid w:val="00BF1A35"/>
    <w:rsid w:val="00BF1BD7"/>
    <w:rsid w:val="00BF1CA3"/>
    <w:rsid w:val="00BF1D73"/>
    <w:rsid w:val="00BF225C"/>
    <w:rsid w:val="00BF2288"/>
    <w:rsid w:val="00BF26BE"/>
    <w:rsid w:val="00BF26C3"/>
    <w:rsid w:val="00BF2803"/>
    <w:rsid w:val="00BF2D63"/>
    <w:rsid w:val="00BF33AD"/>
    <w:rsid w:val="00BF344D"/>
    <w:rsid w:val="00BF34E7"/>
    <w:rsid w:val="00BF3777"/>
    <w:rsid w:val="00BF3914"/>
    <w:rsid w:val="00BF3A01"/>
    <w:rsid w:val="00BF3BF6"/>
    <w:rsid w:val="00BF3EC6"/>
    <w:rsid w:val="00BF48F4"/>
    <w:rsid w:val="00BF497A"/>
    <w:rsid w:val="00BF4B98"/>
    <w:rsid w:val="00BF4D92"/>
    <w:rsid w:val="00BF4DE8"/>
    <w:rsid w:val="00BF4FE8"/>
    <w:rsid w:val="00BF5088"/>
    <w:rsid w:val="00BF521E"/>
    <w:rsid w:val="00BF5268"/>
    <w:rsid w:val="00BF5342"/>
    <w:rsid w:val="00BF538E"/>
    <w:rsid w:val="00BF54EE"/>
    <w:rsid w:val="00BF5702"/>
    <w:rsid w:val="00BF579F"/>
    <w:rsid w:val="00BF581D"/>
    <w:rsid w:val="00BF592D"/>
    <w:rsid w:val="00BF5A3F"/>
    <w:rsid w:val="00BF5EF0"/>
    <w:rsid w:val="00BF607A"/>
    <w:rsid w:val="00BF63C4"/>
    <w:rsid w:val="00BF659C"/>
    <w:rsid w:val="00BF660A"/>
    <w:rsid w:val="00BF67EF"/>
    <w:rsid w:val="00BF68A0"/>
    <w:rsid w:val="00BF68D9"/>
    <w:rsid w:val="00BF6AB5"/>
    <w:rsid w:val="00BF6B12"/>
    <w:rsid w:val="00BF6B85"/>
    <w:rsid w:val="00BF721B"/>
    <w:rsid w:val="00BF727A"/>
    <w:rsid w:val="00BF73F0"/>
    <w:rsid w:val="00BF744E"/>
    <w:rsid w:val="00BF7780"/>
    <w:rsid w:val="00BF7813"/>
    <w:rsid w:val="00BF7845"/>
    <w:rsid w:val="00BF7865"/>
    <w:rsid w:val="00BF7BF2"/>
    <w:rsid w:val="00BF7C8B"/>
    <w:rsid w:val="00C0000C"/>
    <w:rsid w:val="00C0079C"/>
    <w:rsid w:val="00C0083C"/>
    <w:rsid w:val="00C009F0"/>
    <w:rsid w:val="00C010A8"/>
    <w:rsid w:val="00C0141D"/>
    <w:rsid w:val="00C014DE"/>
    <w:rsid w:val="00C0152B"/>
    <w:rsid w:val="00C0164A"/>
    <w:rsid w:val="00C01798"/>
    <w:rsid w:val="00C017BF"/>
    <w:rsid w:val="00C019FC"/>
    <w:rsid w:val="00C01B0B"/>
    <w:rsid w:val="00C01E7D"/>
    <w:rsid w:val="00C01EBD"/>
    <w:rsid w:val="00C01F1E"/>
    <w:rsid w:val="00C02001"/>
    <w:rsid w:val="00C0202B"/>
    <w:rsid w:val="00C02049"/>
    <w:rsid w:val="00C021BB"/>
    <w:rsid w:val="00C021EB"/>
    <w:rsid w:val="00C02299"/>
    <w:rsid w:val="00C0240F"/>
    <w:rsid w:val="00C0277E"/>
    <w:rsid w:val="00C029EA"/>
    <w:rsid w:val="00C02A20"/>
    <w:rsid w:val="00C02B39"/>
    <w:rsid w:val="00C02B4F"/>
    <w:rsid w:val="00C02DE3"/>
    <w:rsid w:val="00C02ECB"/>
    <w:rsid w:val="00C02FE1"/>
    <w:rsid w:val="00C03012"/>
    <w:rsid w:val="00C030C5"/>
    <w:rsid w:val="00C03526"/>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91"/>
    <w:rsid w:val="00C051D9"/>
    <w:rsid w:val="00C0525D"/>
    <w:rsid w:val="00C05451"/>
    <w:rsid w:val="00C05455"/>
    <w:rsid w:val="00C0555E"/>
    <w:rsid w:val="00C0558B"/>
    <w:rsid w:val="00C05613"/>
    <w:rsid w:val="00C05699"/>
    <w:rsid w:val="00C057EE"/>
    <w:rsid w:val="00C058D4"/>
    <w:rsid w:val="00C05A1B"/>
    <w:rsid w:val="00C05B9C"/>
    <w:rsid w:val="00C05BE5"/>
    <w:rsid w:val="00C05C4E"/>
    <w:rsid w:val="00C05CB8"/>
    <w:rsid w:val="00C05E55"/>
    <w:rsid w:val="00C0606C"/>
    <w:rsid w:val="00C063D9"/>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08D"/>
    <w:rsid w:val="00C10462"/>
    <w:rsid w:val="00C106BA"/>
    <w:rsid w:val="00C10792"/>
    <w:rsid w:val="00C108D4"/>
    <w:rsid w:val="00C1092E"/>
    <w:rsid w:val="00C10B90"/>
    <w:rsid w:val="00C10C7E"/>
    <w:rsid w:val="00C10DC1"/>
    <w:rsid w:val="00C112DF"/>
    <w:rsid w:val="00C1166D"/>
    <w:rsid w:val="00C1195F"/>
    <w:rsid w:val="00C119A8"/>
    <w:rsid w:val="00C119DA"/>
    <w:rsid w:val="00C119EF"/>
    <w:rsid w:val="00C11AAC"/>
    <w:rsid w:val="00C11D8F"/>
    <w:rsid w:val="00C11E99"/>
    <w:rsid w:val="00C11EE1"/>
    <w:rsid w:val="00C11F76"/>
    <w:rsid w:val="00C123F5"/>
    <w:rsid w:val="00C12574"/>
    <w:rsid w:val="00C125F2"/>
    <w:rsid w:val="00C12A56"/>
    <w:rsid w:val="00C12BF3"/>
    <w:rsid w:val="00C12C47"/>
    <w:rsid w:val="00C12C7C"/>
    <w:rsid w:val="00C12DE2"/>
    <w:rsid w:val="00C12E59"/>
    <w:rsid w:val="00C12E7E"/>
    <w:rsid w:val="00C12E82"/>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2E"/>
    <w:rsid w:val="00C16AAA"/>
    <w:rsid w:val="00C16CBF"/>
    <w:rsid w:val="00C176E9"/>
    <w:rsid w:val="00C178E6"/>
    <w:rsid w:val="00C179EB"/>
    <w:rsid w:val="00C17EA5"/>
    <w:rsid w:val="00C17FC3"/>
    <w:rsid w:val="00C2012B"/>
    <w:rsid w:val="00C203E8"/>
    <w:rsid w:val="00C206A9"/>
    <w:rsid w:val="00C20794"/>
    <w:rsid w:val="00C2081E"/>
    <w:rsid w:val="00C20C68"/>
    <w:rsid w:val="00C20D05"/>
    <w:rsid w:val="00C20D4D"/>
    <w:rsid w:val="00C2107D"/>
    <w:rsid w:val="00C2123D"/>
    <w:rsid w:val="00C21334"/>
    <w:rsid w:val="00C213B8"/>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417"/>
    <w:rsid w:val="00C245B1"/>
    <w:rsid w:val="00C24672"/>
    <w:rsid w:val="00C246EA"/>
    <w:rsid w:val="00C247C0"/>
    <w:rsid w:val="00C248A8"/>
    <w:rsid w:val="00C24FF6"/>
    <w:rsid w:val="00C250CC"/>
    <w:rsid w:val="00C253D2"/>
    <w:rsid w:val="00C25A07"/>
    <w:rsid w:val="00C25A2D"/>
    <w:rsid w:val="00C25EFB"/>
    <w:rsid w:val="00C26018"/>
    <w:rsid w:val="00C267F3"/>
    <w:rsid w:val="00C2684E"/>
    <w:rsid w:val="00C269F2"/>
    <w:rsid w:val="00C26B1C"/>
    <w:rsid w:val="00C26BBA"/>
    <w:rsid w:val="00C26BE9"/>
    <w:rsid w:val="00C26D6D"/>
    <w:rsid w:val="00C26E34"/>
    <w:rsid w:val="00C2730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BE3"/>
    <w:rsid w:val="00C30C25"/>
    <w:rsid w:val="00C30D7D"/>
    <w:rsid w:val="00C30DE6"/>
    <w:rsid w:val="00C31173"/>
    <w:rsid w:val="00C312DF"/>
    <w:rsid w:val="00C31501"/>
    <w:rsid w:val="00C315AB"/>
    <w:rsid w:val="00C316DD"/>
    <w:rsid w:val="00C31CD6"/>
    <w:rsid w:val="00C31DE7"/>
    <w:rsid w:val="00C31E10"/>
    <w:rsid w:val="00C320B7"/>
    <w:rsid w:val="00C32243"/>
    <w:rsid w:val="00C322D1"/>
    <w:rsid w:val="00C3252A"/>
    <w:rsid w:val="00C325BB"/>
    <w:rsid w:val="00C3278C"/>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312"/>
    <w:rsid w:val="00C35562"/>
    <w:rsid w:val="00C3571B"/>
    <w:rsid w:val="00C35744"/>
    <w:rsid w:val="00C35A5F"/>
    <w:rsid w:val="00C35AA4"/>
    <w:rsid w:val="00C35B2C"/>
    <w:rsid w:val="00C35D8E"/>
    <w:rsid w:val="00C35E70"/>
    <w:rsid w:val="00C360CA"/>
    <w:rsid w:val="00C36143"/>
    <w:rsid w:val="00C361B3"/>
    <w:rsid w:val="00C361FF"/>
    <w:rsid w:val="00C36550"/>
    <w:rsid w:val="00C367C7"/>
    <w:rsid w:val="00C367EC"/>
    <w:rsid w:val="00C3691E"/>
    <w:rsid w:val="00C36963"/>
    <w:rsid w:val="00C369A6"/>
    <w:rsid w:val="00C369AA"/>
    <w:rsid w:val="00C36A9A"/>
    <w:rsid w:val="00C36AD2"/>
    <w:rsid w:val="00C36B32"/>
    <w:rsid w:val="00C36CE4"/>
    <w:rsid w:val="00C36E60"/>
    <w:rsid w:val="00C37096"/>
    <w:rsid w:val="00C3709C"/>
    <w:rsid w:val="00C370AD"/>
    <w:rsid w:val="00C3715C"/>
    <w:rsid w:val="00C37397"/>
    <w:rsid w:val="00C3743B"/>
    <w:rsid w:val="00C374D6"/>
    <w:rsid w:val="00C37618"/>
    <w:rsid w:val="00C37689"/>
    <w:rsid w:val="00C37D11"/>
    <w:rsid w:val="00C37D38"/>
    <w:rsid w:val="00C37FED"/>
    <w:rsid w:val="00C406A2"/>
    <w:rsid w:val="00C40A33"/>
    <w:rsid w:val="00C40AA1"/>
    <w:rsid w:val="00C40B04"/>
    <w:rsid w:val="00C40B8D"/>
    <w:rsid w:val="00C40C0E"/>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50321"/>
    <w:rsid w:val="00C510DD"/>
    <w:rsid w:val="00C511E3"/>
    <w:rsid w:val="00C517F3"/>
    <w:rsid w:val="00C51E31"/>
    <w:rsid w:val="00C51E7E"/>
    <w:rsid w:val="00C51E81"/>
    <w:rsid w:val="00C52044"/>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70C"/>
    <w:rsid w:val="00C53937"/>
    <w:rsid w:val="00C53BD5"/>
    <w:rsid w:val="00C53D31"/>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1FE"/>
    <w:rsid w:val="00C55335"/>
    <w:rsid w:val="00C55368"/>
    <w:rsid w:val="00C553AD"/>
    <w:rsid w:val="00C554B9"/>
    <w:rsid w:val="00C5572A"/>
    <w:rsid w:val="00C55863"/>
    <w:rsid w:val="00C5586A"/>
    <w:rsid w:val="00C55CBF"/>
    <w:rsid w:val="00C55CE9"/>
    <w:rsid w:val="00C55D12"/>
    <w:rsid w:val="00C55DBC"/>
    <w:rsid w:val="00C55E8F"/>
    <w:rsid w:val="00C55EC4"/>
    <w:rsid w:val="00C561BB"/>
    <w:rsid w:val="00C56708"/>
    <w:rsid w:val="00C56779"/>
    <w:rsid w:val="00C5683B"/>
    <w:rsid w:val="00C56842"/>
    <w:rsid w:val="00C56861"/>
    <w:rsid w:val="00C568F7"/>
    <w:rsid w:val="00C56901"/>
    <w:rsid w:val="00C56E1F"/>
    <w:rsid w:val="00C5707C"/>
    <w:rsid w:val="00C572B3"/>
    <w:rsid w:val="00C57632"/>
    <w:rsid w:val="00C576D9"/>
    <w:rsid w:val="00C5776B"/>
    <w:rsid w:val="00C578FE"/>
    <w:rsid w:val="00C5797D"/>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710"/>
    <w:rsid w:val="00C6283E"/>
    <w:rsid w:val="00C62C6C"/>
    <w:rsid w:val="00C63336"/>
    <w:rsid w:val="00C63370"/>
    <w:rsid w:val="00C636BA"/>
    <w:rsid w:val="00C638E0"/>
    <w:rsid w:val="00C63D71"/>
    <w:rsid w:val="00C63DEE"/>
    <w:rsid w:val="00C63EE7"/>
    <w:rsid w:val="00C63F9C"/>
    <w:rsid w:val="00C64232"/>
    <w:rsid w:val="00C6452E"/>
    <w:rsid w:val="00C645FE"/>
    <w:rsid w:val="00C64994"/>
    <w:rsid w:val="00C64E9E"/>
    <w:rsid w:val="00C65012"/>
    <w:rsid w:val="00C653A3"/>
    <w:rsid w:val="00C6549F"/>
    <w:rsid w:val="00C65635"/>
    <w:rsid w:val="00C6572B"/>
    <w:rsid w:val="00C65838"/>
    <w:rsid w:val="00C65963"/>
    <w:rsid w:val="00C65A2C"/>
    <w:rsid w:val="00C65BFD"/>
    <w:rsid w:val="00C65E23"/>
    <w:rsid w:val="00C65EA3"/>
    <w:rsid w:val="00C65FCA"/>
    <w:rsid w:val="00C6609F"/>
    <w:rsid w:val="00C6633B"/>
    <w:rsid w:val="00C667C4"/>
    <w:rsid w:val="00C6681D"/>
    <w:rsid w:val="00C66B29"/>
    <w:rsid w:val="00C6703C"/>
    <w:rsid w:val="00C6742F"/>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913"/>
    <w:rsid w:val="00C70B23"/>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D74"/>
    <w:rsid w:val="00C72EA2"/>
    <w:rsid w:val="00C72EBD"/>
    <w:rsid w:val="00C72F03"/>
    <w:rsid w:val="00C7322E"/>
    <w:rsid w:val="00C73443"/>
    <w:rsid w:val="00C7349A"/>
    <w:rsid w:val="00C73553"/>
    <w:rsid w:val="00C73633"/>
    <w:rsid w:val="00C736EA"/>
    <w:rsid w:val="00C73803"/>
    <w:rsid w:val="00C73918"/>
    <w:rsid w:val="00C73965"/>
    <w:rsid w:val="00C739FE"/>
    <w:rsid w:val="00C73CEC"/>
    <w:rsid w:val="00C73DCD"/>
    <w:rsid w:val="00C73EA6"/>
    <w:rsid w:val="00C745C6"/>
    <w:rsid w:val="00C74CEC"/>
    <w:rsid w:val="00C74EBE"/>
    <w:rsid w:val="00C751DF"/>
    <w:rsid w:val="00C753CF"/>
    <w:rsid w:val="00C75657"/>
    <w:rsid w:val="00C75782"/>
    <w:rsid w:val="00C759F3"/>
    <w:rsid w:val="00C75A9D"/>
    <w:rsid w:val="00C75AA9"/>
    <w:rsid w:val="00C75CE8"/>
    <w:rsid w:val="00C7614A"/>
    <w:rsid w:val="00C761D5"/>
    <w:rsid w:val="00C764D9"/>
    <w:rsid w:val="00C76646"/>
    <w:rsid w:val="00C766E7"/>
    <w:rsid w:val="00C7671C"/>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54"/>
    <w:rsid w:val="00C813CD"/>
    <w:rsid w:val="00C81487"/>
    <w:rsid w:val="00C81B85"/>
    <w:rsid w:val="00C81CC0"/>
    <w:rsid w:val="00C81E70"/>
    <w:rsid w:val="00C8207F"/>
    <w:rsid w:val="00C8272D"/>
    <w:rsid w:val="00C82922"/>
    <w:rsid w:val="00C82968"/>
    <w:rsid w:val="00C82CCB"/>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D53"/>
    <w:rsid w:val="00C850A4"/>
    <w:rsid w:val="00C85283"/>
    <w:rsid w:val="00C85287"/>
    <w:rsid w:val="00C85567"/>
    <w:rsid w:val="00C85753"/>
    <w:rsid w:val="00C85814"/>
    <w:rsid w:val="00C85816"/>
    <w:rsid w:val="00C85A0A"/>
    <w:rsid w:val="00C85D43"/>
    <w:rsid w:val="00C85F9E"/>
    <w:rsid w:val="00C85FD2"/>
    <w:rsid w:val="00C85FD9"/>
    <w:rsid w:val="00C8602D"/>
    <w:rsid w:val="00C8609E"/>
    <w:rsid w:val="00C860A9"/>
    <w:rsid w:val="00C86277"/>
    <w:rsid w:val="00C862C8"/>
    <w:rsid w:val="00C863DC"/>
    <w:rsid w:val="00C8665D"/>
    <w:rsid w:val="00C8675E"/>
    <w:rsid w:val="00C86873"/>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004"/>
    <w:rsid w:val="00C9112C"/>
    <w:rsid w:val="00C9116D"/>
    <w:rsid w:val="00C911DB"/>
    <w:rsid w:val="00C9186A"/>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4FB"/>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51E"/>
    <w:rsid w:val="00C9653C"/>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97FC4"/>
    <w:rsid w:val="00CA03BA"/>
    <w:rsid w:val="00CA043C"/>
    <w:rsid w:val="00CA057D"/>
    <w:rsid w:val="00CA0991"/>
    <w:rsid w:val="00CA0A26"/>
    <w:rsid w:val="00CA0A48"/>
    <w:rsid w:val="00CA0BEF"/>
    <w:rsid w:val="00CA0D2F"/>
    <w:rsid w:val="00CA0E21"/>
    <w:rsid w:val="00CA0EF4"/>
    <w:rsid w:val="00CA1363"/>
    <w:rsid w:val="00CA13E0"/>
    <w:rsid w:val="00CA1414"/>
    <w:rsid w:val="00CA1505"/>
    <w:rsid w:val="00CA16B4"/>
    <w:rsid w:val="00CA17E9"/>
    <w:rsid w:val="00CA1851"/>
    <w:rsid w:val="00CA189C"/>
    <w:rsid w:val="00CA18FF"/>
    <w:rsid w:val="00CA1C56"/>
    <w:rsid w:val="00CA1EBD"/>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338"/>
    <w:rsid w:val="00CA4534"/>
    <w:rsid w:val="00CA49D0"/>
    <w:rsid w:val="00CA4B1F"/>
    <w:rsid w:val="00CA4BFB"/>
    <w:rsid w:val="00CA4E3D"/>
    <w:rsid w:val="00CA4E51"/>
    <w:rsid w:val="00CA514E"/>
    <w:rsid w:val="00CA5196"/>
    <w:rsid w:val="00CA51B8"/>
    <w:rsid w:val="00CA5654"/>
    <w:rsid w:val="00CA5663"/>
    <w:rsid w:val="00CA5698"/>
    <w:rsid w:val="00CA5789"/>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A7FA0"/>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2D65"/>
    <w:rsid w:val="00CB3051"/>
    <w:rsid w:val="00CB328E"/>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4939"/>
    <w:rsid w:val="00CB5364"/>
    <w:rsid w:val="00CB548D"/>
    <w:rsid w:val="00CB551A"/>
    <w:rsid w:val="00CB565E"/>
    <w:rsid w:val="00CB5661"/>
    <w:rsid w:val="00CB5A2F"/>
    <w:rsid w:val="00CB5AFE"/>
    <w:rsid w:val="00CB5B23"/>
    <w:rsid w:val="00CB5CA0"/>
    <w:rsid w:val="00CB5E12"/>
    <w:rsid w:val="00CB6036"/>
    <w:rsid w:val="00CB6416"/>
    <w:rsid w:val="00CB65C6"/>
    <w:rsid w:val="00CB6778"/>
    <w:rsid w:val="00CB677B"/>
    <w:rsid w:val="00CB681E"/>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8D3"/>
    <w:rsid w:val="00CC0908"/>
    <w:rsid w:val="00CC0EB8"/>
    <w:rsid w:val="00CC102B"/>
    <w:rsid w:val="00CC11C7"/>
    <w:rsid w:val="00CC11D8"/>
    <w:rsid w:val="00CC1212"/>
    <w:rsid w:val="00CC1293"/>
    <w:rsid w:val="00CC15FC"/>
    <w:rsid w:val="00CC176E"/>
    <w:rsid w:val="00CC18DD"/>
    <w:rsid w:val="00CC1989"/>
    <w:rsid w:val="00CC1DBF"/>
    <w:rsid w:val="00CC1DCC"/>
    <w:rsid w:val="00CC1E69"/>
    <w:rsid w:val="00CC1EC6"/>
    <w:rsid w:val="00CC1EF8"/>
    <w:rsid w:val="00CC212F"/>
    <w:rsid w:val="00CC2382"/>
    <w:rsid w:val="00CC250B"/>
    <w:rsid w:val="00CC259B"/>
    <w:rsid w:val="00CC2701"/>
    <w:rsid w:val="00CC293A"/>
    <w:rsid w:val="00CC2A27"/>
    <w:rsid w:val="00CC2DC0"/>
    <w:rsid w:val="00CC2E12"/>
    <w:rsid w:val="00CC2E8A"/>
    <w:rsid w:val="00CC3237"/>
    <w:rsid w:val="00CC32E7"/>
    <w:rsid w:val="00CC35A9"/>
    <w:rsid w:val="00CC36DC"/>
    <w:rsid w:val="00CC3B57"/>
    <w:rsid w:val="00CC3CF5"/>
    <w:rsid w:val="00CC4179"/>
    <w:rsid w:val="00CC429D"/>
    <w:rsid w:val="00CC43EA"/>
    <w:rsid w:val="00CC4426"/>
    <w:rsid w:val="00CC48EF"/>
    <w:rsid w:val="00CC4D07"/>
    <w:rsid w:val="00CC4EBB"/>
    <w:rsid w:val="00CC4F40"/>
    <w:rsid w:val="00CC5215"/>
    <w:rsid w:val="00CC52AC"/>
    <w:rsid w:val="00CC53FF"/>
    <w:rsid w:val="00CC540C"/>
    <w:rsid w:val="00CC5883"/>
    <w:rsid w:val="00CC5A11"/>
    <w:rsid w:val="00CC5CA1"/>
    <w:rsid w:val="00CC5CDE"/>
    <w:rsid w:val="00CC5E9D"/>
    <w:rsid w:val="00CC6025"/>
    <w:rsid w:val="00CC607F"/>
    <w:rsid w:val="00CC620D"/>
    <w:rsid w:val="00CC6367"/>
    <w:rsid w:val="00CC64AC"/>
    <w:rsid w:val="00CC64D4"/>
    <w:rsid w:val="00CC6763"/>
    <w:rsid w:val="00CC699C"/>
    <w:rsid w:val="00CC6CEB"/>
    <w:rsid w:val="00CC71CB"/>
    <w:rsid w:val="00CC734D"/>
    <w:rsid w:val="00CC74FD"/>
    <w:rsid w:val="00CC7542"/>
    <w:rsid w:val="00CC769A"/>
    <w:rsid w:val="00CC780A"/>
    <w:rsid w:val="00CC7813"/>
    <w:rsid w:val="00CC7ACA"/>
    <w:rsid w:val="00CC7D29"/>
    <w:rsid w:val="00CC7E8B"/>
    <w:rsid w:val="00CD001A"/>
    <w:rsid w:val="00CD009E"/>
    <w:rsid w:val="00CD00A8"/>
    <w:rsid w:val="00CD02DC"/>
    <w:rsid w:val="00CD0351"/>
    <w:rsid w:val="00CD0989"/>
    <w:rsid w:val="00CD0AEA"/>
    <w:rsid w:val="00CD0F55"/>
    <w:rsid w:val="00CD1082"/>
    <w:rsid w:val="00CD10A8"/>
    <w:rsid w:val="00CD12CC"/>
    <w:rsid w:val="00CD12DC"/>
    <w:rsid w:val="00CD15FC"/>
    <w:rsid w:val="00CD173C"/>
    <w:rsid w:val="00CD1B9A"/>
    <w:rsid w:val="00CD1E7D"/>
    <w:rsid w:val="00CD21EC"/>
    <w:rsid w:val="00CD222E"/>
    <w:rsid w:val="00CD227E"/>
    <w:rsid w:val="00CD229A"/>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10F"/>
    <w:rsid w:val="00CD445C"/>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A5C"/>
    <w:rsid w:val="00CD5B99"/>
    <w:rsid w:val="00CD5C88"/>
    <w:rsid w:val="00CD620A"/>
    <w:rsid w:val="00CD69E7"/>
    <w:rsid w:val="00CD6A76"/>
    <w:rsid w:val="00CD6D39"/>
    <w:rsid w:val="00CD6EAC"/>
    <w:rsid w:val="00CD6F01"/>
    <w:rsid w:val="00CD73DB"/>
    <w:rsid w:val="00CD7575"/>
    <w:rsid w:val="00CD767C"/>
    <w:rsid w:val="00CD7F16"/>
    <w:rsid w:val="00CE0296"/>
    <w:rsid w:val="00CE0318"/>
    <w:rsid w:val="00CE03FE"/>
    <w:rsid w:val="00CE099E"/>
    <w:rsid w:val="00CE0B02"/>
    <w:rsid w:val="00CE0C3C"/>
    <w:rsid w:val="00CE0DED"/>
    <w:rsid w:val="00CE0FA8"/>
    <w:rsid w:val="00CE1767"/>
    <w:rsid w:val="00CE1860"/>
    <w:rsid w:val="00CE1B9A"/>
    <w:rsid w:val="00CE1D2D"/>
    <w:rsid w:val="00CE1F90"/>
    <w:rsid w:val="00CE2209"/>
    <w:rsid w:val="00CE222E"/>
    <w:rsid w:val="00CE2560"/>
    <w:rsid w:val="00CE26B4"/>
    <w:rsid w:val="00CE278A"/>
    <w:rsid w:val="00CE2C72"/>
    <w:rsid w:val="00CE2C9E"/>
    <w:rsid w:val="00CE2EA7"/>
    <w:rsid w:val="00CE339D"/>
    <w:rsid w:val="00CE347A"/>
    <w:rsid w:val="00CE34D3"/>
    <w:rsid w:val="00CE352F"/>
    <w:rsid w:val="00CE36FE"/>
    <w:rsid w:val="00CE37A0"/>
    <w:rsid w:val="00CE38C8"/>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37B"/>
    <w:rsid w:val="00CE641D"/>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0C9C"/>
    <w:rsid w:val="00CF130A"/>
    <w:rsid w:val="00CF13AF"/>
    <w:rsid w:val="00CF1441"/>
    <w:rsid w:val="00CF1B11"/>
    <w:rsid w:val="00CF1BDA"/>
    <w:rsid w:val="00CF1D86"/>
    <w:rsid w:val="00CF2564"/>
    <w:rsid w:val="00CF2AE6"/>
    <w:rsid w:val="00CF304C"/>
    <w:rsid w:val="00CF393C"/>
    <w:rsid w:val="00CF3C43"/>
    <w:rsid w:val="00CF3C57"/>
    <w:rsid w:val="00CF404F"/>
    <w:rsid w:val="00CF414C"/>
    <w:rsid w:val="00CF4219"/>
    <w:rsid w:val="00CF44C8"/>
    <w:rsid w:val="00CF4656"/>
    <w:rsid w:val="00CF4FA6"/>
    <w:rsid w:val="00CF5018"/>
    <w:rsid w:val="00CF5257"/>
    <w:rsid w:val="00CF52CF"/>
    <w:rsid w:val="00CF53CD"/>
    <w:rsid w:val="00CF5502"/>
    <w:rsid w:val="00CF55E0"/>
    <w:rsid w:val="00CF56F9"/>
    <w:rsid w:val="00CF5739"/>
    <w:rsid w:val="00CF5772"/>
    <w:rsid w:val="00CF59FB"/>
    <w:rsid w:val="00CF5DBF"/>
    <w:rsid w:val="00CF5EEA"/>
    <w:rsid w:val="00CF60CE"/>
    <w:rsid w:val="00CF62E7"/>
    <w:rsid w:val="00CF635E"/>
    <w:rsid w:val="00CF63C0"/>
    <w:rsid w:val="00CF660A"/>
    <w:rsid w:val="00CF669A"/>
    <w:rsid w:val="00CF66A1"/>
    <w:rsid w:val="00CF7036"/>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BD1"/>
    <w:rsid w:val="00D02C48"/>
    <w:rsid w:val="00D02E63"/>
    <w:rsid w:val="00D02E8D"/>
    <w:rsid w:val="00D02FBF"/>
    <w:rsid w:val="00D03384"/>
    <w:rsid w:val="00D036AA"/>
    <w:rsid w:val="00D037CD"/>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FFF"/>
    <w:rsid w:val="00D06236"/>
    <w:rsid w:val="00D063FC"/>
    <w:rsid w:val="00D0652C"/>
    <w:rsid w:val="00D06785"/>
    <w:rsid w:val="00D067B2"/>
    <w:rsid w:val="00D06A3B"/>
    <w:rsid w:val="00D06C03"/>
    <w:rsid w:val="00D06ED5"/>
    <w:rsid w:val="00D06EED"/>
    <w:rsid w:val="00D0734A"/>
    <w:rsid w:val="00D0734B"/>
    <w:rsid w:val="00D073A2"/>
    <w:rsid w:val="00D0763B"/>
    <w:rsid w:val="00D07EB3"/>
    <w:rsid w:val="00D1008B"/>
    <w:rsid w:val="00D10096"/>
    <w:rsid w:val="00D10632"/>
    <w:rsid w:val="00D106A0"/>
    <w:rsid w:val="00D10784"/>
    <w:rsid w:val="00D1090B"/>
    <w:rsid w:val="00D10D36"/>
    <w:rsid w:val="00D10D3B"/>
    <w:rsid w:val="00D10DD2"/>
    <w:rsid w:val="00D10EEB"/>
    <w:rsid w:val="00D10FBC"/>
    <w:rsid w:val="00D111D2"/>
    <w:rsid w:val="00D11B4C"/>
    <w:rsid w:val="00D11BA8"/>
    <w:rsid w:val="00D11D3E"/>
    <w:rsid w:val="00D11EA1"/>
    <w:rsid w:val="00D11F1D"/>
    <w:rsid w:val="00D11F7B"/>
    <w:rsid w:val="00D11FA9"/>
    <w:rsid w:val="00D1217D"/>
    <w:rsid w:val="00D1223A"/>
    <w:rsid w:val="00D1226C"/>
    <w:rsid w:val="00D123EE"/>
    <w:rsid w:val="00D12403"/>
    <w:rsid w:val="00D1250A"/>
    <w:rsid w:val="00D125E1"/>
    <w:rsid w:val="00D1262D"/>
    <w:rsid w:val="00D1276C"/>
    <w:rsid w:val="00D127D3"/>
    <w:rsid w:val="00D12999"/>
    <w:rsid w:val="00D12D74"/>
    <w:rsid w:val="00D12F06"/>
    <w:rsid w:val="00D12F2B"/>
    <w:rsid w:val="00D12FB8"/>
    <w:rsid w:val="00D12FFF"/>
    <w:rsid w:val="00D131BE"/>
    <w:rsid w:val="00D1331E"/>
    <w:rsid w:val="00D1340B"/>
    <w:rsid w:val="00D1349E"/>
    <w:rsid w:val="00D134A3"/>
    <w:rsid w:val="00D13852"/>
    <w:rsid w:val="00D13863"/>
    <w:rsid w:val="00D13BD5"/>
    <w:rsid w:val="00D13D5B"/>
    <w:rsid w:val="00D13FC6"/>
    <w:rsid w:val="00D14453"/>
    <w:rsid w:val="00D14564"/>
    <w:rsid w:val="00D14879"/>
    <w:rsid w:val="00D14B41"/>
    <w:rsid w:val="00D14B54"/>
    <w:rsid w:val="00D14CF3"/>
    <w:rsid w:val="00D14E2E"/>
    <w:rsid w:val="00D1520A"/>
    <w:rsid w:val="00D1542D"/>
    <w:rsid w:val="00D15649"/>
    <w:rsid w:val="00D1577A"/>
    <w:rsid w:val="00D15C80"/>
    <w:rsid w:val="00D15E36"/>
    <w:rsid w:val="00D1615C"/>
    <w:rsid w:val="00D1617C"/>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01F"/>
    <w:rsid w:val="00D23286"/>
    <w:rsid w:val="00D23416"/>
    <w:rsid w:val="00D236C2"/>
    <w:rsid w:val="00D238CB"/>
    <w:rsid w:val="00D238D9"/>
    <w:rsid w:val="00D238FA"/>
    <w:rsid w:val="00D2391D"/>
    <w:rsid w:val="00D23C54"/>
    <w:rsid w:val="00D23CF1"/>
    <w:rsid w:val="00D23F9C"/>
    <w:rsid w:val="00D24196"/>
    <w:rsid w:val="00D241E2"/>
    <w:rsid w:val="00D24245"/>
    <w:rsid w:val="00D24784"/>
    <w:rsid w:val="00D248A2"/>
    <w:rsid w:val="00D248DB"/>
    <w:rsid w:val="00D24B79"/>
    <w:rsid w:val="00D24BAD"/>
    <w:rsid w:val="00D24BD6"/>
    <w:rsid w:val="00D24CF9"/>
    <w:rsid w:val="00D24D0A"/>
    <w:rsid w:val="00D24EB2"/>
    <w:rsid w:val="00D24EFC"/>
    <w:rsid w:val="00D24FCB"/>
    <w:rsid w:val="00D25258"/>
    <w:rsid w:val="00D25343"/>
    <w:rsid w:val="00D25B49"/>
    <w:rsid w:val="00D25C74"/>
    <w:rsid w:val="00D26391"/>
    <w:rsid w:val="00D26472"/>
    <w:rsid w:val="00D264F3"/>
    <w:rsid w:val="00D26746"/>
    <w:rsid w:val="00D26752"/>
    <w:rsid w:val="00D26ABB"/>
    <w:rsid w:val="00D26AF0"/>
    <w:rsid w:val="00D26BBE"/>
    <w:rsid w:val="00D26CEA"/>
    <w:rsid w:val="00D26D28"/>
    <w:rsid w:val="00D27362"/>
    <w:rsid w:val="00D27423"/>
    <w:rsid w:val="00D27428"/>
    <w:rsid w:val="00D274B4"/>
    <w:rsid w:val="00D278A2"/>
    <w:rsid w:val="00D2796E"/>
    <w:rsid w:val="00D279E0"/>
    <w:rsid w:val="00D27D25"/>
    <w:rsid w:val="00D27D58"/>
    <w:rsid w:val="00D27FC8"/>
    <w:rsid w:val="00D3013A"/>
    <w:rsid w:val="00D30348"/>
    <w:rsid w:val="00D3057A"/>
    <w:rsid w:val="00D305D6"/>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4A"/>
    <w:rsid w:val="00D33C96"/>
    <w:rsid w:val="00D341CB"/>
    <w:rsid w:val="00D342A1"/>
    <w:rsid w:val="00D3431B"/>
    <w:rsid w:val="00D34C9C"/>
    <w:rsid w:val="00D34F66"/>
    <w:rsid w:val="00D35333"/>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72D"/>
    <w:rsid w:val="00D36DF4"/>
    <w:rsid w:val="00D36E5C"/>
    <w:rsid w:val="00D36F82"/>
    <w:rsid w:val="00D3727B"/>
    <w:rsid w:val="00D373F2"/>
    <w:rsid w:val="00D376B7"/>
    <w:rsid w:val="00D3793B"/>
    <w:rsid w:val="00D379A6"/>
    <w:rsid w:val="00D37A0F"/>
    <w:rsid w:val="00D37EC3"/>
    <w:rsid w:val="00D37FF0"/>
    <w:rsid w:val="00D40246"/>
    <w:rsid w:val="00D403B4"/>
    <w:rsid w:val="00D403BF"/>
    <w:rsid w:val="00D40B51"/>
    <w:rsid w:val="00D40CD6"/>
    <w:rsid w:val="00D40E05"/>
    <w:rsid w:val="00D41072"/>
    <w:rsid w:val="00D4108F"/>
    <w:rsid w:val="00D410DF"/>
    <w:rsid w:val="00D410E6"/>
    <w:rsid w:val="00D413F9"/>
    <w:rsid w:val="00D4168F"/>
    <w:rsid w:val="00D41691"/>
    <w:rsid w:val="00D418E0"/>
    <w:rsid w:val="00D4194B"/>
    <w:rsid w:val="00D419E2"/>
    <w:rsid w:val="00D419F8"/>
    <w:rsid w:val="00D41B77"/>
    <w:rsid w:val="00D41DC9"/>
    <w:rsid w:val="00D4205D"/>
    <w:rsid w:val="00D420B7"/>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75F"/>
    <w:rsid w:val="00D447CB"/>
    <w:rsid w:val="00D44D18"/>
    <w:rsid w:val="00D4510A"/>
    <w:rsid w:val="00D4514A"/>
    <w:rsid w:val="00D4528E"/>
    <w:rsid w:val="00D45333"/>
    <w:rsid w:val="00D454C9"/>
    <w:rsid w:val="00D45541"/>
    <w:rsid w:val="00D45567"/>
    <w:rsid w:val="00D45949"/>
    <w:rsid w:val="00D45979"/>
    <w:rsid w:val="00D45A6D"/>
    <w:rsid w:val="00D45A7A"/>
    <w:rsid w:val="00D45A89"/>
    <w:rsid w:val="00D45AED"/>
    <w:rsid w:val="00D45EC8"/>
    <w:rsid w:val="00D464F3"/>
    <w:rsid w:val="00D4661C"/>
    <w:rsid w:val="00D466C6"/>
    <w:rsid w:val="00D46875"/>
    <w:rsid w:val="00D46AF0"/>
    <w:rsid w:val="00D46C04"/>
    <w:rsid w:val="00D46C89"/>
    <w:rsid w:val="00D47101"/>
    <w:rsid w:val="00D47755"/>
    <w:rsid w:val="00D4791C"/>
    <w:rsid w:val="00D479F7"/>
    <w:rsid w:val="00D47B6E"/>
    <w:rsid w:val="00D47D59"/>
    <w:rsid w:val="00D47DCD"/>
    <w:rsid w:val="00D47F5F"/>
    <w:rsid w:val="00D502E1"/>
    <w:rsid w:val="00D5044A"/>
    <w:rsid w:val="00D50805"/>
    <w:rsid w:val="00D50820"/>
    <w:rsid w:val="00D509E9"/>
    <w:rsid w:val="00D50ADB"/>
    <w:rsid w:val="00D50E0F"/>
    <w:rsid w:val="00D50E2C"/>
    <w:rsid w:val="00D50F79"/>
    <w:rsid w:val="00D510E8"/>
    <w:rsid w:val="00D512E5"/>
    <w:rsid w:val="00D513FC"/>
    <w:rsid w:val="00D514FF"/>
    <w:rsid w:val="00D51E5C"/>
    <w:rsid w:val="00D5201B"/>
    <w:rsid w:val="00D520B1"/>
    <w:rsid w:val="00D52174"/>
    <w:rsid w:val="00D522C6"/>
    <w:rsid w:val="00D522EC"/>
    <w:rsid w:val="00D5240E"/>
    <w:rsid w:val="00D52643"/>
    <w:rsid w:val="00D5269C"/>
    <w:rsid w:val="00D52B21"/>
    <w:rsid w:val="00D52EC1"/>
    <w:rsid w:val="00D5311C"/>
    <w:rsid w:val="00D533C3"/>
    <w:rsid w:val="00D534A9"/>
    <w:rsid w:val="00D53605"/>
    <w:rsid w:val="00D53633"/>
    <w:rsid w:val="00D536B9"/>
    <w:rsid w:val="00D53823"/>
    <w:rsid w:val="00D5393A"/>
    <w:rsid w:val="00D5396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15"/>
    <w:rsid w:val="00D5527B"/>
    <w:rsid w:val="00D55285"/>
    <w:rsid w:val="00D554A8"/>
    <w:rsid w:val="00D55619"/>
    <w:rsid w:val="00D5577E"/>
    <w:rsid w:val="00D559C0"/>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86C"/>
    <w:rsid w:val="00D60B11"/>
    <w:rsid w:val="00D60CBF"/>
    <w:rsid w:val="00D60CD3"/>
    <w:rsid w:val="00D610E6"/>
    <w:rsid w:val="00D61134"/>
    <w:rsid w:val="00D61600"/>
    <w:rsid w:val="00D61614"/>
    <w:rsid w:val="00D6171D"/>
    <w:rsid w:val="00D61821"/>
    <w:rsid w:val="00D6184A"/>
    <w:rsid w:val="00D6186E"/>
    <w:rsid w:val="00D61BAC"/>
    <w:rsid w:val="00D61C06"/>
    <w:rsid w:val="00D61CF1"/>
    <w:rsid w:val="00D622A7"/>
    <w:rsid w:val="00D623C7"/>
    <w:rsid w:val="00D624A2"/>
    <w:rsid w:val="00D6266A"/>
    <w:rsid w:val="00D62689"/>
    <w:rsid w:val="00D627DA"/>
    <w:rsid w:val="00D62858"/>
    <w:rsid w:val="00D6287C"/>
    <w:rsid w:val="00D629F4"/>
    <w:rsid w:val="00D62B65"/>
    <w:rsid w:val="00D62BF2"/>
    <w:rsid w:val="00D62E02"/>
    <w:rsid w:val="00D63089"/>
    <w:rsid w:val="00D6318E"/>
    <w:rsid w:val="00D631D4"/>
    <w:rsid w:val="00D6331E"/>
    <w:rsid w:val="00D63324"/>
    <w:rsid w:val="00D63329"/>
    <w:rsid w:val="00D6377C"/>
    <w:rsid w:val="00D637E1"/>
    <w:rsid w:val="00D6381C"/>
    <w:rsid w:val="00D63902"/>
    <w:rsid w:val="00D63925"/>
    <w:rsid w:val="00D63AA5"/>
    <w:rsid w:val="00D63C09"/>
    <w:rsid w:val="00D63C7D"/>
    <w:rsid w:val="00D63DB7"/>
    <w:rsid w:val="00D63E54"/>
    <w:rsid w:val="00D63E7D"/>
    <w:rsid w:val="00D6403E"/>
    <w:rsid w:val="00D64142"/>
    <w:rsid w:val="00D645EC"/>
    <w:rsid w:val="00D646A9"/>
    <w:rsid w:val="00D646F4"/>
    <w:rsid w:val="00D647B8"/>
    <w:rsid w:val="00D648B8"/>
    <w:rsid w:val="00D64BE0"/>
    <w:rsid w:val="00D6530A"/>
    <w:rsid w:val="00D653FD"/>
    <w:rsid w:val="00D654C2"/>
    <w:rsid w:val="00D65554"/>
    <w:rsid w:val="00D655FD"/>
    <w:rsid w:val="00D6564E"/>
    <w:rsid w:val="00D657AA"/>
    <w:rsid w:val="00D65A30"/>
    <w:rsid w:val="00D65AC0"/>
    <w:rsid w:val="00D65C5D"/>
    <w:rsid w:val="00D65CD5"/>
    <w:rsid w:val="00D65D22"/>
    <w:rsid w:val="00D65DBB"/>
    <w:rsid w:val="00D65E0A"/>
    <w:rsid w:val="00D65F79"/>
    <w:rsid w:val="00D66259"/>
    <w:rsid w:val="00D662F5"/>
    <w:rsid w:val="00D66EE3"/>
    <w:rsid w:val="00D67254"/>
    <w:rsid w:val="00D67324"/>
    <w:rsid w:val="00D673EA"/>
    <w:rsid w:val="00D67939"/>
    <w:rsid w:val="00D679A2"/>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8D0"/>
    <w:rsid w:val="00D71BB0"/>
    <w:rsid w:val="00D71C4C"/>
    <w:rsid w:val="00D71D10"/>
    <w:rsid w:val="00D71DA0"/>
    <w:rsid w:val="00D71F28"/>
    <w:rsid w:val="00D72069"/>
    <w:rsid w:val="00D720C6"/>
    <w:rsid w:val="00D720E8"/>
    <w:rsid w:val="00D72112"/>
    <w:rsid w:val="00D722D1"/>
    <w:rsid w:val="00D724CE"/>
    <w:rsid w:val="00D72561"/>
    <w:rsid w:val="00D725A3"/>
    <w:rsid w:val="00D725D7"/>
    <w:rsid w:val="00D727AF"/>
    <w:rsid w:val="00D72B7F"/>
    <w:rsid w:val="00D72BDE"/>
    <w:rsid w:val="00D73015"/>
    <w:rsid w:val="00D7308C"/>
    <w:rsid w:val="00D731D6"/>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D77"/>
    <w:rsid w:val="00D74DE1"/>
    <w:rsid w:val="00D74DF5"/>
    <w:rsid w:val="00D74E6A"/>
    <w:rsid w:val="00D750F8"/>
    <w:rsid w:val="00D75177"/>
    <w:rsid w:val="00D7528F"/>
    <w:rsid w:val="00D752E8"/>
    <w:rsid w:val="00D75304"/>
    <w:rsid w:val="00D75566"/>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94"/>
    <w:rsid w:val="00D771AA"/>
    <w:rsid w:val="00D7724A"/>
    <w:rsid w:val="00D7764C"/>
    <w:rsid w:val="00D776DA"/>
    <w:rsid w:val="00D77781"/>
    <w:rsid w:val="00D777CF"/>
    <w:rsid w:val="00D77D28"/>
    <w:rsid w:val="00D77EF4"/>
    <w:rsid w:val="00D77EF6"/>
    <w:rsid w:val="00D801B7"/>
    <w:rsid w:val="00D80432"/>
    <w:rsid w:val="00D8056F"/>
    <w:rsid w:val="00D80697"/>
    <w:rsid w:val="00D806E4"/>
    <w:rsid w:val="00D807BB"/>
    <w:rsid w:val="00D8081D"/>
    <w:rsid w:val="00D80B51"/>
    <w:rsid w:val="00D80C62"/>
    <w:rsid w:val="00D80C86"/>
    <w:rsid w:val="00D80D5E"/>
    <w:rsid w:val="00D80DA2"/>
    <w:rsid w:val="00D80E22"/>
    <w:rsid w:val="00D81231"/>
    <w:rsid w:val="00D8183C"/>
    <w:rsid w:val="00D818A4"/>
    <w:rsid w:val="00D8242C"/>
    <w:rsid w:val="00D827D1"/>
    <w:rsid w:val="00D827F2"/>
    <w:rsid w:val="00D828A6"/>
    <w:rsid w:val="00D832B9"/>
    <w:rsid w:val="00D83398"/>
    <w:rsid w:val="00D83410"/>
    <w:rsid w:val="00D8348E"/>
    <w:rsid w:val="00D83660"/>
    <w:rsid w:val="00D836EF"/>
    <w:rsid w:val="00D8389F"/>
    <w:rsid w:val="00D8398B"/>
    <w:rsid w:val="00D839EE"/>
    <w:rsid w:val="00D841A8"/>
    <w:rsid w:val="00D8469F"/>
    <w:rsid w:val="00D846E7"/>
    <w:rsid w:val="00D8485A"/>
    <w:rsid w:val="00D84AB7"/>
    <w:rsid w:val="00D84CF0"/>
    <w:rsid w:val="00D84D6A"/>
    <w:rsid w:val="00D84DD6"/>
    <w:rsid w:val="00D8533B"/>
    <w:rsid w:val="00D855CF"/>
    <w:rsid w:val="00D85876"/>
    <w:rsid w:val="00D85942"/>
    <w:rsid w:val="00D85CB6"/>
    <w:rsid w:val="00D8615E"/>
    <w:rsid w:val="00D86240"/>
    <w:rsid w:val="00D8627B"/>
    <w:rsid w:val="00D8653D"/>
    <w:rsid w:val="00D86588"/>
    <w:rsid w:val="00D86907"/>
    <w:rsid w:val="00D86A8A"/>
    <w:rsid w:val="00D86D62"/>
    <w:rsid w:val="00D86EC6"/>
    <w:rsid w:val="00D86F1C"/>
    <w:rsid w:val="00D86FFA"/>
    <w:rsid w:val="00D870D2"/>
    <w:rsid w:val="00D87219"/>
    <w:rsid w:val="00D8736B"/>
    <w:rsid w:val="00D87463"/>
    <w:rsid w:val="00D879FB"/>
    <w:rsid w:val="00D87BB6"/>
    <w:rsid w:val="00D87CC8"/>
    <w:rsid w:val="00D87CCC"/>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B53"/>
    <w:rsid w:val="00D93C24"/>
    <w:rsid w:val="00D94234"/>
    <w:rsid w:val="00D94689"/>
    <w:rsid w:val="00D948A7"/>
    <w:rsid w:val="00D94B94"/>
    <w:rsid w:val="00D94DE7"/>
    <w:rsid w:val="00D950A6"/>
    <w:rsid w:val="00D952DD"/>
    <w:rsid w:val="00D95787"/>
    <w:rsid w:val="00D9585A"/>
    <w:rsid w:val="00D958DF"/>
    <w:rsid w:val="00D9591B"/>
    <w:rsid w:val="00D959AF"/>
    <w:rsid w:val="00D95B05"/>
    <w:rsid w:val="00D95C5C"/>
    <w:rsid w:val="00D95CDE"/>
    <w:rsid w:val="00D95E0F"/>
    <w:rsid w:val="00D96183"/>
    <w:rsid w:val="00D961EC"/>
    <w:rsid w:val="00D96346"/>
    <w:rsid w:val="00D966C5"/>
    <w:rsid w:val="00D96872"/>
    <w:rsid w:val="00D968CE"/>
    <w:rsid w:val="00D96956"/>
    <w:rsid w:val="00D96A13"/>
    <w:rsid w:val="00D96B03"/>
    <w:rsid w:val="00D96BCE"/>
    <w:rsid w:val="00D96DD6"/>
    <w:rsid w:val="00D96E60"/>
    <w:rsid w:val="00D96E8B"/>
    <w:rsid w:val="00D96F24"/>
    <w:rsid w:val="00D96FAF"/>
    <w:rsid w:val="00D9704D"/>
    <w:rsid w:val="00D97066"/>
    <w:rsid w:val="00D97163"/>
    <w:rsid w:val="00D9729F"/>
    <w:rsid w:val="00D97654"/>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835"/>
    <w:rsid w:val="00DA2B9E"/>
    <w:rsid w:val="00DA2D8E"/>
    <w:rsid w:val="00DA2E17"/>
    <w:rsid w:val="00DA2E2C"/>
    <w:rsid w:val="00DA304D"/>
    <w:rsid w:val="00DA3065"/>
    <w:rsid w:val="00DA3095"/>
    <w:rsid w:val="00DA34D6"/>
    <w:rsid w:val="00DA38D5"/>
    <w:rsid w:val="00DA3FD4"/>
    <w:rsid w:val="00DA4506"/>
    <w:rsid w:val="00DA4620"/>
    <w:rsid w:val="00DA4784"/>
    <w:rsid w:val="00DA49A0"/>
    <w:rsid w:val="00DA4B10"/>
    <w:rsid w:val="00DA4D04"/>
    <w:rsid w:val="00DA4E8A"/>
    <w:rsid w:val="00DA517E"/>
    <w:rsid w:val="00DA52B8"/>
    <w:rsid w:val="00DA53BC"/>
    <w:rsid w:val="00DA53CC"/>
    <w:rsid w:val="00DA5593"/>
    <w:rsid w:val="00DA55FB"/>
    <w:rsid w:val="00DA58FB"/>
    <w:rsid w:val="00DA59BE"/>
    <w:rsid w:val="00DA5A6E"/>
    <w:rsid w:val="00DA5D0E"/>
    <w:rsid w:val="00DA5D33"/>
    <w:rsid w:val="00DA5E8D"/>
    <w:rsid w:val="00DA6059"/>
    <w:rsid w:val="00DA609E"/>
    <w:rsid w:val="00DA651E"/>
    <w:rsid w:val="00DA68E1"/>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A8"/>
    <w:rsid w:val="00DB0CDD"/>
    <w:rsid w:val="00DB0D8F"/>
    <w:rsid w:val="00DB1192"/>
    <w:rsid w:val="00DB12C2"/>
    <w:rsid w:val="00DB13ED"/>
    <w:rsid w:val="00DB13F3"/>
    <w:rsid w:val="00DB1666"/>
    <w:rsid w:val="00DB1B8E"/>
    <w:rsid w:val="00DB1C7C"/>
    <w:rsid w:val="00DB1CF8"/>
    <w:rsid w:val="00DB1D67"/>
    <w:rsid w:val="00DB1D97"/>
    <w:rsid w:val="00DB1E5E"/>
    <w:rsid w:val="00DB1F48"/>
    <w:rsid w:val="00DB21EB"/>
    <w:rsid w:val="00DB2247"/>
    <w:rsid w:val="00DB243C"/>
    <w:rsid w:val="00DB25EC"/>
    <w:rsid w:val="00DB2686"/>
    <w:rsid w:val="00DB341E"/>
    <w:rsid w:val="00DB34E0"/>
    <w:rsid w:val="00DB3623"/>
    <w:rsid w:val="00DB367D"/>
    <w:rsid w:val="00DB399C"/>
    <w:rsid w:val="00DB3C3F"/>
    <w:rsid w:val="00DB41C2"/>
    <w:rsid w:val="00DB4261"/>
    <w:rsid w:val="00DB472B"/>
    <w:rsid w:val="00DB47E8"/>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6D76"/>
    <w:rsid w:val="00DB7116"/>
    <w:rsid w:val="00DB7125"/>
    <w:rsid w:val="00DB71A1"/>
    <w:rsid w:val="00DB745A"/>
    <w:rsid w:val="00DB7597"/>
    <w:rsid w:val="00DB765A"/>
    <w:rsid w:val="00DB77DD"/>
    <w:rsid w:val="00DB790E"/>
    <w:rsid w:val="00DB7B22"/>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3261"/>
    <w:rsid w:val="00DC3406"/>
    <w:rsid w:val="00DC3536"/>
    <w:rsid w:val="00DC38A7"/>
    <w:rsid w:val="00DC3AE7"/>
    <w:rsid w:val="00DC400F"/>
    <w:rsid w:val="00DC4088"/>
    <w:rsid w:val="00DC4174"/>
    <w:rsid w:val="00DC4572"/>
    <w:rsid w:val="00DC49D5"/>
    <w:rsid w:val="00DC4AFB"/>
    <w:rsid w:val="00DC4BE5"/>
    <w:rsid w:val="00DC4CA1"/>
    <w:rsid w:val="00DC4F15"/>
    <w:rsid w:val="00DC4F38"/>
    <w:rsid w:val="00DC4F9B"/>
    <w:rsid w:val="00DC500E"/>
    <w:rsid w:val="00DC53E8"/>
    <w:rsid w:val="00DC54CE"/>
    <w:rsid w:val="00DC5651"/>
    <w:rsid w:val="00DC5BF7"/>
    <w:rsid w:val="00DC5C3B"/>
    <w:rsid w:val="00DC5D7B"/>
    <w:rsid w:val="00DC5ED1"/>
    <w:rsid w:val="00DC6038"/>
    <w:rsid w:val="00DC618E"/>
    <w:rsid w:val="00DC665F"/>
    <w:rsid w:val="00DC681A"/>
    <w:rsid w:val="00DC6B57"/>
    <w:rsid w:val="00DC6CC8"/>
    <w:rsid w:val="00DC6D51"/>
    <w:rsid w:val="00DC6DBC"/>
    <w:rsid w:val="00DC6F41"/>
    <w:rsid w:val="00DC7238"/>
    <w:rsid w:val="00DC7489"/>
    <w:rsid w:val="00DC7553"/>
    <w:rsid w:val="00DC766F"/>
    <w:rsid w:val="00DC76B5"/>
    <w:rsid w:val="00DC7888"/>
    <w:rsid w:val="00DC78B7"/>
    <w:rsid w:val="00DC7921"/>
    <w:rsid w:val="00DC7B36"/>
    <w:rsid w:val="00DC7B4A"/>
    <w:rsid w:val="00DC7E9A"/>
    <w:rsid w:val="00DC7F66"/>
    <w:rsid w:val="00DD01BE"/>
    <w:rsid w:val="00DD06CB"/>
    <w:rsid w:val="00DD0954"/>
    <w:rsid w:val="00DD0A00"/>
    <w:rsid w:val="00DD1009"/>
    <w:rsid w:val="00DD1146"/>
    <w:rsid w:val="00DD1378"/>
    <w:rsid w:val="00DD140A"/>
    <w:rsid w:val="00DD1506"/>
    <w:rsid w:val="00DD157D"/>
    <w:rsid w:val="00DD1973"/>
    <w:rsid w:val="00DD1B0D"/>
    <w:rsid w:val="00DD1B30"/>
    <w:rsid w:val="00DD1CF4"/>
    <w:rsid w:val="00DD1ECF"/>
    <w:rsid w:val="00DD1FDF"/>
    <w:rsid w:val="00DD2007"/>
    <w:rsid w:val="00DD2405"/>
    <w:rsid w:val="00DD242E"/>
    <w:rsid w:val="00DD2574"/>
    <w:rsid w:val="00DD25D2"/>
    <w:rsid w:val="00DD2608"/>
    <w:rsid w:val="00DD2791"/>
    <w:rsid w:val="00DD27DA"/>
    <w:rsid w:val="00DD2925"/>
    <w:rsid w:val="00DD2B15"/>
    <w:rsid w:val="00DD2B95"/>
    <w:rsid w:val="00DD2DA0"/>
    <w:rsid w:val="00DD2E3D"/>
    <w:rsid w:val="00DD2F9A"/>
    <w:rsid w:val="00DD3334"/>
    <w:rsid w:val="00DD36AA"/>
    <w:rsid w:val="00DD37A4"/>
    <w:rsid w:val="00DD37C0"/>
    <w:rsid w:val="00DD39AA"/>
    <w:rsid w:val="00DD3D7B"/>
    <w:rsid w:val="00DD40A6"/>
    <w:rsid w:val="00DD40C0"/>
    <w:rsid w:val="00DD4281"/>
    <w:rsid w:val="00DD4321"/>
    <w:rsid w:val="00DD4406"/>
    <w:rsid w:val="00DD449F"/>
    <w:rsid w:val="00DD44EF"/>
    <w:rsid w:val="00DD453C"/>
    <w:rsid w:val="00DD46FA"/>
    <w:rsid w:val="00DD47EE"/>
    <w:rsid w:val="00DD4815"/>
    <w:rsid w:val="00DD4E56"/>
    <w:rsid w:val="00DD501C"/>
    <w:rsid w:val="00DD501E"/>
    <w:rsid w:val="00DD50FA"/>
    <w:rsid w:val="00DD5262"/>
    <w:rsid w:val="00DD52A7"/>
    <w:rsid w:val="00DD531D"/>
    <w:rsid w:val="00DD56B9"/>
    <w:rsid w:val="00DD588A"/>
    <w:rsid w:val="00DD5955"/>
    <w:rsid w:val="00DD59A4"/>
    <w:rsid w:val="00DD5A0C"/>
    <w:rsid w:val="00DD5BA4"/>
    <w:rsid w:val="00DD5BB8"/>
    <w:rsid w:val="00DD5D7A"/>
    <w:rsid w:val="00DD5D9E"/>
    <w:rsid w:val="00DD6558"/>
    <w:rsid w:val="00DD6731"/>
    <w:rsid w:val="00DD6A2A"/>
    <w:rsid w:val="00DD6CFF"/>
    <w:rsid w:val="00DD735E"/>
    <w:rsid w:val="00DD7362"/>
    <w:rsid w:val="00DD739E"/>
    <w:rsid w:val="00DD74A1"/>
    <w:rsid w:val="00DD74C3"/>
    <w:rsid w:val="00DD7674"/>
    <w:rsid w:val="00DD782E"/>
    <w:rsid w:val="00DD7873"/>
    <w:rsid w:val="00DD7968"/>
    <w:rsid w:val="00DD7995"/>
    <w:rsid w:val="00DD7A1C"/>
    <w:rsid w:val="00DD7CDE"/>
    <w:rsid w:val="00DD7E87"/>
    <w:rsid w:val="00DD7F13"/>
    <w:rsid w:val="00DD7F56"/>
    <w:rsid w:val="00DE00CF"/>
    <w:rsid w:val="00DE017C"/>
    <w:rsid w:val="00DE0183"/>
    <w:rsid w:val="00DE03B8"/>
    <w:rsid w:val="00DE06F3"/>
    <w:rsid w:val="00DE07E8"/>
    <w:rsid w:val="00DE0B69"/>
    <w:rsid w:val="00DE0DF4"/>
    <w:rsid w:val="00DE0E10"/>
    <w:rsid w:val="00DE0E7E"/>
    <w:rsid w:val="00DE1012"/>
    <w:rsid w:val="00DE10A1"/>
    <w:rsid w:val="00DE10E3"/>
    <w:rsid w:val="00DE10F5"/>
    <w:rsid w:val="00DE1692"/>
    <w:rsid w:val="00DE18EC"/>
    <w:rsid w:val="00DE1C22"/>
    <w:rsid w:val="00DE23FF"/>
    <w:rsid w:val="00DE249D"/>
    <w:rsid w:val="00DE2804"/>
    <w:rsid w:val="00DE2AC1"/>
    <w:rsid w:val="00DE2CEF"/>
    <w:rsid w:val="00DE2D73"/>
    <w:rsid w:val="00DE2F65"/>
    <w:rsid w:val="00DE31EA"/>
    <w:rsid w:val="00DE3265"/>
    <w:rsid w:val="00DE35D3"/>
    <w:rsid w:val="00DE36D4"/>
    <w:rsid w:val="00DE38E4"/>
    <w:rsid w:val="00DE3A0B"/>
    <w:rsid w:val="00DE3F06"/>
    <w:rsid w:val="00DE4552"/>
    <w:rsid w:val="00DE4720"/>
    <w:rsid w:val="00DE48A4"/>
    <w:rsid w:val="00DE4B9F"/>
    <w:rsid w:val="00DE4C0C"/>
    <w:rsid w:val="00DE4EA3"/>
    <w:rsid w:val="00DE502D"/>
    <w:rsid w:val="00DE50E4"/>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F05C8"/>
    <w:rsid w:val="00DF0768"/>
    <w:rsid w:val="00DF0C29"/>
    <w:rsid w:val="00DF0C96"/>
    <w:rsid w:val="00DF0FD9"/>
    <w:rsid w:val="00DF15B0"/>
    <w:rsid w:val="00DF1795"/>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8A0"/>
    <w:rsid w:val="00DF3BA0"/>
    <w:rsid w:val="00DF3BB3"/>
    <w:rsid w:val="00DF3E29"/>
    <w:rsid w:val="00DF3ED6"/>
    <w:rsid w:val="00DF4065"/>
    <w:rsid w:val="00DF40E0"/>
    <w:rsid w:val="00DF4192"/>
    <w:rsid w:val="00DF41CC"/>
    <w:rsid w:val="00DF430A"/>
    <w:rsid w:val="00DF45C8"/>
    <w:rsid w:val="00DF4B52"/>
    <w:rsid w:val="00DF4C6D"/>
    <w:rsid w:val="00DF4E1B"/>
    <w:rsid w:val="00DF5018"/>
    <w:rsid w:val="00DF52B2"/>
    <w:rsid w:val="00DF53CC"/>
    <w:rsid w:val="00DF53D0"/>
    <w:rsid w:val="00DF5519"/>
    <w:rsid w:val="00DF554B"/>
    <w:rsid w:val="00DF58A8"/>
    <w:rsid w:val="00DF5B46"/>
    <w:rsid w:val="00DF5BD7"/>
    <w:rsid w:val="00DF64CA"/>
    <w:rsid w:val="00DF659E"/>
    <w:rsid w:val="00DF6C9D"/>
    <w:rsid w:val="00DF6E5D"/>
    <w:rsid w:val="00DF70EF"/>
    <w:rsid w:val="00DF7250"/>
    <w:rsid w:val="00DF72CD"/>
    <w:rsid w:val="00DF743C"/>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40"/>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3F34"/>
    <w:rsid w:val="00E045C3"/>
    <w:rsid w:val="00E048FF"/>
    <w:rsid w:val="00E04AB7"/>
    <w:rsid w:val="00E05064"/>
    <w:rsid w:val="00E050EF"/>
    <w:rsid w:val="00E05400"/>
    <w:rsid w:val="00E0556C"/>
    <w:rsid w:val="00E055B0"/>
    <w:rsid w:val="00E05789"/>
    <w:rsid w:val="00E05A4D"/>
    <w:rsid w:val="00E05AC4"/>
    <w:rsid w:val="00E05E9E"/>
    <w:rsid w:val="00E06073"/>
    <w:rsid w:val="00E06096"/>
    <w:rsid w:val="00E060E3"/>
    <w:rsid w:val="00E06402"/>
    <w:rsid w:val="00E064D9"/>
    <w:rsid w:val="00E06708"/>
    <w:rsid w:val="00E06B00"/>
    <w:rsid w:val="00E06F85"/>
    <w:rsid w:val="00E07354"/>
    <w:rsid w:val="00E074FB"/>
    <w:rsid w:val="00E076FC"/>
    <w:rsid w:val="00E07897"/>
    <w:rsid w:val="00E07ACC"/>
    <w:rsid w:val="00E07B1B"/>
    <w:rsid w:val="00E07C91"/>
    <w:rsid w:val="00E07D0C"/>
    <w:rsid w:val="00E1056D"/>
    <w:rsid w:val="00E10788"/>
    <w:rsid w:val="00E109C4"/>
    <w:rsid w:val="00E10C6A"/>
    <w:rsid w:val="00E10D28"/>
    <w:rsid w:val="00E10F98"/>
    <w:rsid w:val="00E110A4"/>
    <w:rsid w:val="00E11213"/>
    <w:rsid w:val="00E115D7"/>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8D8"/>
    <w:rsid w:val="00E13A86"/>
    <w:rsid w:val="00E13C9E"/>
    <w:rsid w:val="00E13DFD"/>
    <w:rsid w:val="00E13E06"/>
    <w:rsid w:val="00E140C2"/>
    <w:rsid w:val="00E14237"/>
    <w:rsid w:val="00E1428C"/>
    <w:rsid w:val="00E14756"/>
    <w:rsid w:val="00E14C91"/>
    <w:rsid w:val="00E14F41"/>
    <w:rsid w:val="00E1562D"/>
    <w:rsid w:val="00E1598D"/>
    <w:rsid w:val="00E159AC"/>
    <w:rsid w:val="00E16030"/>
    <w:rsid w:val="00E163CF"/>
    <w:rsid w:val="00E16862"/>
    <w:rsid w:val="00E16868"/>
    <w:rsid w:val="00E16869"/>
    <w:rsid w:val="00E16D8A"/>
    <w:rsid w:val="00E16E34"/>
    <w:rsid w:val="00E16EEE"/>
    <w:rsid w:val="00E173C1"/>
    <w:rsid w:val="00E174E6"/>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6FE"/>
    <w:rsid w:val="00E219AB"/>
    <w:rsid w:val="00E21BB5"/>
    <w:rsid w:val="00E21D2F"/>
    <w:rsid w:val="00E21DA1"/>
    <w:rsid w:val="00E22052"/>
    <w:rsid w:val="00E222A0"/>
    <w:rsid w:val="00E222FD"/>
    <w:rsid w:val="00E225C4"/>
    <w:rsid w:val="00E22624"/>
    <w:rsid w:val="00E22FD9"/>
    <w:rsid w:val="00E22FEC"/>
    <w:rsid w:val="00E2326C"/>
    <w:rsid w:val="00E233C7"/>
    <w:rsid w:val="00E23528"/>
    <w:rsid w:val="00E23723"/>
    <w:rsid w:val="00E23918"/>
    <w:rsid w:val="00E23940"/>
    <w:rsid w:val="00E23B7A"/>
    <w:rsid w:val="00E23ED8"/>
    <w:rsid w:val="00E2408E"/>
    <w:rsid w:val="00E2427C"/>
    <w:rsid w:val="00E24295"/>
    <w:rsid w:val="00E242D5"/>
    <w:rsid w:val="00E242EA"/>
    <w:rsid w:val="00E24406"/>
    <w:rsid w:val="00E24649"/>
    <w:rsid w:val="00E24836"/>
    <w:rsid w:val="00E24BDE"/>
    <w:rsid w:val="00E24D87"/>
    <w:rsid w:val="00E24E19"/>
    <w:rsid w:val="00E25005"/>
    <w:rsid w:val="00E252D9"/>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6D90"/>
    <w:rsid w:val="00E270D0"/>
    <w:rsid w:val="00E2718A"/>
    <w:rsid w:val="00E271A7"/>
    <w:rsid w:val="00E27289"/>
    <w:rsid w:val="00E27383"/>
    <w:rsid w:val="00E276B7"/>
    <w:rsid w:val="00E277D4"/>
    <w:rsid w:val="00E27B37"/>
    <w:rsid w:val="00E27BE4"/>
    <w:rsid w:val="00E27D57"/>
    <w:rsid w:val="00E27DF1"/>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71E"/>
    <w:rsid w:val="00E318F4"/>
    <w:rsid w:val="00E318F9"/>
    <w:rsid w:val="00E3198C"/>
    <w:rsid w:val="00E31995"/>
    <w:rsid w:val="00E319AE"/>
    <w:rsid w:val="00E31DAA"/>
    <w:rsid w:val="00E326A7"/>
    <w:rsid w:val="00E3275F"/>
    <w:rsid w:val="00E3279C"/>
    <w:rsid w:val="00E327F0"/>
    <w:rsid w:val="00E32B0C"/>
    <w:rsid w:val="00E32BBD"/>
    <w:rsid w:val="00E32C82"/>
    <w:rsid w:val="00E32CB2"/>
    <w:rsid w:val="00E32EC7"/>
    <w:rsid w:val="00E33065"/>
    <w:rsid w:val="00E330D5"/>
    <w:rsid w:val="00E33237"/>
    <w:rsid w:val="00E333F7"/>
    <w:rsid w:val="00E33484"/>
    <w:rsid w:val="00E335F7"/>
    <w:rsid w:val="00E3367F"/>
    <w:rsid w:val="00E33745"/>
    <w:rsid w:val="00E3409A"/>
    <w:rsid w:val="00E34475"/>
    <w:rsid w:val="00E3448C"/>
    <w:rsid w:val="00E347A5"/>
    <w:rsid w:val="00E34DFA"/>
    <w:rsid w:val="00E34F03"/>
    <w:rsid w:val="00E3516E"/>
    <w:rsid w:val="00E35233"/>
    <w:rsid w:val="00E353C2"/>
    <w:rsid w:val="00E3571D"/>
    <w:rsid w:val="00E3578F"/>
    <w:rsid w:val="00E35BB4"/>
    <w:rsid w:val="00E35C74"/>
    <w:rsid w:val="00E35D78"/>
    <w:rsid w:val="00E36081"/>
    <w:rsid w:val="00E36137"/>
    <w:rsid w:val="00E3630E"/>
    <w:rsid w:val="00E363D7"/>
    <w:rsid w:val="00E36682"/>
    <w:rsid w:val="00E36870"/>
    <w:rsid w:val="00E36894"/>
    <w:rsid w:val="00E368D0"/>
    <w:rsid w:val="00E37049"/>
    <w:rsid w:val="00E372B6"/>
    <w:rsid w:val="00E3754A"/>
    <w:rsid w:val="00E3754C"/>
    <w:rsid w:val="00E37B1A"/>
    <w:rsid w:val="00E37B6D"/>
    <w:rsid w:val="00E37D0A"/>
    <w:rsid w:val="00E37FD7"/>
    <w:rsid w:val="00E4006C"/>
    <w:rsid w:val="00E400DC"/>
    <w:rsid w:val="00E4011E"/>
    <w:rsid w:val="00E40299"/>
    <w:rsid w:val="00E405E9"/>
    <w:rsid w:val="00E40774"/>
    <w:rsid w:val="00E409A6"/>
    <w:rsid w:val="00E40B32"/>
    <w:rsid w:val="00E4118D"/>
    <w:rsid w:val="00E41208"/>
    <w:rsid w:val="00E4139D"/>
    <w:rsid w:val="00E4147A"/>
    <w:rsid w:val="00E414F4"/>
    <w:rsid w:val="00E41658"/>
    <w:rsid w:val="00E41B4A"/>
    <w:rsid w:val="00E41BF4"/>
    <w:rsid w:val="00E42457"/>
    <w:rsid w:val="00E424EE"/>
    <w:rsid w:val="00E428B1"/>
    <w:rsid w:val="00E42971"/>
    <w:rsid w:val="00E42CF4"/>
    <w:rsid w:val="00E42E09"/>
    <w:rsid w:val="00E430C6"/>
    <w:rsid w:val="00E43475"/>
    <w:rsid w:val="00E4362C"/>
    <w:rsid w:val="00E43637"/>
    <w:rsid w:val="00E43686"/>
    <w:rsid w:val="00E436CB"/>
    <w:rsid w:val="00E43729"/>
    <w:rsid w:val="00E4376E"/>
    <w:rsid w:val="00E437BD"/>
    <w:rsid w:val="00E43819"/>
    <w:rsid w:val="00E43A01"/>
    <w:rsid w:val="00E43BE1"/>
    <w:rsid w:val="00E43D20"/>
    <w:rsid w:val="00E4427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445"/>
    <w:rsid w:val="00E46553"/>
    <w:rsid w:val="00E46758"/>
    <w:rsid w:val="00E467F7"/>
    <w:rsid w:val="00E468AD"/>
    <w:rsid w:val="00E4690E"/>
    <w:rsid w:val="00E469A5"/>
    <w:rsid w:val="00E46E0C"/>
    <w:rsid w:val="00E46E74"/>
    <w:rsid w:val="00E46E7C"/>
    <w:rsid w:val="00E471F8"/>
    <w:rsid w:val="00E47207"/>
    <w:rsid w:val="00E47333"/>
    <w:rsid w:val="00E47428"/>
    <w:rsid w:val="00E476FC"/>
    <w:rsid w:val="00E477E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9AF"/>
    <w:rsid w:val="00E50BE6"/>
    <w:rsid w:val="00E50D06"/>
    <w:rsid w:val="00E50E90"/>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2FC4"/>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62"/>
    <w:rsid w:val="00E54A9B"/>
    <w:rsid w:val="00E54E0A"/>
    <w:rsid w:val="00E55056"/>
    <w:rsid w:val="00E55079"/>
    <w:rsid w:val="00E556E9"/>
    <w:rsid w:val="00E557A0"/>
    <w:rsid w:val="00E557B2"/>
    <w:rsid w:val="00E5589A"/>
    <w:rsid w:val="00E55AA5"/>
    <w:rsid w:val="00E562E2"/>
    <w:rsid w:val="00E564EC"/>
    <w:rsid w:val="00E5659C"/>
    <w:rsid w:val="00E568D0"/>
    <w:rsid w:val="00E56965"/>
    <w:rsid w:val="00E56C80"/>
    <w:rsid w:val="00E56D16"/>
    <w:rsid w:val="00E570A5"/>
    <w:rsid w:val="00E57172"/>
    <w:rsid w:val="00E5730B"/>
    <w:rsid w:val="00E5774E"/>
    <w:rsid w:val="00E577A4"/>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C7D"/>
    <w:rsid w:val="00E60F5A"/>
    <w:rsid w:val="00E60F8F"/>
    <w:rsid w:val="00E611E1"/>
    <w:rsid w:val="00E6138E"/>
    <w:rsid w:val="00E61419"/>
    <w:rsid w:val="00E61658"/>
    <w:rsid w:val="00E6182F"/>
    <w:rsid w:val="00E61DC9"/>
    <w:rsid w:val="00E62006"/>
    <w:rsid w:val="00E62015"/>
    <w:rsid w:val="00E62336"/>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9BB"/>
    <w:rsid w:val="00E63A7A"/>
    <w:rsid w:val="00E63BBD"/>
    <w:rsid w:val="00E63F9C"/>
    <w:rsid w:val="00E6403D"/>
    <w:rsid w:val="00E640F5"/>
    <w:rsid w:val="00E641E4"/>
    <w:rsid w:val="00E6435F"/>
    <w:rsid w:val="00E64413"/>
    <w:rsid w:val="00E644DA"/>
    <w:rsid w:val="00E64634"/>
    <w:rsid w:val="00E64A4A"/>
    <w:rsid w:val="00E64D54"/>
    <w:rsid w:val="00E64FEE"/>
    <w:rsid w:val="00E6510E"/>
    <w:rsid w:val="00E65220"/>
    <w:rsid w:val="00E6537E"/>
    <w:rsid w:val="00E65702"/>
    <w:rsid w:val="00E65E3D"/>
    <w:rsid w:val="00E65EF6"/>
    <w:rsid w:val="00E65EFA"/>
    <w:rsid w:val="00E65EFE"/>
    <w:rsid w:val="00E65FFE"/>
    <w:rsid w:val="00E66064"/>
    <w:rsid w:val="00E66293"/>
    <w:rsid w:val="00E66479"/>
    <w:rsid w:val="00E667E3"/>
    <w:rsid w:val="00E669C1"/>
    <w:rsid w:val="00E66E5F"/>
    <w:rsid w:val="00E670A6"/>
    <w:rsid w:val="00E672C0"/>
    <w:rsid w:val="00E673CC"/>
    <w:rsid w:val="00E673DD"/>
    <w:rsid w:val="00E674AE"/>
    <w:rsid w:val="00E67716"/>
    <w:rsid w:val="00E67893"/>
    <w:rsid w:val="00E67AD0"/>
    <w:rsid w:val="00E67C1F"/>
    <w:rsid w:val="00E67CF6"/>
    <w:rsid w:val="00E67D1E"/>
    <w:rsid w:val="00E70276"/>
    <w:rsid w:val="00E703A4"/>
    <w:rsid w:val="00E705CB"/>
    <w:rsid w:val="00E705F0"/>
    <w:rsid w:val="00E70C77"/>
    <w:rsid w:val="00E70CB0"/>
    <w:rsid w:val="00E70DFF"/>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6C7"/>
    <w:rsid w:val="00E738C6"/>
    <w:rsid w:val="00E739D4"/>
    <w:rsid w:val="00E73A47"/>
    <w:rsid w:val="00E73BA1"/>
    <w:rsid w:val="00E73C20"/>
    <w:rsid w:val="00E73EC9"/>
    <w:rsid w:val="00E73FB0"/>
    <w:rsid w:val="00E740BE"/>
    <w:rsid w:val="00E741AD"/>
    <w:rsid w:val="00E7426C"/>
    <w:rsid w:val="00E74287"/>
    <w:rsid w:val="00E743DB"/>
    <w:rsid w:val="00E744A0"/>
    <w:rsid w:val="00E74679"/>
    <w:rsid w:val="00E74A61"/>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8CF"/>
    <w:rsid w:val="00E768DB"/>
    <w:rsid w:val="00E769E0"/>
    <w:rsid w:val="00E76A29"/>
    <w:rsid w:val="00E77248"/>
    <w:rsid w:val="00E77435"/>
    <w:rsid w:val="00E774EA"/>
    <w:rsid w:val="00E77521"/>
    <w:rsid w:val="00E77601"/>
    <w:rsid w:val="00E776BC"/>
    <w:rsid w:val="00E777D8"/>
    <w:rsid w:val="00E77821"/>
    <w:rsid w:val="00E77A94"/>
    <w:rsid w:val="00E77AF5"/>
    <w:rsid w:val="00E77D78"/>
    <w:rsid w:val="00E803F4"/>
    <w:rsid w:val="00E80409"/>
    <w:rsid w:val="00E805A8"/>
    <w:rsid w:val="00E805F0"/>
    <w:rsid w:val="00E80C1B"/>
    <w:rsid w:val="00E80D88"/>
    <w:rsid w:val="00E80EA1"/>
    <w:rsid w:val="00E80F72"/>
    <w:rsid w:val="00E81056"/>
    <w:rsid w:val="00E810B2"/>
    <w:rsid w:val="00E8118B"/>
    <w:rsid w:val="00E81272"/>
    <w:rsid w:val="00E814FD"/>
    <w:rsid w:val="00E81877"/>
    <w:rsid w:val="00E81D81"/>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3FF0"/>
    <w:rsid w:val="00E84004"/>
    <w:rsid w:val="00E841A5"/>
    <w:rsid w:val="00E8431B"/>
    <w:rsid w:val="00E8439A"/>
    <w:rsid w:val="00E8492C"/>
    <w:rsid w:val="00E84B4C"/>
    <w:rsid w:val="00E84C10"/>
    <w:rsid w:val="00E84CF5"/>
    <w:rsid w:val="00E84D2B"/>
    <w:rsid w:val="00E8506A"/>
    <w:rsid w:val="00E850A9"/>
    <w:rsid w:val="00E85376"/>
    <w:rsid w:val="00E853FC"/>
    <w:rsid w:val="00E85A25"/>
    <w:rsid w:val="00E85ABB"/>
    <w:rsid w:val="00E85C65"/>
    <w:rsid w:val="00E85E24"/>
    <w:rsid w:val="00E86246"/>
    <w:rsid w:val="00E86506"/>
    <w:rsid w:val="00E867C7"/>
    <w:rsid w:val="00E869B1"/>
    <w:rsid w:val="00E86B25"/>
    <w:rsid w:val="00E86C3F"/>
    <w:rsid w:val="00E86DF7"/>
    <w:rsid w:val="00E86ED9"/>
    <w:rsid w:val="00E86EE5"/>
    <w:rsid w:val="00E871C7"/>
    <w:rsid w:val="00E87246"/>
    <w:rsid w:val="00E874C9"/>
    <w:rsid w:val="00E87571"/>
    <w:rsid w:val="00E87686"/>
    <w:rsid w:val="00E87A54"/>
    <w:rsid w:val="00E87B02"/>
    <w:rsid w:val="00E87BC3"/>
    <w:rsid w:val="00E87D9B"/>
    <w:rsid w:val="00E90073"/>
    <w:rsid w:val="00E903DC"/>
    <w:rsid w:val="00E90611"/>
    <w:rsid w:val="00E90CB1"/>
    <w:rsid w:val="00E90E8B"/>
    <w:rsid w:val="00E90ECC"/>
    <w:rsid w:val="00E90FA8"/>
    <w:rsid w:val="00E90FB4"/>
    <w:rsid w:val="00E9104C"/>
    <w:rsid w:val="00E910A5"/>
    <w:rsid w:val="00E917E9"/>
    <w:rsid w:val="00E9181C"/>
    <w:rsid w:val="00E9191F"/>
    <w:rsid w:val="00E91E6C"/>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97"/>
    <w:rsid w:val="00E93AEA"/>
    <w:rsid w:val="00E93E62"/>
    <w:rsid w:val="00E94035"/>
    <w:rsid w:val="00E940E2"/>
    <w:rsid w:val="00E943EC"/>
    <w:rsid w:val="00E9461A"/>
    <w:rsid w:val="00E946F8"/>
    <w:rsid w:val="00E94726"/>
    <w:rsid w:val="00E94786"/>
    <w:rsid w:val="00E94861"/>
    <w:rsid w:val="00E949DB"/>
    <w:rsid w:val="00E94AF7"/>
    <w:rsid w:val="00E95513"/>
    <w:rsid w:val="00E95556"/>
    <w:rsid w:val="00E956C4"/>
    <w:rsid w:val="00E95B1C"/>
    <w:rsid w:val="00E95BA3"/>
    <w:rsid w:val="00E95CF4"/>
    <w:rsid w:val="00E95E85"/>
    <w:rsid w:val="00E962AA"/>
    <w:rsid w:val="00E964AA"/>
    <w:rsid w:val="00E96896"/>
    <w:rsid w:val="00E968F5"/>
    <w:rsid w:val="00E9692F"/>
    <w:rsid w:val="00E96949"/>
    <w:rsid w:val="00E96B09"/>
    <w:rsid w:val="00E96FCA"/>
    <w:rsid w:val="00E9700B"/>
    <w:rsid w:val="00E9702D"/>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10A1"/>
    <w:rsid w:val="00EA14F4"/>
    <w:rsid w:val="00EA17C0"/>
    <w:rsid w:val="00EA1A59"/>
    <w:rsid w:val="00EA1CF1"/>
    <w:rsid w:val="00EA1D0F"/>
    <w:rsid w:val="00EA1DB6"/>
    <w:rsid w:val="00EA1FC5"/>
    <w:rsid w:val="00EA219F"/>
    <w:rsid w:val="00EA22C2"/>
    <w:rsid w:val="00EA23E6"/>
    <w:rsid w:val="00EA25D3"/>
    <w:rsid w:val="00EA2618"/>
    <w:rsid w:val="00EA2665"/>
    <w:rsid w:val="00EA2893"/>
    <w:rsid w:val="00EA2A3E"/>
    <w:rsid w:val="00EA2B7F"/>
    <w:rsid w:val="00EA2F8C"/>
    <w:rsid w:val="00EA3110"/>
    <w:rsid w:val="00EA32C4"/>
    <w:rsid w:val="00EA342F"/>
    <w:rsid w:val="00EA3D1F"/>
    <w:rsid w:val="00EA40E5"/>
    <w:rsid w:val="00EA45BC"/>
    <w:rsid w:val="00EA4706"/>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DE2"/>
    <w:rsid w:val="00EA5F56"/>
    <w:rsid w:val="00EA5F76"/>
    <w:rsid w:val="00EA5FC8"/>
    <w:rsid w:val="00EA66B2"/>
    <w:rsid w:val="00EA67F5"/>
    <w:rsid w:val="00EA6D06"/>
    <w:rsid w:val="00EA736E"/>
    <w:rsid w:val="00EA7648"/>
    <w:rsid w:val="00EA7934"/>
    <w:rsid w:val="00EA7F07"/>
    <w:rsid w:val="00EA7FC3"/>
    <w:rsid w:val="00EB0190"/>
    <w:rsid w:val="00EB02A1"/>
    <w:rsid w:val="00EB0500"/>
    <w:rsid w:val="00EB07BC"/>
    <w:rsid w:val="00EB0A07"/>
    <w:rsid w:val="00EB0BD6"/>
    <w:rsid w:val="00EB0DFC"/>
    <w:rsid w:val="00EB13BB"/>
    <w:rsid w:val="00EB161C"/>
    <w:rsid w:val="00EB1636"/>
    <w:rsid w:val="00EB1746"/>
    <w:rsid w:val="00EB204E"/>
    <w:rsid w:val="00EB21F8"/>
    <w:rsid w:val="00EB2513"/>
    <w:rsid w:val="00EB2751"/>
    <w:rsid w:val="00EB27A3"/>
    <w:rsid w:val="00EB27BF"/>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075"/>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5EA"/>
    <w:rsid w:val="00EB571A"/>
    <w:rsid w:val="00EB5763"/>
    <w:rsid w:val="00EB58A0"/>
    <w:rsid w:val="00EB5BD5"/>
    <w:rsid w:val="00EB5EAC"/>
    <w:rsid w:val="00EB61A0"/>
    <w:rsid w:val="00EB63FA"/>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4A3"/>
    <w:rsid w:val="00EC0525"/>
    <w:rsid w:val="00EC066F"/>
    <w:rsid w:val="00EC06A4"/>
    <w:rsid w:val="00EC077E"/>
    <w:rsid w:val="00EC0801"/>
    <w:rsid w:val="00EC1046"/>
    <w:rsid w:val="00EC10C6"/>
    <w:rsid w:val="00EC10E0"/>
    <w:rsid w:val="00EC1172"/>
    <w:rsid w:val="00EC1494"/>
    <w:rsid w:val="00EC1572"/>
    <w:rsid w:val="00EC158A"/>
    <w:rsid w:val="00EC1743"/>
    <w:rsid w:val="00EC17D1"/>
    <w:rsid w:val="00EC1993"/>
    <w:rsid w:val="00EC19AE"/>
    <w:rsid w:val="00EC2123"/>
    <w:rsid w:val="00EC2364"/>
    <w:rsid w:val="00EC25F1"/>
    <w:rsid w:val="00EC266E"/>
    <w:rsid w:val="00EC29CF"/>
    <w:rsid w:val="00EC2C48"/>
    <w:rsid w:val="00EC306F"/>
    <w:rsid w:val="00EC3331"/>
    <w:rsid w:val="00EC335F"/>
    <w:rsid w:val="00EC34D1"/>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5F6B"/>
    <w:rsid w:val="00EC6082"/>
    <w:rsid w:val="00EC6156"/>
    <w:rsid w:val="00EC63F4"/>
    <w:rsid w:val="00EC6502"/>
    <w:rsid w:val="00EC655B"/>
    <w:rsid w:val="00EC67F3"/>
    <w:rsid w:val="00EC696F"/>
    <w:rsid w:val="00EC6B90"/>
    <w:rsid w:val="00EC6BF8"/>
    <w:rsid w:val="00EC6C3E"/>
    <w:rsid w:val="00EC6DE6"/>
    <w:rsid w:val="00EC6F7B"/>
    <w:rsid w:val="00EC7099"/>
    <w:rsid w:val="00EC730A"/>
    <w:rsid w:val="00EC7380"/>
    <w:rsid w:val="00EC770C"/>
    <w:rsid w:val="00EC7AC9"/>
    <w:rsid w:val="00EC7B42"/>
    <w:rsid w:val="00EC7C29"/>
    <w:rsid w:val="00EC7C67"/>
    <w:rsid w:val="00EC7D83"/>
    <w:rsid w:val="00EC7DBC"/>
    <w:rsid w:val="00EC7ECF"/>
    <w:rsid w:val="00ED009A"/>
    <w:rsid w:val="00ED00D7"/>
    <w:rsid w:val="00ED0189"/>
    <w:rsid w:val="00ED01C6"/>
    <w:rsid w:val="00ED0202"/>
    <w:rsid w:val="00ED041A"/>
    <w:rsid w:val="00ED04F6"/>
    <w:rsid w:val="00ED05A7"/>
    <w:rsid w:val="00ED0873"/>
    <w:rsid w:val="00ED0B8A"/>
    <w:rsid w:val="00ED0D0D"/>
    <w:rsid w:val="00ED0DB7"/>
    <w:rsid w:val="00ED0E59"/>
    <w:rsid w:val="00ED0F72"/>
    <w:rsid w:val="00ED1050"/>
    <w:rsid w:val="00ED10F0"/>
    <w:rsid w:val="00ED11FD"/>
    <w:rsid w:val="00ED12FF"/>
    <w:rsid w:val="00ED15F6"/>
    <w:rsid w:val="00ED1687"/>
    <w:rsid w:val="00ED16CF"/>
    <w:rsid w:val="00ED187E"/>
    <w:rsid w:val="00ED19A1"/>
    <w:rsid w:val="00ED2146"/>
    <w:rsid w:val="00ED21DF"/>
    <w:rsid w:val="00ED2759"/>
    <w:rsid w:val="00ED2DCB"/>
    <w:rsid w:val="00ED2E38"/>
    <w:rsid w:val="00ED3131"/>
    <w:rsid w:val="00ED34D6"/>
    <w:rsid w:val="00ED3555"/>
    <w:rsid w:val="00ED3658"/>
    <w:rsid w:val="00ED36CB"/>
    <w:rsid w:val="00ED386C"/>
    <w:rsid w:val="00ED388D"/>
    <w:rsid w:val="00ED3F2C"/>
    <w:rsid w:val="00ED444C"/>
    <w:rsid w:val="00ED46BE"/>
    <w:rsid w:val="00ED4813"/>
    <w:rsid w:val="00ED4861"/>
    <w:rsid w:val="00ED48C7"/>
    <w:rsid w:val="00ED4AD4"/>
    <w:rsid w:val="00ED4E49"/>
    <w:rsid w:val="00ED4F5B"/>
    <w:rsid w:val="00ED5054"/>
    <w:rsid w:val="00ED527B"/>
    <w:rsid w:val="00ED531F"/>
    <w:rsid w:val="00ED5489"/>
    <w:rsid w:val="00ED5619"/>
    <w:rsid w:val="00ED58A4"/>
    <w:rsid w:val="00ED5955"/>
    <w:rsid w:val="00ED5B77"/>
    <w:rsid w:val="00ED5C2E"/>
    <w:rsid w:val="00ED6057"/>
    <w:rsid w:val="00ED6102"/>
    <w:rsid w:val="00ED612A"/>
    <w:rsid w:val="00ED64C8"/>
    <w:rsid w:val="00ED66D4"/>
    <w:rsid w:val="00ED67AC"/>
    <w:rsid w:val="00ED67D5"/>
    <w:rsid w:val="00ED68E4"/>
    <w:rsid w:val="00ED6A48"/>
    <w:rsid w:val="00ED6E81"/>
    <w:rsid w:val="00ED7019"/>
    <w:rsid w:val="00ED7599"/>
    <w:rsid w:val="00ED7626"/>
    <w:rsid w:val="00ED7B25"/>
    <w:rsid w:val="00ED7B82"/>
    <w:rsid w:val="00ED7E8F"/>
    <w:rsid w:val="00ED7ED4"/>
    <w:rsid w:val="00EE0203"/>
    <w:rsid w:val="00EE021A"/>
    <w:rsid w:val="00EE02AA"/>
    <w:rsid w:val="00EE03D2"/>
    <w:rsid w:val="00EE0801"/>
    <w:rsid w:val="00EE08D8"/>
    <w:rsid w:val="00EE0949"/>
    <w:rsid w:val="00EE09CC"/>
    <w:rsid w:val="00EE0A9A"/>
    <w:rsid w:val="00EE0BFC"/>
    <w:rsid w:val="00EE0C0F"/>
    <w:rsid w:val="00EE0DE3"/>
    <w:rsid w:val="00EE0EE6"/>
    <w:rsid w:val="00EE0FB2"/>
    <w:rsid w:val="00EE124F"/>
    <w:rsid w:val="00EE1498"/>
    <w:rsid w:val="00EE18CA"/>
    <w:rsid w:val="00EE18F4"/>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7E3"/>
    <w:rsid w:val="00EE4A17"/>
    <w:rsid w:val="00EE4A2C"/>
    <w:rsid w:val="00EE4C46"/>
    <w:rsid w:val="00EE4CA5"/>
    <w:rsid w:val="00EE4E37"/>
    <w:rsid w:val="00EE52B7"/>
    <w:rsid w:val="00EE534C"/>
    <w:rsid w:val="00EE5677"/>
    <w:rsid w:val="00EE5806"/>
    <w:rsid w:val="00EE5B34"/>
    <w:rsid w:val="00EE5BAF"/>
    <w:rsid w:val="00EE6104"/>
    <w:rsid w:val="00EE6500"/>
    <w:rsid w:val="00EE6898"/>
    <w:rsid w:val="00EE6984"/>
    <w:rsid w:val="00EE69A4"/>
    <w:rsid w:val="00EE6BBB"/>
    <w:rsid w:val="00EE6C8E"/>
    <w:rsid w:val="00EE71D1"/>
    <w:rsid w:val="00EE7277"/>
    <w:rsid w:val="00EE7804"/>
    <w:rsid w:val="00EE78C0"/>
    <w:rsid w:val="00EE7A4F"/>
    <w:rsid w:val="00EE7C07"/>
    <w:rsid w:val="00EE7D09"/>
    <w:rsid w:val="00EE7D7C"/>
    <w:rsid w:val="00EE7DE0"/>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39"/>
    <w:rsid w:val="00EF1C9B"/>
    <w:rsid w:val="00EF2956"/>
    <w:rsid w:val="00EF2EEA"/>
    <w:rsid w:val="00EF2FF5"/>
    <w:rsid w:val="00EF32EF"/>
    <w:rsid w:val="00EF3821"/>
    <w:rsid w:val="00EF3AFF"/>
    <w:rsid w:val="00EF3C24"/>
    <w:rsid w:val="00EF3F75"/>
    <w:rsid w:val="00EF3FAA"/>
    <w:rsid w:val="00EF409D"/>
    <w:rsid w:val="00EF4185"/>
    <w:rsid w:val="00EF421E"/>
    <w:rsid w:val="00EF4329"/>
    <w:rsid w:val="00EF4717"/>
    <w:rsid w:val="00EF4A02"/>
    <w:rsid w:val="00EF4CD2"/>
    <w:rsid w:val="00EF4E7D"/>
    <w:rsid w:val="00EF4FE3"/>
    <w:rsid w:val="00EF5016"/>
    <w:rsid w:val="00EF51F9"/>
    <w:rsid w:val="00EF5211"/>
    <w:rsid w:val="00EF548C"/>
    <w:rsid w:val="00EF565C"/>
    <w:rsid w:val="00EF58B7"/>
    <w:rsid w:val="00EF5A6A"/>
    <w:rsid w:val="00EF5AD7"/>
    <w:rsid w:val="00EF5BE3"/>
    <w:rsid w:val="00EF5C38"/>
    <w:rsid w:val="00EF61A4"/>
    <w:rsid w:val="00EF63E3"/>
    <w:rsid w:val="00EF6455"/>
    <w:rsid w:val="00EF68A7"/>
    <w:rsid w:val="00EF6ABC"/>
    <w:rsid w:val="00EF6BFE"/>
    <w:rsid w:val="00EF6D90"/>
    <w:rsid w:val="00EF6D9B"/>
    <w:rsid w:val="00EF72FD"/>
    <w:rsid w:val="00EF74DD"/>
    <w:rsid w:val="00EF7525"/>
    <w:rsid w:val="00EF7561"/>
    <w:rsid w:val="00EF7703"/>
    <w:rsid w:val="00EF77B9"/>
    <w:rsid w:val="00EF7BEC"/>
    <w:rsid w:val="00EF7D5D"/>
    <w:rsid w:val="00F001AC"/>
    <w:rsid w:val="00F0045B"/>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6EA"/>
    <w:rsid w:val="00F019E0"/>
    <w:rsid w:val="00F019EA"/>
    <w:rsid w:val="00F01A6E"/>
    <w:rsid w:val="00F01BAB"/>
    <w:rsid w:val="00F01C04"/>
    <w:rsid w:val="00F020E4"/>
    <w:rsid w:val="00F02245"/>
    <w:rsid w:val="00F025AA"/>
    <w:rsid w:val="00F026AE"/>
    <w:rsid w:val="00F02AB2"/>
    <w:rsid w:val="00F02B09"/>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4CE1"/>
    <w:rsid w:val="00F0507E"/>
    <w:rsid w:val="00F050A7"/>
    <w:rsid w:val="00F05190"/>
    <w:rsid w:val="00F054D8"/>
    <w:rsid w:val="00F0559B"/>
    <w:rsid w:val="00F0561B"/>
    <w:rsid w:val="00F05755"/>
    <w:rsid w:val="00F05789"/>
    <w:rsid w:val="00F05BA9"/>
    <w:rsid w:val="00F06199"/>
    <w:rsid w:val="00F06919"/>
    <w:rsid w:val="00F06A73"/>
    <w:rsid w:val="00F06B50"/>
    <w:rsid w:val="00F06B95"/>
    <w:rsid w:val="00F06C2C"/>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AA0"/>
    <w:rsid w:val="00F11C1D"/>
    <w:rsid w:val="00F11DB5"/>
    <w:rsid w:val="00F11EA8"/>
    <w:rsid w:val="00F120BE"/>
    <w:rsid w:val="00F12108"/>
    <w:rsid w:val="00F12232"/>
    <w:rsid w:val="00F1251D"/>
    <w:rsid w:val="00F12573"/>
    <w:rsid w:val="00F1269E"/>
    <w:rsid w:val="00F1271F"/>
    <w:rsid w:val="00F1282A"/>
    <w:rsid w:val="00F128EA"/>
    <w:rsid w:val="00F129B9"/>
    <w:rsid w:val="00F12AD0"/>
    <w:rsid w:val="00F12D67"/>
    <w:rsid w:val="00F12DCF"/>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BFB"/>
    <w:rsid w:val="00F15C51"/>
    <w:rsid w:val="00F15C99"/>
    <w:rsid w:val="00F15E38"/>
    <w:rsid w:val="00F15FE6"/>
    <w:rsid w:val="00F1615C"/>
    <w:rsid w:val="00F16225"/>
    <w:rsid w:val="00F163F1"/>
    <w:rsid w:val="00F1648F"/>
    <w:rsid w:val="00F16504"/>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A1B"/>
    <w:rsid w:val="00F22A4F"/>
    <w:rsid w:val="00F22BA1"/>
    <w:rsid w:val="00F22D0B"/>
    <w:rsid w:val="00F230B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54C4"/>
    <w:rsid w:val="00F26066"/>
    <w:rsid w:val="00F26125"/>
    <w:rsid w:val="00F261FB"/>
    <w:rsid w:val="00F2622B"/>
    <w:rsid w:val="00F262C1"/>
    <w:rsid w:val="00F2650D"/>
    <w:rsid w:val="00F26A49"/>
    <w:rsid w:val="00F26CF1"/>
    <w:rsid w:val="00F26FC4"/>
    <w:rsid w:val="00F272AD"/>
    <w:rsid w:val="00F2785A"/>
    <w:rsid w:val="00F279DD"/>
    <w:rsid w:val="00F27A21"/>
    <w:rsid w:val="00F27D20"/>
    <w:rsid w:val="00F27DCE"/>
    <w:rsid w:val="00F300C2"/>
    <w:rsid w:val="00F30378"/>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155"/>
    <w:rsid w:val="00F352F9"/>
    <w:rsid w:val="00F353BF"/>
    <w:rsid w:val="00F356B2"/>
    <w:rsid w:val="00F3575A"/>
    <w:rsid w:val="00F35BDB"/>
    <w:rsid w:val="00F35E57"/>
    <w:rsid w:val="00F3609A"/>
    <w:rsid w:val="00F363BA"/>
    <w:rsid w:val="00F36520"/>
    <w:rsid w:val="00F3653E"/>
    <w:rsid w:val="00F3654E"/>
    <w:rsid w:val="00F36AED"/>
    <w:rsid w:val="00F36E70"/>
    <w:rsid w:val="00F37085"/>
    <w:rsid w:val="00F37181"/>
    <w:rsid w:val="00F372F6"/>
    <w:rsid w:val="00F373F7"/>
    <w:rsid w:val="00F37425"/>
    <w:rsid w:val="00F3742D"/>
    <w:rsid w:val="00F374C7"/>
    <w:rsid w:val="00F37823"/>
    <w:rsid w:val="00F37ABA"/>
    <w:rsid w:val="00F37C40"/>
    <w:rsid w:val="00F37CA7"/>
    <w:rsid w:val="00F37CB0"/>
    <w:rsid w:val="00F37CC0"/>
    <w:rsid w:val="00F37D4B"/>
    <w:rsid w:val="00F37E74"/>
    <w:rsid w:val="00F37FF9"/>
    <w:rsid w:val="00F4016F"/>
    <w:rsid w:val="00F402AB"/>
    <w:rsid w:val="00F4056B"/>
    <w:rsid w:val="00F40647"/>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38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B87"/>
    <w:rsid w:val="00F44172"/>
    <w:rsid w:val="00F44214"/>
    <w:rsid w:val="00F44329"/>
    <w:rsid w:val="00F44521"/>
    <w:rsid w:val="00F445DC"/>
    <w:rsid w:val="00F445FB"/>
    <w:rsid w:val="00F44818"/>
    <w:rsid w:val="00F44C27"/>
    <w:rsid w:val="00F44CD6"/>
    <w:rsid w:val="00F44D4F"/>
    <w:rsid w:val="00F4528E"/>
    <w:rsid w:val="00F452C3"/>
    <w:rsid w:val="00F454A8"/>
    <w:rsid w:val="00F454C0"/>
    <w:rsid w:val="00F460E8"/>
    <w:rsid w:val="00F461BD"/>
    <w:rsid w:val="00F46492"/>
    <w:rsid w:val="00F465A7"/>
    <w:rsid w:val="00F46651"/>
    <w:rsid w:val="00F466C9"/>
    <w:rsid w:val="00F467C3"/>
    <w:rsid w:val="00F467EF"/>
    <w:rsid w:val="00F46848"/>
    <w:rsid w:val="00F4691E"/>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C"/>
    <w:rsid w:val="00F50D1E"/>
    <w:rsid w:val="00F5116C"/>
    <w:rsid w:val="00F513CD"/>
    <w:rsid w:val="00F515D2"/>
    <w:rsid w:val="00F51915"/>
    <w:rsid w:val="00F51B80"/>
    <w:rsid w:val="00F51B96"/>
    <w:rsid w:val="00F524C4"/>
    <w:rsid w:val="00F52537"/>
    <w:rsid w:val="00F5286F"/>
    <w:rsid w:val="00F528A3"/>
    <w:rsid w:val="00F52A68"/>
    <w:rsid w:val="00F52BE5"/>
    <w:rsid w:val="00F52C61"/>
    <w:rsid w:val="00F52F59"/>
    <w:rsid w:val="00F530A7"/>
    <w:rsid w:val="00F530DE"/>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DB"/>
    <w:rsid w:val="00F550ED"/>
    <w:rsid w:val="00F55639"/>
    <w:rsid w:val="00F5586B"/>
    <w:rsid w:val="00F558DD"/>
    <w:rsid w:val="00F55A55"/>
    <w:rsid w:val="00F55B31"/>
    <w:rsid w:val="00F561B8"/>
    <w:rsid w:val="00F562FB"/>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33"/>
    <w:rsid w:val="00F615A6"/>
    <w:rsid w:val="00F61691"/>
    <w:rsid w:val="00F616B3"/>
    <w:rsid w:val="00F6175B"/>
    <w:rsid w:val="00F61AF7"/>
    <w:rsid w:val="00F61BCF"/>
    <w:rsid w:val="00F61F1B"/>
    <w:rsid w:val="00F61F54"/>
    <w:rsid w:val="00F62076"/>
    <w:rsid w:val="00F621D8"/>
    <w:rsid w:val="00F622DB"/>
    <w:rsid w:val="00F62531"/>
    <w:rsid w:val="00F62698"/>
    <w:rsid w:val="00F6270C"/>
    <w:rsid w:val="00F62774"/>
    <w:rsid w:val="00F628DA"/>
    <w:rsid w:val="00F628E7"/>
    <w:rsid w:val="00F6295F"/>
    <w:rsid w:val="00F6298B"/>
    <w:rsid w:val="00F62C25"/>
    <w:rsid w:val="00F62EBC"/>
    <w:rsid w:val="00F63108"/>
    <w:rsid w:val="00F633F1"/>
    <w:rsid w:val="00F6349F"/>
    <w:rsid w:val="00F635F9"/>
    <w:rsid w:val="00F6369D"/>
    <w:rsid w:val="00F646A3"/>
    <w:rsid w:val="00F646A8"/>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C4F"/>
    <w:rsid w:val="00F65DB0"/>
    <w:rsid w:val="00F65F2F"/>
    <w:rsid w:val="00F66038"/>
    <w:rsid w:val="00F660F6"/>
    <w:rsid w:val="00F661AC"/>
    <w:rsid w:val="00F66ED4"/>
    <w:rsid w:val="00F66FB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1B2"/>
    <w:rsid w:val="00F7120C"/>
    <w:rsid w:val="00F712EE"/>
    <w:rsid w:val="00F71383"/>
    <w:rsid w:val="00F714A8"/>
    <w:rsid w:val="00F716BF"/>
    <w:rsid w:val="00F7170C"/>
    <w:rsid w:val="00F71753"/>
    <w:rsid w:val="00F72086"/>
    <w:rsid w:val="00F721FA"/>
    <w:rsid w:val="00F7226B"/>
    <w:rsid w:val="00F7257C"/>
    <w:rsid w:val="00F728DC"/>
    <w:rsid w:val="00F72A45"/>
    <w:rsid w:val="00F72C7E"/>
    <w:rsid w:val="00F72E31"/>
    <w:rsid w:val="00F73078"/>
    <w:rsid w:val="00F73194"/>
    <w:rsid w:val="00F7324A"/>
    <w:rsid w:val="00F7342F"/>
    <w:rsid w:val="00F73720"/>
    <w:rsid w:val="00F737C0"/>
    <w:rsid w:val="00F7384E"/>
    <w:rsid w:val="00F738A5"/>
    <w:rsid w:val="00F73A9B"/>
    <w:rsid w:val="00F73FBA"/>
    <w:rsid w:val="00F743D0"/>
    <w:rsid w:val="00F7448A"/>
    <w:rsid w:val="00F7473A"/>
    <w:rsid w:val="00F747BE"/>
    <w:rsid w:val="00F749BA"/>
    <w:rsid w:val="00F74EFA"/>
    <w:rsid w:val="00F74FD2"/>
    <w:rsid w:val="00F754A0"/>
    <w:rsid w:val="00F7577D"/>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3620"/>
    <w:rsid w:val="00F837A5"/>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C2A"/>
    <w:rsid w:val="00F85DC9"/>
    <w:rsid w:val="00F85F1E"/>
    <w:rsid w:val="00F85FED"/>
    <w:rsid w:val="00F860AE"/>
    <w:rsid w:val="00F861F4"/>
    <w:rsid w:val="00F862B1"/>
    <w:rsid w:val="00F8636E"/>
    <w:rsid w:val="00F86837"/>
    <w:rsid w:val="00F86973"/>
    <w:rsid w:val="00F86A60"/>
    <w:rsid w:val="00F86AD2"/>
    <w:rsid w:val="00F86C85"/>
    <w:rsid w:val="00F87590"/>
    <w:rsid w:val="00F875DF"/>
    <w:rsid w:val="00F875E0"/>
    <w:rsid w:val="00F87722"/>
    <w:rsid w:val="00F877D1"/>
    <w:rsid w:val="00F878B7"/>
    <w:rsid w:val="00F878BA"/>
    <w:rsid w:val="00F87B05"/>
    <w:rsid w:val="00F87ED9"/>
    <w:rsid w:val="00F9007C"/>
    <w:rsid w:val="00F9094D"/>
    <w:rsid w:val="00F90952"/>
    <w:rsid w:val="00F90B92"/>
    <w:rsid w:val="00F9127C"/>
    <w:rsid w:val="00F91315"/>
    <w:rsid w:val="00F914FA"/>
    <w:rsid w:val="00F9159D"/>
    <w:rsid w:val="00F917D3"/>
    <w:rsid w:val="00F918F5"/>
    <w:rsid w:val="00F91A25"/>
    <w:rsid w:val="00F91F72"/>
    <w:rsid w:val="00F922C2"/>
    <w:rsid w:val="00F923AD"/>
    <w:rsid w:val="00F92A28"/>
    <w:rsid w:val="00F92B4C"/>
    <w:rsid w:val="00F92CDA"/>
    <w:rsid w:val="00F92E24"/>
    <w:rsid w:val="00F93224"/>
    <w:rsid w:val="00F934CB"/>
    <w:rsid w:val="00F93541"/>
    <w:rsid w:val="00F9354E"/>
    <w:rsid w:val="00F936A7"/>
    <w:rsid w:val="00F9389D"/>
    <w:rsid w:val="00F939D0"/>
    <w:rsid w:val="00F93C7F"/>
    <w:rsid w:val="00F9410B"/>
    <w:rsid w:val="00F94214"/>
    <w:rsid w:val="00F94221"/>
    <w:rsid w:val="00F943B5"/>
    <w:rsid w:val="00F9455B"/>
    <w:rsid w:val="00F94563"/>
    <w:rsid w:val="00F94D15"/>
    <w:rsid w:val="00F94D54"/>
    <w:rsid w:val="00F94D7B"/>
    <w:rsid w:val="00F94DD9"/>
    <w:rsid w:val="00F95443"/>
    <w:rsid w:val="00F95532"/>
    <w:rsid w:val="00F95639"/>
    <w:rsid w:val="00F95A22"/>
    <w:rsid w:val="00F95C46"/>
    <w:rsid w:val="00F95E84"/>
    <w:rsid w:val="00F9644F"/>
    <w:rsid w:val="00F96A5B"/>
    <w:rsid w:val="00F96B70"/>
    <w:rsid w:val="00F96E12"/>
    <w:rsid w:val="00F96FD4"/>
    <w:rsid w:val="00F96FE6"/>
    <w:rsid w:val="00F9707B"/>
    <w:rsid w:val="00F971C5"/>
    <w:rsid w:val="00F97256"/>
    <w:rsid w:val="00F97765"/>
    <w:rsid w:val="00F9787F"/>
    <w:rsid w:val="00F97953"/>
    <w:rsid w:val="00F97AE2"/>
    <w:rsid w:val="00F97C3B"/>
    <w:rsid w:val="00F97F05"/>
    <w:rsid w:val="00FA04E5"/>
    <w:rsid w:val="00FA09A0"/>
    <w:rsid w:val="00FA09FA"/>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2BB1"/>
    <w:rsid w:val="00FA3090"/>
    <w:rsid w:val="00FA30B6"/>
    <w:rsid w:val="00FA3105"/>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54C"/>
    <w:rsid w:val="00FA580D"/>
    <w:rsid w:val="00FA5D4E"/>
    <w:rsid w:val="00FA5F08"/>
    <w:rsid w:val="00FA5F91"/>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28D"/>
    <w:rsid w:val="00FB14ED"/>
    <w:rsid w:val="00FB1A20"/>
    <w:rsid w:val="00FB1BBE"/>
    <w:rsid w:val="00FB1C91"/>
    <w:rsid w:val="00FB1C98"/>
    <w:rsid w:val="00FB1CB3"/>
    <w:rsid w:val="00FB1E07"/>
    <w:rsid w:val="00FB21AF"/>
    <w:rsid w:val="00FB2262"/>
    <w:rsid w:val="00FB2290"/>
    <w:rsid w:val="00FB231B"/>
    <w:rsid w:val="00FB23DB"/>
    <w:rsid w:val="00FB2423"/>
    <w:rsid w:val="00FB24A7"/>
    <w:rsid w:val="00FB24FE"/>
    <w:rsid w:val="00FB2665"/>
    <w:rsid w:val="00FB29E0"/>
    <w:rsid w:val="00FB2ADA"/>
    <w:rsid w:val="00FB2B72"/>
    <w:rsid w:val="00FB2DA9"/>
    <w:rsid w:val="00FB2F46"/>
    <w:rsid w:val="00FB330B"/>
    <w:rsid w:val="00FB35F4"/>
    <w:rsid w:val="00FB36A0"/>
    <w:rsid w:val="00FB3B9C"/>
    <w:rsid w:val="00FB3D89"/>
    <w:rsid w:val="00FB4243"/>
    <w:rsid w:val="00FB44CA"/>
    <w:rsid w:val="00FB5189"/>
    <w:rsid w:val="00FB5361"/>
    <w:rsid w:val="00FB53E3"/>
    <w:rsid w:val="00FB5403"/>
    <w:rsid w:val="00FB55F0"/>
    <w:rsid w:val="00FB566A"/>
    <w:rsid w:val="00FB56C5"/>
    <w:rsid w:val="00FB5E41"/>
    <w:rsid w:val="00FB6021"/>
    <w:rsid w:val="00FB61C4"/>
    <w:rsid w:val="00FB637D"/>
    <w:rsid w:val="00FB65AD"/>
    <w:rsid w:val="00FB65ED"/>
    <w:rsid w:val="00FB6830"/>
    <w:rsid w:val="00FB6A1A"/>
    <w:rsid w:val="00FB6B14"/>
    <w:rsid w:val="00FB6BAE"/>
    <w:rsid w:val="00FB6D47"/>
    <w:rsid w:val="00FB6DA8"/>
    <w:rsid w:val="00FB6E73"/>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C08"/>
    <w:rsid w:val="00FC0C2D"/>
    <w:rsid w:val="00FC0D68"/>
    <w:rsid w:val="00FC0E38"/>
    <w:rsid w:val="00FC12B0"/>
    <w:rsid w:val="00FC16BF"/>
    <w:rsid w:val="00FC1858"/>
    <w:rsid w:val="00FC1900"/>
    <w:rsid w:val="00FC1937"/>
    <w:rsid w:val="00FC1A78"/>
    <w:rsid w:val="00FC1C90"/>
    <w:rsid w:val="00FC1CC8"/>
    <w:rsid w:val="00FC1F5E"/>
    <w:rsid w:val="00FC1F95"/>
    <w:rsid w:val="00FC20E9"/>
    <w:rsid w:val="00FC217D"/>
    <w:rsid w:val="00FC2340"/>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16"/>
    <w:rsid w:val="00FC644A"/>
    <w:rsid w:val="00FC6461"/>
    <w:rsid w:val="00FC678F"/>
    <w:rsid w:val="00FC67BC"/>
    <w:rsid w:val="00FC6833"/>
    <w:rsid w:val="00FC69BA"/>
    <w:rsid w:val="00FC6AE6"/>
    <w:rsid w:val="00FC6D71"/>
    <w:rsid w:val="00FC6ECE"/>
    <w:rsid w:val="00FC70A1"/>
    <w:rsid w:val="00FC7163"/>
    <w:rsid w:val="00FC7844"/>
    <w:rsid w:val="00FC7D4D"/>
    <w:rsid w:val="00FC7E5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958"/>
    <w:rsid w:val="00FD39F1"/>
    <w:rsid w:val="00FD435A"/>
    <w:rsid w:val="00FD43CE"/>
    <w:rsid w:val="00FD45B8"/>
    <w:rsid w:val="00FD4643"/>
    <w:rsid w:val="00FD47B7"/>
    <w:rsid w:val="00FD4E0F"/>
    <w:rsid w:val="00FD4FA0"/>
    <w:rsid w:val="00FD4FDD"/>
    <w:rsid w:val="00FD5006"/>
    <w:rsid w:val="00FD501C"/>
    <w:rsid w:val="00FD51EA"/>
    <w:rsid w:val="00FD5672"/>
    <w:rsid w:val="00FD56D4"/>
    <w:rsid w:val="00FD5982"/>
    <w:rsid w:val="00FD59F8"/>
    <w:rsid w:val="00FD5B63"/>
    <w:rsid w:val="00FD5B91"/>
    <w:rsid w:val="00FD5BD3"/>
    <w:rsid w:val="00FD5D9B"/>
    <w:rsid w:val="00FD649F"/>
    <w:rsid w:val="00FD660F"/>
    <w:rsid w:val="00FD699B"/>
    <w:rsid w:val="00FD6A78"/>
    <w:rsid w:val="00FD6C8A"/>
    <w:rsid w:val="00FD7033"/>
    <w:rsid w:val="00FD737E"/>
    <w:rsid w:val="00FD743B"/>
    <w:rsid w:val="00FD75A6"/>
    <w:rsid w:val="00FD7650"/>
    <w:rsid w:val="00FD7805"/>
    <w:rsid w:val="00FD7864"/>
    <w:rsid w:val="00FD7B88"/>
    <w:rsid w:val="00FD7C8B"/>
    <w:rsid w:val="00FD7DCF"/>
    <w:rsid w:val="00FD7F14"/>
    <w:rsid w:val="00FD7FDF"/>
    <w:rsid w:val="00FE00AA"/>
    <w:rsid w:val="00FE03E4"/>
    <w:rsid w:val="00FE04AB"/>
    <w:rsid w:val="00FE055F"/>
    <w:rsid w:val="00FE0863"/>
    <w:rsid w:val="00FE0A0C"/>
    <w:rsid w:val="00FE0D8A"/>
    <w:rsid w:val="00FE0F06"/>
    <w:rsid w:val="00FE0FCF"/>
    <w:rsid w:val="00FE0FDD"/>
    <w:rsid w:val="00FE0FE5"/>
    <w:rsid w:val="00FE112E"/>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109"/>
    <w:rsid w:val="00FE3D93"/>
    <w:rsid w:val="00FE3E5C"/>
    <w:rsid w:val="00FE3EA0"/>
    <w:rsid w:val="00FE414C"/>
    <w:rsid w:val="00FE4246"/>
    <w:rsid w:val="00FE43B0"/>
    <w:rsid w:val="00FE4415"/>
    <w:rsid w:val="00FE4486"/>
    <w:rsid w:val="00FE4653"/>
    <w:rsid w:val="00FE4832"/>
    <w:rsid w:val="00FE488D"/>
    <w:rsid w:val="00FE495D"/>
    <w:rsid w:val="00FE4A38"/>
    <w:rsid w:val="00FE4B29"/>
    <w:rsid w:val="00FE4E49"/>
    <w:rsid w:val="00FE4FFA"/>
    <w:rsid w:val="00FE522F"/>
    <w:rsid w:val="00FE5980"/>
    <w:rsid w:val="00FE5C69"/>
    <w:rsid w:val="00FE609C"/>
    <w:rsid w:val="00FE6230"/>
    <w:rsid w:val="00FE6468"/>
    <w:rsid w:val="00FE6646"/>
    <w:rsid w:val="00FE669B"/>
    <w:rsid w:val="00FE714D"/>
    <w:rsid w:val="00FE7352"/>
    <w:rsid w:val="00FE7D6A"/>
    <w:rsid w:val="00FF018D"/>
    <w:rsid w:val="00FF01B0"/>
    <w:rsid w:val="00FF029E"/>
    <w:rsid w:val="00FF034B"/>
    <w:rsid w:val="00FF03B0"/>
    <w:rsid w:val="00FF0403"/>
    <w:rsid w:val="00FF05A6"/>
    <w:rsid w:val="00FF0655"/>
    <w:rsid w:val="00FF0961"/>
    <w:rsid w:val="00FF09F9"/>
    <w:rsid w:val="00FF0C30"/>
    <w:rsid w:val="00FF1007"/>
    <w:rsid w:val="00FF122C"/>
    <w:rsid w:val="00FF13B9"/>
    <w:rsid w:val="00FF1660"/>
    <w:rsid w:val="00FF1842"/>
    <w:rsid w:val="00FF196B"/>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5ED"/>
    <w:rsid w:val="00FF48E6"/>
    <w:rsid w:val="00FF4ACE"/>
    <w:rsid w:val="00FF4AD0"/>
    <w:rsid w:val="00FF4B29"/>
    <w:rsid w:val="00FF4B4F"/>
    <w:rsid w:val="00FF4D99"/>
    <w:rsid w:val="00FF4DA1"/>
    <w:rsid w:val="00FF5225"/>
    <w:rsid w:val="00FF5450"/>
    <w:rsid w:val="00FF547C"/>
    <w:rsid w:val="00FF5C14"/>
    <w:rsid w:val="00FF5FA3"/>
    <w:rsid w:val="00FF5FF1"/>
    <w:rsid w:val="00FF6005"/>
    <w:rsid w:val="00FF613D"/>
    <w:rsid w:val="00FF6189"/>
    <w:rsid w:val="00FF677B"/>
    <w:rsid w:val="00FF686B"/>
    <w:rsid w:val="00FF6916"/>
    <w:rsid w:val="00FF6982"/>
    <w:rsid w:val="00FF6A2B"/>
    <w:rsid w:val="00FF6C1C"/>
    <w:rsid w:val="00FF6C35"/>
    <w:rsid w:val="00FF6F85"/>
    <w:rsid w:val="00FF7060"/>
    <w:rsid w:val="00FF7636"/>
    <w:rsid w:val="00FF765F"/>
    <w:rsid w:val="00FF7989"/>
    <w:rsid w:val="00FF7D03"/>
    <w:rsid w:val="013712F7"/>
    <w:rsid w:val="01422176"/>
    <w:rsid w:val="017015BE"/>
    <w:rsid w:val="02550B34"/>
    <w:rsid w:val="03DB4D59"/>
    <w:rsid w:val="03E56DE9"/>
    <w:rsid w:val="04441A51"/>
    <w:rsid w:val="05F824FB"/>
    <w:rsid w:val="07013F3A"/>
    <w:rsid w:val="071F6AB6"/>
    <w:rsid w:val="08D87341"/>
    <w:rsid w:val="08EB4EA1"/>
    <w:rsid w:val="095E7CE6"/>
    <w:rsid w:val="09731C0E"/>
    <w:rsid w:val="09734ECB"/>
    <w:rsid w:val="09842C00"/>
    <w:rsid w:val="09BB5885"/>
    <w:rsid w:val="09CA0B1C"/>
    <w:rsid w:val="0B660C1A"/>
    <w:rsid w:val="0B723658"/>
    <w:rsid w:val="0BF57DE5"/>
    <w:rsid w:val="0CC62A76"/>
    <w:rsid w:val="0D3A14D9"/>
    <w:rsid w:val="0D3D1A44"/>
    <w:rsid w:val="0DF56D87"/>
    <w:rsid w:val="0EAA3109"/>
    <w:rsid w:val="0ED168E7"/>
    <w:rsid w:val="0EE3362A"/>
    <w:rsid w:val="0EF10C62"/>
    <w:rsid w:val="0FFF77E2"/>
    <w:rsid w:val="112F3D99"/>
    <w:rsid w:val="11413E5D"/>
    <w:rsid w:val="11463984"/>
    <w:rsid w:val="12495E0F"/>
    <w:rsid w:val="13BB5E99"/>
    <w:rsid w:val="141B27FF"/>
    <w:rsid w:val="145B0F39"/>
    <w:rsid w:val="14D01061"/>
    <w:rsid w:val="150F1F18"/>
    <w:rsid w:val="151C4634"/>
    <w:rsid w:val="15963B40"/>
    <w:rsid w:val="15C50828"/>
    <w:rsid w:val="165B5812"/>
    <w:rsid w:val="16C84A74"/>
    <w:rsid w:val="17D905BB"/>
    <w:rsid w:val="17F93E0B"/>
    <w:rsid w:val="184B770B"/>
    <w:rsid w:val="19873F88"/>
    <w:rsid w:val="1A131F09"/>
    <w:rsid w:val="1B0329DA"/>
    <w:rsid w:val="1BFD14A7"/>
    <w:rsid w:val="1C455CA5"/>
    <w:rsid w:val="1D016AA2"/>
    <w:rsid w:val="1D2C69D2"/>
    <w:rsid w:val="1D893503"/>
    <w:rsid w:val="1DAB37BF"/>
    <w:rsid w:val="1DE50743"/>
    <w:rsid w:val="1EC44A63"/>
    <w:rsid w:val="1FDB75C6"/>
    <w:rsid w:val="203C5B8B"/>
    <w:rsid w:val="204A7AC3"/>
    <w:rsid w:val="204E1795"/>
    <w:rsid w:val="207E43F5"/>
    <w:rsid w:val="21ED2421"/>
    <w:rsid w:val="22877078"/>
    <w:rsid w:val="22CC2DA0"/>
    <w:rsid w:val="22E30F36"/>
    <w:rsid w:val="23711FEF"/>
    <w:rsid w:val="239E00B4"/>
    <w:rsid w:val="23A37585"/>
    <w:rsid w:val="23AE0B4E"/>
    <w:rsid w:val="23D56344"/>
    <w:rsid w:val="24B07DA4"/>
    <w:rsid w:val="24F7352B"/>
    <w:rsid w:val="24F9264F"/>
    <w:rsid w:val="25180851"/>
    <w:rsid w:val="251E74A4"/>
    <w:rsid w:val="25D725DE"/>
    <w:rsid w:val="26887675"/>
    <w:rsid w:val="26B02E2F"/>
    <w:rsid w:val="27167136"/>
    <w:rsid w:val="27772BA6"/>
    <w:rsid w:val="277C0DFA"/>
    <w:rsid w:val="27843CE5"/>
    <w:rsid w:val="27B37D2F"/>
    <w:rsid w:val="27BA3F65"/>
    <w:rsid w:val="28F32B26"/>
    <w:rsid w:val="290556B4"/>
    <w:rsid w:val="297840D8"/>
    <w:rsid w:val="2A110088"/>
    <w:rsid w:val="2A7F1E7A"/>
    <w:rsid w:val="2AC30065"/>
    <w:rsid w:val="2AEF207D"/>
    <w:rsid w:val="2BCC5200"/>
    <w:rsid w:val="2BE64880"/>
    <w:rsid w:val="2BEF61A7"/>
    <w:rsid w:val="2C4E7372"/>
    <w:rsid w:val="2C563D71"/>
    <w:rsid w:val="2C9E293F"/>
    <w:rsid w:val="2D2B4AE5"/>
    <w:rsid w:val="2E433D29"/>
    <w:rsid w:val="2E535CD6"/>
    <w:rsid w:val="2EC452D4"/>
    <w:rsid w:val="2EE95114"/>
    <w:rsid w:val="2F351AD3"/>
    <w:rsid w:val="2F3E191F"/>
    <w:rsid w:val="2F95548D"/>
    <w:rsid w:val="30393E95"/>
    <w:rsid w:val="31566B8E"/>
    <w:rsid w:val="31833929"/>
    <w:rsid w:val="31CE5713"/>
    <w:rsid w:val="32EB653A"/>
    <w:rsid w:val="338F52EF"/>
    <w:rsid w:val="33FD299B"/>
    <w:rsid w:val="347A396D"/>
    <w:rsid w:val="35773F88"/>
    <w:rsid w:val="357D7A9F"/>
    <w:rsid w:val="35BE6073"/>
    <w:rsid w:val="364D2448"/>
    <w:rsid w:val="370229DF"/>
    <w:rsid w:val="376A5ACE"/>
    <w:rsid w:val="379C0A32"/>
    <w:rsid w:val="37B00763"/>
    <w:rsid w:val="38FB618B"/>
    <w:rsid w:val="3A30455A"/>
    <w:rsid w:val="3B14664E"/>
    <w:rsid w:val="3BCB6780"/>
    <w:rsid w:val="3C2C1EA1"/>
    <w:rsid w:val="3CC37B48"/>
    <w:rsid w:val="3DE93370"/>
    <w:rsid w:val="3E076650"/>
    <w:rsid w:val="3E35213F"/>
    <w:rsid w:val="3EE85404"/>
    <w:rsid w:val="3FAA4467"/>
    <w:rsid w:val="3FCC0881"/>
    <w:rsid w:val="413F5754"/>
    <w:rsid w:val="416C40CA"/>
    <w:rsid w:val="41F8595E"/>
    <w:rsid w:val="427D1B8C"/>
    <w:rsid w:val="42925DB2"/>
    <w:rsid w:val="42C43A92"/>
    <w:rsid w:val="42CD0A98"/>
    <w:rsid w:val="42CE526A"/>
    <w:rsid w:val="431A0C09"/>
    <w:rsid w:val="43352595"/>
    <w:rsid w:val="43854607"/>
    <w:rsid w:val="43F62371"/>
    <w:rsid w:val="444B446B"/>
    <w:rsid w:val="446134BD"/>
    <w:rsid w:val="45195461"/>
    <w:rsid w:val="459612D4"/>
    <w:rsid w:val="45F66658"/>
    <w:rsid w:val="461C16C9"/>
    <w:rsid w:val="465B470D"/>
    <w:rsid w:val="46DB0BFC"/>
    <w:rsid w:val="470C4C67"/>
    <w:rsid w:val="4792415F"/>
    <w:rsid w:val="47A147A9"/>
    <w:rsid w:val="47A3011A"/>
    <w:rsid w:val="480E2158"/>
    <w:rsid w:val="487877F8"/>
    <w:rsid w:val="49061806"/>
    <w:rsid w:val="492D0741"/>
    <w:rsid w:val="4A2A7770"/>
    <w:rsid w:val="4B410375"/>
    <w:rsid w:val="4B5300A9"/>
    <w:rsid w:val="4B65373A"/>
    <w:rsid w:val="4B6B53F2"/>
    <w:rsid w:val="4BA35BFA"/>
    <w:rsid w:val="4BC531AC"/>
    <w:rsid w:val="4BCB5E91"/>
    <w:rsid w:val="4BDC1E4C"/>
    <w:rsid w:val="4C793B3F"/>
    <w:rsid w:val="4C912C37"/>
    <w:rsid w:val="4C982219"/>
    <w:rsid w:val="4CBD1C7E"/>
    <w:rsid w:val="4CE865CF"/>
    <w:rsid w:val="4D00163A"/>
    <w:rsid w:val="4D622825"/>
    <w:rsid w:val="4EA05994"/>
    <w:rsid w:val="4EBE1D47"/>
    <w:rsid w:val="4F0F5BE3"/>
    <w:rsid w:val="50033E4B"/>
    <w:rsid w:val="50AC6191"/>
    <w:rsid w:val="515225E4"/>
    <w:rsid w:val="51874608"/>
    <w:rsid w:val="51CB6BEB"/>
    <w:rsid w:val="51CE5657"/>
    <w:rsid w:val="51FE404F"/>
    <w:rsid w:val="52422029"/>
    <w:rsid w:val="52B47BDA"/>
    <w:rsid w:val="531351CF"/>
    <w:rsid w:val="53D8739D"/>
    <w:rsid w:val="54722618"/>
    <w:rsid w:val="54AD3BB1"/>
    <w:rsid w:val="55040901"/>
    <w:rsid w:val="557D0D7C"/>
    <w:rsid w:val="55FB03D6"/>
    <w:rsid w:val="56020701"/>
    <w:rsid w:val="563C6326"/>
    <w:rsid w:val="56DF05DE"/>
    <w:rsid w:val="570A0D4E"/>
    <w:rsid w:val="57FC6189"/>
    <w:rsid w:val="5A3317D1"/>
    <w:rsid w:val="5AF26F96"/>
    <w:rsid w:val="5B173D60"/>
    <w:rsid w:val="5B7A502D"/>
    <w:rsid w:val="5C553C81"/>
    <w:rsid w:val="5C9C18B0"/>
    <w:rsid w:val="5DBB6814"/>
    <w:rsid w:val="5E077510"/>
    <w:rsid w:val="5E1D22E0"/>
    <w:rsid w:val="5E4F3167"/>
    <w:rsid w:val="5E873E9A"/>
    <w:rsid w:val="5EF77B4F"/>
    <w:rsid w:val="5EFD3410"/>
    <w:rsid w:val="5F073306"/>
    <w:rsid w:val="5F0C25F1"/>
    <w:rsid w:val="5F5F73B9"/>
    <w:rsid w:val="5F7D6777"/>
    <w:rsid w:val="5FAD5B82"/>
    <w:rsid w:val="5FDC0E1C"/>
    <w:rsid w:val="5FF23595"/>
    <w:rsid w:val="6009519E"/>
    <w:rsid w:val="6042276E"/>
    <w:rsid w:val="60D27679"/>
    <w:rsid w:val="60E9415D"/>
    <w:rsid w:val="611B1271"/>
    <w:rsid w:val="6154193C"/>
    <w:rsid w:val="61635FD4"/>
    <w:rsid w:val="616C473C"/>
    <w:rsid w:val="61904E82"/>
    <w:rsid w:val="619743F4"/>
    <w:rsid w:val="61C471B3"/>
    <w:rsid w:val="61F13A5B"/>
    <w:rsid w:val="621C5F0E"/>
    <w:rsid w:val="622A3BDB"/>
    <w:rsid w:val="625008DB"/>
    <w:rsid w:val="62522A10"/>
    <w:rsid w:val="62944DA4"/>
    <w:rsid w:val="6332586C"/>
    <w:rsid w:val="652C1AF7"/>
    <w:rsid w:val="663F505A"/>
    <w:rsid w:val="667B4071"/>
    <w:rsid w:val="668179D1"/>
    <w:rsid w:val="673B254D"/>
    <w:rsid w:val="674F1BEB"/>
    <w:rsid w:val="679715D7"/>
    <w:rsid w:val="67E05F5E"/>
    <w:rsid w:val="68091431"/>
    <w:rsid w:val="681C5D0F"/>
    <w:rsid w:val="6838144E"/>
    <w:rsid w:val="68514539"/>
    <w:rsid w:val="6880015D"/>
    <w:rsid w:val="68AA7398"/>
    <w:rsid w:val="6A072332"/>
    <w:rsid w:val="6B205CF8"/>
    <w:rsid w:val="6B5477F9"/>
    <w:rsid w:val="6B7C2A7F"/>
    <w:rsid w:val="6C776ED0"/>
    <w:rsid w:val="6CC07D5A"/>
    <w:rsid w:val="6DCB7ADF"/>
    <w:rsid w:val="6E5C781B"/>
    <w:rsid w:val="6F3B465D"/>
    <w:rsid w:val="6F7A3BB2"/>
    <w:rsid w:val="6FF033C7"/>
    <w:rsid w:val="70B320EC"/>
    <w:rsid w:val="71B71FA3"/>
    <w:rsid w:val="71EB5441"/>
    <w:rsid w:val="725107C2"/>
    <w:rsid w:val="72C21831"/>
    <w:rsid w:val="73497518"/>
    <w:rsid w:val="73946F19"/>
    <w:rsid w:val="742C597A"/>
    <w:rsid w:val="74373814"/>
    <w:rsid w:val="747D511B"/>
    <w:rsid w:val="75096AAA"/>
    <w:rsid w:val="75741EB4"/>
    <w:rsid w:val="758F1B5A"/>
    <w:rsid w:val="75DE796D"/>
    <w:rsid w:val="76147BCB"/>
    <w:rsid w:val="76CC1C4C"/>
    <w:rsid w:val="76CE14FF"/>
    <w:rsid w:val="76F32E79"/>
    <w:rsid w:val="77B43AFA"/>
    <w:rsid w:val="77C02BE3"/>
    <w:rsid w:val="782D363B"/>
    <w:rsid w:val="786D5A56"/>
    <w:rsid w:val="789D458E"/>
    <w:rsid w:val="78DE1B19"/>
    <w:rsid w:val="79010879"/>
    <w:rsid w:val="790661B8"/>
    <w:rsid w:val="79E47F9A"/>
    <w:rsid w:val="7A27753D"/>
    <w:rsid w:val="7A537953"/>
    <w:rsid w:val="7A9944E2"/>
    <w:rsid w:val="7B547C0A"/>
    <w:rsid w:val="7B587A97"/>
    <w:rsid w:val="7C0453E8"/>
    <w:rsid w:val="7C943EFA"/>
    <w:rsid w:val="7C9537CE"/>
    <w:rsid w:val="7DE53E24"/>
    <w:rsid w:val="7DFD5ACF"/>
    <w:rsid w:val="7E084AD2"/>
    <w:rsid w:val="7E617E0B"/>
    <w:rsid w:val="7E645D8E"/>
    <w:rsid w:val="7EDD618C"/>
    <w:rsid w:val="7F686B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1"/>
    <w:link w:val="55"/>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4">
    <w:name w:val="heading 3"/>
    <w:basedOn w:val="1"/>
    <w:next w:val="5"/>
    <w:link w:val="56"/>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link w:val="58"/>
    <w:qFormat/>
    <w:uiPriority w:val="0"/>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7">
    <w:name w:val="heading 5"/>
    <w:basedOn w:val="1"/>
    <w:next w:val="1"/>
    <w:link w:val="59"/>
    <w:qFormat/>
    <w:uiPriority w:val="0"/>
    <w:pPr>
      <w:keepNext/>
      <w:keepLines/>
      <w:adjustRightInd w:val="0"/>
      <w:spacing w:before="280" w:after="290" w:line="376" w:lineRule="atLeast"/>
      <w:textAlignment w:val="baseline"/>
      <w:outlineLvl w:val="4"/>
    </w:pPr>
    <w:rPr>
      <w:b/>
      <w:kern w:val="0"/>
      <w:sz w:val="28"/>
      <w:szCs w:val="20"/>
    </w:rPr>
  </w:style>
  <w:style w:type="paragraph" w:styleId="8">
    <w:name w:val="heading 6"/>
    <w:basedOn w:val="1"/>
    <w:next w:val="1"/>
    <w:link w:val="60"/>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9">
    <w:name w:val="heading 7"/>
    <w:basedOn w:val="1"/>
    <w:next w:val="1"/>
    <w:link w:val="61"/>
    <w:qFormat/>
    <w:uiPriority w:val="0"/>
    <w:pPr>
      <w:keepNext/>
      <w:keepLines/>
      <w:adjustRightInd w:val="0"/>
      <w:spacing w:before="240" w:after="64" w:line="320" w:lineRule="atLeast"/>
      <w:textAlignment w:val="baseline"/>
      <w:outlineLvl w:val="6"/>
    </w:pPr>
    <w:rPr>
      <w:b/>
      <w:kern w:val="0"/>
      <w:sz w:val="24"/>
      <w:szCs w:val="20"/>
    </w:rPr>
  </w:style>
  <w:style w:type="paragraph" w:styleId="10">
    <w:name w:val="heading 8"/>
    <w:basedOn w:val="1"/>
    <w:next w:val="1"/>
    <w:link w:val="6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3"/>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46">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57"/>
    <w:qFormat/>
    <w:uiPriority w:val="0"/>
    <w:pPr>
      <w:autoSpaceDE w:val="0"/>
      <w:autoSpaceDN w:val="0"/>
      <w:adjustRightInd w:val="0"/>
      <w:ind w:firstLine="420"/>
      <w:jc w:val="left"/>
    </w:pPr>
    <w:rPr>
      <w:rFonts w:ascii="宋体"/>
      <w:sz w:val="24"/>
    </w:rPr>
  </w:style>
  <w:style w:type="paragraph" w:styleId="12">
    <w:name w:val="toc 7"/>
    <w:basedOn w:val="1"/>
    <w:next w:val="1"/>
    <w:qFormat/>
    <w:uiPriority w:val="0"/>
    <w:pPr>
      <w:ind w:left="2520" w:leftChars="1200"/>
    </w:pPr>
  </w:style>
  <w:style w:type="paragraph" w:styleId="13">
    <w:name w:val="table of authorities"/>
    <w:basedOn w:val="1"/>
    <w:next w:val="1"/>
    <w:qFormat/>
    <w:uiPriority w:val="0"/>
    <w:pPr>
      <w:ind w:left="420" w:leftChars="200"/>
    </w:pPr>
  </w:style>
  <w:style w:type="paragraph" w:styleId="14">
    <w:name w:val="caption"/>
    <w:basedOn w:val="1"/>
    <w:next w:val="1"/>
    <w:qFormat/>
    <w:uiPriority w:val="0"/>
    <w:pPr>
      <w:spacing w:line="480" w:lineRule="auto"/>
    </w:pPr>
    <w:rPr>
      <w:rFonts w:ascii="华文中宋" w:hAnsi="华文中宋" w:eastAsia="华文中宋"/>
      <w:sz w:val="36"/>
      <w:szCs w:val="20"/>
    </w:rPr>
  </w:style>
  <w:style w:type="paragraph" w:styleId="15">
    <w:name w:val="Document Map"/>
    <w:basedOn w:val="1"/>
    <w:link w:val="64"/>
    <w:qFormat/>
    <w:uiPriority w:val="0"/>
    <w:pPr>
      <w:shd w:val="clear" w:color="auto" w:fill="000080"/>
    </w:pPr>
  </w:style>
  <w:style w:type="paragraph" w:styleId="16">
    <w:name w:val="annotation text"/>
    <w:basedOn w:val="1"/>
    <w:link w:val="65"/>
    <w:qFormat/>
    <w:uiPriority w:val="99"/>
    <w:pPr>
      <w:jc w:val="left"/>
    </w:pPr>
  </w:style>
  <w:style w:type="paragraph" w:styleId="17">
    <w:name w:val="Body Text 3"/>
    <w:basedOn w:val="1"/>
    <w:link w:val="66"/>
    <w:qFormat/>
    <w:uiPriority w:val="0"/>
    <w:pPr>
      <w:spacing w:after="120"/>
    </w:pPr>
    <w:rPr>
      <w:sz w:val="16"/>
      <w:szCs w:val="16"/>
    </w:rPr>
  </w:style>
  <w:style w:type="paragraph" w:styleId="18">
    <w:name w:val="Body Text"/>
    <w:basedOn w:val="1"/>
    <w:link w:val="67"/>
    <w:qFormat/>
    <w:uiPriority w:val="0"/>
    <w:pPr>
      <w:tabs>
        <w:tab w:val="left" w:pos="567"/>
      </w:tabs>
      <w:spacing w:before="120" w:line="22" w:lineRule="atLeast"/>
    </w:pPr>
    <w:rPr>
      <w:rFonts w:ascii="宋体" w:hAnsi="宋体"/>
      <w:sz w:val="24"/>
    </w:rPr>
  </w:style>
  <w:style w:type="paragraph" w:styleId="19">
    <w:name w:val="Body Text Indent"/>
    <w:basedOn w:val="1"/>
    <w:link w:val="68"/>
    <w:qFormat/>
    <w:uiPriority w:val="0"/>
    <w:pPr>
      <w:spacing w:line="360" w:lineRule="auto"/>
      <w:ind w:firstLine="570"/>
    </w:pPr>
    <w:rPr>
      <w:sz w:val="24"/>
    </w:rPr>
  </w:style>
  <w:style w:type="paragraph" w:styleId="20">
    <w:name w:val="List 2"/>
    <w:basedOn w:val="1"/>
    <w:qFormat/>
    <w:uiPriority w:val="0"/>
    <w:pPr>
      <w:ind w:left="100" w:leftChars="200" w:hanging="200" w:hangingChars="200"/>
    </w:pPr>
  </w:style>
  <w:style w:type="paragraph" w:styleId="21">
    <w:name w:val="Block Text"/>
    <w:basedOn w:val="1"/>
    <w:qFormat/>
    <w:uiPriority w:val="0"/>
    <w:pPr>
      <w:widowControl/>
      <w:ind w:left="480" w:right="-341" w:firstLine="513"/>
    </w:pPr>
    <w:rPr>
      <w:kern w:val="0"/>
      <w:sz w:val="24"/>
      <w:szCs w:val="20"/>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69"/>
    <w:qFormat/>
    <w:uiPriority w:val="0"/>
    <w:rPr>
      <w:rFonts w:hint="eastAsia" w:ascii="宋体" w:hAnsi="Courier New"/>
      <w:szCs w:val="20"/>
    </w:rPr>
  </w:style>
  <w:style w:type="paragraph" w:styleId="25">
    <w:name w:val="toc 8"/>
    <w:basedOn w:val="1"/>
    <w:next w:val="1"/>
    <w:qFormat/>
    <w:uiPriority w:val="0"/>
    <w:pPr>
      <w:ind w:left="2940" w:leftChars="1400"/>
    </w:pPr>
  </w:style>
  <w:style w:type="paragraph" w:styleId="26">
    <w:name w:val="Date"/>
    <w:basedOn w:val="1"/>
    <w:next w:val="1"/>
    <w:link w:val="70"/>
    <w:qFormat/>
    <w:uiPriority w:val="0"/>
    <w:pPr>
      <w:ind w:left="100" w:leftChars="2500"/>
    </w:pPr>
    <w:rPr>
      <w:rFonts w:ascii="仿宋_GB2312" w:hAnsi="宋体" w:eastAsia="仿宋_GB2312"/>
      <w:color w:val="000000"/>
      <w:sz w:val="24"/>
    </w:rPr>
  </w:style>
  <w:style w:type="paragraph" w:styleId="27">
    <w:name w:val="Body Text Indent 2"/>
    <w:basedOn w:val="1"/>
    <w:link w:val="71"/>
    <w:qFormat/>
    <w:uiPriority w:val="0"/>
    <w:pPr>
      <w:ind w:firstLine="480" w:firstLineChars="200"/>
    </w:pPr>
    <w:rPr>
      <w:rFonts w:ascii="仿宋_GB2312" w:eastAsia="仿宋_GB2312"/>
      <w:sz w:val="24"/>
    </w:rPr>
  </w:style>
  <w:style w:type="paragraph" w:styleId="28">
    <w:name w:val="Balloon Text"/>
    <w:basedOn w:val="1"/>
    <w:link w:val="72"/>
    <w:qFormat/>
    <w:uiPriority w:val="0"/>
    <w:rPr>
      <w:sz w:val="18"/>
      <w:szCs w:val="18"/>
    </w:rPr>
  </w:style>
  <w:style w:type="paragraph" w:styleId="29">
    <w:name w:val="footer"/>
    <w:basedOn w:val="1"/>
    <w:link w:val="73"/>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30">
    <w:name w:val="header"/>
    <w:basedOn w:val="1"/>
    <w:link w:val="74"/>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tabs>
        <w:tab w:val="left" w:pos="1050"/>
        <w:tab w:val="right" w:leader="dot" w:pos="8937"/>
      </w:tabs>
      <w:spacing w:line="300" w:lineRule="auto"/>
    </w:pPr>
    <w:rPr>
      <w:rFonts w:ascii="宋体" w:hAnsi="宋体"/>
      <w:b/>
      <w:sz w:val="24"/>
    </w:rPr>
  </w:style>
  <w:style w:type="paragraph" w:styleId="32">
    <w:name w:val="toc 4"/>
    <w:basedOn w:val="1"/>
    <w:next w:val="1"/>
    <w:qFormat/>
    <w:uiPriority w:val="0"/>
    <w:pPr>
      <w:ind w:left="1260" w:leftChars="600"/>
    </w:pPr>
  </w:style>
  <w:style w:type="paragraph" w:styleId="33">
    <w:name w:val="toc 6"/>
    <w:basedOn w:val="1"/>
    <w:next w:val="1"/>
    <w:qFormat/>
    <w:uiPriority w:val="0"/>
    <w:pPr>
      <w:ind w:left="2100" w:leftChars="1000"/>
    </w:pPr>
  </w:style>
  <w:style w:type="paragraph" w:styleId="34">
    <w:name w:val="Body Text Indent 3"/>
    <w:basedOn w:val="1"/>
    <w:link w:val="75"/>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5">
    <w:name w:val="toc 2"/>
    <w:basedOn w:val="1"/>
    <w:next w:val="1"/>
    <w:qFormat/>
    <w:uiPriority w:val="39"/>
    <w:pPr>
      <w:tabs>
        <w:tab w:val="right" w:leader="dot" w:pos="8937"/>
      </w:tabs>
      <w:spacing w:line="312" w:lineRule="auto"/>
      <w:ind w:left="420" w:leftChars="200"/>
    </w:pPr>
  </w:style>
  <w:style w:type="paragraph" w:styleId="36">
    <w:name w:val="toc 9"/>
    <w:basedOn w:val="1"/>
    <w:next w:val="1"/>
    <w:qFormat/>
    <w:uiPriority w:val="0"/>
    <w:pPr>
      <w:ind w:left="3360" w:leftChars="1600"/>
    </w:pPr>
  </w:style>
  <w:style w:type="paragraph" w:styleId="37">
    <w:name w:val="HTML Preformatted"/>
    <w:basedOn w:val="1"/>
    <w:link w:val="7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39">
    <w:name w:val="index 1"/>
    <w:basedOn w:val="1"/>
    <w:next w:val="1"/>
    <w:qFormat/>
    <w:uiPriority w:val="0"/>
    <w:rPr>
      <w:szCs w:val="20"/>
    </w:rPr>
  </w:style>
  <w:style w:type="paragraph" w:styleId="40">
    <w:name w:val="Title"/>
    <w:basedOn w:val="1"/>
    <w:link w:val="77"/>
    <w:qFormat/>
    <w:uiPriority w:val="0"/>
    <w:pPr>
      <w:jc w:val="center"/>
      <w:outlineLvl w:val="0"/>
    </w:pPr>
    <w:rPr>
      <w:b/>
      <w:sz w:val="32"/>
      <w:szCs w:val="20"/>
    </w:rPr>
  </w:style>
  <w:style w:type="paragraph" w:styleId="41">
    <w:name w:val="annotation subject"/>
    <w:basedOn w:val="16"/>
    <w:next w:val="16"/>
    <w:link w:val="78"/>
    <w:qFormat/>
    <w:uiPriority w:val="0"/>
    <w:rPr>
      <w:b/>
      <w:bCs/>
    </w:rPr>
  </w:style>
  <w:style w:type="paragraph" w:styleId="42">
    <w:name w:val="Body Text First Indent 2"/>
    <w:basedOn w:val="19"/>
    <w:link w:val="79"/>
    <w:qFormat/>
    <w:uiPriority w:val="0"/>
    <w:pPr>
      <w:spacing w:after="120" w:line="480" w:lineRule="exact"/>
      <w:ind w:left="420" w:leftChars="200" w:firstLine="420" w:firstLineChars="200"/>
    </w:pPr>
    <w:rPr>
      <w:szCs w:val="20"/>
    </w:rPr>
  </w:style>
  <w:style w:type="table" w:styleId="44">
    <w:name w:val="Table Grid"/>
    <w:basedOn w:val="43"/>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5">
    <w:name w:val="Medium Grid 1 Accent 2"/>
    <w:basedOn w:val="43"/>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47">
    <w:name w:val="Strong"/>
    <w:qFormat/>
    <w:uiPriority w:val="0"/>
    <w:rPr>
      <w:b/>
      <w:bCs/>
    </w:rPr>
  </w:style>
  <w:style w:type="character" w:styleId="48">
    <w:name w:val="page number"/>
    <w:qFormat/>
    <w:uiPriority w:val="0"/>
  </w:style>
  <w:style w:type="character" w:styleId="49">
    <w:name w:val="FollowedHyperlink"/>
    <w:qFormat/>
    <w:uiPriority w:val="0"/>
    <w:rPr>
      <w:color w:val="800080"/>
      <w:u w:val="single"/>
    </w:rPr>
  </w:style>
  <w:style w:type="character" w:styleId="50">
    <w:name w:val="Emphasis"/>
    <w:qFormat/>
    <w:uiPriority w:val="0"/>
    <w:rPr>
      <w:color w:val="CC0033"/>
    </w:rPr>
  </w:style>
  <w:style w:type="character" w:styleId="51">
    <w:name w:val="Hyperlink"/>
    <w:qFormat/>
    <w:uiPriority w:val="99"/>
    <w:rPr>
      <w:color w:val="0000FF"/>
      <w:u w:val="single"/>
    </w:rPr>
  </w:style>
  <w:style w:type="character" w:styleId="52">
    <w:name w:val="annotation reference"/>
    <w:qFormat/>
    <w:uiPriority w:val="99"/>
    <w:rPr>
      <w:sz w:val="21"/>
      <w:szCs w:val="21"/>
    </w:rPr>
  </w:style>
  <w:style w:type="character" w:styleId="53">
    <w:name w:val="HTML Cite"/>
    <w:qFormat/>
    <w:uiPriority w:val="0"/>
    <w:rPr>
      <w:i/>
      <w:iCs/>
    </w:rPr>
  </w:style>
  <w:style w:type="character" w:customStyle="1" w:styleId="54">
    <w:name w:val="标题 1 字符"/>
    <w:link w:val="2"/>
    <w:qFormat/>
    <w:uiPriority w:val="0"/>
    <w:rPr>
      <w:rFonts w:ascii="宋体"/>
      <w:b/>
      <w:kern w:val="44"/>
      <w:sz w:val="32"/>
    </w:rPr>
  </w:style>
  <w:style w:type="character" w:customStyle="1" w:styleId="55">
    <w:name w:val="标题 2 字符"/>
    <w:link w:val="3"/>
    <w:qFormat/>
    <w:uiPriority w:val="0"/>
    <w:rPr>
      <w:rFonts w:ascii="Arial" w:hAnsi="Arial" w:eastAsia="黑体"/>
      <w:b/>
      <w:sz w:val="30"/>
      <w:lang w:val="en-US" w:eastAsia="zh-CN" w:bidi="ar-SA"/>
    </w:rPr>
  </w:style>
  <w:style w:type="character" w:customStyle="1" w:styleId="56">
    <w:name w:val="标题 3 字符"/>
    <w:link w:val="4"/>
    <w:qFormat/>
    <w:uiPriority w:val="0"/>
    <w:rPr>
      <w:rFonts w:ascii="宋体" w:eastAsia="宋体"/>
      <w:b/>
      <w:sz w:val="24"/>
      <w:u w:val="single"/>
      <w:lang w:val="en-US" w:eastAsia="zh-CN" w:bidi="ar-SA"/>
    </w:rPr>
  </w:style>
  <w:style w:type="character" w:customStyle="1" w:styleId="57">
    <w:name w:val="正文缩进 字符"/>
    <w:link w:val="5"/>
    <w:qFormat/>
    <w:uiPriority w:val="0"/>
    <w:rPr>
      <w:rFonts w:ascii="宋体" w:eastAsia="宋体"/>
      <w:kern w:val="2"/>
      <w:sz w:val="24"/>
      <w:szCs w:val="24"/>
      <w:lang w:val="en-US" w:eastAsia="zh-CN" w:bidi="ar-SA"/>
    </w:rPr>
  </w:style>
  <w:style w:type="character" w:customStyle="1" w:styleId="58">
    <w:name w:val="标题 4 字符"/>
    <w:link w:val="6"/>
    <w:qFormat/>
    <w:uiPriority w:val="0"/>
    <w:rPr>
      <w:rFonts w:ascii="Arial" w:hAnsi="Arial" w:eastAsia="黑体"/>
      <w:b/>
      <w:sz w:val="28"/>
    </w:rPr>
  </w:style>
  <w:style w:type="character" w:customStyle="1" w:styleId="59">
    <w:name w:val="标题 5 字符"/>
    <w:link w:val="7"/>
    <w:qFormat/>
    <w:uiPriority w:val="0"/>
    <w:rPr>
      <w:b/>
      <w:sz w:val="28"/>
    </w:rPr>
  </w:style>
  <w:style w:type="character" w:customStyle="1" w:styleId="60">
    <w:name w:val="标题 6 字符"/>
    <w:link w:val="8"/>
    <w:qFormat/>
    <w:uiPriority w:val="0"/>
    <w:rPr>
      <w:rFonts w:ascii="Arial" w:hAnsi="Arial" w:eastAsia="黑体"/>
      <w:b/>
      <w:sz w:val="24"/>
    </w:rPr>
  </w:style>
  <w:style w:type="character" w:customStyle="1" w:styleId="61">
    <w:name w:val="标题 7 字符"/>
    <w:link w:val="9"/>
    <w:qFormat/>
    <w:uiPriority w:val="0"/>
    <w:rPr>
      <w:b/>
      <w:sz w:val="24"/>
    </w:rPr>
  </w:style>
  <w:style w:type="character" w:customStyle="1" w:styleId="62">
    <w:name w:val="标题 8 字符"/>
    <w:link w:val="10"/>
    <w:qFormat/>
    <w:uiPriority w:val="0"/>
    <w:rPr>
      <w:rFonts w:ascii="Arial" w:hAnsi="Arial" w:eastAsia="黑体"/>
      <w:sz w:val="24"/>
    </w:rPr>
  </w:style>
  <w:style w:type="character" w:customStyle="1" w:styleId="63">
    <w:name w:val="标题 9 字符"/>
    <w:link w:val="11"/>
    <w:qFormat/>
    <w:uiPriority w:val="0"/>
    <w:rPr>
      <w:rFonts w:ascii="Arial" w:hAnsi="Arial" w:eastAsia="黑体"/>
      <w:sz w:val="21"/>
    </w:rPr>
  </w:style>
  <w:style w:type="character" w:customStyle="1" w:styleId="64">
    <w:name w:val="文档结构图 字符"/>
    <w:link w:val="15"/>
    <w:qFormat/>
    <w:uiPriority w:val="0"/>
    <w:rPr>
      <w:kern w:val="2"/>
      <w:sz w:val="21"/>
      <w:szCs w:val="24"/>
      <w:shd w:val="clear" w:color="auto" w:fill="000080"/>
    </w:rPr>
  </w:style>
  <w:style w:type="character" w:customStyle="1" w:styleId="65">
    <w:name w:val="批注文字 字符1"/>
    <w:link w:val="16"/>
    <w:qFormat/>
    <w:uiPriority w:val="99"/>
    <w:rPr>
      <w:kern w:val="2"/>
      <w:sz w:val="21"/>
      <w:szCs w:val="24"/>
    </w:rPr>
  </w:style>
  <w:style w:type="character" w:customStyle="1" w:styleId="66">
    <w:name w:val="正文文本 3 字符"/>
    <w:link w:val="17"/>
    <w:qFormat/>
    <w:uiPriority w:val="0"/>
    <w:rPr>
      <w:kern w:val="2"/>
      <w:sz w:val="16"/>
      <w:szCs w:val="16"/>
    </w:rPr>
  </w:style>
  <w:style w:type="character" w:customStyle="1" w:styleId="67">
    <w:name w:val="正文文本 字符"/>
    <w:link w:val="18"/>
    <w:qFormat/>
    <w:uiPriority w:val="0"/>
    <w:rPr>
      <w:rFonts w:ascii="宋体" w:hAnsi="宋体"/>
      <w:kern w:val="2"/>
      <w:sz w:val="24"/>
      <w:szCs w:val="24"/>
    </w:rPr>
  </w:style>
  <w:style w:type="character" w:customStyle="1" w:styleId="68">
    <w:name w:val="正文文本缩进 字符"/>
    <w:link w:val="19"/>
    <w:qFormat/>
    <w:uiPriority w:val="0"/>
    <w:rPr>
      <w:rFonts w:eastAsia="宋体"/>
      <w:kern w:val="2"/>
      <w:sz w:val="24"/>
      <w:szCs w:val="24"/>
      <w:lang w:val="en-US" w:eastAsia="zh-CN" w:bidi="ar-SA"/>
    </w:rPr>
  </w:style>
  <w:style w:type="character" w:customStyle="1" w:styleId="69">
    <w:name w:val="纯文本 字符2"/>
    <w:link w:val="24"/>
    <w:qFormat/>
    <w:uiPriority w:val="0"/>
    <w:rPr>
      <w:rFonts w:hint="eastAsia" w:ascii="宋体" w:hAnsi="Courier New" w:eastAsia="宋体" w:cs="宋体"/>
      <w:kern w:val="2"/>
      <w:sz w:val="21"/>
    </w:rPr>
  </w:style>
  <w:style w:type="character" w:customStyle="1" w:styleId="70">
    <w:name w:val="日期 字符"/>
    <w:link w:val="26"/>
    <w:qFormat/>
    <w:uiPriority w:val="0"/>
    <w:rPr>
      <w:rFonts w:ascii="仿宋_GB2312" w:hAnsi="宋体" w:eastAsia="仿宋_GB2312"/>
      <w:color w:val="000000"/>
      <w:kern w:val="2"/>
      <w:sz w:val="24"/>
      <w:szCs w:val="24"/>
    </w:rPr>
  </w:style>
  <w:style w:type="character" w:customStyle="1" w:styleId="71">
    <w:name w:val="正文文本缩进 2 字符"/>
    <w:link w:val="27"/>
    <w:qFormat/>
    <w:uiPriority w:val="0"/>
    <w:rPr>
      <w:rFonts w:ascii="仿宋_GB2312" w:eastAsia="仿宋_GB2312"/>
      <w:kern w:val="2"/>
      <w:sz w:val="24"/>
      <w:szCs w:val="24"/>
    </w:rPr>
  </w:style>
  <w:style w:type="character" w:customStyle="1" w:styleId="72">
    <w:name w:val="批注框文本 字符"/>
    <w:link w:val="28"/>
    <w:qFormat/>
    <w:uiPriority w:val="0"/>
    <w:rPr>
      <w:kern w:val="2"/>
      <w:sz w:val="18"/>
      <w:szCs w:val="18"/>
    </w:rPr>
  </w:style>
  <w:style w:type="character" w:customStyle="1" w:styleId="73">
    <w:name w:val="页脚 字符"/>
    <w:link w:val="29"/>
    <w:qFormat/>
    <w:uiPriority w:val="99"/>
    <w:rPr>
      <w:rFonts w:ascii="宋体" w:eastAsia="宋体"/>
      <w:sz w:val="18"/>
      <w:lang w:val="en-US" w:eastAsia="zh-CN" w:bidi="ar-SA"/>
    </w:rPr>
  </w:style>
  <w:style w:type="character" w:customStyle="1" w:styleId="74">
    <w:name w:val="页眉 字符"/>
    <w:link w:val="30"/>
    <w:qFormat/>
    <w:uiPriority w:val="99"/>
    <w:rPr>
      <w:rFonts w:eastAsia="宋体"/>
      <w:kern w:val="2"/>
      <w:sz w:val="18"/>
      <w:szCs w:val="18"/>
      <w:lang w:val="en-US" w:eastAsia="zh-CN" w:bidi="ar-SA"/>
    </w:rPr>
  </w:style>
  <w:style w:type="character" w:customStyle="1" w:styleId="75">
    <w:name w:val="正文文本缩进 3 字符"/>
    <w:link w:val="34"/>
    <w:qFormat/>
    <w:uiPriority w:val="0"/>
    <w:rPr>
      <w:rFonts w:ascii="宋体"/>
      <w:sz w:val="24"/>
    </w:rPr>
  </w:style>
  <w:style w:type="character" w:customStyle="1" w:styleId="76">
    <w:name w:val="HTML 预设格式 字符"/>
    <w:link w:val="37"/>
    <w:qFormat/>
    <w:uiPriority w:val="0"/>
    <w:rPr>
      <w:rFonts w:ascii="宋体" w:hAnsi="宋体" w:cs="宋体"/>
      <w:sz w:val="24"/>
      <w:szCs w:val="24"/>
    </w:rPr>
  </w:style>
  <w:style w:type="character" w:customStyle="1" w:styleId="77">
    <w:name w:val="标题 字符"/>
    <w:link w:val="40"/>
    <w:qFormat/>
    <w:uiPriority w:val="0"/>
    <w:rPr>
      <w:b/>
      <w:kern w:val="2"/>
      <w:sz w:val="32"/>
    </w:rPr>
  </w:style>
  <w:style w:type="character" w:customStyle="1" w:styleId="78">
    <w:name w:val="批注主题 字符"/>
    <w:link w:val="41"/>
    <w:qFormat/>
    <w:uiPriority w:val="0"/>
    <w:rPr>
      <w:rFonts w:ascii="Times New Roman" w:hAnsi="Times New Roman" w:eastAsia="宋体" w:cs="Times New Roman"/>
      <w:b/>
      <w:bCs/>
      <w:kern w:val="2"/>
      <w:sz w:val="21"/>
      <w:szCs w:val="24"/>
      <w:lang w:val="en-US" w:eastAsia="zh-CN" w:bidi="ar-SA"/>
    </w:rPr>
  </w:style>
  <w:style w:type="character" w:customStyle="1" w:styleId="79">
    <w:name w:val="正文文本首行缩进 2 字符"/>
    <w:link w:val="42"/>
    <w:qFormat/>
    <w:uiPriority w:val="0"/>
    <w:rPr>
      <w:rFonts w:eastAsia="宋体"/>
      <w:kern w:val="2"/>
      <w:sz w:val="24"/>
      <w:szCs w:val="24"/>
      <w:lang w:val="en-US" w:eastAsia="zh-CN" w:bidi="ar-SA"/>
    </w:rPr>
  </w:style>
  <w:style w:type="character" w:customStyle="1" w:styleId="80">
    <w:name w:val="批注文字 字符"/>
    <w:qFormat/>
    <w:uiPriority w:val="99"/>
    <w:rPr>
      <w:rFonts w:ascii="Times New Roman" w:hAnsi="Times New Roman" w:eastAsia="宋体" w:cs="Times New Roman"/>
      <w:sz w:val="24"/>
      <w:lang w:val="en-US" w:eastAsia="zh-CN" w:bidi="ar-SA"/>
    </w:rPr>
  </w:style>
  <w:style w:type="character" w:customStyle="1" w:styleId="81">
    <w:name w:val="txt"/>
    <w:qFormat/>
    <w:uiPriority w:val="0"/>
  </w:style>
  <w:style w:type="character" w:customStyle="1" w:styleId="82">
    <w:name w:val="black1"/>
    <w:qFormat/>
    <w:uiPriority w:val="0"/>
    <w:rPr>
      <w:color w:val="000000"/>
    </w:rPr>
  </w:style>
  <w:style w:type="character" w:customStyle="1" w:styleId="83">
    <w:name w:val="正文大标题 Char"/>
    <w:link w:val="84"/>
    <w:qFormat/>
    <w:uiPriority w:val="0"/>
    <w:rPr>
      <w:rFonts w:ascii="宋体" w:hAnsi="宋体"/>
      <w:b/>
      <w:color w:val="000000"/>
      <w:kern w:val="2"/>
      <w:sz w:val="28"/>
      <w:szCs w:val="21"/>
    </w:rPr>
  </w:style>
  <w:style w:type="paragraph" w:customStyle="1" w:styleId="84">
    <w:name w:val="正文大标题"/>
    <w:basedOn w:val="85"/>
    <w:next w:val="5"/>
    <w:link w:val="83"/>
    <w:qFormat/>
    <w:uiPriority w:val="0"/>
    <w:pPr>
      <w:jc w:val="center"/>
    </w:pPr>
    <w:rPr>
      <w:i w:val="0"/>
      <w:color w:val="000000"/>
      <w:sz w:val="28"/>
      <w:szCs w:val="21"/>
    </w:rPr>
  </w:style>
  <w:style w:type="paragraph" w:customStyle="1" w:styleId="85">
    <w:name w:val="正文小标题"/>
    <w:basedOn w:val="1"/>
    <w:next w:val="5"/>
    <w:link w:val="86"/>
    <w:qFormat/>
    <w:uiPriority w:val="0"/>
    <w:pPr>
      <w:adjustRightInd w:val="0"/>
      <w:snapToGrid w:val="0"/>
      <w:spacing w:before="312" w:beforeLines="100" w:after="312" w:afterLines="100"/>
      <w:ind w:firstLine="482"/>
      <w:jc w:val="left"/>
    </w:pPr>
    <w:rPr>
      <w:rFonts w:ascii="宋体" w:hAnsi="宋体"/>
      <w:b/>
      <w:i/>
      <w:color w:val="FF0000"/>
      <w:sz w:val="24"/>
      <w:szCs w:val="20"/>
    </w:rPr>
  </w:style>
  <w:style w:type="character" w:customStyle="1" w:styleId="86">
    <w:name w:val="正文小标题 Char"/>
    <w:link w:val="85"/>
    <w:qFormat/>
    <w:uiPriority w:val="0"/>
    <w:rPr>
      <w:rFonts w:ascii="宋体" w:hAnsi="宋体"/>
      <w:b/>
      <w:i/>
      <w:color w:val="FF0000"/>
      <w:kern w:val="2"/>
      <w:sz w:val="24"/>
    </w:rPr>
  </w:style>
  <w:style w:type="character" w:customStyle="1" w:styleId="87">
    <w:name w:val="title4"/>
    <w:qFormat/>
    <w:uiPriority w:val="0"/>
    <w:rPr>
      <w:b/>
      <w:bCs/>
      <w:color w:val="1D87B3"/>
      <w:sz w:val="15"/>
      <w:szCs w:val="15"/>
    </w:rPr>
  </w:style>
  <w:style w:type="character" w:customStyle="1" w:styleId="88">
    <w:name w:val="纯文本 Char1"/>
    <w:qFormat/>
    <w:uiPriority w:val="0"/>
    <w:rPr>
      <w:rFonts w:ascii="宋体" w:hAnsi="Courier New" w:eastAsia="宋体"/>
      <w:kern w:val="2"/>
      <w:sz w:val="21"/>
      <w:lang w:val="en-US" w:eastAsia="zh-CN" w:bidi="ar-SA"/>
    </w:rPr>
  </w:style>
  <w:style w:type="character" w:customStyle="1" w:styleId="89">
    <w:name w:val="chanpin1"/>
    <w:qFormat/>
    <w:uiPriority w:val="0"/>
    <w:rPr>
      <w:rFonts w:hint="default" w:ascii="ˎ̥" w:hAnsi="ˎ̥"/>
      <w:color w:val="000000"/>
      <w:sz w:val="20"/>
      <w:szCs w:val="20"/>
      <w:u w:val="none"/>
    </w:rPr>
  </w:style>
  <w:style w:type="character" w:customStyle="1" w:styleId="90">
    <w:name w:val="正文文本缩进 Char1"/>
    <w:link w:val="91"/>
    <w:qFormat/>
    <w:uiPriority w:val="0"/>
    <w:rPr>
      <w:rFonts w:ascii="宋体" w:hAnsi="宋体" w:eastAsia="宋体"/>
      <w:sz w:val="24"/>
      <w:szCs w:val="24"/>
      <w:lang w:bidi="ar-SA"/>
    </w:rPr>
  </w:style>
  <w:style w:type="paragraph" w:customStyle="1" w:styleId="91">
    <w:name w:val="正文文本缩进1"/>
    <w:basedOn w:val="1"/>
    <w:link w:val="90"/>
    <w:qFormat/>
    <w:uiPriority w:val="0"/>
    <w:pPr>
      <w:spacing w:line="480" w:lineRule="exact"/>
      <w:ind w:firstLine="480" w:firstLineChars="200"/>
    </w:pPr>
    <w:rPr>
      <w:rFonts w:ascii="宋体" w:hAnsi="宋体"/>
      <w:kern w:val="0"/>
      <w:sz w:val="24"/>
    </w:rPr>
  </w:style>
  <w:style w:type="character" w:customStyle="1" w:styleId="92">
    <w:name w:val="纯文本 字符"/>
    <w:qFormat/>
    <w:uiPriority w:val="99"/>
    <w:rPr>
      <w:rFonts w:ascii="宋体" w:hAnsi="Courier New" w:eastAsia="宋体" w:cs="Times New Roman"/>
      <w:kern w:val="2"/>
      <w:sz w:val="21"/>
      <w:szCs w:val="21"/>
      <w:lang w:val="en-US" w:eastAsia="zh-CN" w:bidi="ar-SA"/>
    </w:rPr>
  </w:style>
  <w:style w:type="character" w:customStyle="1" w:styleId="93">
    <w:name w:val="正文表格 Char"/>
    <w:link w:val="94"/>
    <w:qFormat/>
    <w:uiPriority w:val="0"/>
    <w:rPr>
      <w:rFonts w:ascii="宋体" w:hAnsi="宋体"/>
      <w:color w:val="000000"/>
      <w:kern w:val="2"/>
      <w:sz w:val="21"/>
      <w:szCs w:val="21"/>
    </w:rPr>
  </w:style>
  <w:style w:type="paragraph" w:customStyle="1" w:styleId="94">
    <w:name w:val="正文表格"/>
    <w:basedOn w:val="1"/>
    <w:link w:val="93"/>
    <w:qFormat/>
    <w:uiPriority w:val="0"/>
    <w:pPr>
      <w:adjustRightInd w:val="0"/>
      <w:snapToGrid w:val="0"/>
      <w:jc w:val="left"/>
    </w:pPr>
    <w:rPr>
      <w:rFonts w:ascii="宋体" w:hAnsi="宋体"/>
      <w:color w:val="000000"/>
      <w:szCs w:val="21"/>
    </w:rPr>
  </w:style>
  <w:style w:type="character" w:customStyle="1" w:styleId="95">
    <w:name w:val="注释 Char"/>
    <w:link w:val="96"/>
    <w:qFormat/>
    <w:uiPriority w:val="0"/>
    <w:rPr>
      <w:rFonts w:ascii="宋体" w:hAnsi="宋体"/>
      <w:kern w:val="2"/>
      <w:sz w:val="21"/>
      <w:szCs w:val="21"/>
    </w:rPr>
  </w:style>
  <w:style w:type="paragraph" w:customStyle="1" w:styleId="96">
    <w:name w:val="注释"/>
    <w:basedOn w:val="1"/>
    <w:link w:val="95"/>
    <w:qFormat/>
    <w:uiPriority w:val="0"/>
    <w:pPr>
      <w:adjustRightInd w:val="0"/>
      <w:snapToGrid w:val="0"/>
      <w:ind w:left="420" w:hanging="420" w:hangingChars="200"/>
      <w:jc w:val="left"/>
    </w:pPr>
    <w:rPr>
      <w:rFonts w:ascii="宋体" w:hAnsi="宋体"/>
      <w:szCs w:val="21"/>
    </w:rPr>
  </w:style>
  <w:style w:type="character" w:customStyle="1" w:styleId="97">
    <w:name w:val="locality"/>
    <w:qFormat/>
    <w:uiPriority w:val="0"/>
  </w:style>
  <w:style w:type="character" w:customStyle="1" w:styleId="98">
    <w:name w:val="正文缩进 Char Char"/>
    <w:link w:val="99"/>
    <w:qFormat/>
    <w:uiPriority w:val="0"/>
    <w:rPr>
      <w:rFonts w:ascii="宋体" w:eastAsia="宋体"/>
      <w:snapToGrid w:val="0"/>
      <w:color w:val="000000"/>
      <w:kern w:val="28"/>
      <w:sz w:val="28"/>
      <w:lang w:bidi="ar-SA"/>
    </w:rPr>
  </w:style>
  <w:style w:type="paragraph" w:customStyle="1" w:styleId="99">
    <w:name w:val="正文缩进1"/>
    <w:basedOn w:val="1"/>
    <w:link w:val="98"/>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100">
    <w:name w:val="street-address"/>
    <w:qFormat/>
    <w:uiPriority w:val="0"/>
  </w:style>
  <w:style w:type="character" w:customStyle="1" w:styleId="101">
    <w:name w:val="段1 Char"/>
    <w:qFormat/>
    <w:uiPriority w:val="0"/>
    <w:rPr>
      <w:rFonts w:ascii="宋体" w:eastAsia="宋体"/>
      <w:sz w:val="24"/>
      <w:lang w:val="en-US" w:eastAsia="zh-CN" w:bidi="ar-SA"/>
    </w:rPr>
  </w:style>
  <w:style w:type="character" w:customStyle="1" w:styleId="102">
    <w:name w:val="c21"/>
    <w:qFormat/>
    <w:uiPriority w:val="0"/>
    <w:rPr>
      <w:rFonts w:hint="default" w:ascii="ˎ̥" w:hAnsi="ˎ̥"/>
      <w:color w:val="000000"/>
      <w:sz w:val="20"/>
      <w:szCs w:val="20"/>
      <w:u w:val="none"/>
    </w:rPr>
  </w:style>
  <w:style w:type="character" w:customStyle="1" w:styleId="103">
    <w:name w:val="chanpin拷贝"/>
    <w:qFormat/>
    <w:uiPriority w:val="0"/>
  </w:style>
  <w:style w:type="character" w:customStyle="1" w:styleId="104">
    <w:name w:val="普通文字1 Char1"/>
    <w:qFormat/>
    <w:uiPriority w:val="0"/>
    <w:rPr>
      <w:rFonts w:ascii="宋体" w:hAnsi="Courier New" w:eastAsia="宋体"/>
      <w:kern w:val="2"/>
      <w:sz w:val="21"/>
      <w:lang w:val="en-US" w:eastAsia="zh-CN" w:bidi="ar-SA"/>
    </w:rPr>
  </w:style>
  <w:style w:type="character" w:customStyle="1" w:styleId="105">
    <w:name w:val="Char Char11"/>
    <w:qFormat/>
    <w:uiPriority w:val="0"/>
    <w:rPr>
      <w:rFonts w:ascii="宋体" w:eastAsia="宋体"/>
      <w:b/>
      <w:sz w:val="24"/>
      <w:u w:val="single"/>
      <w:lang w:val="en-US" w:eastAsia="zh-CN" w:bidi="ar-SA"/>
    </w:rPr>
  </w:style>
  <w:style w:type="character" w:customStyle="1" w:styleId="106">
    <w:name w:val="标题 2 Char Char"/>
    <w:qFormat/>
    <w:uiPriority w:val="0"/>
    <w:rPr>
      <w:rFonts w:ascii="Arial" w:hAnsi="Arial" w:eastAsia="黑体"/>
      <w:b/>
      <w:bCs/>
      <w:kern w:val="2"/>
      <w:sz w:val="32"/>
      <w:szCs w:val="32"/>
      <w:lang w:val="en-US" w:eastAsia="zh-CN" w:bidi="ar-SA"/>
    </w:rPr>
  </w:style>
  <w:style w:type="character" w:customStyle="1" w:styleId="107">
    <w:name w:val="列表段落 字符"/>
    <w:link w:val="108"/>
    <w:qFormat/>
    <w:uiPriority w:val="34"/>
    <w:rPr>
      <w:rFonts w:ascii="Calibri" w:hAnsi="Calibri" w:eastAsia="宋体"/>
      <w:kern w:val="2"/>
      <w:sz w:val="21"/>
      <w:szCs w:val="22"/>
      <w:lang w:val="en-US" w:eastAsia="zh-CN" w:bidi="ar-SA"/>
    </w:rPr>
  </w:style>
  <w:style w:type="paragraph" w:customStyle="1" w:styleId="108">
    <w:name w:val="列表段落1"/>
    <w:basedOn w:val="1"/>
    <w:link w:val="107"/>
    <w:qFormat/>
    <w:uiPriority w:val="34"/>
    <w:pPr>
      <w:ind w:firstLine="420" w:firstLineChars="200"/>
    </w:pPr>
    <w:rPr>
      <w:rFonts w:ascii="Calibri" w:hAnsi="Calibri"/>
      <w:szCs w:val="22"/>
    </w:rPr>
  </w:style>
  <w:style w:type="character" w:customStyle="1" w:styleId="109">
    <w:name w:val="标题 3 Char Char"/>
    <w:qFormat/>
    <w:uiPriority w:val="0"/>
    <w:rPr>
      <w:rFonts w:eastAsia="宋体"/>
      <w:b/>
      <w:bCs/>
      <w:kern w:val="2"/>
      <w:sz w:val="32"/>
      <w:szCs w:val="32"/>
      <w:lang w:val="en-US" w:eastAsia="zh-CN" w:bidi="ar-SA"/>
    </w:rPr>
  </w:style>
  <w:style w:type="character" w:customStyle="1" w:styleId="110">
    <w:name w:val="apple-style-span"/>
    <w:qFormat/>
    <w:uiPriority w:val="0"/>
    <w:rPr>
      <w:rFonts w:cs="Times New Roman"/>
    </w:rPr>
  </w:style>
  <w:style w:type="character" w:customStyle="1" w:styleId="111">
    <w:name w:val="正文重点 Char"/>
    <w:link w:val="112"/>
    <w:qFormat/>
    <w:uiPriority w:val="0"/>
    <w:rPr>
      <w:b/>
      <w:sz w:val="24"/>
    </w:rPr>
  </w:style>
  <w:style w:type="paragraph" w:customStyle="1" w:styleId="112">
    <w:name w:val="正文重点"/>
    <w:basedOn w:val="1"/>
    <w:link w:val="111"/>
    <w:qFormat/>
    <w:uiPriority w:val="0"/>
    <w:pPr>
      <w:adjustRightInd w:val="0"/>
      <w:spacing w:line="360" w:lineRule="auto"/>
      <w:ind w:firstLine="482" w:firstLineChars="200"/>
      <w:jc w:val="left"/>
      <w:textAlignment w:val="baseline"/>
    </w:pPr>
    <w:rPr>
      <w:b/>
      <w:kern w:val="0"/>
      <w:sz w:val="24"/>
      <w:szCs w:val="20"/>
    </w:rPr>
  </w:style>
  <w:style w:type="character" w:customStyle="1" w:styleId="113">
    <w:name w:val="中等深浅网格 1 - 强调文字颜色 2 Char"/>
    <w:link w:val="114"/>
    <w:qFormat/>
    <w:uiPriority w:val="0"/>
    <w:rPr>
      <w:kern w:val="2"/>
      <w:sz w:val="21"/>
      <w:szCs w:val="24"/>
      <w:lang w:val="zh-CN" w:eastAsia="zh-CN"/>
    </w:rPr>
  </w:style>
  <w:style w:type="paragraph" w:customStyle="1" w:styleId="114">
    <w:name w:val="1"/>
    <w:next w:val="24"/>
    <w:link w:val="113"/>
    <w:qFormat/>
    <w:uiPriority w:val="0"/>
    <w:rPr>
      <w:rFonts w:ascii="Times New Roman" w:hAnsi="Times New Roman" w:eastAsia="宋体" w:cs="Times New Roman"/>
      <w:kern w:val="2"/>
      <w:sz w:val="21"/>
      <w:szCs w:val="24"/>
      <w:lang w:val="zh-CN" w:eastAsia="zh-CN" w:bidi="ar-SA"/>
    </w:rPr>
  </w:style>
  <w:style w:type="character" w:customStyle="1" w:styleId="115">
    <w:name w:val="纯文本 字符1"/>
    <w:qFormat/>
    <w:uiPriority w:val="0"/>
    <w:rPr>
      <w:rFonts w:ascii="宋体" w:hAnsi="Courier New"/>
    </w:rPr>
  </w:style>
  <w:style w:type="character" w:customStyle="1" w:styleId="116">
    <w:name w:val="bjh-p"/>
    <w:qFormat/>
    <w:uiPriority w:val="0"/>
  </w:style>
  <w:style w:type="character" w:customStyle="1" w:styleId="117">
    <w:name w:val="正文格式 Char"/>
    <w:link w:val="118"/>
    <w:qFormat/>
    <w:locked/>
    <w:uiPriority w:val="0"/>
    <w:rPr>
      <w:rFonts w:ascii="宋体" w:hAnsi="宋体"/>
      <w:sz w:val="24"/>
      <w:szCs w:val="24"/>
      <w:lang w:val="en-GB"/>
    </w:rPr>
  </w:style>
  <w:style w:type="paragraph" w:customStyle="1" w:styleId="118">
    <w:name w:val="正文格式"/>
    <w:basedOn w:val="1"/>
    <w:link w:val="117"/>
    <w:qFormat/>
    <w:uiPriority w:val="0"/>
    <w:pPr>
      <w:spacing w:beforeLines="50" w:line="360" w:lineRule="auto"/>
      <w:ind w:firstLine="480" w:firstLineChars="200"/>
    </w:pPr>
    <w:rPr>
      <w:rFonts w:ascii="宋体" w:hAnsi="宋体"/>
      <w:kern w:val="0"/>
      <w:sz w:val="24"/>
      <w:lang w:val="en-GB"/>
    </w:rPr>
  </w:style>
  <w:style w:type="character" w:customStyle="1" w:styleId="119">
    <w:name w:val="标题 3 Char"/>
    <w:qFormat/>
    <w:uiPriority w:val="0"/>
    <w:rPr>
      <w:rFonts w:ascii="宋体" w:eastAsia="宋体"/>
      <w:b/>
      <w:sz w:val="24"/>
      <w:u w:val="single"/>
      <w:lang w:val="en-US" w:eastAsia="zh-CN" w:bidi="ar-SA"/>
    </w:rPr>
  </w:style>
  <w:style w:type="character" w:customStyle="1" w:styleId="120">
    <w:name w:val="正文缩进 Char"/>
    <w:qFormat/>
    <w:uiPriority w:val="0"/>
    <w:rPr>
      <w:rFonts w:ascii="宋体" w:eastAsia="宋体"/>
      <w:kern w:val="2"/>
      <w:sz w:val="24"/>
      <w:szCs w:val="24"/>
      <w:lang w:val="en-US" w:eastAsia="zh-CN" w:bidi="ar-SA"/>
    </w:rPr>
  </w:style>
  <w:style w:type="character" w:customStyle="1" w:styleId="121">
    <w:name w:val="Char Char111"/>
    <w:qFormat/>
    <w:uiPriority w:val="0"/>
    <w:rPr>
      <w:rFonts w:ascii="宋体" w:eastAsia="宋体"/>
      <w:b/>
      <w:sz w:val="24"/>
      <w:u w:val="single"/>
      <w:lang w:val="en-US" w:eastAsia="zh-CN" w:bidi="ar-SA"/>
    </w:rPr>
  </w:style>
  <w:style w:type="character" w:customStyle="1" w:styleId="122">
    <w:name w:val="正文文本缩进 Char"/>
    <w:qFormat/>
    <w:uiPriority w:val="0"/>
    <w:rPr>
      <w:rFonts w:eastAsia="宋体"/>
      <w:kern w:val="2"/>
      <w:sz w:val="24"/>
      <w:szCs w:val="24"/>
      <w:lang w:val="en-US" w:eastAsia="zh-CN" w:bidi="ar-SA"/>
    </w:rPr>
  </w:style>
  <w:style w:type="character" w:customStyle="1" w:styleId="123">
    <w:name w:val="列出段落 Char"/>
    <w:qFormat/>
    <w:uiPriority w:val="0"/>
    <w:rPr>
      <w:rFonts w:ascii="Calibri" w:hAnsi="Calibri" w:eastAsia="宋体"/>
      <w:kern w:val="2"/>
      <w:sz w:val="21"/>
      <w:szCs w:val="22"/>
      <w:lang w:val="en-US" w:eastAsia="zh-CN" w:bidi="ar-SA"/>
    </w:rPr>
  </w:style>
  <w:style w:type="character" w:customStyle="1" w:styleId="124">
    <w:name w:val="页眉 Char"/>
    <w:qFormat/>
    <w:uiPriority w:val="0"/>
    <w:rPr>
      <w:rFonts w:eastAsia="宋体"/>
      <w:kern w:val="2"/>
      <w:sz w:val="18"/>
      <w:szCs w:val="18"/>
      <w:lang w:val="en-US" w:eastAsia="zh-CN" w:bidi="ar-SA"/>
    </w:rPr>
  </w:style>
  <w:style w:type="character" w:customStyle="1" w:styleId="125">
    <w:name w:val="标题 2 Char"/>
    <w:qFormat/>
    <w:uiPriority w:val="0"/>
    <w:rPr>
      <w:rFonts w:ascii="Arial" w:hAnsi="Arial" w:eastAsia="黑体"/>
      <w:b/>
      <w:sz w:val="30"/>
      <w:lang w:val="en-US" w:eastAsia="zh-CN" w:bidi="ar-SA"/>
    </w:rPr>
  </w:style>
  <w:style w:type="character" w:customStyle="1" w:styleId="126">
    <w:name w:val="页脚 Char"/>
    <w:qFormat/>
    <w:uiPriority w:val="0"/>
    <w:rPr>
      <w:rFonts w:ascii="宋体" w:eastAsia="宋体"/>
      <w:sz w:val="18"/>
      <w:lang w:val="en-US" w:eastAsia="zh-CN" w:bidi="ar-SA"/>
    </w:rPr>
  </w:style>
  <w:style w:type="character" w:customStyle="1" w:styleId="127">
    <w:name w:val="批注文字 Char"/>
    <w:qFormat/>
    <w:uiPriority w:val="99"/>
    <w:rPr>
      <w:kern w:val="2"/>
      <w:sz w:val="21"/>
      <w:szCs w:val="24"/>
    </w:rPr>
  </w:style>
  <w:style w:type="character" w:customStyle="1" w:styleId="128">
    <w:name w:val="标题 Char"/>
    <w:qFormat/>
    <w:uiPriority w:val="0"/>
    <w:rPr>
      <w:b/>
      <w:kern w:val="2"/>
      <w:sz w:val="32"/>
    </w:rPr>
  </w:style>
  <w:style w:type="paragraph" w:customStyle="1" w:styleId="129">
    <w:name w:val="Char21"/>
    <w:basedOn w:val="1"/>
    <w:qFormat/>
    <w:uiPriority w:val="0"/>
    <w:rPr>
      <w:rFonts w:ascii="Tahoma" w:hAnsi="Tahoma"/>
      <w:sz w:val="24"/>
      <w:szCs w:val="20"/>
    </w:rPr>
  </w:style>
  <w:style w:type="paragraph" w:customStyle="1" w:styleId="130">
    <w:name w:val="default"/>
    <w:basedOn w:val="1"/>
    <w:qFormat/>
    <w:uiPriority w:val="0"/>
    <w:pPr>
      <w:widowControl/>
      <w:spacing w:before="100" w:beforeAutospacing="1" w:after="100" w:afterAutospacing="1"/>
      <w:jc w:val="left"/>
    </w:pPr>
    <w:rPr>
      <w:rFonts w:ascii="宋体" w:hAnsi="宋体" w:cs="宋体"/>
      <w:kern w:val="0"/>
      <w:sz w:val="24"/>
    </w:rPr>
  </w:style>
  <w:style w:type="paragraph" w:customStyle="1" w:styleId="131">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32">
    <w:name w:val="Char Char Char1"/>
    <w:basedOn w:val="1"/>
    <w:qFormat/>
    <w:uiPriority w:val="0"/>
    <w:rPr>
      <w:rFonts w:ascii="Tahoma" w:hAnsi="Tahoma"/>
      <w:sz w:val="24"/>
      <w:szCs w:val="20"/>
    </w:rPr>
  </w:style>
  <w:style w:type="paragraph" w:customStyle="1" w:styleId="133">
    <w:name w:val="22222222222222"/>
    <w:basedOn w:val="1"/>
    <w:qFormat/>
    <w:uiPriority w:val="0"/>
    <w:pPr>
      <w:widowControl/>
      <w:adjustRightInd w:val="0"/>
      <w:spacing w:line="360" w:lineRule="auto"/>
      <w:ind w:firstLine="480" w:firstLineChars="200"/>
      <w:jc w:val="left"/>
    </w:pPr>
    <w:rPr>
      <w:color w:val="FF0000"/>
      <w:kern w:val="0"/>
      <w:sz w:val="24"/>
      <w:szCs w:val="20"/>
    </w:rPr>
  </w:style>
  <w:style w:type="paragraph" w:customStyle="1" w:styleId="134">
    <w:name w:val="二级条标题"/>
    <w:basedOn w:val="135"/>
    <w:next w:val="1"/>
    <w:qFormat/>
    <w:uiPriority w:val="0"/>
    <w:pPr>
      <w:numPr>
        <w:ilvl w:val="0"/>
        <w:numId w:val="0"/>
      </w:numPr>
      <w:tabs>
        <w:tab w:val="left" w:pos="360"/>
        <w:tab w:val="left" w:pos="840"/>
      </w:tabs>
      <w:ind w:hanging="840"/>
      <w:outlineLvl w:val="2"/>
    </w:pPr>
    <w:rPr>
      <w:rFonts w:ascii="宋体" w:eastAsia="宋体"/>
      <w:b w:val="0"/>
    </w:rPr>
  </w:style>
  <w:style w:type="paragraph" w:customStyle="1" w:styleId="135">
    <w:name w:val="一级条标题"/>
    <w:basedOn w:val="136"/>
    <w:next w:val="1"/>
    <w:qFormat/>
    <w:uiPriority w:val="0"/>
    <w:pPr>
      <w:numPr>
        <w:ilvl w:val="1"/>
      </w:numPr>
      <w:tabs>
        <w:tab w:val="left" w:pos="360"/>
        <w:tab w:val="left" w:pos="840"/>
      </w:tabs>
      <w:ind w:left="0" w:hanging="840"/>
      <w:outlineLvl w:val="1"/>
    </w:pPr>
  </w:style>
  <w:style w:type="paragraph" w:customStyle="1" w:styleId="136">
    <w:name w:val="章标题"/>
    <w:next w:val="1"/>
    <w:qFormat/>
    <w:uiPriority w:val="0"/>
    <w:pPr>
      <w:numPr>
        <w:ilvl w:val="0"/>
        <w:numId w:val="1"/>
      </w:numPr>
      <w:spacing w:before="156" w:beforeLines="50" w:after="156" w:afterLines="50" w:line="460" w:lineRule="exact"/>
      <w:ind w:left="0"/>
      <w:jc w:val="both"/>
      <w:outlineLvl w:val="0"/>
    </w:pPr>
    <w:rPr>
      <w:rFonts w:ascii="黑体" w:hAnsi="Times New Roman" w:eastAsia="黑体" w:cs="Times New Roman"/>
      <w:b/>
      <w:sz w:val="28"/>
      <w:lang w:val="en-US" w:eastAsia="zh-CN" w:bidi="ar-SA"/>
    </w:rPr>
  </w:style>
  <w:style w:type="paragraph" w:customStyle="1" w:styleId="137">
    <w:name w:val="Char2 Char Char Char Char Char Char"/>
    <w:basedOn w:val="1"/>
    <w:qFormat/>
    <w:uiPriority w:val="0"/>
    <w:pPr>
      <w:widowControl/>
      <w:spacing w:line="400" w:lineRule="exact"/>
      <w:jc w:val="center"/>
    </w:pPr>
  </w:style>
  <w:style w:type="paragraph" w:customStyle="1" w:styleId="138">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39">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40">
    <w:name w:val="Char1 Char Char Char1"/>
    <w:basedOn w:val="1"/>
    <w:qFormat/>
    <w:uiPriority w:val="0"/>
    <w:rPr>
      <w:rFonts w:ascii="Tahoma" w:hAnsi="Tahoma" w:cs="仿宋_GB2312"/>
      <w:sz w:val="24"/>
      <w:szCs w:val="28"/>
    </w:rPr>
  </w:style>
  <w:style w:type="paragraph" w:customStyle="1" w:styleId="141">
    <w:name w:val="字元 字元"/>
    <w:basedOn w:val="1"/>
    <w:qFormat/>
    <w:uiPriority w:val="0"/>
    <w:rPr>
      <w:rFonts w:ascii="Tahoma" w:hAnsi="Tahoma"/>
      <w:sz w:val="24"/>
      <w:szCs w:val="20"/>
    </w:rPr>
  </w:style>
  <w:style w:type="paragraph" w:customStyle="1" w:styleId="142">
    <w:name w:val="列出段落1"/>
    <w:basedOn w:val="1"/>
    <w:qFormat/>
    <w:uiPriority w:val="0"/>
    <w:pPr>
      <w:ind w:firstLine="420" w:firstLineChars="200"/>
    </w:pPr>
    <w:rPr>
      <w:rFonts w:ascii="Calibri" w:hAnsi="Calibri"/>
      <w:szCs w:val="22"/>
    </w:rPr>
  </w:style>
  <w:style w:type="paragraph" w:customStyle="1" w:styleId="143">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44">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6">
    <w:name w:val="项目编号3"/>
    <w:basedOn w:val="147"/>
    <w:qFormat/>
    <w:uiPriority w:val="0"/>
    <w:pPr>
      <w:numPr>
        <w:ilvl w:val="0"/>
        <w:numId w:val="2"/>
      </w:numPr>
    </w:pPr>
  </w:style>
  <w:style w:type="paragraph" w:customStyle="1" w:styleId="147">
    <w:name w:val="正文文本样式"/>
    <w:basedOn w:val="1"/>
    <w:qFormat/>
    <w:uiPriority w:val="0"/>
    <w:pPr>
      <w:spacing w:line="360" w:lineRule="auto"/>
      <w:ind w:firstLine="482"/>
    </w:pPr>
    <w:rPr>
      <w:rFonts w:cs="宋体"/>
      <w:sz w:val="24"/>
      <w:szCs w:val="20"/>
    </w:rPr>
  </w:style>
  <w:style w:type="paragraph" w:customStyle="1" w:styleId="148">
    <w:name w:val="正文文本样式 加粗"/>
    <w:basedOn w:val="147"/>
    <w:qFormat/>
    <w:uiPriority w:val="0"/>
    <w:rPr>
      <w:b/>
    </w:rPr>
  </w:style>
  <w:style w:type="paragraph" w:customStyle="1" w:styleId="149">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50">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51">
    <w:name w:val="缺省文本"/>
    <w:basedOn w:val="1"/>
    <w:qFormat/>
    <w:uiPriority w:val="0"/>
    <w:pPr>
      <w:autoSpaceDE w:val="0"/>
      <w:autoSpaceDN w:val="0"/>
      <w:adjustRightInd w:val="0"/>
      <w:jc w:val="left"/>
    </w:pPr>
    <w:rPr>
      <w:kern w:val="0"/>
      <w:sz w:val="24"/>
    </w:rPr>
  </w:style>
  <w:style w:type="paragraph" w:customStyle="1" w:styleId="152">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53">
    <w:name w:val="font7"/>
    <w:basedOn w:val="1"/>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154">
    <w:name w:val="_Style 160"/>
    <w:qFormat/>
    <w:uiPriority w:val="0"/>
    <w:rPr>
      <w:rFonts w:ascii="Times New Roman" w:hAnsi="Times New Roman" w:eastAsia="宋体" w:cs="Times New Roman"/>
      <w:kern w:val="2"/>
      <w:sz w:val="21"/>
      <w:szCs w:val="24"/>
      <w:lang w:val="en-US" w:eastAsia="zh-CN" w:bidi="ar-SA"/>
    </w:rPr>
  </w:style>
  <w:style w:type="paragraph" w:customStyle="1" w:styleId="155">
    <w:name w:val="文档正文"/>
    <w:basedOn w:val="1"/>
    <w:qFormat/>
    <w:uiPriority w:val="0"/>
    <w:pPr>
      <w:snapToGrid w:val="0"/>
      <w:spacing w:before="120" w:after="120" w:line="180" w:lineRule="auto"/>
    </w:pPr>
    <w:rPr>
      <w:rFonts w:ascii="Arial" w:hAnsi="Arial"/>
      <w:szCs w:val="20"/>
    </w:rPr>
  </w:style>
  <w:style w:type="paragraph" w:customStyle="1" w:styleId="156">
    <w:name w:val="Char Char Char Char Char Char Char Char Char Char1"/>
    <w:basedOn w:val="1"/>
    <w:qFormat/>
    <w:uiPriority w:val="0"/>
    <w:rPr>
      <w:rFonts w:ascii="宋体" w:hAnsi="宋体" w:cs="Courier New"/>
      <w:sz w:val="32"/>
      <w:szCs w:val="32"/>
    </w:rPr>
  </w:style>
  <w:style w:type="paragraph" w:customStyle="1" w:styleId="157">
    <w:name w:val="Char Char Char Char Char Char Char Char Char Char"/>
    <w:basedOn w:val="1"/>
    <w:qFormat/>
    <w:uiPriority w:val="0"/>
  </w:style>
  <w:style w:type="paragraph" w:customStyle="1" w:styleId="158">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59">
    <w:name w:val="正文列项_字母"/>
    <w:basedOn w:val="1"/>
    <w:qFormat/>
    <w:uiPriority w:val="0"/>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6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61">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62">
    <w:name w:val="字元 字元1"/>
    <w:basedOn w:val="1"/>
    <w:qFormat/>
    <w:uiPriority w:val="0"/>
    <w:rPr>
      <w:rFonts w:ascii="Tahoma" w:hAnsi="Tahoma"/>
      <w:sz w:val="24"/>
      <w:szCs w:val="20"/>
    </w:rPr>
  </w:style>
  <w:style w:type="paragraph" w:customStyle="1" w:styleId="163">
    <w:name w:val="Char Char Char1 Char"/>
    <w:basedOn w:val="1"/>
    <w:qFormat/>
    <w:uiPriority w:val="0"/>
    <w:rPr>
      <w:rFonts w:ascii="Tahoma" w:hAnsi="Tahoma"/>
      <w:sz w:val="24"/>
      <w:szCs w:val="20"/>
    </w:rPr>
  </w:style>
  <w:style w:type="paragraph" w:customStyle="1" w:styleId="164">
    <w:name w:val="表格文字"/>
    <w:basedOn w:val="19"/>
    <w:qFormat/>
    <w:uiPriority w:val="0"/>
    <w:pPr>
      <w:spacing w:before="20" w:after="20" w:line="240" w:lineRule="auto"/>
      <w:ind w:firstLine="0"/>
    </w:pPr>
    <w:rPr>
      <w:rFonts w:ascii="Century Gothic" w:hAnsi="Century Gothic"/>
      <w:sz w:val="20"/>
      <w:szCs w:val="20"/>
    </w:rPr>
  </w:style>
  <w:style w:type="paragraph" w:customStyle="1" w:styleId="165">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166">
    <w:name w:val="Char Char Char"/>
    <w:basedOn w:val="1"/>
    <w:qFormat/>
    <w:uiPriority w:val="0"/>
    <w:rPr>
      <w:rFonts w:ascii="Tahoma" w:hAnsi="Tahoma"/>
      <w:sz w:val="24"/>
      <w:szCs w:val="20"/>
    </w:rPr>
  </w:style>
  <w:style w:type="paragraph" w:customStyle="1" w:styleId="167">
    <w:name w:val="样式 标题 2 + 宋体 五号 行距: 单倍行距"/>
    <w:basedOn w:val="3"/>
    <w:qFormat/>
    <w:uiPriority w:val="0"/>
    <w:pPr>
      <w:numPr>
        <w:ilvl w:val="1"/>
        <w:numId w:val="3"/>
      </w:numPr>
      <w:autoSpaceDE/>
      <w:autoSpaceDN/>
      <w:spacing w:before="260" w:after="260" w:line="240" w:lineRule="auto"/>
      <w:jc w:val="left"/>
      <w:textAlignment w:val="baseline"/>
    </w:pPr>
    <w:rPr>
      <w:rFonts w:ascii="宋体" w:hAnsi="宋体" w:eastAsia="宋体"/>
      <w:bCs/>
      <w:sz w:val="21"/>
    </w:rPr>
  </w:style>
  <w:style w:type="paragraph" w:customStyle="1" w:styleId="168">
    <w:name w:val="Char3 Char Char Char"/>
    <w:basedOn w:val="1"/>
    <w:qFormat/>
    <w:uiPriority w:val="0"/>
    <w:rPr>
      <w:rFonts w:ascii="Tahoma" w:hAnsi="Tahoma"/>
      <w:sz w:val="24"/>
      <w:szCs w:val="20"/>
    </w:rPr>
  </w:style>
  <w:style w:type="paragraph" w:customStyle="1" w:styleId="169">
    <w:name w:val="xl23"/>
    <w:basedOn w:val="1"/>
    <w:qFormat/>
    <w:uiPriority w:val="0"/>
    <w:pPr>
      <w:widowControl/>
      <w:spacing w:before="100" w:beforeAutospacing="1" w:after="100" w:afterAutospacing="1" w:line="360" w:lineRule="auto"/>
      <w:textAlignment w:val="top"/>
    </w:pPr>
    <w:rPr>
      <w:kern w:val="0"/>
      <w:sz w:val="24"/>
      <w:szCs w:val="20"/>
    </w:rPr>
  </w:style>
  <w:style w:type="paragraph" w:customStyle="1" w:styleId="170">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71">
    <w:name w:val="font9"/>
    <w:basedOn w:val="1"/>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72">
    <w:name w:val="xl37"/>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73">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74">
    <w:name w:val="正文 + 宋体"/>
    <w:basedOn w:val="1"/>
    <w:qFormat/>
    <w:uiPriority w:val="0"/>
    <w:pPr>
      <w:widowControl/>
      <w:ind w:left="360" w:hanging="360"/>
      <w:jc w:val="left"/>
    </w:pPr>
    <w:rPr>
      <w:rFonts w:ascii="宋体" w:hAnsi="宋体" w:cs="宋体"/>
      <w:b/>
      <w:bCs/>
      <w:color w:val="000000"/>
      <w:kern w:val="0"/>
      <w:sz w:val="18"/>
      <w:szCs w:val="18"/>
    </w:rPr>
  </w:style>
  <w:style w:type="paragraph" w:customStyle="1" w:styleId="175">
    <w:name w:val="font8"/>
    <w:basedOn w:val="1"/>
    <w:qFormat/>
    <w:uiPriority w:val="0"/>
    <w:pPr>
      <w:widowControl/>
      <w:spacing w:before="100" w:beforeAutospacing="1" w:after="100" w:afterAutospacing="1"/>
      <w:jc w:val="left"/>
    </w:pPr>
    <w:rPr>
      <w:kern w:val="0"/>
      <w:sz w:val="36"/>
      <w:szCs w:val="36"/>
    </w:rPr>
  </w:style>
  <w:style w:type="paragraph" w:customStyle="1" w:styleId="176">
    <w:name w:val="Char Char4"/>
    <w:basedOn w:val="1"/>
    <w:qFormat/>
    <w:uiPriority w:val="0"/>
    <w:pPr>
      <w:widowControl/>
      <w:spacing w:line="400" w:lineRule="exact"/>
      <w:jc w:val="center"/>
    </w:pPr>
  </w:style>
  <w:style w:type="paragraph" w:customStyle="1" w:styleId="177">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78">
    <w:name w:val="Char Char Char1 Char1"/>
    <w:basedOn w:val="1"/>
    <w:qFormat/>
    <w:uiPriority w:val="0"/>
    <w:rPr>
      <w:rFonts w:ascii="Tahoma" w:hAnsi="Tahoma"/>
      <w:sz w:val="24"/>
      <w:szCs w:val="20"/>
    </w:rPr>
  </w:style>
  <w:style w:type="paragraph" w:customStyle="1" w:styleId="179">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80">
    <w:name w:val="正文列项_数字"/>
    <w:basedOn w:val="1"/>
    <w:qFormat/>
    <w:uiPriority w:val="0"/>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81">
    <w:name w:val="表格1"/>
    <w:basedOn w:val="1"/>
    <w:qFormat/>
    <w:uiPriority w:val="0"/>
    <w:pPr>
      <w:ind w:firstLine="480" w:firstLineChars="200"/>
      <w:jc w:val="center"/>
    </w:pPr>
    <w:rPr>
      <w:sz w:val="24"/>
      <w:szCs w:val="20"/>
    </w:rPr>
  </w:style>
  <w:style w:type="paragraph" w:customStyle="1" w:styleId="182">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183">
    <w:name w:val="Char3 Char Char Char1"/>
    <w:basedOn w:val="1"/>
    <w:qFormat/>
    <w:uiPriority w:val="0"/>
    <w:rPr>
      <w:rFonts w:ascii="Tahoma" w:hAnsi="Tahoma"/>
      <w:sz w:val="24"/>
      <w:szCs w:val="20"/>
    </w:rPr>
  </w:style>
  <w:style w:type="paragraph" w:customStyle="1" w:styleId="184">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85">
    <w:name w:val="List Paragraph1"/>
    <w:basedOn w:val="1"/>
    <w:qFormat/>
    <w:uiPriority w:val="0"/>
    <w:pPr>
      <w:ind w:firstLine="420" w:firstLineChars="200"/>
    </w:pPr>
    <w:rPr>
      <w:rFonts w:ascii="Calibri" w:hAnsi="Calibri"/>
      <w:szCs w:val="22"/>
    </w:rPr>
  </w:style>
  <w:style w:type="paragraph" w:customStyle="1" w:styleId="186">
    <w:name w:val="1名"/>
    <w:basedOn w:val="1"/>
    <w:qFormat/>
    <w:uiPriority w:val="0"/>
    <w:pPr>
      <w:numPr>
        <w:ilvl w:val="0"/>
        <w:numId w:val="4"/>
      </w:numPr>
      <w:spacing w:before="120"/>
    </w:pPr>
    <w:rPr>
      <w:rFonts w:ascii="宋体"/>
      <w:sz w:val="28"/>
      <w:szCs w:val="20"/>
    </w:rPr>
  </w:style>
  <w:style w:type="paragraph" w:customStyle="1" w:styleId="187">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88">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89">
    <w:name w:val="Char"/>
    <w:basedOn w:val="1"/>
    <w:qFormat/>
    <w:uiPriority w:val="0"/>
    <w:pPr>
      <w:tabs>
        <w:tab w:val="left" w:pos="360"/>
      </w:tabs>
    </w:pPr>
    <w:rPr>
      <w:sz w:val="24"/>
    </w:rPr>
  </w:style>
  <w:style w:type="paragraph" w:customStyle="1" w:styleId="190">
    <w:name w:val="Char1"/>
    <w:basedOn w:val="1"/>
    <w:qFormat/>
    <w:uiPriority w:val="0"/>
    <w:pPr>
      <w:tabs>
        <w:tab w:val="left" w:pos="360"/>
      </w:tabs>
    </w:pPr>
    <w:rPr>
      <w:sz w:val="24"/>
    </w:rPr>
  </w:style>
  <w:style w:type="paragraph" w:customStyle="1" w:styleId="191">
    <w:name w:val="Char Char1"/>
    <w:basedOn w:val="15"/>
    <w:qFormat/>
    <w:uiPriority w:val="0"/>
    <w:rPr>
      <w:rFonts w:ascii="Tahoma" w:hAnsi="Tahoma"/>
      <w:sz w:val="24"/>
    </w:rPr>
  </w:style>
  <w:style w:type="paragraph" w:customStyle="1" w:styleId="192">
    <w:name w:val="四级条标题"/>
    <w:basedOn w:val="193"/>
    <w:next w:val="1"/>
    <w:qFormat/>
    <w:uiPriority w:val="0"/>
    <w:pPr>
      <w:numPr>
        <w:ilvl w:val="4"/>
      </w:numPr>
      <w:tabs>
        <w:tab w:val="left" w:pos="360"/>
        <w:tab w:val="left" w:pos="840"/>
      </w:tabs>
      <w:ind w:left="0" w:hanging="840"/>
      <w:outlineLvl w:val="4"/>
    </w:pPr>
  </w:style>
  <w:style w:type="paragraph" w:customStyle="1" w:styleId="193">
    <w:name w:val="三级条标题"/>
    <w:basedOn w:val="134"/>
    <w:next w:val="1"/>
    <w:qFormat/>
    <w:uiPriority w:val="0"/>
    <w:pPr>
      <w:numPr>
        <w:ilvl w:val="3"/>
        <w:numId w:val="1"/>
      </w:numPr>
      <w:ind w:left="0" w:hanging="840"/>
      <w:outlineLvl w:val="3"/>
    </w:pPr>
  </w:style>
  <w:style w:type="paragraph" w:customStyle="1" w:styleId="194">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95">
    <w:name w:val="项目编号2"/>
    <w:basedOn w:val="196"/>
    <w:qFormat/>
    <w:uiPriority w:val="0"/>
    <w:pPr>
      <w:numPr>
        <w:numId w:val="5"/>
      </w:numPr>
    </w:pPr>
  </w:style>
  <w:style w:type="paragraph" w:customStyle="1" w:styleId="196">
    <w:name w:val="项目编号1"/>
    <w:basedOn w:val="1"/>
    <w:qFormat/>
    <w:uiPriority w:val="0"/>
    <w:pPr>
      <w:numPr>
        <w:ilvl w:val="0"/>
        <w:numId w:val="6"/>
      </w:numPr>
      <w:spacing w:before="100" w:beforeAutospacing="1" w:after="100" w:afterAutospacing="1" w:line="360" w:lineRule="auto"/>
    </w:pPr>
    <w:rPr>
      <w:sz w:val="24"/>
    </w:rPr>
  </w:style>
  <w:style w:type="paragraph" w:customStyle="1" w:styleId="197">
    <w:name w:val="标题1-附件"/>
    <w:basedOn w:val="2"/>
    <w:qFormat/>
    <w:uiPriority w:val="0"/>
    <w:pPr>
      <w:jc w:val="left"/>
    </w:pPr>
    <w:rPr>
      <w:sz w:val="24"/>
      <w:szCs w:val="24"/>
    </w:rPr>
  </w:style>
  <w:style w:type="paragraph" w:customStyle="1" w:styleId="198">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99">
    <w:name w:val="图文"/>
    <w:basedOn w:val="1"/>
    <w:qFormat/>
    <w:uiPriority w:val="0"/>
    <w:pPr>
      <w:adjustRightInd w:val="0"/>
      <w:snapToGrid w:val="0"/>
      <w:spacing w:after="50" w:line="360" w:lineRule="auto"/>
    </w:pPr>
    <w:rPr>
      <w:sz w:val="24"/>
    </w:rPr>
  </w:style>
  <w:style w:type="paragraph" w:customStyle="1" w:styleId="200">
    <w:name w:val="图中文字"/>
    <w:basedOn w:val="1"/>
    <w:qFormat/>
    <w:uiPriority w:val="0"/>
    <w:pPr>
      <w:adjustRightInd w:val="0"/>
      <w:snapToGrid w:val="0"/>
      <w:spacing w:line="0" w:lineRule="atLeast"/>
      <w:jc w:val="center"/>
    </w:pPr>
    <w:rPr>
      <w:sz w:val="24"/>
      <w:szCs w:val="20"/>
    </w:rPr>
  </w:style>
  <w:style w:type="paragraph" w:customStyle="1" w:styleId="201">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202">
    <w:name w:val="默认段落字体 Para Char Char Char Char"/>
    <w:basedOn w:val="1"/>
    <w:qFormat/>
    <w:uiPriority w:val="0"/>
    <w:rPr>
      <w:rFonts w:ascii="Arial" w:hAnsi="Arial" w:cs="Arial"/>
      <w:szCs w:val="21"/>
    </w:rPr>
  </w:style>
  <w:style w:type="paragraph" w:customStyle="1" w:styleId="203">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204">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20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206">
    <w:name w:val="Char2"/>
    <w:basedOn w:val="1"/>
    <w:qFormat/>
    <w:uiPriority w:val="0"/>
    <w:rPr>
      <w:rFonts w:ascii="Tahoma" w:hAnsi="Tahoma"/>
      <w:sz w:val="24"/>
      <w:szCs w:val="20"/>
    </w:rPr>
  </w:style>
  <w:style w:type="paragraph" w:customStyle="1" w:styleId="20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208">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09">
    <w:name w:val="正文须知-1级"/>
    <w:basedOn w:val="1"/>
    <w:next w:val="1"/>
    <w:qFormat/>
    <w:uiPriority w:val="0"/>
    <w:pPr>
      <w:numPr>
        <w:ilvl w:val="0"/>
        <w:numId w:val="7"/>
      </w:numPr>
      <w:adjustRightInd w:val="0"/>
      <w:snapToGrid w:val="0"/>
      <w:spacing w:line="300" w:lineRule="auto"/>
    </w:pPr>
    <w:rPr>
      <w:rFonts w:ascii="宋体" w:hAnsi="Calibri"/>
      <w:sz w:val="24"/>
      <w:szCs w:val="21"/>
    </w:rPr>
  </w:style>
  <w:style w:type="paragraph" w:customStyle="1" w:styleId="210">
    <w:name w:val="正文 + 楷体_GB2312"/>
    <w:basedOn w:val="1"/>
    <w:qFormat/>
    <w:uiPriority w:val="0"/>
    <w:pPr>
      <w:widowControl/>
      <w:jc w:val="left"/>
    </w:pPr>
    <w:rPr>
      <w:rFonts w:ascii="楷体_GB2312" w:eastAsia="楷体_GB2312" w:cs="Arial"/>
      <w:kern w:val="0"/>
      <w:sz w:val="24"/>
    </w:rPr>
  </w:style>
  <w:style w:type="paragraph" w:customStyle="1" w:styleId="211">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12">
    <w:name w:val="正文须知-2级"/>
    <w:basedOn w:val="1"/>
    <w:qFormat/>
    <w:uiPriority w:val="0"/>
    <w:pPr>
      <w:numPr>
        <w:ilvl w:val="1"/>
        <w:numId w:val="7"/>
      </w:numPr>
      <w:adjustRightInd w:val="0"/>
      <w:snapToGrid w:val="0"/>
      <w:spacing w:line="300" w:lineRule="auto"/>
    </w:pPr>
    <w:rPr>
      <w:rFonts w:ascii="宋体" w:hAnsi="Calibri"/>
      <w:sz w:val="24"/>
      <w:szCs w:val="21"/>
    </w:rPr>
  </w:style>
  <w:style w:type="paragraph" w:customStyle="1" w:styleId="213">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214">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215">
    <w:name w:val="正文须知-3级"/>
    <w:basedOn w:val="1"/>
    <w:qFormat/>
    <w:uiPriority w:val="0"/>
    <w:pPr>
      <w:numPr>
        <w:ilvl w:val="2"/>
        <w:numId w:val="7"/>
      </w:numPr>
      <w:adjustRightInd w:val="0"/>
      <w:snapToGrid w:val="0"/>
      <w:spacing w:line="300" w:lineRule="auto"/>
      <w:ind w:hanging="355" w:hangingChars="355"/>
    </w:pPr>
    <w:rPr>
      <w:rFonts w:ascii="宋体" w:hAnsi="Calibri"/>
      <w:sz w:val="24"/>
      <w:szCs w:val="21"/>
    </w:rPr>
  </w:style>
  <w:style w:type="paragraph" w:customStyle="1" w:styleId="216">
    <w:name w:val="1 Char Char Char Char"/>
    <w:basedOn w:val="1"/>
    <w:qFormat/>
    <w:uiPriority w:val="0"/>
    <w:rPr>
      <w:rFonts w:ascii="Tahoma" w:hAnsi="Tahoma"/>
      <w:sz w:val="24"/>
      <w:szCs w:val="20"/>
    </w:rPr>
  </w:style>
  <w:style w:type="paragraph" w:customStyle="1" w:styleId="217">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18">
    <w:name w:val="样式2"/>
    <w:basedOn w:val="39"/>
    <w:qFormat/>
    <w:uiPriority w:val="0"/>
    <w:pPr>
      <w:spacing w:line="360" w:lineRule="auto"/>
      <w:jc w:val="center"/>
    </w:pPr>
    <w:rPr>
      <w:sz w:val="24"/>
    </w:rPr>
  </w:style>
  <w:style w:type="paragraph" w:customStyle="1" w:styleId="219">
    <w:name w:val="项目符号1"/>
    <w:basedOn w:val="147"/>
    <w:qFormat/>
    <w:uiPriority w:val="0"/>
    <w:pPr>
      <w:ind w:left="-25" w:firstLine="0"/>
    </w:pPr>
  </w:style>
  <w:style w:type="paragraph" w:customStyle="1" w:styleId="220">
    <w:name w:val="background1"/>
    <w:basedOn w:val="1"/>
    <w:qFormat/>
    <w:uiPriority w:val="0"/>
    <w:pPr>
      <w:widowControl/>
      <w:spacing w:before="100" w:beforeAutospacing="1" w:after="100" w:afterAutospacing="1"/>
      <w:jc w:val="left"/>
    </w:pPr>
    <w:rPr>
      <w:rFonts w:ascii="宋体" w:hAnsi="宋体" w:cs="宋体"/>
      <w:kern w:val="0"/>
      <w:sz w:val="24"/>
    </w:rPr>
  </w:style>
  <w:style w:type="paragraph" w:customStyle="1" w:styleId="221">
    <w:name w:val="Char Char Char Char Char Char Char Char Char Char Char Char Char Char Char Char"/>
    <w:basedOn w:val="1"/>
    <w:qFormat/>
    <w:uiPriority w:val="0"/>
    <w:pPr>
      <w:widowControl/>
      <w:spacing w:after="160" w:line="240" w:lineRule="exact"/>
      <w:jc w:val="center"/>
    </w:pPr>
    <w:rPr>
      <w:rFonts w:ascii="宋体" w:hAnsi="宋体"/>
      <w:b/>
      <w:kern w:val="0"/>
      <w:sz w:val="30"/>
      <w:szCs w:val="30"/>
      <w:lang w:eastAsia="en-US"/>
    </w:rPr>
  </w:style>
  <w:style w:type="paragraph" w:customStyle="1" w:styleId="222">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223">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24">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225">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226">
    <w:name w:val="五级条标题"/>
    <w:basedOn w:val="192"/>
    <w:next w:val="1"/>
    <w:qFormat/>
    <w:uiPriority w:val="0"/>
    <w:pPr>
      <w:numPr>
        <w:ilvl w:val="5"/>
      </w:numPr>
      <w:ind w:left="0" w:hanging="840"/>
      <w:outlineLvl w:val="5"/>
    </w:pPr>
  </w:style>
  <w:style w:type="paragraph" w:customStyle="1" w:styleId="227">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228">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229">
    <w:name w:val="无标题条"/>
    <w:next w:val="1"/>
    <w:qFormat/>
    <w:uiPriority w:val="0"/>
    <w:pPr>
      <w:jc w:val="both"/>
    </w:pPr>
    <w:rPr>
      <w:rFonts w:ascii="Times New Roman" w:hAnsi="Times New Roman" w:eastAsia="宋体" w:cs="Times New Roman"/>
      <w:sz w:val="21"/>
      <w:lang w:val="en-US" w:eastAsia="zh-CN" w:bidi="ar-SA"/>
    </w:rPr>
  </w:style>
  <w:style w:type="paragraph" w:customStyle="1" w:styleId="230">
    <w:name w:val="图例"/>
    <w:basedOn w:val="1"/>
    <w:qFormat/>
    <w:uiPriority w:val="0"/>
    <w:pPr>
      <w:spacing w:before="120" w:after="120" w:line="360" w:lineRule="auto"/>
      <w:jc w:val="center"/>
    </w:pPr>
    <w:rPr>
      <w:rFonts w:eastAsia="仿宋_GB2312"/>
      <w:b/>
      <w:sz w:val="24"/>
      <w:szCs w:val="20"/>
    </w:rPr>
  </w:style>
  <w:style w:type="paragraph" w:customStyle="1" w:styleId="231">
    <w:name w:val="pf0"/>
    <w:basedOn w:val="1"/>
    <w:qFormat/>
    <w:uiPriority w:val="0"/>
    <w:pPr>
      <w:widowControl/>
      <w:spacing w:before="100" w:beforeAutospacing="1" w:after="100" w:afterAutospacing="1"/>
      <w:jc w:val="left"/>
    </w:pPr>
    <w:rPr>
      <w:rFonts w:ascii="宋体" w:hAnsi="宋体" w:cs="宋体"/>
      <w:kern w:val="0"/>
      <w:sz w:val="24"/>
    </w:rPr>
  </w:style>
  <w:style w:type="paragraph" w:customStyle="1" w:styleId="232">
    <w:name w:val="字元 字元2"/>
    <w:basedOn w:val="1"/>
    <w:qFormat/>
    <w:uiPriority w:val="0"/>
    <w:rPr>
      <w:rFonts w:ascii="Tahoma" w:hAnsi="Tahoma"/>
      <w:sz w:val="24"/>
      <w:szCs w:val="20"/>
    </w:rPr>
  </w:style>
  <w:style w:type="paragraph" w:customStyle="1" w:styleId="233">
    <w:name w:val="Char3 Char Char Char2"/>
    <w:basedOn w:val="1"/>
    <w:qFormat/>
    <w:uiPriority w:val="0"/>
    <w:rPr>
      <w:rFonts w:ascii="Tahoma" w:hAnsi="Tahoma"/>
      <w:sz w:val="24"/>
      <w:szCs w:val="20"/>
    </w:rPr>
  </w:style>
  <w:style w:type="paragraph" w:customStyle="1" w:styleId="234">
    <w:name w:val="正文文本缩进2"/>
    <w:basedOn w:val="1"/>
    <w:qFormat/>
    <w:uiPriority w:val="0"/>
    <w:pPr>
      <w:spacing w:line="480" w:lineRule="exact"/>
      <w:ind w:firstLine="480" w:firstLineChars="200"/>
    </w:pPr>
    <w:rPr>
      <w:rFonts w:ascii="宋体" w:hAnsi="宋体"/>
      <w:kern w:val="0"/>
      <w:sz w:val="24"/>
      <w:lang w:val="zh-CN"/>
    </w:rPr>
  </w:style>
  <w:style w:type="paragraph" w:customStyle="1" w:styleId="235">
    <w:name w:val="Char3"/>
    <w:basedOn w:val="1"/>
    <w:qFormat/>
    <w:uiPriority w:val="0"/>
    <w:pPr>
      <w:tabs>
        <w:tab w:val="left" w:pos="360"/>
      </w:tabs>
    </w:pPr>
    <w:rPr>
      <w:sz w:val="24"/>
    </w:rPr>
  </w:style>
  <w:style w:type="paragraph" w:customStyle="1" w:styleId="236">
    <w:name w:val="Char Char Char Char Char Char Char Char Char Char Char Char Char Char Char Char1"/>
    <w:basedOn w:val="1"/>
    <w:qFormat/>
    <w:uiPriority w:val="0"/>
    <w:pPr>
      <w:widowControl/>
      <w:spacing w:after="160" w:line="240" w:lineRule="exact"/>
      <w:jc w:val="center"/>
    </w:pPr>
    <w:rPr>
      <w:rFonts w:ascii="宋体" w:hAnsi="宋体"/>
      <w:b/>
      <w:kern w:val="0"/>
      <w:sz w:val="30"/>
      <w:szCs w:val="30"/>
      <w:lang w:eastAsia="en-US"/>
    </w:rPr>
  </w:style>
  <w:style w:type="paragraph" w:customStyle="1" w:styleId="237">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38">
    <w:name w:val="列出段落2"/>
    <w:basedOn w:val="1"/>
    <w:qFormat/>
    <w:uiPriority w:val="0"/>
    <w:pPr>
      <w:ind w:firstLine="420" w:firstLineChars="200"/>
    </w:pPr>
    <w:rPr>
      <w:rFonts w:ascii="Calibri" w:hAnsi="Calibri"/>
      <w:szCs w:val="22"/>
    </w:rPr>
  </w:style>
  <w:style w:type="paragraph" w:customStyle="1" w:styleId="239">
    <w:name w:val="Char Char Char1 Char2"/>
    <w:basedOn w:val="1"/>
    <w:qFormat/>
    <w:uiPriority w:val="0"/>
    <w:rPr>
      <w:rFonts w:ascii="Tahoma" w:hAnsi="Tahoma"/>
      <w:sz w:val="24"/>
      <w:szCs w:val="20"/>
    </w:rPr>
  </w:style>
  <w:style w:type="paragraph" w:customStyle="1" w:styleId="240">
    <w:name w:val="Char Char Char2"/>
    <w:basedOn w:val="1"/>
    <w:qFormat/>
    <w:uiPriority w:val="0"/>
    <w:rPr>
      <w:rFonts w:ascii="Tahoma" w:hAnsi="Tahoma"/>
      <w:sz w:val="24"/>
      <w:szCs w:val="20"/>
    </w:rPr>
  </w:style>
  <w:style w:type="paragraph" w:customStyle="1" w:styleId="241">
    <w:name w:val="Char Char Char Char Char Char Char2"/>
    <w:basedOn w:val="1"/>
    <w:qFormat/>
    <w:uiPriority w:val="0"/>
    <w:pPr>
      <w:snapToGrid w:val="0"/>
      <w:spacing w:line="360" w:lineRule="auto"/>
      <w:ind w:firstLine="200" w:firstLineChars="200"/>
    </w:pPr>
    <w:rPr>
      <w:rFonts w:eastAsia="仿宋_GB2312"/>
      <w:sz w:val="24"/>
    </w:rPr>
  </w:style>
  <w:style w:type="paragraph" w:customStyle="1" w:styleId="242">
    <w:name w:val="正文缩进2"/>
    <w:basedOn w:val="1"/>
    <w:qFormat/>
    <w:uiPriority w:val="0"/>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243">
    <w:name w:val="修订1"/>
    <w:qFormat/>
    <w:uiPriority w:val="0"/>
    <w:rPr>
      <w:rFonts w:ascii="Times New Roman" w:hAnsi="Times New Roman" w:eastAsia="宋体" w:cs="Times New Roman"/>
      <w:kern w:val="2"/>
      <w:sz w:val="21"/>
      <w:szCs w:val="24"/>
      <w:lang w:val="en-US" w:eastAsia="zh-CN" w:bidi="ar-SA"/>
    </w:rPr>
  </w:style>
  <w:style w:type="paragraph" w:customStyle="1" w:styleId="244">
    <w:name w:val="Char22"/>
    <w:basedOn w:val="1"/>
    <w:qFormat/>
    <w:uiPriority w:val="0"/>
    <w:rPr>
      <w:rFonts w:ascii="Tahoma" w:hAnsi="Tahoma"/>
      <w:sz w:val="24"/>
      <w:szCs w:val="20"/>
    </w:rPr>
  </w:style>
  <w:style w:type="paragraph" w:customStyle="1" w:styleId="245">
    <w:name w:val="Char Char Char Char Char Char Char Char Char Char2"/>
    <w:basedOn w:val="1"/>
    <w:qFormat/>
    <w:uiPriority w:val="0"/>
    <w:rPr>
      <w:rFonts w:ascii="宋体" w:hAnsi="宋体" w:cs="Courier New"/>
      <w:sz w:val="32"/>
      <w:szCs w:val="32"/>
    </w:rPr>
  </w:style>
  <w:style w:type="paragraph" w:customStyle="1" w:styleId="246">
    <w:name w:val="Char2 Char Char Char Char Char Char1"/>
    <w:basedOn w:val="1"/>
    <w:qFormat/>
    <w:uiPriority w:val="0"/>
    <w:pPr>
      <w:widowControl/>
      <w:spacing w:line="400" w:lineRule="exact"/>
      <w:jc w:val="center"/>
    </w:pPr>
  </w:style>
  <w:style w:type="paragraph" w:customStyle="1" w:styleId="247">
    <w:name w:val="Char Char41"/>
    <w:basedOn w:val="1"/>
    <w:qFormat/>
    <w:uiPriority w:val="0"/>
    <w:pPr>
      <w:widowControl/>
      <w:spacing w:line="400" w:lineRule="exact"/>
      <w:jc w:val="center"/>
    </w:pPr>
  </w:style>
  <w:style w:type="paragraph" w:customStyle="1" w:styleId="248">
    <w:name w:val="Table Paragraph"/>
    <w:basedOn w:val="1"/>
    <w:qFormat/>
    <w:uiPriority w:val="1"/>
    <w:pPr>
      <w:autoSpaceDE w:val="0"/>
      <w:autoSpaceDN w:val="0"/>
      <w:jc w:val="left"/>
    </w:pPr>
    <w:rPr>
      <w:rFonts w:ascii="宋体" w:hAnsi="宋体" w:cs="宋体"/>
      <w:kern w:val="0"/>
      <w:sz w:val="22"/>
      <w:szCs w:val="22"/>
      <w:lang w:eastAsia="en-US"/>
    </w:rPr>
  </w:style>
  <w:style w:type="table" w:customStyle="1" w:styleId="249">
    <w:name w:val="Table Normal"/>
    <w:semiHidden/>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250">
    <w:name w:val="小正文"/>
    <w:basedOn w:val="1"/>
    <w:qFormat/>
    <w:uiPriority w:val="0"/>
    <w:pPr>
      <w:spacing w:line="560" w:lineRule="exact"/>
      <w:ind w:firstLine="640" w:firstLineChars="200"/>
    </w:pPr>
    <w:rPr>
      <w:rFonts w:eastAsia="仿宋" w:cs="宋体"/>
      <w:sz w:val="32"/>
      <w:szCs w:val="15"/>
    </w:rPr>
  </w:style>
  <w:style w:type="paragraph" w:customStyle="1" w:styleId="251">
    <w:name w:val="1.1"/>
    <w:basedOn w:val="1"/>
    <w:qFormat/>
    <w:uiPriority w:val="0"/>
    <w:pPr>
      <w:spacing w:line="560" w:lineRule="exact"/>
      <w:ind w:firstLine="640" w:firstLineChars="200"/>
      <w:outlineLvl w:val="3"/>
    </w:pPr>
    <w:rPr>
      <w:rFonts w:eastAsia="仿宋"/>
      <w:sz w:val="32"/>
    </w:rPr>
  </w:style>
  <w:style w:type="paragraph" w:customStyle="1" w:styleId="252">
    <w:name w:val="1."/>
    <w:basedOn w:val="1"/>
    <w:qFormat/>
    <w:uiPriority w:val="0"/>
    <w:pPr>
      <w:spacing w:line="560" w:lineRule="exact"/>
      <w:ind w:firstLine="640" w:firstLineChars="200"/>
      <w:outlineLvl w:val="2"/>
    </w:pPr>
    <w:rPr>
      <w:rFonts w:eastAsia="楷体"/>
      <w:sz w:val="32"/>
    </w:rPr>
  </w:style>
  <w:style w:type="paragraph" w:customStyle="1" w:styleId="253">
    <w:name w:val="表格宋体五号"/>
    <w:basedOn w:val="1"/>
    <w:qFormat/>
    <w:uiPriority w:val="0"/>
    <w:pPr>
      <w:adjustRightInd w:val="0"/>
      <w:snapToGrid w:val="0"/>
      <w:jc w:val="left"/>
    </w:pPr>
    <w:rPr>
      <w:rFonts w:ascii="宋体" w:hAnsi="宋体"/>
      <w:color w:val="000000"/>
      <w:szCs w:val="21"/>
    </w:rPr>
  </w:style>
  <w:style w:type="paragraph" w:customStyle="1" w:styleId="254">
    <w:name w:val="说明"/>
    <w:basedOn w:val="1"/>
    <w:qFormat/>
    <w:uiPriority w:val="0"/>
    <w:pPr>
      <w:adjustRightInd w:val="0"/>
      <w:snapToGrid w:val="0"/>
      <w:spacing w:line="360" w:lineRule="auto"/>
      <w:jc w:val="left"/>
    </w:pPr>
    <w:rPr>
      <w:szCs w:val="21"/>
    </w:rPr>
  </w:style>
  <w:style w:type="paragraph" w:customStyle="1" w:styleId="255">
    <w:name w:val="表"/>
    <w:basedOn w:val="1"/>
    <w:qFormat/>
    <w:uiPriority w:val="0"/>
    <w:pPr>
      <w:spacing w:line="240" w:lineRule="exact"/>
      <w:jc w:val="center"/>
    </w:pPr>
    <w:rPr>
      <w:bCs/>
      <w:szCs w:val="21"/>
    </w:rPr>
  </w:style>
  <w:style w:type="paragraph" w:customStyle="1" w:styleId="256">
    <w:name w:val="二级标题"/>
    <w:basedOn w:val="85"/>
    <w:next w:val="5"/>
    <w:qFormat/>
    <w:uiPriority w:val="0"/>
    <w:pPr>
      <w:spacing w:before="240" w:after="240"/>
      <w:ind w:firstLine="643"/>
      <w:outlineLvl w:val="1"/>
    </w:pPr>
    <w:rPr>
      <w:rFonts w:eastAsia="楷体"/>
      <w:i w:val="0"/>
      <w:color w:val="000000"/>
      <w:sz w:val="32"/>
      <w:szCs w:val="21"/>
    </w:rPr>
  </w:style>
  <w:style w:type="paragraph" w:customStyle="1" w:styleId="257">
    <w:name w:val="一"/>
    <w:basedOn w:val="3"/>
    <w:qFormat/>
    <w:uiPriority w:val="0"/>
    <w:pPr>
      <w:spacing w:beforeLines="50" w:after="120" w:afterLines="50" w:line="560" w:lineRule="exact"/>
      <w:ind w:firstLine="640" w:firstLineChars="200"/>
      <w:jc w:val="both"/>
    </w:pPr>
    <w:rPr>
      <w:rFonts w:ascii="Times New Roman" w:hAnsi="Times New Roman"/>
      <w:b w:val="0"/>
      <w:bCs/>
      <w:sz w:val="32"/>
      <w:szCs w:val="32"/>
    </w:rPr>
  </w:style>
  <w:style w:type="paragraph" w:customStyle="1" w:styleId="258">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59">
    <w:name w:val="第一章"/>
    <w:basedOn w:val="1"/>
    <w:autoRedefine/>
    <w:qFormat/>
    <w:uiPriority w:val="0"/>
    <w:pPr>
      <w:spacing w:before="240" w:beforeLines="100" w:after="240" w:afterLines="100" w:line="560" w:lineRule="exact"/>
      <w:jc w:val="center"/>
      <w:outlineLvl w:val="0"/>
    </w:pPr>
    <w:rPr>
      <w:rFonts w:eastAsia="方正小标宋简体"/>
      <w:bCs/>
      <w:sz w:val="44"/>
      <w:szCs w:val="44"/>
    </w:rPr>
  </w:style>
  <w:style w:type="paragraph" w:customStyle="1" w:styleId="260">
    <w:name w:val="样式 标题 2 + Times New Roman 四号 非加粗 段前: 5 磅 段后: 0 磅 行距: 固定值 20..."/>
    <w:basedOn w:val="3"/>
    <w:qFormat/>
    <w:uiPriority w:val="0"/>
    <w:pPr>
      <w:autoSpaceDE/>
      <w:autoSpaceDN/>
      <w:adjustRightInd/>
      <w:spacing w:before="100" w:line="400" w:lineRule="exact"/>
      <w:jc w:val="both"/>
    </w:pPr>
    <w:rPr>
      <w:rFonts w:ascii="Times New Roman" w:hAnsi="Times New Roman" w:eastAsia="宋体" w:cs="宋体"/>
      <w:b w:val="0"/>
      <w:kern w:val="2"/>
      <w:sz w:val="28"/>
    </w:rPr>
  </w:style>
  <w:style w:type="paragraph" w:customStyle="1" w:styleId="261">
    <w:name w:val="样式 标题 3 + (中文) 黑体 小四 非加粗 段前: 7.8 磅 段后: 0 磅 行距: 固定值 20 磅"/>
    <w:basedOn w:val="4"/>
    <w:qFormat/>
    <w:uiPriority w:val="0"/>
    <w:pPr>
      <w:autoSpaceDE/>
      <w:autoSpaceDN/>
      <w:adjustRightInd/>
      <w:spacing w:before="0" w:after="0" w:line="400" w:lineRule="exact"/>
      <w:jc w:val="both"/>
    </w:pPr>
    <w:rPr>
      <w:rFonts w:ascii="Times New Roman" w:hAnsi="Calibri" w:eastAsia="黑体"/>
      <w:b w:val="0"/>
      <w:kern w:val="2"/>
      <w:u w:val="none"/>
    </w:rPr>
  </w:style>
  <w:style w:type="paragraph" w:customStyle="1" w:styleId="262">
    <w:name w:val="Normal_0"/>
    <w:qFormat/>
    <w:uiPriority w:val="99"/>
    <w:pPr>
      <w:spacing w:before="120" w:after="240"/>
      <w:jc w:val="both"/>
    </w:pPr>
    <w:rPr>
      <w:rFonts w:ascii="Calibri" w:hAnsi="Calibri" w:eastAsia="Calibri" w:cs="Times New Roman"/>
      <w:sz w:val="22"/>
      <w:szCs w:val="22"/>
      <w:lang w:val="ru-RU"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wmf"/><Relationship Id="rId27" Type="http://schemas.openxmlformats.org/officeDocument/2006/relationships/oleObject" Target="embeddings/oleObject1.bin"/><Relationship Id="rId26" Type="http://schemas.openxmlformats.org/officeDocument/2006/relationships/image" Target="media/image2.png"/><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157</Pages>
  <Words>2615</Words>
  <Characters>3125</Characters>
  <Lines>721</Lines>
  <Paragraphs>203</Paragraphs>
  <TotalTime>23</TotalTime>
  <ScaleCrop>false</ScaleCrop>
  <LinksUpToDate>false</LinksUpToDate>
  <CharactersWithSpaces>3263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2025-11-20T07:21:00Z</dcterms:created>
  <dc:creator>Administrator</dc:creator>
  <cp:lastModifiedBy>W.</cp:lastModifiedBy>
  <cp:lastPrinted>2025-06-06T02:20:00Z</cp:lastPrinted>
  <dcterms:modified xsi:type="dcterms:W3CDTF">2026-03-11T07:54:01Z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C6191A75089E4CA7AAC053D9A0BC0184_13</vt:lpwstr>
  </property>
  <property fmtid="{D5CDD505-2E9C-101B-9397-08002B2CF9AE}" pid="4" name="KSOTemplateDocerSaveRecord">
    <vt:lpwstr>eyJoZGlkIjoiNDViMDRhZDY1Y2M5MzQzMGVkMWNhYjRlNmJhNzJlYTUiLCJ1c2VySWQiOiI2NjE3NzQ3ODIifQ==</vt:lpwstr>
  </property>
</Properties>
</file>