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03E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b w:val="0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b w:val="0"/>
          <w:sz w:val="36"/>
          <w:szCs w:val="36"/>
        </w:rPr>
        <w:t>中标（成交）结果公告</w:t>
      </w:r>
      <w:bookmarkEnd w:id="0"/>
      <w:bookmarkEnd w:id="1"/>
    </w:p>
    <w:p w14:paraId="5D5EDB7B">
      <w:pPr>
        <w:spacing w:line="360" w:lineRule="auto"/>
      </w:pPr>
    </w:p>
    <w:p w14:paraId="2A52FBF3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项目编号：11000025210200160064-XM001</w:t>
      </w:r>
    </w:p>
    <w:p w14:paraId="424F4CD4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项目代理编号：</w:t>
      </w:r>
      <w:r>
        <w:rPr>
          <w:rFonts w:asciiTheme="majorEastAsia" w:hAnsiTheme="majorEastAsia" w:eastAsiaTheme="majorEastAsia"/>
          <w:sz w:val="24"/>
          <w:szCs w:val="24"/>
        </w:rPr>
        <w:t>TJZB-202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5</w:t>
      </w:r>
      <w:r>
        <w:rPr>
          <w:rFonts w:asciiTheme="majorEastAsia" w:hAnsiTheme="majorEastAsia" w:eastAsiaTheme="majorEastAsia"/>
          <w:sz w:val="24"/>
          <w:szCs w:val="24"/>
        </w:rPr>
        <w:t>-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354</w:t>
      </w:r>
    </w:p>
    <w:p w14:paraId="1B0F14D4">
      <w:pPr>
        <w:spacing w:line="360" w:lineRule="auto"/>
        <w:ind w:left="1820" w:leftChars="3" w:hanging="1814" w:hangingChars="756"/>
        <w:rPr>
          <w:rFonts w:hint="eastAsia" w:asciiTheme="majorEastAsia" w:hAnsiTheme="majorEastAsia" w:eastAsiaTheme="majorEastAsia"/>
          <w:sz w:val="24"/>
          <w:szCs w:val="24"/>
          <w:u w:val="single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项目名称：2026年至2027年国家大剧院舞美物资运输服务项目</w:t>
      </w:r>
    </w:p>
    <w:p w14:paraId="64743192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三、中标（成交）信息</w:t>
      </w:r>
    </w:p>
    <w:p w14:paraId="024B40DC">
      <w:pPr>
        <w:spacing w:line="360" w:lineRule="auto"/>
        <w:ind w:firstLine="566" w:firstLineChars="236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供应商名称：北京柏顺货运有限公司</w:t>
      </w:r>
    </w:p>
    <w:p w14:paraId="6E0B9777">
      <w:pPr>
        <w:spacing w:line="360" w:lineRule="auto"/>
        <w:ind w:left="2007" w:leftChars="270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供应商地址：北京市东城区朝阳门南小街18号楼24-25号</w:t>
      </w:r>
    </w:p>
    <w:p w14:paraId="3F33B5C9">
      <w:pPr>
        <w:spacing w:line="360" w:lineRule="auto"/>
        <w:ind w:left="567" w:leftChars="27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inorEastAsia" w:hAnsiTheme="minorEastAsia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300.00</w:t>
      </w:r>
      <w:r>
        <w:rPr>
          <w:rFonts w:asciiTheme="minorEastAsia" w:hAnsiTheme="minorEastAsia" w:eastAsiaTheme="minorEastAsia"/>
          <w:sz w:val="24"/>
          <w:szCs w:val="24"/>
        </w:rPr>
        <w:t>万元</w:t>
      </w:r>
    </w:p>
    <w:p w14:paraId="72B0AA46">
      <w:pPr>
        <w:spacing w:line="360" w:lineRule="auto"/>
        <w:ind w:firstLine="1920" w:firstLineChars="800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  <w:t>单价合计总计：¥4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.</w:t>
      </w:r>
      <w:r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  <w:t>55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万元</w:t>
      </w:r>
    </w:p>
    <w:p w14:paraId="22CBFD1F">
      <w:pPr>
        <w:spacing w:line="360" w:lineRule="auto"/>
        <w:ind w:left="2324" w:leftChars="946" w:hanging="338" w:hangingChars="14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大写：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肆万伍仟伍佰</w:t>
      </w:r>
      <w:r>
        <w:rPr>
          <w:rFonts w:hint="eastAsia" w:asciiTheme="majorEastAsia" w:hAnsiTheme="majorEastAsia" w:eastAsiaTheme="majorEastAsia"/>
          <w:sz w:val="24"/>
          <w:szCs w:val="24"/>
        </w:rPr>
        <w:t>元整</w:t>
      </w:r>
    </w:p>
    <w:p w14:paraId="1997DDBA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主要标的信息</w:t>
      </w:r>
    </w:p>
    <w:tbl>
      <w:tblPr>
        <w:tblStyle w:val="5"/>
        <w:tblW w:w="101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98"/>
        <w:gridCol w:w="1124"/>
        <w:gridCol w:w="1260"/>
        <w:gridCol w:w="1123"/>
        <w:gridCol w:w="1123"/>
        <w:gridCol w:w="1123"/>
        <w:gridCol w:w="1123"/>
        <w:gridCol w:w="1126"/>
      </w:tblGrid>
      <w:tr w14:paraId="7A4A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4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运输路线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E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国家大</w:t>
            </w:r>
          </w:p>
          <w:p w14:paraId="5118C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剧院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1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国家大</w:t>
            </w:r>
          </w:p>
          <w:p w14:paraId="323E0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剧院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5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国家大</w:t>
            </w:r>
          </w:p>
          <w:p w14:paraId="66C801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剧院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A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北京艺术中心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A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北京艺术中心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A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台湖舞美艺术中心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1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台湖舞美艺术中心</w:t>
            </w:r>
          </w:p>
        </w:tc>
      </w:tr>
      <w:tr w14:paraId="5752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A5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B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台湖舞美艺术中心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469E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北京艺术中心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C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三河集装箱库房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7B4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台湖舞美艺术中心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8AE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三河集装箱库房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13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三河集装箱库房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0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台湖图书城库房</w:t>
            </w:r>
          </w:p>
        </w:tc>
      </w:tr>
      <w:tr w14:paraId="4577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运输距离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9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约30</w:t>
            </w:r>
          </w:p>
          <w:p w14:paraId="46EB8F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6B0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约33</w:t>
            </w:r>
          </w:p>
          <w:p w14:paraId="2A100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6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约80</w:t>
            </w:r>
          </w:p>
          <w:p w14:paraId="045CC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064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约13</w:t>
            </w:r>
          </w:p>
          <w:p w14:paraId="5DF93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5F4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约68</w:t>
            </w:r>
          </w:p>
          <w:p w14:paraId="69D392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6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约70</w:t>
            </w:r>
          </w:p>
          <w:p w14:paraId="03C3D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4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约2</w:t>
            </w:r>
          </w:p>
          <w:p w14:paraId="41F0F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</w:tr>
      <w:tr w14:paraId="5777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8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E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装卸需求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4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48A03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E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54F7C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2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381A6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3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33FAE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AF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27695F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B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58E6F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2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单车运费报价</w:t>
            </w:r>
          </w:p>
          <w:p w14:paraId="1A140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（单位：人民币元）</w:t>
            </w:r>
          </w:p>
        </w:tc>
      </w:tr>
      <w:tr w14:paraId="6774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B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4.2米新能源厢式货车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8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含人工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9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7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5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D4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0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8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4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14:paraId="01DD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2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6.8米货车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D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含人工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4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1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3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F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9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6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B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14:paraId="4541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B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9.6米货车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E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含人工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6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7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2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0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0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8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38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</w:tr>
      <w:tr w14:paraId="4C2E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E8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12.5米货车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0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含人工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9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4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DF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6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B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E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9C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14:paraId="20D2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8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单价合计：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7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B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B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5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7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5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2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14:paraId="3481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A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单价合计总计：</w:t>
            </w:r>
          </w:p>
        </w:tc>
        <w:tc>
          <w:tcPr>
            <w:tcW w:w="80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2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455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</w:tr>
    </w:tbl>
    <w:p w14:paraId="0DDF089F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评审专家（单一来源采购人员）名单：</w:t>
      </w:r>
      <w:bookmarkStart w:id="2" w:name="OLE_LINK3"/>
    </w:p>
    <w:p w14:paraId="63163940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王树森、扶新、张国华、张杰、樊雁翔</w:t>
      </w:r>
    </w:p>
    <w:bookmarkEnd w:id="2"/>
    <w:p w14:paraId="64E22E60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六、代理服务收费标准及金额：</w:t>
      </w:r>
    </w:p>
    <w:p w14:paraId="645322F8">
      <w:pPr>
        <w:spacing w:line="360" w:lineRule="auto"/>
        <w:ind w:left="478" w:leftChars="228" w:firstLine="0" w:firstLineChars="0"/>
        <w:rPr>
          <w:rFonts w:asciiTheme="majorEastAsia" w:hAnsiTheme="majorEastAsia" w:eastAsiaTheme="majorEastAsia"/>
          <w:sz w:val="24"/>
          <w:szCs w:val="24"/>
          <w:lang w:bidi="en-US"/>
        </w:rPr>
      </w:pPr>
      <w:bookmarkStart w:id="3" w:name="OLE_LINK4"/>
      <w:r>
        <w:rPr>
          <w:rFonts w:hint="eastAsia" w:asciiTheme="majorEastAsia" w:hAnsiTheme="majorEastAsia" w:eastAsiaTheme="majorEastAsia"/>
          <w:sz w:val="24"/>
          <w:szCs w:val="24"/>
        </w:rPr>
        <w:t>采购代理机构参照原计价格[2002]1980号文、发改办价格[2003]857号文及发改价格[2011]534号文有关规定向中标人收取中标服务费用。</w:t>
      </w:r>
    </w:p>
    <w:bookmarkEnd w:id="3"/>
    <w:p w14:paraId="1F38F942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  <w:lang w:bidi="en-US"/>
        </w:rPr>
        <w:t>收费金额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</w:rPr>
        <w:t>3.10</w:t>
      </w:r>
      <w:r>
        <w:rPr>
          <w:rFonts w:asciiTheme="majorEastAsia" w:hAnsiTheme="majorEastAsia" w:eastAsiaTheme="majorEastAsia"/>
          <w:sz w:val="24"/>
          <w:szCs w:val="24"/>
          <w:lang w:bidi="en-US"/>
        </w:rPr>
        <w:t>万元</w:t>
      </w:r>
      <w:bookmarkStart w:id="19" w:name="_GoBack"/>
      <w:bookmarkEnd w:id="19"/>
    </w:p>
    <w:p w14:paraId="6919DCDC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七、公告期限</w:t>
      </w:r>
    </w:p>
    <w:p w14:paraId="46DAF1D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bookmarkStart w:id="4" w:name="OLE_LINK1"/>
      <w:bookmarkStart w:id="5" w:name="OLE_LINK2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</w:t>
      </w:r>
      <w:bookmarkEnd w:id="4"/>
      <w:bookmarkEnd w:id="5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2DCAAB07">
      <w:pPr>
        <w:widowControl/>
        <w:spacing w:line="360" w:lineRule="auto"/>
        <w:jc w:val="left"/>
        <w:rPr>
          <w:rFonts w:cs="仿宋" w:asciiTheme="majorEastAsia" w:hAnsiTheme="majorEastAsia" w:eastAsiaTheme="majorEastAsia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八、其他补充事宜</w:t>
      </w:r>
    </w:p>
    <w:p w14:paraId="2D46548A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bookmarkStart w:id="6" w:name="OLE_LINK8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本项目公告在中国政府采购网、北京市政府采购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网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上同时发布。</w:t>
      </w:r>
    </w:p>
    <w:p w14:paraId="05CD23CE">
      <w:pPr>
        <w:pStyle w:val="9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中标供应商：</w:t>
      </w:r>
      <w:r>
        <w:rPr>
          <w:rFonts w:hint="eastAsia" w:asciiTheme="majorEastAsia" w:hAnsiTheme="majorEastAsia" w:eastAsiaTheme="majorEastAsia"/>
          <w:b w:val="0"/>
          <w:kern w:val="0"/>
          <w:sz w:val="24"/>
          <w:szCs w:val="24"/>
          <w:lang w:val="en-US" w:eastAsia="zh-CN"/>
        </w:rPr>
        <w:t>北京柏顺货运有限公司</w:t>
      </w:r>
    </w:p>
    <w:p w14:paraId="463B99FD">
      <w:pPr>
        <w:pStyle w:val="9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评审总得分(综合评分法)：</w:t>
      </w:r>
      <w:r>
        <w:rPr>
          <w:rFonts w:hint="eastAsia" w:asciiTheme="majorEastAsia" w:hAnsiTheme="majorEastAsia" w:eastAsiaTheme="majorEastAsia"/>
          <w:b w:val="0"/>
          <w:kern w:val="0"/>
          <w:sz w:val="24"/>
          <w:szCs w:val="24"/>
          <w:lang w:val="en-US" w:eastAsia="zh-CN"/>
        </w:rPr>
        <w:t>93.55</w:t>
      </w: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分</w:t>
      </w:r>
    </w:p>
    <w:bookmarkEnd w:id="6"/>
    <w:p w14:paraId="55B1E016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九、凡对本次公告内容提出询问，请按以下方式联系。</w:t>
      </w:r>
    </w:p>
    <w:p w14:paraId="2A574A2E">
      <w:pPr>
        <w:pStyle w:val="3"/>
        <w:spacing w:line="360" w:lineRule="auto"/>
        <w:ind w:firstLine="600" w:firstLineChars="25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7" w:name="_Toc28359100"/>
      <w:bookmarkStart w:id="8" w:name="_Toc35393641"/>
      <w:bookmarkStart w:id="9" w:name="_Toc28359023"/>
      <w:bookmarkStart w:id="10" w:name="_Toc35393810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1.采购人信息</w:t>
      </w:r>
      <w:bookmarkEnd w:id="7"/>
      <w:bookmarkEnd w:id="8"/>
      <w:bookmarkEnd w:id="9"/>
      <w:bookmarkEnd w:id="10"/>
    </w:p>
    <w:p w14:paraId="43A5EC81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  <w:lang w:bidi="en-US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名    称：国家大剧院</w:t>
      </w:r>
    </w:p>
    <w:p w14:paraId="6353970E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    址：北京市西城区西长安街2号</w:t>
      </w:r>
    </w:p>
    <w:p w14:paraId="6B04651C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联系方式：010-66550739</w:t>
      </w:r>
    </w:p>
    <w:p w14:paraId="58C768A8">
      <w:pPr>
        <w:pStyle w:val="3"/>
        <w:spacing w:line="360" w:lineRule="auto"/>
        <w:ind w:firstLine="720" w:firstLineChars="30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11" w:name="_Toc28359101"/>
      <w:bookmarkStart w:id="12" w:name="_Toc35393642"/>
      <w:bookmarkStart w:id="13" w:name="_Toc28359024"/>
      <w:bookmarkStart w:id="14" w:name="_Toc35393811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2.采购代理机构信息（如有）</w:t>
      </w:r>
      <w:bookmarkEnd w:id="11"/>
      <w:bookmarkEnd w:id="12"/>
      <w:bookmarkEnd w:id="13"/>
      <w:bookmarkEnd w:id="14"/>
    </w:p>
    <w:p w14:paraId="44753E97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名    称：北京天极招投标咨询有限公司</w:t>
      </w:r>
    </w:p>
    <w:p w14:paraId="67E43A64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　  址：北京市大兴区宏业东路1号院3号楼3层301室　</w:t>
      </w:r>
    </w:p>
    <w:p w14:paraId="453EC646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联系方式：（010）60230611-8007</w:t>
      </w:r>
    </w:p>
    <w:p w14:paraId="47B05CEA">
      <w:pPr>
        <w:pStyle w:val="3"/>
        <w:spacing w:line="360" w:lineRule="auto"/>
        <w:ind w:firstLine="720" w:firstLineChars="30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15" w:name="_Toc28359025"/>
      <w:bookmarkStart w:id="16" w:name="_Toc35393812"/>
      <w:bookmarkStart w:id="17" w:name="_Toc28359102"/>
      <w:bookmarkStart w:id="18" w:name="_Toc35393643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3.项目</w:t>
      </w:r>
      <w:r>
        <w:rPr>
          <w:rFonts w:cs="宋体" w:asciiTheme="majorEastAsia" w:hAnsiTheme="majorEastAsia" w:eastAsiaTheme="majorEastAsia"/>
          <w:b w:val="0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6C3E5883">
      <w:pPr>
        <w:pStyle w:val="10"/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项目联系人：方立新</w:t>
      </w:r>
    </w:p>
    <w:p w14:paraId="4B654FD7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电　  话：（010）60230611-80</w:t>
      </w:r>
      <w:r>
        <w:rPr>
          <w:rFonts w:asciiTheme="majorEastAsia" w:hAnsiTheme="majorEastAsia" w:eastAsiaTheme="majorEastAsia"/>
          <w:sz w:val="24"/>
          <w:szCs w:val="24"/>
        </w:rPr>
        <w:t>07</w:t>
      </w:r>
    </w:p>
    <w:p w14:paraId="678440D1"/>
    <w:sectPr>
      <w:pgSz w:w="11906" w:h="16838"/>
      <w:pgMar w:top="1440" w:right="1416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DE6FE"/>
    <w:multiLevelType w:val="singleLevel"/>
    <w:tmpl w:val="F41DE6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AF6374"/>
    <w:multiLevelType w:val="singleLevel"/>
    <w:tmpl w:val="43AF63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zMzZjVkZmI1YjExMGY1NzM3MGUzMTFjYzY0NDkifQ=="/>
  </w:docVars>
  <w:rsids>
    <w:rsidRoot w:val="005C35B0"/>
    <w:rsid w:val="00036770"/>
    <w:rsid w:val="000454D1"/>
    <w:rsid w:val="00080EA3"/>
    <w:rsid w:val="000853CE"/>
    <w:rsid w:val="000D179D"/>
    <w:rsid w:val="000F094B"/>
    <w:rsid w:val="000F50C1"/>
    <w:rsid w:val="001239FB"/>
    <w:rsid w:val="00153C3B"/>
    <w:rsid w:val="001908A4"/>
    <w:rsid w:val="001A2CAC"/>
    <w:rsid w:val="001D39DD"/>
    <w:rsid w:val="00241AD1"/>
    <w:rsid w:val="00270A66"/>
    <w:rsid w:val="002B3970"/>
    <w:rsid w:val="002B5314"/>
    <w:rsid w:val="00300D6F"/>
    <w:rsid w:val="00386CB8"/>
    <w:rsid w:val="003939D4"/>
    <w:rsid w:val="003C6F73"/>
    <w:rsid w:val="003E2DCE"/>
    <w:rsid w:val="003F0023"/>
    <w:rsid w:val="004161EC"/>
    <w:rsid w:val="0047175E"/>
    <w:rsid w:val="004A3E90"/>
    <w:rsid w:val="0050544A"/>
    <w:rsid w:val="00513869"/>
    <w:rsid w:val="00533C8B"/>
    <w:rsid w:val="00591022"/>
    <w:rsid w:val="005C35B0"/>
    <w:rsid w:val="005E7B8E"/>
    <w:rsid w:val="00600A79"/>
    <w:rsid w:val="006978B2"/>
    <w:rsid w:val="006C70B1"/>
    <w:rsid w:val="006E66B3"/>
    <w:rsid w:val="00711CB5"/>
    <w:rsid w:val="00746F8B"/>
    <w:rsid w:val="00797394"/>
    <w:rsid w:val="007C76C0"/>
    <w:rsid w:val="008065C9"/>
    <w:rsid w:val="008C19C6"/>
    <w:rsid w:val="008F1266"/>
    <w:rsid w:val="009308F3"/>
    <w:rsid w:val="00936A23"/>
    <w:rsid w:val="00945BA7"/>
    <w:rsid w:val="00977A00"/>
    <w:rsid w:val="00992851"/>
    <w:rsid w:val="009C72BB"/>
    <w:rsid w:val="009D0516"/>
    <w:rsid w:val="00AE57B3"/>
    <w:rsid w:val="00B41E77"/>
    <w:rsid w:val="00B83433"/>
    <w:rsid w:val="00B87737"/>
    <w:rsid w:val="00BD297A"/>
    <w:rsid w:val="00BD34EA"/>
    <w:rsid w:val="00C378CD"/>
    <w:rsid w:val="00C410C7"/>
    <w:rsid w:val="00C84DA9"/>
    <w:rsid w:val="00CD3C3E"/>
    <w:rsid w:val="00CD497B"/>
    <w:rsid w:val="00D9091F"/>
    <w:rsid w:val="00DF0C34"/>
    <w:rsid w:val="00DF25FA"/>
    <w:rsid w:val="00DF494F"/>
    <w:rsid w:val="00E06D2D"/>
    <w:rsid w:val="00E11E33"/>
    <w:rsid w:val="00E70C2E"/>
    <w:rsid w:val="00F6151D"/>
    <w:rsid w:val="0672656C"/>
    <w:rsid w:val="068E324C"/>
    <w:rsid w:val="074435F4"/>
    <w:rsid w:val="082B7CF6"/>
    <w:rsid w:val="09A872F7"/>
    <w:rsid w:val="09CB009E"/>
    <w:rsid w:val="0A074D1A"/>
    <w:rsid w:val="0B5C2DB3"/>
    <w:rsid w:val="0DCC18B3"/>
    <w:rsid w:val="0EAD4424"/>
    <w:rsid w:val="102A4C15"/>
    <w:rsid w:val="10C337A2"/>
    <w:rsid w:val="131342D8"/>
    <w:rsid w:val="15591F94"/>
    <w:rsid w:val="15963967"/>
    <w:rsid w:val="16312BD8"/>
    <w:rsid w:val="17BC5001"/>
    <w:rsid w:val="19A67F1B"/>
    <w:rsid w:val="1EBB3F2D"/>
    <w:rsid w:val="1FDE3288"/>
    <w:rsid w:val="21C328F3"/>
    <w:rsid w:val="22A031DB"/>
    <w:rsid w:val="25621AE5"/>
    <w:rsid w:val="27264ECD"/>
    <w:rsid w:val="28F90CC0"/>
    <w:rsid w:val="29BF6B0B"/>
    <w:rsid w:val="2A9867EE"/>
    <w:rsid w:val="2C06412D"/>
    <w:rsid w:val="2EF26CEB"/>
    <w:rsid w:val="2FCA28F3"/>
    <w:rsid w:val="31F82F08"/>
    <w:rsid w:val="33B92B69"/>
    <w:rsid w:val="34853536"/>
    <w:rsid w:val="35021C06"/>
    <w:rsid w:val="35E26632"/>
    <w:rsid w:val="3BF249E7"/>
    <w:rsid w:val="3C61186E"/>
    <w:rsid w:val="3C9B2D6A"/>
    <w:rsid w:val="3E1A30F3"/>
    <w:rsid w:val="3E7E7594"/>
    <w:rsid w:val="3EA97513"/>
    <w:rsid w:val="406308B6"/>
    <w:rsid w:val="412020E6"/>
    <w:rsid w:val="43BE6FC3"/>
    <w:rsid w:val="44054428"/>
    <w:rsid w:val="446866CB"/>
    <w:rsid w:val="44834CF6"/>
    <w:rsid w:val="46621D09"/>
    <w:rsid w:val="467C702F"/>
    <w:rsid w:val="473304A9"/>
    <w:rsid w:val="475239D4"/>
    <w:rsid w:val="481161CC"/>
    <w:rsid w:val="489942FB"/>
    <w:rsid w:val="4A0A3D88"/>
    <w:rsid w:val="4A606D15"/>
    <w:rsid w:val="4B7958AA"/>
    <w:rsid w:val="4C2E4987"/>
    <w:rsid w:val="4CC20A7E"/>
    <w:rsid w:val="4FA80004"/>
    <w:rsid w:val="50D07300"/>
    <w:rsid w:val="51621046"/>
    <w:rsid w:val="52126331"/>
    <w:rsid w:val="537C6F40"/>
    <w:rsid w:val="55774444"/>
    <w:rsid w:val="558859E4"/>
    <w:rsid w:val="58BF0594"/>
    <w:rsid w:val="59F27B21"/>
    <w:rsid w:val="5CA31609"/>
    <w:rsid w:val="5E53134F"/>
    <w:rsid w:val="60CC3B3E"/>
    <w:rsid w:val="61E33190"/>
    <w:rsid w:val="63B11E84"/>
    <w:rsid w:val="63E776F7"/>
    <w:rsid w:val="647C7B68"/>
    <w:rsid w:val="64AD61BC"/>
    <w:rsid w:val="651932EC"/>
    <w:rsid w:val="65806194"/>
    <w:rsid w:val="65827499"/>
    <w:rsid w:val="67DC5523"/>
    <w:rsid w:val="68EB1F35"/>
    <w:rsid w:val="6A572E84"/>
    <w:rsid w:val="70324099"/>
    <w:rsid w:val="71962195"/>
    <w:rsid w:val="74AE507D"/>
    <w:rsid w:val="7572283C"/>
    <w:rsid w:val="75935257"/>
    <w:rsid w:val="76D61A91"/>
    <w:rsid w:val="775407D3"/>
    <w:rsid w:val="77D16EA3"/>
    <w:rsid w:val="784B067E"/>
    <w:rsid w:val="78C12F29"/>
    <w:rsid w:val="78F57EFF"/>
    <w:rsid w:val="7A230972"/>
    <w:rsid w:val="7A3E119B"/>
    <w:rsid w:val="7BE75CD4"/>
    <w:rsid w:val="7D040A2A"/>
    <w:rsid w:val="7D2066D0"/>
    <w:rsid w:val="7EA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index 6"/>
    <w:basedOn w:val="1"/>
    <w:next w:val="1"/>
    <w:autoRedefine/>
    <w:qFormat/>
    <w:uiPriority w:val="0"/>
    <w:pPr>
      <w:ind w:left="1000" w:leftChars="1000"/>
    </w:pPr>
    <w:rPr>
      <w:szCs w:val="24"/>
    </w:rPr>
  </w:style>
  <w:style w:type="paragraph" w:styleId="9">
    <w:name w:val="toc 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0">
    <w:name w:val="Plain Text"/>
    <w:basedOn w:val="1"/>
    <w:link w:val="1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12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Theme"/>
    <w:basedOn w:val="5"/>
    <w:autoRedefine/>
    <w:qFormat/>
    <w:uiPriority w:val="0"/>
    <w:pPr>
      <w:widowControl w:val="0"/>
      <w:spacing w:line="30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108" w:type="dxa"/>
        <w:bottom w:w="57" w:type="dxa"/>
        <w:right w:w="108" w:type="dxa"/>
      </w:tblCellMar>
    </w:tblPr>
    <w:tcPr>
      <w:vAlign w:val="center"/>
    </w:tcPr>
    <w:tblStylePr w:type="firstRow">
      <w:rPr>
        <w:rFonts w:eastAsiaTheme="minorEastAsia"/>
        <w:b/>
      </w:rPr>
    </w:tblStylePr>
  </w:style>
  <w:style w:type="character" w:customStyle="1" w:styleId="14">
    <w:name w:val="页眉 Char"/>
    <w:basedOn w:val="4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4"/>
    <w:link w:val="11"/>
    <w:autoRedefine/>
    <w:qFormat/>
    <w:uiPriority w:val="99"/>
    <w:rPr>
      <w:sz w:val="18"/>
      <w:szCs w:val="18"/>
    </w:rPr>
  </w:style>
  <w:style w:type="character" w:customStyle="1" w:styleId="16">
    <w:name w:val="标题 1 Char"/>
    <w:basedOn w:val="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4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4"/>
    <w:link w:val="10"/>
    <w:autoRedefine/>
    <w:qFormat/>
    <w:uiPriority w:val="0"/>
    <w:rPr>
      <w:rFonts w:ascii="宋体" w:hAnsi="Courier New"/>
    </w:rPr>
  </w:style>
  <w:style w:type="paragraph" w:customStyle="1" w:styleId="19">
    <w:name w:val="样式 首行缩进:  2 字符1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2021-09-24T10:44:00Z</dcterms:created>
  <dc:creator>User</dc:creator>
  <cp:lastModifiedBy>81077</cp:lastModifiedBy>
  <dcterms:modified xsi:type="dcterms:W3CDTF">2026-03-23T07:38:24Z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647D34AB87A44CCAB065C3FB78E8AF7A_12</vt:lpwstr>
  </property>
</Properties>
</file>