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lang w:eastAsia="zh-CN"/>
        </w:rPr>
        <w:t>文博信息服务与媒体数据分析</w:t>
      </w:r>
      <w:r>
        <w:rPr>
          <w:rFonts w:hint="eastAsia" w:ascii="宋体" w:hAnsi="宋体" w:eastAsia="宋体" w:cs="宋体"/>
        </w:rPr>
        <w:t>成交结果公告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一、项目编号：11000026210200165267-XM001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二、项目名称：文博信息服务与媒体数据分析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49BEA1F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供应商名称：中国文物信息咨询中心（国家文物局数据中心）</w:t>
      </w:r>
    </w:p>
    <w:p w14:paraId="0EB711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供应商地址：北京市朝阳区北四环高原街甲2号</w:t>
      </w:r>
    </w:p>
    <w:p w14:paraId="62D859E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eastAsia="宋体" w:cs="宋体"/>
          <w:sz w:val="28"/>
          <w:szCs w:val="28"/>
          <w:u w:val="none"/>
        </w:rPr>
        <w:t>326000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.00元（大写：叁拾贰万陆仟元整）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文博信息服务与媒体数据分析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服务范围：详见磋商文件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服务要求：详见磋商文件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服务时间：项目自签订合同之日起至2027年3月31日前完成</w:t>
            </w:r>
          </w:p>
          <w:p w14:paraId="5D25A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服务标准：详见磋商文件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刘建浩、赵珊珊、周志兴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</w:t>
      </w:r>
    </w:p>
    <w:p w14:paraId="3BF4BC9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0.489万元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numPr>
          <w:ilvl w:val="0"/>
          <w:numId w:val="0"/>
        </w:numPr>
        <w:bidi w:val="0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eastAsia="宋体" w:cs="宋体"/>
          <w:sz w:val="28"/>
          <w:szCs w:val="28"/>
        </w:rPr>
        <w:t>中国文物信息咨询中心（国家文物局数据中心）</w:t>
      </w:r>
      <w:r>
        <w:rPr>
          <w:rFonts w:hint="eastAsia"/>
          <w:sz w:val="28"/>
          <w:szCs w:val="28"/>
          <w:lang w:val="en-US" w:eastAsia="zh-CN"/>
        </w:rPr>
        <w:t>评审总得分85.71分，综合排名第一。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北京市文物局综合事务中心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北京市通州区宋庄南三街211号院1号楼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王老师，010-55532949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北京市北京经济技术开发区万源街22号院1号楼4层402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  17302232925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</w:rPr>
        <w:t>谷乐、沈存</w:t>
      </w:r>
      <w:bookmarkStart w:id="14" w:name="_GoBack"/>
      <w:bookmarkEnd w:id="14"/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footerReference r:id="rId3" w:type="default"/>
      <w:pgSz w:w="11906" w:h="16838"/>
      <w:pgMar w:top="1440" w:right="1349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210E5779"/>
    <w:rsid w:val="217C6D52"/>
    <w:rsid w:val="21E06620"/>
    <w:rsid w:val="22336E43"/>
    <w:rsid w:val="25D54AB7"/>
    <w:rsid w:val="329655CE"/>
    <w:rsid w:val="350D1A5D"/>
    <w:rsid w:val="449A0F4E"/>
    <w:rsid w:val="465B470D"/>
    <w:rsid w:val="46956C5A"/>
    <w:rsid w:val="47F941DE"/>
    <w:rsid w:val="4A12696A"/>
    <w:rsid w:val="53D56A6C"/>
    <w:rsid w:val="54044CC4"/>
    <w:rsid w:val="568108C5"/>
    <w:rsid w:val="5A201EFB"/>
    <w:rsid w:val="63715118"/>
    <w:rsid w:val="64FD4EB5"/>
    <w:rsid w:val="68394457"/>
    <w:rsid w:val="6ABE69A6"/>
    <w:rsid w:val="6D7745A5"/>
    <w:rsid w:val="6EB02F99"/>
    <w:rsid w:val="70F51F31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888</Words>
  <Characters>1007</Characters>
  <Lines>57</Lines>
  <Paragraphs>16</Paragraphs>
  <TotalTime>0</TotalTime>
  <ScaleCrop>false</ScaleCrop>
  <LinksUpToDate>false</LinksUpToDate>
  <CharactersWithSpaces>1025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2026-03-23T07:10:50Z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21B1BDF0C7F34E0FBFFE0EEDE06F3719_13</vt:lpwstr>
  </property>
</Properties>
</file>