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DC3BA62">
      <w:pPr>
        <w:pStyle w:val="3"/>
        <w:tabs>
          <w:tab w:val="left" w:pos="0"/>
        </w:tabs>
        <w:autoSpaceDE w:val="0"/>
        <w:autoSpaceDN w:val="0"/>
        <w:adjustRightInd w:val="0"/>
        <w:spacing w:line="360" w:lineRule="auto"/>
        <w:jc w:val="center"/>
        <w:rPr>
          <w:rFonts w:hint="default" w:cs="宋体"/>
          <w:sz w:val="30"/>
          <w:szCs w:val="30"/>
        </w:rPr>
      </w:pPr>
      <w:bookmarkStart w:id="0" w:name="_Toc35393809"/>
      <w:bookmarkStart w:id="1" w:name="_Toc28359022"/>
      <w:bookmarkStart w:id="2" w:name="_Toc13070"/>
      <w:r>
        <w:rPr>
          <w:rFonts w:hint="eastAsia" w:cs="宋体"/>
          <w:sz w:val="30"/>
          <w:szCs w:val="30"/>
          <w:lang w:eastAsia="zh-CN"/>
        </w:rPr>
        <w:t>首都医科大学附属北京胸科医院骨科手术导航定位系统设备租赁服务项目</w:t>
      </w:r>
    </w:p>
    <w:p w14:paraId="55EDF600">
      <w:pPr>
        <w:pStyle w:val="3"/>
        <w:tabs>
          <w:tab w:val="left" w:pos="0"/>
        </w:tabs>
        <w:autoSpaceDE w:val="0"/>
        <w:autoSpaceDN w:val="0"/>
        <w:adjustRightInd w:val="0"/>
        <w:spacing w:line="360" w:lineRule="auto"/>
        <w:jc w:val="center"/>
        <w:rPr>
          <w:rFonts w:hint="default" w:cs="宋体"/>
          <w:sz w:val="30"/>
          <w:szCs w:val="30"/>
        </w:rPr>
      </w:pPr>
      <w:r>
        <w:rPr>
          <w:rFonts w:hint="eastAsia" w:cs="宋体"/>
          <w:sz w:val="30"/>
          <w:szCs w:val="30"/>
          <w:lang w:val="en-US" w:eastAsia="zh-CN"/>
        </w:rPr>
        <w:t>成交</w:t>
      </w:r>
      <w:r>
        <w:rPr>
          <w:rFonts w:cs="宋体"/>
          <w:sz w:val="30"/>
          <w:szCs w:val="30"/>
        </w:rPr>
        <w:t>结果公告</w:t>
      </w:r>
      <w:bookmarkEnd w:id="0"/>
      <w:bookmarkEnd w:id="1"/>
      <w:bookmarkEnd w:id="2"/>
    </w:p>
    <w:p w14:paraId="3C51E3DD">
      <w:pPr>
        <w:numPr>
          <w:ilvl w:val="0"/>
          <w:numId w:val="0"/>
        </w:numPr>
        <w:spacing w:line="360" w:lineRule="auto"/>
        <w:rPr>
          <w:rFonts w:ascii="宋体" w:hAnsi="宋体" w:cs="宋体"/>
          <w:b/>
          <w:bCs/>
        </w:rPr>
      </w:pPr>
      <w:r>
        <w:rPr>
          <w:rFonts w:ascii="宋体" w:hAnsi="宋体" w:eastAsia="宋体" w:cs="宋体"/>
          <w:b/>
          <w:bCs/>
          <w:kern w:val="2"/>
          <w:sz w:val="24"/>
          <w:szCs w:val="24"/>
          <w:lang w:val="en-US" w:eastAsia="zh-CN" w:bidi="ar-SA"/>
        </w:rPr>
        <w:t>一、</w:t>
      </w:r>
      <w:r>
        <w:rPr>
          <w:rFonts w:hint="eastAsia" w:ascii="宋体" w:hAnsi="宋体" w:cs="宋体"/>
          <w:b/>
          <w:bCs/>
        </w:rPr>
        <w:t>项目编号：</w:t>
      </w:r>
      <w:r>
        <w:rPr>
          <w:rFonts w:hint="eastAsia" w:ascii="宋体" w:hAnsi="宋体" w:cs="宋体"/>
          <w:b/>
          <w:bCs/>
          <w:lang w:eastAsia="zh-CN"/>
        </w:rPr>
        <w:t>0686-2511BI043705Z</w:t>
      </w:r>
    </w:p>
    <w:p w14:paraId="076E6EB9">
      <w:pPr>
        <w:numPr>
          <w:ilvl w:val="0"/>
          <w:numId w:val="0"/>
        </w:numPr>
        <w:spacing w:line="360" w:lineRule="auto"/>
        <w:rPr>
          <w:rFonts w:ascii="宋体" w:hAnsi="宋体" w:cs="宋体"/>
          <w:b/>
          <w:bCs/>
        </w:rPr>
      </w:pPr>
      <w:r>
        <w:rPr>
          <w:rFonts w:ascii="宋体" w:hAnsi="宋体" w:eastAsia="宋体" w:cs="宋体"/>
          <w:b/>
          <w:bCs/>
          <w:kern w:val="2"/>
          <w:sz w:val="24"/>
          <w:szCs w:val="24"/>
          <w:lang w:val="en-US" w:eastAsia="zh-CN" w:bidi="ar-SA"/>
        </w:rPr>
        <w:t>二、</w:t>
      </w:r>
      <w:r>
        <w:rPr>
          <w:rFonts w:hint="eastAsia" w:ascii="宋体" w:hAnsi="宋体" w:cs="宋体"/>
          <w:b/>
          <w:bCs/>
        </w:rPr>
        <w:t>项目名称：</w:t>
      </w:r>
      <w:r>
        <w:rPr>
          <w:rFonts w:hint="eastAsia" w:ascii="宋体" w:hAnsi="宋体" w:cs="宋体"/>
          <w:b/>
          <w:bCs/>
          <w:lang w:eastAsia="zh-CN"/>
        </w:rPr>
        <w:t>首都医科大学附属北京胸科医院骨科手术导航定位系统设备租赁服务项目</w:t>
      </w:r>
    </w:p>
    <w:p w14:paraId="3C02BA62">
      <w:pPr>
        <w:numPr>
          <w:ilvl w:val="0"/>
          <w:numId w:val="0"/>
        </w:numPr>
        <w:spacing w:line="360" w:lineRule="auto"/>
        <w:rPr>
          <w:rFonts w:ascii="宋体" w:hAnsi="宋体" w:cs="宋体"/>
          <w:b/>
          <w:bCs/>
        </w:rPr>
      </w:pPr>
      <w:r>
        <w:rPr>
          <w:rFonts w:ascii="宋体" w:hAnsi="宋体" w:eastAsia="宋体" w:cs="宋体"/>
          <w:b/>
          <w:bCs/>
          <w:kern w:val="2"/>
          <w:sz w:val="24"/>
          <w:szCs w:val="24"/>
          <w:lang w:val="en-US" w:eastAsia="zh-CN" w:bidi="ar-SA"/>
        </w:rPr>
        <w:t>三、</w:t>
      </w:r>
      <w:r>
        <w:rPr>
          <w:rFonts w:hint="eastAsia" w:ascii="宋体" w:hAnsi="宋体" w:cs="宋体"/>
          <w:b/>
          <w:bCs/>
        </w:rPr>
        <w:t>中标（成交）信息</w:t>
      </w:r>
    </w:p>
    <w:p w14:paraId="5DD32AB3">
      <w:pPr>
        <w:spacing w:line="360" w:lineRule="auto"/>
        <w:ind w:left="1926" w:leftChars="200" w:hanging="1446" w:hangingChars="600"/>
        <w:rPr>
          <w:rFonts w:hint="eastAsia" w:eastAsia="宋体"/>
          <w:b/>
          <w:lang w:eastAsia="zh-CN"/>
        </w:rPr>
      </w:pPr>
      <w:r>
        <w:rPr>
          <w:rFonts w:hint="eastAsia"/>
          <w:b/>
          <w:lang w:val="en-US" w:eastAsia="zh-CN"/>
        </w:rPr>
        <w:t>采购内容</w:t>
      </w:r>
      <w:r>
        <w:rPr>
          <w:rFonts w:hint="eastAsia"/>
          <w:b/>
        </w:rPr>
        <w:t>：</w:t>
      </w:r>
      <w:r>
        <w:rPr>
          <w:rFonts w:hint="eastAsia"/>
          <w:b/>
          <w:lang w:eastAsia="zh-CN"/>
        </w:rPr>
        <w:t>骨科手术导航定位系统设备租赁服务</w:t>
      </w:r>
    </w:p>
    <w:p w14:paraId="5575C4B9">
      <w:pPr>
        <w:spacing w:line="360" w:lineRule="auto"/>
        <w:ind w:firstLine="480" w:firstLineChars="200"/>
        <w:rPr>
          <w:rFonts w:ascii="宋体" w:hAnsi="宋体" w:cs="宋体"/>
          <w:highlight w:val="none"/>
        </w:rPr>
      </w:pPr>
      <w:r>
        <w:rPr>
          <w:rFonts w:hint="eastAsia" w:ascii="宋体" w:hAnsi="宋体" w:cs="宋体"/>
          <w:highlight w:val="none"/>
        </w:rPr>
        <w:t>供应商名称：</w:t>
      </w:r>
      <w:r>
        <w:rPr>
          <w:rFonts w:hint="eastAsia" w:ascii="宋体" w:hAnsi="宋体" w:cs="宋体"/>
          <w:highlight w:val="none"/>
          <w:lang w:val="en-US" w:eastAsia="zh-CN"/>
        </w:rPr>
        <w:t>北京机器人融资租赁股份有限公司</w:t>
      </w:r>
    </w:p>
    <w:p w14:paraId="082074D9">
      <w:pPr>
        <w:spacing w:line="360" w:lineRule="auto"/>
        <w:ind w:left="1920" w:leftChars="200" w:hanging="1440" w:hangingChars="600"/>
        <w:rPr>
          <w:rFonts w:hint="eastAsia" w:ascii="宋体" w:hAnsi="宋体" w:cs="宋体"/>
          <w:highlight w:val="none"/>
        </w:rPr>
      </w:pPr>
      <w:r>
        <w:rPr>
          <w:rFonts w:hint="eastAsia" w:ascii="宋体" w:hAnsi="宋体" w:cs="宋体"/>
          <w:highlight w:val="none"/>
        </w:rPr>
        <w:t>供应商地址：北京市西城区平安里西大街28号楼5层501</w:t>
      </w:r>
    </w:p>
    <w:p w14:paraId="43DF3E64">
      <w:pPr>
        <w:spacing w:line="360" w:lineRule="auto"/>
        <w:ind w:left="1920" w:leftChars="200" w:hanging="1440" w:hangingChars="600"/>
        <w:rPr>
          <w:rFonts w:ascii="宋体" w:hAnsi="宋体" w:cs="宋体"/>
          <w:highlight w:val="none"/>
        </w:rPr>
      </w:pPr>
      <w:r>
        <w:rPr>
          <w:rFonts w:hint="eastAsia" w:ascii="宋体" w:hAnsi="宋体" w:cs="宋体"/>
          <w:highlight w:val="none"/>
          <w:lang w:val="en-US" w:eastAsia="zh-CN"/>
        </w:rPr>
        <w:t>成交</w:t>
      </w:r>
      <w:r>
        <w:rPr>
          <w:rFonts w:hint="eastAsia" w:ascii="宋体" w:hAnsi="宋体" w:cs="宋体"/>
          <w:highlight w:val="none"/>
        </w:rPr>
        <w:t>金额</w:t>
      </w:r>
      <w:r>
        <w:rPr>
          <w:rFonts w:hint="eastAsia" w:ascii="宋体" w:hAnsi="宋体" w:cs="宋体"/>
          <w:highlight w:val="none"/>
          <w:lang w:val="en-US" w:eastAsia="zh-CN"/>
        </w:rPr>
        <w:t>如下</w:t>
      </w:r>
      <w:r>
        <w:rPr>
          <w:rFonts w:hint="eastAsia" w:ascii="宋体" w:hAnsi="宋体" w:cs="宋体"/>
          <w:highlight w:val="none"/>
        </w:rPr>
        <w:t>：</w:t>
      </w:r>
      <w:r>
        <w:rPr>
          <w:rFonts w:ascii="宋体" w:hAnsi="宋体" w:cs="宋体"/>
          <w:highlight w:val="none"/>
        </w:rPr>
        <w:t xml:space="preserve"> </w:t>
      </w: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1274"/>
        <w:gridCol w:w="1335"/>
        <w:gridCol w:w="4600"/>
        <w:gridCol w:w="1913"/>
      </w:tblGrid>
      <w:tr w14:paraId="1451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324" w:type="pct"/>
            <w:vMerge w:val="restart"/>
            <w:tcBorders>
              <w:top w:val="single" w:color="auto" w:sz="4" w:space="0"/>
              <w:left w:val="single" w:color="auto" w:sz="4" w:space="0"/>
              <w:right w:val="single" w:color="auto" w:sz="4" w:space="0"/>
            </w:tcBorders>
            <w:noWrap w:val="0"/>
            <w:vAlign w:val="center"/>
          </w:tcPr>
          <w:p w14:paraId="6A3EBB49">
            <w:pPr>
              <w:tabs>
                <w:tab w:val="left" w:pos="5580"/>
              </w:tabs>
              <w:jc w:val="center"/>
              <w:rPr>
                <w:b/>
                <w:sz w:val="24"/>
                <w:highlight w:val="none"/>
              </w:rPr>
            </w:pPr>
            <w:r>
              <w:rPr>
                <w:rFonts w:hint="eastAsia" w:ascii="宋体" w:hAnsi="宋体" w:cs="宋体"/>
                <w:b/>
                <w:color w:val="000000"/>
                <w:kern w:val="0"/>
                <w:szCs w:val="21"/>
              </w:rPr>
              <w:t>包号</w:t>
            </w:r>
          </w:p>
        </w:tc>
        <w:tc>
          <w:tcPr>
            <w:tcW w:w="653" w:type="pct"/>
            <w:vMerge w:val="restart"/>
            <w:tcBorders>
              <w:top w:val="single" w:color="auto" w:sz="4" w:space="0"/>
              <w:left w:val="single" w:color="auto" w:sz="4" w:space="0"/>
              <w:right w:val="single" w:color="auto" w:sz="4" w:space="0"/>
            </w:tcBorders>
            <w:noWrap w:val="0"/>
            <w:vAlign w:val="center"/>
          </w:tcPr>
          <w:p w14:paraId="61ECE6F9">
            <w:pPr>
              <w:jc w:val="center"/>
              <w:rPr>
                <w:rFonts w:hint="eastAsia"/>
                <w:b w:val="0"/>
                <w:bCs/>
                <w:sz w:val="24"/>
                <w:highlight w:val="none"/>
              </w:rPr>
            </w:pPr>
            <w:r>
              <w:rPr>
                <w:rFonts w:hint="eastAsia" w:ascii="宋体" w:hAnsi="宋体" w:cs="宋体"/>
                <w:b/>
                <w:bCs/>
                <w:kern w:val="0"/>
                <w:szCs w:val="21"/>
              </w:rPr>
              <w:t>包名称</w:t>
            </w:r>
          </w:p>
        </w:tc>
        <w:tc>
          <w:tcPr>
            <w:tcW w:w="684" w:type="pct"/>
            <w:vMerge w:val="restart"/>
            <w:tcBorders>
              <w:top w:val="single" w:color="auto" w:sz="4" w:space="0"/>
              <w:left w:val="single" w:color="auto" w:sz="4" w:space="0"/>
              <w:right w:val="single" w:color="auto" w:sz="4" w:space="0"/>
            </w:tcBorders>
            <w:noWrap w:val="0"/>
            <w:vAlign w:val="center"/>
          </w:tcPr>
          <w:p w14:paraId="43CF6689">
            <w:pPr>
              <w:tabs>
                <w:tab w:val="left" w:pos="5580"/>
              </w:tabs>
              <w:jc w:val="center"/>
              <w:rPr>
                <w:b/>
                <w:sz w:val="24"/>
                <w:highlight w:val="none"/>
              </w:rPr>
            </w:pPr>
            <w:r>
              <w:rPr>
                <w:rFonts w:hint="eastAsia" w:ascii="宋体" w:hAnsi="宋体" w:cs="宋体"/>
                <w:b/>
                <w:szCs w:val="21"/>
              </w:rPr>
              <w:t>成交供应商</w:t>
            </w:r>
          </w:p>
        </w:tc>
        <w:tc>
          <w:tcPr>
            <w:tcW w:w="3337" w:type="pct"/>
            <w:gridSpan w:val="2"/>
            <w:tcBorders>
              <w:top w:val="single" w:color="auto" w:sz="4" w:space="0"/>
              <w:left w:val="single" w:color="auto" w:sz="4" w:space="0"/>
              <w:bottom w:val="single" w:color="auto" w:sz="4" w:space="0"/>
              <w:right w:val="single" w:color="auto" w:sz="4" w:space="0"/>
            </w:tcBorders>
            <w:noWrap w:val="0"/>
            <w:vAlign w:val="center"/>
          </w:tcPr>
          <w:p w14:paraId="2A6053C0">
            <w:pPr>
              <w:tabs>
                <w:tab w:val="left" w:pos="5580"/>
              </w:tabs>
              <w:jc w:val="center"/>
              <w:rPr>
                <w:rFonts w:hint="eastAsia"/>
                <w:b/>
                <w:sz w:val="24"/>
                <w:highlight w:val="none"/>
              </w:rPr>
            </w:pPr>
            <w:r>
              <w:rPr>
                <w:rFonts w:hint="eastAsia" w:ascii="宋体" w:hAnsi="宋体" w:cs="宋体"/>
                <w:b/>
                <w:szCs w:val="21"/>
              </w:rPr>
              <w:t>成交金额</w:t>
            </w:r>
          </w:p>
        </w:tc>
      </w:tr>
      <w:tr w14:paraId="2FA6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324" w:type="pct"/>
            <w:vMerge w:val="continue"/>
            <w:tcBorders>
              <w:left w:val="single" w:color="auto" w:sz="4" w:space="0"/>
              <w:right w:val="single" w:color="auto" w:sz="4" w:space="0"/>
            </w:tcBorders>
            <w:noWrap w:val="0"/>
            <w:vAlign w:val="center"/>
          </w:tcPr>
          <w:p w14:paraId="573157A7">
            <w:pPr>
              <w:tabs>
                <w:tab w:val="left" w:pos="5580"/>
              </w:tabs>
              <w:jc w:val="center"/>
              <w:rPr>
                <w:b/>
                <w:sz w:val="24"/>
                <w:highlight w:val="none"/>
              </w:rPr>
            </w:pPr>
          </w:p>
        </w:tc>
        <w:tc>
          <w:tcPr>
            <w:tcW w:w="653" w:type="pct"/>
            <w:vMerge w:val="continue"/>
            <w:tcBorders>
              <w:left w:val="single" w:color="auto" w:sz="4" w:space="0"/>
              <w:right w:val="single" w:color="auto" w:sz="4" w:space="0"/>
            </w:tcBorders>
            <w:noWrap w:val="0"/>
            <w:vAlign w:val="center"/>
          </w:tcPr>
          <w:p w14:paraId="0DB396B1">
            <w:pPr>
              <w:jc w:val="center"/>
              <w:rPr>
                <w:rFonts w:hint="eastAsia"/>
                <w:b w:val="0"/>
                <w:bCs/>
                <w:sz w:val="24"/>
                <w:highlight w:val="none"/>
              </w:rPr>
            </w:pPr>
          </w:p>
        </w:tc>
        <w:tc>
          <w:tcPr>
            <w:tcW w:w="684" w:type="pct"/>
            <w:vMerge w:val="continue"/>
            <w:tcBorders>
              <w:left w:val="single" w:color="auto" w:sz="4" w:space="0"/>
              <w:right w:val="single" w:color="auto" w:sz="4" w:space="0"/>
            </w:tcBorders>
            <w:noWrap w:val="0"/>
            <w:vAlign w:val="center"/>
          </w:tcPr>
          <w:p w14:paraId="37B5FD42">
            <w:pPr>
              <w:tabs>
                <w:tab w:val="left" w:pos="5580"/>
              </w:tabs>
              <w:jc w:val="center"/>
              <w:rPr>
                <w:b/>
                <w:sz w:val="24"/>
                <w:highlight w:val="none"/>
              </w:rPr>
            </w:pPr>
          </w:p>
        </w:tc>
        <w:tc>
          <w:tcPr>
            <w:tcW w:w="3337" w:type="pct"/>
            <w:gridSpan w:val="2"/>
            <w:tcBorders>
              <w:top w:val="single" w:color="auto" w:sz="4" w:space="0"/>
              <w:left w:val="single" w:color="auto" w:sz="4" w:space="0"/>
              <w:bottom w:val="single" w:color="auto" w:sz="4" w:space="0"/>
              <w:right w:val="single" w:color="auto" w:sz="4" w:space="0"/>
            </w:tcBorders>
            <w:noWrap w:val="0"/>
            <w:vAlign w:val="center"/>
          </w:tcPr>
          <w:p w14:paraId="7BBC5B7E">
            <w:pPr>
              <w:tabs>
                <w:tab w:val="left" w:pos="5580"/>
              </w:tabs>
              <w:jc w:val="center"/>
              <w:rPr>
                <w:b/>
                <w:sz w:val="24"/>
                <w:highlight w:val="none"/>
              </w:rPr>
            </w:pPr>
            <w:r>
              <w:rPr>
                <w:rFonts w:hint="eastAsia"/>
                <w:b/>
                <w:sz w:val="24"/>
                <w:highlight w:val="none"/>
              </w:rPr>
              <w:t>（骨科手术例数/年≤100例）每例租赁费报价</w:t>
            </w:r>
          </w:p>
        </w:tc>
      </w:tr>
      <w:tr w14:paraId="78E8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324" w:type="pct"/>
            <w:vMerge w:val="continue"/>
            <w:tcBorders>
              <w:left w:val="single" w:color="auto" w:sz="4" w:space="0"/>
              <w:bottom w:val="single" w:color="auto" w:sz="4" w:space="0"/>
              <w:right w:val="single" w:color="auto" w:sz="4" w:space="0"/>
            </w:tcBorders>
            <w:noWrap w:val="0"/>
            <w:vAlign w:val="center"/>
          </w:tcPr>
          <w:p w14:paraId="50753F97">
            <w:pPr>
              <w:widowControl/>
              <w:jc w:val="left"/>
              <w:rPr>
                <w:b/>
                <w:sz w:val="24"/>
                <w:highlight w:val="none"/>
              </w:rPr>
            </w:pPr>
          </w:p>
        </w:tc>
        <w:tc>
          <w:tcPr>
            <w:tcW w:w="653" w:type="pct"/>
            <w:vMerge w:val="continue"/>
            <w:tcBorders>
              <w:left w:val="single" w:color="auto" w:sz="4" w:space="0"/>
              <w:bottom w:val="single" w:color="auto" w:sz="4" w:space="0"/>
              <w:right w:val="single" w:color="auto" w:sz="4" w:space="0"/>
            </w:tcBorders>
            <w:noWrap w:val="0"/>
            <w:vAlign w:val="center"/>
          </w:tcPr>
          <w:p w14:paraId="1AED41B0">
            <w:pPr>
              <w:widowControl/>
              <w:jc w:val="left"/>
              <w:rPr>
                <w:b/>
                <w:sz w:val="24"/>
                <w:highlight w:val="none"/>
              </w:rPr>
            </w:pPr>
          </w:p>
        </w:tc>
        <w:tc>
          <w:tcPr>
            <w:tcW w:w="684" w:type="pct"/>
            <w:vMerge w:val="continue"/>
            <w:tcBorders>
              <w:left w:val="single" w:color="auto" w:sz="4" w:space="0"/>
              <w:bottom w:val="single" w:color="auto" w:sz="4" w:space="0"/>
              <w:right w:val="single" w:color="auto" w:sz="4" w:space="0"/>
            </w:tcBorders>
            <w:noWrap w:val="0"/>
            <w:vAlign w:val="center"/>
          </w:tcPr>
          <w:p w14:paraId="457BAF2C">
            <w:pPr>
              <w:widowControl/>
              <w:jc w:val="left"/>
              <w:rPr>
                <w:b/>
                <w:sz w:val="24"/>
                <w:highlight w:val="none"/>
              </w:rPr>
            </w:pPr>
          </w:p>
        </w:tc>
        <w:tc>
          <w:tcPr>
            <w:tcW w:w="2357" w:type="pct"/>
            <w:tcBorders>
              <w:top w:val="single" w:color="auto" w:sz="4" w:space="0"/>
              <w:left w:val="single" w:color="auto" w:sz="4" w:space="0"/>
              <w:bottom w:val="single" w:color="auto" w:sz="4" w:space="0"/>
              <w:right w:val="single" w:color="auto" w:sz="4" w:space="0"/>
            </w:tcBorders>
            <w:noWrap w:val="0"/>
            <w:vAlign w:val="center"/>
          </w:tcPr>
          <w:p w14:paraId="335BC6F3">
            <w:pPr>
              <w:tabs>
                <w:tab w:val="left" w:pos="5580"/>
              </w:tabs>
              <w:jc w:val="center"/>
              <w:rPr>
                <w:rFonts w:hint="eastAsia" w:eastAsia="宋体"/>
                <w:b/>
                <w:sz w:val="24"/>
                <w:highlight w:val="none"/>
                <w:lang w:eastAsia="zh-CN"/>
              </w:rPr>
            </w:pPr>
            <w:r>
              <w:rPr>
                <w:rFonts w:hint="eastAsia"/>
                <w:b/>
                <w:sz w:val="24"/>
                <w:highlight w:val="none"/>
              </w:rPr>
              <w:t>大写</w:t>
            </w:r>
          </w:p>
        </w:tc>
        <w:tc>
          <w:tcPr>
            <w:tcW w:w="980" w:type="pct"/>
            <w:tcBorders>
              <w:top w:val="single" w:color="auto" w:sz="4" w:space="0"/>
              <w:left w:val="single" w:color="auto" w:sz="4" w:space="0"/>
              <w:bottom w:val="single" w:color="auto" w:sz="4" w:space="0"/>
              <w:right w:val="single" w:color="auto" w:sz="4" w:space="0"/>
            </w:tcBorders>
            <w:noWrap w:val="0"/>
            <w:vAlign w:val="center"/>
          </w:tcPr>
          <w:p w14:paraId="35AC65ED">
            <w:pPr>
              <w:tabs>
                <w:tab w:val="left" w:pos="5580"/>
              </w:tabs>
              <w:jc w:val="center"/>
              <w:rPr>
                <w:b/>
                <w:sz w:val="24"/>
                <w:highlight w:val="none"/>
              </w:rPr>
            </w:pPr>
            <w:r>
              <w:rPr>
                <w:rFonts w:hint="eastAsia"/>
                <w:b/>
                <w:sz w:val="24"/>
                <w:highlight w:val="none"/>
              </w:rPr>
              <w:t>小写</w:t>
            </w:r>
          </w:p>
        </w:tc>
      </w:tr>
      <w:tr w14:paraId="3FC4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324" w:type="pct"/>
            <w:vMerge w:val="restart"/>
            <w:tcBorders>
              <w:top w:val="single" w:color="auto" w:sz="4" w:space="0"/>
              <w:left w:val="single" w:color="auto" w:sz="4" w:space="0"/>
              <w:right w:val="single" w:color="auto" w:sz="4" w:space="0"/>
            </w:tcBorders>
            <w:noWrap w:val="0"/>
            <w:vAlign w:val="center"/>
          </w:tcPr>
          <w:p w14:paraId="2837EBD5">
            <w:pPr>
              <w:tabs>
                <w:tab w:val="left" w:pos="5580"/>
              </w:tabs>
              <w:jc w:val="center"/>
              <w:rPr>
                <w:sz w:val="24"/>
                <w:highlight w:val="none"/>
              </w:rPr>
            </w:pPr>
            <w:r>
              <w:rPr>
                <w:rFonts w:hint="eastAsia"/>
                <w:sz w:val="24"/>
                <w:highlight w:val="none"/>
              </w:rPr>
              <w:t>1</w:t>
            </w:r>
          </w:p>
        </w:tc>
        <w:tc>
          <w:tcPr>
            <w:tcW w:w="653" w:type="pct"/>
            <w:vMerge w:val="restart"/>
            <w:tcBorders>
              <w:top w:val="single" w:color="auto" w:sz="4" w:space="0"/>
              <w:left w:val="single" w:color="auto" w:sz="4" w:space="0"/>
              <w:right w:val="single" w:color="auto" w:sz="4" w:space="0"/>
            </w:tcBorders>
            <w:noWrap w:val="0"/>
            <w:vAlign w:val="center"/>
          </w:tcPr>
          <w:p w14:paraId="5A5B9EF1">
            <w:pPr>
              <w:widowControl/>
              <w:jc w:val="center"/>
              <w:rPr>
                <w:sz w:val="24"/>
                <w:highlight w:val="none"/>
              </w:rPr>
            </w:pPr>
            <w:r>
              <w:rPr>
                <w:rFonts w:hint="eastAsia" w:ascii="宋体" w:hAnsi="宋体" w:eastAsia="宋体" w:cs="宋体"/>
                <w:szCs w:val="21"/>
                <w:lang w:eastAsia="zh-CN"/>
              </w:rPr>
              <w:t>骨科手术导航定位系统设备租赁服务</w:t>
            </w:r>
          </w:p>
        </w:tc>
        <w:tc>
          <w:tcPr>
            <w:tcW w:w="684" w:type="pct"/>
            <w:vMerge w:val="restart"/>
            <w:tcBorders>
              <w:top w:val="single" w:color="auto" w:sz="4" w:space="0"/>
              <w:left w:val="single" w:color="auto" w:sz="4" w:space="0"/>
              <w:right w:val="single" w:color="auto" w:sz="4" w:space="0"/>
            </w:tcBorders>
            <w:noWrap w:val="0"/>
            <w:vAlign w:val="center"/>
          </w:tcPr>
          <w:p w14:paraId="23A71DEB">
            <w:pPr>
              <w:tabs>
                <w:tab w:val="left" w:pos="5580"/>
              </w:tabs>
              <w:jc w:val="center"/>
              <w:rPr>
                <w:sz w:val="24"/>
                <w:highlight w:val="none"/>
              </w:rPr>
            </w:pPr>
            <w:r>
              <w:rPr>
                <w:rFonts w:hint="eastAsia" w:ascii="宋体" w:hAnsi="宋体" w:eastAsia="宋体" w:cs="宋体"/>
                <w:szCs w:val="21"/>
                <w:lang w:val="en-US" w:eastAsia="zh-CN"/>
              </w:rPr>
              <w:t>北京机器人融资租赁股份有限公司</w:t>
            </w:r>
          </w:p>
        </w:tc>
        <w:tc>
          <w:tcPr>
            <w:tcW w:w="2357" w:type="pct"/>
            <w:tcBorders>
              <w:top w:val="single" w:color="auto" w:sz="4" w:space="0"/>
              <w:left w:val="single" w:color="auto" w:sz="4" w:space="0"/>
              <w:bottom w:val="single" w:color="auto" w:sz="4" w:space="0"/>
              <w:right w:val="single" w:color="auto" w:sz="4" w:space="0"/>
            </w:tcBorders>
            <w:noWrap w:val="0"/>
            <w:vAlign w:val="center"/>
          </w:tcPr>
          <w:p w14:paraId="38464598">
            <w:pPr>
              <w:keepNext w:val="0"/>
              <w:keepLines w:val="0"/>
              <w:suppressLineNumbers w:val="0"/>
              <w:tabs>
                <w:tab w:val="left" w:pos="5580"/>
              </w:tabs>
              <w:spacing w:before="0" w:beforeAutospacing="0" w:after="0" w:afterAutospacing="0"/>
              <w:ind w:left="0" w:leftChars="0" w:right="0" w:rightChars="0"/>
              <w:jc w:val="center"/>
              <w:rPr>
                <w:sz w:val="24"/>
                <w:highlight w:val="none"/>
              </w:rPr>
            </w:pPr>
            <w:r>
              <w:rPr>
                <w:rFonts w:hint="eastAsia"/>
                <w:b w:val="0"/>
                <w:bCs/>
                <w:sz w:val="24"/>
                <w:szCs w:val="24"/>
                <w:highlight w:val="none"/>
                <w:lang w:val="en-US" w:eastAsia="zh-CN"/>
              </w:rPr>
              <w:t>柒仟贰佰元整</w:t>
            </w:r>
          </w:p>
        </w:tc>
        <w:tc>
          <w:tcPr>
            <w:tcW w:w="980" w:type="pct"/>
            <w:tcBorders>
              <w:top w:val="single" w:color="auto" w:sz="4" w:space="0"/>
              <w:left w:val="single" w:color="auto" w:sz="4" w:space="0"/>
              <w:bottom w:val="single" w:color="auto" w:sz="4" w:space="0"/>
              <w:right w:val="single" w:color="auto" w:sz="4" w:space="0"/>
            </w:tcBorders>
            <w:noWrap w:val="0"/>
            <w:vAlign w:val="center"/>
          </w:tcPr>
          <w:p w14:paraId="2BA01395">
            <w:pPr>
              <w:keepNext w:val="0"/>
              <w:keepLines w:val="0"/>
              <w:widowControl/>
              <w:suppressLineNumbers w:val="0"/>
              <w:spacing w:before="0" w:beforeAutospacing="0" w:after="0" w:afterAutospacing="0"/>
              <w:ind w:left="0" w:leftChars="0" w:right="0" w:rightChars="0"/>
              <w:jc w:val="center"/>
              <w:textAlignment w:val="center"/>
              <w:rPr>
                <w:sz w:val="24"/>
                <w:highlight w:val="none"/>
              </w:rPr>
            </w:pPr>
            <w:r>
              <w:rPr>
                <w:rFonts w:hint="eastAsia" w:ascii="宋体" w:hAnsi="宋体" w:eastAsia="宋体" w:cs="宋体"/>
                <w:i w:val="0"/>
                <w:iCs w:val="0"/>
                <w:color w:val="000000"/>
                <w:kern w:val="0"/>
                <w:sz w:val="24"/>
                <w:szCs w:val="24"/>
                <w:u w:val="none"/>
                <w:lang w:val="en-US" w:eastAsia="zh-CN" w:bidi="ar"/>
              </w:rPr>
              <w:t xml:space="preserve">￥7,200.00 </w:t>
            </w:r>
          </w:p>
        </w:tc>
      </w:tr>
      <w:tr w14:paraId="76D8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324" w:type="pct"/>
            <w:vMerge w:val="continue"/>
            <w:tcBorders>
              <w:left w:val="single" w:color="auto" w:sz="4" w:space="0"/>
              <w:right w:val="single" w:color="auto" w:sz="4" w:space="0"/>
            </w:tcBorders>
            <w:noWrap w:val="0"/>
            <w:vAlign w:val="center"/>
          </w:tcPr>
          <w:p w14:paraId="591BF748">
            <w:pPr>
              <w:tabs>
                <w:tab w:val="left" w:pos="5580"/>
              </w:tabs>
              <w:jc w:val="center"/>
              <w:rPr>
                <w:sz w:val="24"/>
                <w:highlight w:val="none"/>
              </w:rPr>
            </w:pPr>
          </w:p>
        </w:tc>
        <w:tc>
          <w:tcPr>
            <w:tcW w:w="653" w:type="pct"/>
            <w:vMerge w:val="continue"/>
            <w:tcBorders>
              <w:left w:val="single" w:color="auto" w:sz="4" w:space="0"/>
              <w:right w:val="single" w:color="auto" w:sz="4" w:space="0"/>
            </w:tcBorders>
            <w:noWrap w:val="0"/>
            <w:vAlign w:val="center"/>
          </w:tcPr>
          <w:p w14:paraId="5E978745">
            <w:pPr>
              <w:tabs>
                <w:tab w:val="left" w:pos="5580"/>
              </w:tabs>
              <w:jc w:val="center"/>
              <w:rPr>
                <w:sz w:val="24"/>
                <w:highlight w:val="none"/>
              </w:rPr>
            </w:pPr>
          </w:p>
        </w:tc>
        <w:tc>
          <w:tcPr>
            <w:tcW w:w="684" w:type="pct"/>
            <w:vMerge w:val="continue"/>
            <w:tcBorders>
              <w:left w:val="single" w:color="auto" w:sz="4" w:space="0"/>
              <w:right w:val="single" w:color="auto" w:sz="4" w:space="0"/>
            </w:tcBorders>
            <w:noWrap w:val="0"/>
            <w:vAlign w:val="center"/>
          </w:tcPr>
          <w:p w14:paraId="0FA0BA92">
            <w:pPr>
              <w:tabs>
                <w:tab w:val="left" w:pos="5580"/>
              </w:tabs>
              <w:jc w:val="center"/>
              <w:rPr>
                <w:sz w:val="24"/>
                <w:highlight w:val="none"/>
              </w:rPr>
            </w:pPr>
          </w:p>
        </w:tc>
        <w:tc>
          <w:tcPr>
            <w:tcW w:w="3337" w:type="pct"/>
            <w:gridSpan w:val="2"/>
            <w:tcBorders>
              <w:top w:val="single" w:color="auto" w:sz="4" w:space="0"/>
              <w:left w:val="single" w:color="auto" w:sz="4" w:space="0"/>
              <w:bottom w:val="single" w:color="auto" w:sz="4" w:space="0"/>
              <w:right w:val="single" w:color="auto" w:sz="4" w:space="0"/>
            </w:tcBorders>
            <w:noWrap w:val="0"/>
            <w:vAlign w:val="center"/>
          </w:tcPr>
          <w:p w14:paraId="22A74B36">
            <w:pPr>
              <w:tabs>
                <w:tab w:val="left" w:pos="5580"/>
              </w:tabs>
              <w:jc w:val="center"/>
              <w:rPr>
                <w:sz w:val="24"/>
                <w:highlight w:val="none"/>
              </w:rPr>
            </w:pPr>
            <w:r>
              <w:rPr>
                <w:rFonts w:hint="eastAsia"/>
                <w:b/>
                <w:sz w:val="24"/>
                <w:highlight w:val="none"/>
              </w:rPr>
              <w:t>（</w:t>
            </w:r>
            <w:r>
              <w:rPr>
                <w:rFonts w:hint="eastAsia" w:ascii="宋体" w:hAnsi="宋体" w:cs="方正仿宋_GBK"/>
                <w:b/>
                <w:color w:val="000000"/>
                <w:kern w:val="0"/>
                <w:sz w:val="24"/>
                <w:highlight w:val="none"/>
              </w:rPr>
              <w:t>1</w:t>
            </w:r>
            <w:r>
              <w:rPr>
                <w:rFonts w:ascii="宋体" w:hAnsi="宋体" w:cs="方正仿宋_GBK"/>
                <w:b/>
                <w:color w:val="000000"/>
                <w:kern w:val="0"/>
                <w:sz w:val="24"/>
                <w:highlight w:val="none"/>
              </w:rPr>
              <w:t>00例</w:t>
            </w:r>
            <w:r>
              <w:rPr>
                <w:rFonts w:hint="eastAsia" w:ascii="宋体" w:hAnsi="宋体" w:cs="方正仿宋_GBK"/>
                <w:b/>
                <w:color w:val="000000"/>
                <w:kern w:val="0"/>
                <w:sz w:val="24"/>
                <w:highlight w:val="none"/>
              </w:rPr>
              <w:t>＜</w:t>
            </w:r>
            <w:r>
              <w:rPr>
                <w:rFonts w:ascii="宋体" w:hAnsi="宋体" w:cs="方正仿宋_GBK"/>
                <w:b/>
                <w:color w:val="000000"/>
                <w:kern w:val="0"/>
                <w:sz w:val="24"/>
                <w:highlight w:val="none"/>
              </w:rPr>
              <w:t>骨科手术例数</w:t>
            </w:r>
            <w:r>
              <w:rPr>
                <w:rFonts w:hint="eastAsia"/>
                <w:b/>
                <w:sz w:val="24"/>
                <w:highlight w:val="none"/>
              </w:rPr>
              <w:t>/年</w:t>
            </w:r>
            <w:r>
              <w:rPr>
                <w:rFonts w:hint="eastAsia" w:ascii="宋体" w:hAnsi="宋体" w:cs="方正仿宋_GBK"/>
                <w:b/>
                <w:color w:val="000000"/>
                <w:kern w:val="0"/>
                <w:sz w:val="24"/>
                <w:highlight w:val="none"/>
              </w:rPr>
              <w:t>≤2</w:t>
            </w:r>
            <w:r>
              <w:rPr>
                <w:rFonts w:ascii="宋体" w:hAnsi="宋体" w:cs="方正仿宋_GBK"/>
                <w:b/>
                <w:color w:val="000000"/>
                <w:kern w:val="0"/>
                <w:sz w:val="24"/>
                <w:highlight w:val="none"/>
              </w:rPr>
              <w:t>00例</w:t>
            </w:r>
            <w:r>
              <w:rPr>
                <w:rFonts w:hint="eastAsia"/>
                <w:b/>
                <w:sz w:val="24"/>
                <w:highlight w:val="none"/>
              </w:rPr>
              <w:t>）每例租赁费报价</w:t>
            </w:r>
          </w:p>
        </w:tc>
      </w:tr>
      <w:tr w14:paraId="49CE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324" w:type="pct"/>
            <w:vMerge w:val="continue"/>
            <w:tcBorders>
              <w:left w:val="single" w:color="auto" w:sz="4" w:space="0"/>
              <w:right w:val="single" w:color="auto" w:sz="4" w:space="0"/>
            </w:tcBorders>
            <w:noWrap w:val="0"/>
            <w:vAlign w:val="center"/>
          </w:tcPr>
          <w:p w14:paraId="0ECD5534">
            <w:pPr>
              <w:tabs>
                <w:tab w:val="left" w:pos="5580"/>
              </w:tabs>
              <w:jc w:val="center"/>
              <w:rPr>
                <w:sz w:val="24"/>
                <w:highlight w:val="none"/>
              </w:rPr>
            </w:pPr>
          </w:p>
        </w:tc>
        <w:tc>
          <w:tcPr>
            <w:tcW w:w="653" w:type="pct"/>
            <w:vMerge w:val="continue"/>
            <w:tcBorders>
              <w:left w:val="single" w:color="auto" w:sz="4" w:space="0"/>
              <w:right w:val="single" w:color="auto" w:sz="4" w:space="0"/>
            </w:tcBorders>
            <w:noWrap w:val="0"/>
            <w:vAlign w:val="center"/>
          </w:tcPr>
          <w:p w14:paraId="5BAF7DF9">
            <w:pPr>
              <w:tabs>
                <w:tab w:val="left" w:pos="5580"/>
              </w:tabs>
              <w:jc w:val="center"/>
              <w:rPr>
                <w:sz w:val="24"/>
                <w:highlight w:val="none"/>
              </w:rPr>
            </w:pPr>
          </w:p>
        </w:tc>
        <w:tc>
          <w:tcPr>
            <w:tcW w:w="684" w:type="pct"/>
            <w:vMerge w:val="continue"/>
            <w:tcBorders>
              <w:left w:val="single" w:color="auto" w:sz="4" w:space="0"/>
              <w:right w:val="single" w:color="auto" w:sz="4" w:space="0"/>
            </w:tcBorders>
            <w:noWrap w:val="0"/>
            <w:vAlign w:val="center"/>
          </w:tcPr>
          <w:p w14:paraId="6B75D184">
            <w:pPr>
              <w:tabs>
                <w:tab w:val="left" w:pos="5580"/>
              </w:tabs>
              <w:jc w:val="center"/>
              <w:rPr>
                <w:sz w:val="24"/>
                <w:highlight w:val="none"/>
              </w:rPr>
            </w:pPr>
          </w:p>
        </w:tc>
        <w:tc>
          <w:tcPr>
            <w:tcW w:w="2357" w:type="pct"/>
            <w:tcBorders>
              <w:top w:val="single" w:color="auto" w:sz="4" w:space="0"/>
              <w:left w:val="single" w:color="auto" w:sz="4" w:space="0"/>
              <w:bottom w:val="single" w:color="auto" w:sz="4" w:space="0"/>
              <w:right w:val="single" w:color="auto" w:sz="4" w:space="0"/>
            </w:tcBorders>
            <w:noWrap w:val="0"/>
            <w:vAlign w:val="center"/>
          </w:tcPr>
          <w:p w14:paraId="359FFF7E">
            <w:pPr>
              <w:tabs>
                <w:tab w:val="left" w:pos="5580"/>
              </w:tabs>
              <w:jc w:val="center"/>
              <w:rPr>
                <w:sz w:val="24"/>
                <w:highlight w:val="none"/>
              </w:rPr>
            </w:pPr>
            <w:r>
              <w:rPr>
                <w:rFonts w:hint="eastAsia"/>
                <w:b/>
                <w:sz w:val="24"/>
                <w:highlight w:val="none"/>
              </w:rPr>
              <w:t>大写</w:t>
            </w:r>
          </w:p>
        </w:tc>
        <w:tc>
          <w:tcPr>
            <w:tcW w:w="980" w:type="pct"/>
            <w:tcBorders>
              <w:top w:val="single" w:color="auto" w:sz="4" w:space="0"/>
              <w:left w:val="single" w:color="auto" w:sz="4" w:space="0"/>
              <w:bottom w:val="single" w:color="auto" w:sz="4" w:space="0"/>
              <w:right w:val="single" w:color="auto" w:sz="4" w:space="0"/>
            </w:tcBorders>
            <w:noWrap w:val="0"/>
            <w:vAlign w:val="center"/>
          </w:tcPr>
          <w:p w14:paraId="58203ED9">
            <w:pPr>
              <w:tabs>
                <w:tab w:val="left" w:pos="5580"/>
              </w:tabs>
              <w:jc w:val="center"/>
              <w:rPr>
                <w:sz w:val="24"/>
                <w:highlight w:val="none"/>
              </w:rPr>
            </w:pPr>
            <w:r>
              <w:rPr>
                <w:rFonts w:hint="eastAsia"/>
                <w:b/>
                <w:sz w:val="24"/>
                <w:highlight w:val="none"/>
              </w:rPr>
              <w:t>小写</w:t>
            </w:r>
          </w:p>
        </w:tc>
      </w:tr>
      <w:tr w14:paraId="13C3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324" w:type="pct"/>
            <w:vMerge w:val="continue"/>
            <w:tcBorders>
              <w:left w:val="single" w:color="auto" w:sz="4" w:space="0"/>
              <w:right w:val="single" w:color="auto" w:sz="4" w:space="0"/>
            </w:tcBorders>
            <w:noWrap w:val="0"/>
            <w:vAlign w:val="center"/>
          </w:tcPr>
          <w:p w14:paraId="6A3322BC">
            <w:pPr>
              <w:tabs>
                <w:tab w:val="left" w:pos="5580"/>
              </w:tabs>
              <w:jc w:val="center"/>
              <w:rPr>
                <w:sz w:val="24"/>
                <w:highlight w:val="none"/>
              </w:rPr>
            </w:pPr>
          </w:p>
        </w:tc>
        <w:tc>
          <w:tcPr>
            <w:tcW w:w="653" w:type="pct"/>
            <w:vMerge w:val="continue"/>
            <w:tcBorders>
              <w:left w:val="single" w:color="auto" w:sz="4" w:space="0"/>
              <w:right w:val="single" w:color="auto" w:sz="4" w:space="0"/>
            </w:tcBorders>
            <w:noWrap w:val="0"/>
            <w:vAlign w:val="center"/>
          </w:tcPr>
          <w:p w14:paraId="4BF552E4">
            <w:pPr>
              <w:tabs>
                <w:tab w:val="left" w:pos="5580"/>
              </w:tabs>
              <w:jc w:val="center"/>
              <w:rPr>
                <w:sz w:val="24"/>
                <w:highlight w:val="none"/>
              </w:rPr>
            </w:pPr>
          </w:p>
        </w:tc>
        <w:tc>
          <w:tcPr>
            <w:tcW w:w="684" w:type="pct"/>
            <w:vMerge w:val="continue"/>
            <w:tcBorders>
              <w:left w:val="single" w:color="auto" w:sz="4" w:space="0"/>
              <w:right w:val="single" w:color="auto" w:sz="4" w:space="0"/>
            </w:tcBorders>
            <w:noWrap w:val="0"/>
            <w:vAlign w:val="center"/>
          </w:tcPr>
          <w:p w14:paraId="3B660000">
            <w:pPr>
              <w:tabs>
                <w:tab w:val="left" w:pos="5580"/>
              </w:tabs>
              <w:jc w:val="center"/>
              <w:rPr>
                <w:sz w:val="24"/>
                <w:highlight w:val="none"/>
              </w:rPr>
            </w:pPr>
          </w:p>
        </w:tc>
        <w:tc>
          <w:tcPr>
            <w:tcW w:w="2357" w:type="pct"/>
            <w:tcBorders>
              <w:top w:val="single" w:color="auto" w:sz="4" w:space="0"/>
              <w:left w:val="single" w:color="auto" w:sz="4" w:space="0"/>
              <w:bottom w:val="single" w:color="auto" w:sz="4" w:space="0"/>
              <w:right w:val="single" w:color="auto" w:sz="4" w:space="0"/>
            </w:tcBorders>
            <w:noWrap w:val="0"/>
            <w:vAlign w:val="center"/>
          </w:tcPr>
          <w:p w14:paraId="2B282D3C">
            <w:pPr>
              <w:keepNext w:val="0"/>
              <w:keepLines w:val="0"/>
              <w:suppressLineNumbers w:val="0"/>
              <w:tabs>
                <w:tab w:val="left" w:pos="5580"/>
              </w:tabs>
              <w:spacing w:before="0" w:beforeAutospacing="0" w:after="0" w:afterAutospacing="0"/>
              <w:ind w:left="0" w:leftChars="0" w:right="0" w:rightChars="0"/>
              <w:jc w:val="center"/>
              <w:rPr>
                <w:sz w:val="24"/>
                <w:highlight w:val="none"/>
              </w:rPr>
            </w:pPr>
            <w:r>
              <w:rPr>
                <w:rFonts w:hint="eastAsia"/>
                <w:b w:val="0"/>
                <w:bCs/>
                <w:sz w:val="24"/>
                <w:szCs w:val="24"/>
                <w:highlight w:val="none"/>
                <w:lang w:val="en-US" w:eastAsia="zh-CN"/>
              </w:rPr>
              <w:t>陆仟捌佰元整</w:t>
            </w:r>
          </w:p>
        </w:tc>
        <w:tc>
          <w:tcPr>
            <w:tcW w:w="980" w:type="pct"/>
            <w:tcBorders>
              <w:top w:val="single" w:color="auto" w:sz="4" w:space="0"/>
              <w:left w:val="single" w:color="auto" w:sz="4" w:space="0"/>
              <w:bottom w:val="single" w:color="auto" w:sz="4" w:space="0"/>
              <w:right w:val="single" w:color="auto" w:sz="4" w:space="0"/>
            </w:tcBorders>
            <w:noWrap w:val="0"/>
            <w:vAlign w:val="center"/>
          </w:tcPr>
          <w:p w14:paraId="69A8533E">
            <w:pPr>
              <w:keepNext w:val="0"/>
              <w:keepLines w:val="0"/>
              <w:widowControl/>
              <w:suppressLineNumbers w:val="0"/>
              <w:spacing w:before="0" w:beforeAutospacing="0" w:after="0" w:afterAutospacing="0"/>
              <w:ind w:left="0" w:leftChars="0" w:right="0" w:rightChars="0"/>
              <w:jc w:val="center"/>
              <w:textAlignment w:val="center"/>
              <w:rPr>
                <w:sz w:val="24"/>
                <w:highlight w:val="none"/>
              </w:rPr>
            </w:pPr>
            <w:r>
              <w:rPr>
                <w:rFonts w:hint="eastAsia" w:ascii="宋体" w:hAnsi="宋体" w:eastAsia="宋体" w:cs="宋体"/>
                <w:i w:val="0"/>
                <w:iCs w:val="0"/>
                <w:color w:val="000000"/>
                <w:kern w:val="0"/>
                <w:sz w:val="24"/>
                <w:szCs w:val="24"/>
                <w:u w:val="none"/>
                <w:lang w:val="en-US" w:eastAsia="zh-CN" w:bidi="ar"/>
              </w:rPr>
              <w:t xml:space="preserve">￥6,800.00 </w:t>
            </w:r>
          </w:p>
        </w:tc>
      </w:tr>
      <w:tr w14:paraId="2617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324" w:type="pct"/>
            <w:vMerge w:val="continue"/>
            <w:tcBorders>
              <w:left w:val="single" w:color="auto" w:sz="4" w:space="0"/>
              <w:right w:val="single" w:color="auto" w:sz="4" w:space="0"/>
            </w:tcBorders>
            <w:noWrap w:val="0"/>
            <w:vAlign w:val="center"/>
          </w:tcPr>
          <w:p w14:paraId="560E2487">
            <w:pPr>
              <w:tabs>
                <w:tab w:val="left" w:pos="5580"/>
              </w:tabs>
              <w:jc w:val="center"/>
              <w:rPr>
                <w:rFonts w:hint="eastAsia"/>
                <w:sz w:val="24"/>
                <w:highlight w:val="none"/>
              </w:rPr>
            </w:pPr>
          </w:p>
        </w:tc>
        <w:tc>
          <w:tcPr>
            <w:tcW w:w="653" w:type="pct"/>
            <w:vMerge w:val="continue"/>
            <w:tcBorders>
              <w:left w:val="single" w:color="auto" w:sz="4" w:space="0"/>
              <w:right w:val="single" w:color="auto" w:sz="4" w:space="0"/>
            </w:tcBorders>
            <w:noWrap w:val="0"/>
            <w:vAlign w:val="center"/>
          </w:tcPr>
          <w:p w14:paraId="3707793F">
            <w:pPr>
              <w:tabs>
                <w:tab w:val="left" w:pos="5580"/>
              </w:tabs>
              <w:jc w:val="center"/>
              <w:rPr>
                <w:sz w:val="24"/>
                <w:highlight w:val="none"/>
              </w:rPr>
            </w:pPr>
          </w:p>
        </w:tc>
        <w:tc>
          <w:tcPr>
            <w:tcW w:w="684" w:type="pct"/>
            <w:vMerge w:val="continue"/>
            <w:tcBorders>
              <w:left w:val="single" w:color="auto" w:sz="4" w:space="0"/>
              <w:right w:val="single" w:color="auto" w:sz="4" w:space="0"/>
            </w:tcBorders>
            <w:noWrap w:val="0"/>
            <w:vAlign w:val="center"/>
          </w:tcPr>
          <w:p w14:paraId="630F9164">
            <w:pPr>
              <w:tabs>
                <w:tab w:val="left" w:pos="5580"/>
              </w:tabs>
              <w:jc w:val="center"/>
              <w:rPr>
                <w:sz w:val="24"/>
                <w:highlight w:val="none"/>
              </w:rPr>
            </w:pPr>
          </w:p>
        </w:tc>
        <w:tc>
          <w:tcPr>
            <w:tcW w:w="3337" w:type="pct"/>
            <w:gridSpan w:val="2"/>
            <w:tcBorders>
              <w:top w:val="single" w:color="auto" w:sz="4" w:space="0"/>
              <w:left w:val="single" w:color="auto" w:sz="4" w:space="0"/>
              <w:bottom w:val="single" w:color="auto" w:sz="4" w:space="0"/>
              <w:right w:val="single" w:color="auto" w:sz="4" w:space="0"/>
            </w:tcBorders>
            <w:noWrap w:val="0"/>
            <w:vAlign w:val="center"/>
          </w:tcPr>
          <w:p w14:paraId="4ADDB55B">
            <w:pPr>
              <w:tabs>
                <w:tab w:val="left" w:pos="5580"/>
              </w:tabs>
              <w:jc w:val="center"/>
              <w:rPr>
                <w:sz w:val="24"/>
                <w:highlight w:val="none"/>
              </w:rPr>
            </w:pPr>
            <w:r>
              <w:rPr>
                <w:rFonts w:hint="eastAsia" w:ascii="宋体" w:hAnsi="宋体" w:cs="方正仿宋_GBK"/>
                <w:b/>
                <w:bCs/>
                <w:color w:val="000000"/>
                <w:kern w:val="0"/>
                <w:sz w:val="24"/>
                <w:highlight w:val="none"/>
              </w:rPr>
              <w:t>（</w:t>
            </w:r>
            <w:r>
              <w:rPr>
                <w:rFonts w:ascii="宋体" w:hAnsi="宋体" w:cs="方正仿宋_GBK"/>
                <w:b/>
                <w:bCs/>
                <w:color w:val="000000"/>
                <w:kern w:val="0"/>
                <w:sz w:val="24"/>
                <w:highlight w:val="none"/>
              </w:rPr>
              <w:t>骨科手术例数</w:t>
            </w:r>
            <w:r>
              <w:rPr>
                <w:rFonts w:hint="eastAsia"/>
                <w:b/>
                <w:bCs/>
                <w:sz w:val="24"/>
                <w:highlight w:val="none"/>
              </w:rPr>
              <w:t>/年</w:t>
            </w:r>
            <w:r>
              <w:rPr>
                <w:rFonts w:hint="eastAsia" w:ascii="宋体" w:hAnsi="宋体" w:cs="方正仿宋_GBK"/>
                <w:b/>
                <w:bCs/>
                <w:color w:val="000000"/>
                <w:kern w:val="0"/>
                <w:sz w:val="24"/>
                <w:highlight w:val="none"/>
              </w:rPr>
              <w:t>＞</w:t>
            </w:r>
            <w:r>
              <w:rPr>
                <w:rFonts w:ascii="宋体" w:hAnsi="宋体" w:cs="方正仿宋_GBK"/>
                <w:b/>
                <w:bCs/>
                <w:color w:val="000000"/>
                <w:kern w:val="0"/>
                <w:sz w:val="24"/>
                <w:highlight w:val="none"/>
              </w:rPr>
              <w:t>200例</w:t>
            </w:r>
            <w:r>
              <w:rPr>
                <w:rFonts w:hint="eastAsia" w:ascii="宋体" w:hAnsi="宋体" w:cs="方正仿宋_GBK"/>
                <w:b/>
                <w:bCs/>
                <w:color w:val="000000"/>
                <w:kern w:val="0"/>
                <w:sz w:val="24"/>
                <w:highlight w:val="none"/>
              </w:rPr>
              <w:t>）每例租赁费</w:t>
            </w:r>
            <w:r>
              <w:rPr>
                <w:rFonts w:hint="eastAsia"/>
                <w:b/>
                <w:bCs/>
                <w:sz w:val="24"/>
                <w:highlight w:val="none"/>
              </w:rPr>
              <w:t>报价</w:t>
            </w:r>
          </w:p>
        </w:tc>
      </w:tr>
      <w:tr w14:paraId="50FE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324" w:type="pct"/>
            <w:vMerge w:val="continue"/>
            <w:tcBorders>
              <w:left w:val="single" w:color="auto" w:sz="4" w:space="0"/>
              <w:right w:val="single" w:color="auto" w:sz="4" w:space="0"/>
            </w:tcBorders>
            <w:noWrap w:val="0"/>
            <w:vAlign w:val="center"/>
          </w:tcPr>
          <w:p w14:paraId="45220EC0">
            <w:pPr>
              <w:tabs>
                <w:tab w:val="left" w:pos="5580"/>
              </w:tabs>
              <w:jc w:val="center"/>
              <w:rPr>
                <w:sz w:val="24"/>
                <w:highlight w:val="none"/>
              </w:rPr>
            </w:pPr>
          </w:p>
        </w:tc>
        <w:tc>
          <w:tcPr>
            <w:tcW w:w="653" w:type="pct"/>
            <w:vMerge w:val="continue"/>
            <w:tcBorders>
              <w:left w:val="single" w:color="auto" w:sz="4" w:space="0"/>
              <w:right w:val="single" w:color="auto" w:sz="4" w:space="0"/>
            </w:tcBorders>
            <w:noWrap w:val="0"/>
            <w:vAlign w:val="center"/>
          </w:tcPr>
          <w:p w14:paraId="1B762246">
            <w:pPr>
              <w:tabs>
                <w:tab w:val="left" w:pos="5580"/>
              </w:tabs>
              <w:jc w:val="center"/>
              <w:rPr>
                <w:sz w:val="24"/>
                <w:highlight w:val="none"/>
              </w:rPr>
            </w:pPr>
          </w:p>
        </w:tc>
        <w:tc>
          <w:tcPr>
            <w:tcW w:w="684" w:type="pct"/>
            <w:vMerge w:val="continue"/>
            <w:tcBorders>
              <w:left w:val="single" w:color="auto" w:sz="4" w:space="0"/>
              <w:right w:val="single" w:color="auto" w:sz="4" w:space="0"/>
            </w:tcBorders>
            <w:noWrap w:val="0"/>
            <w:vAlign w:val="center"/>
          </w:tcPr>
          <w:p w14:paraId="1A2F45F8">
            <w:pPr>
              <w:tabs>
                <w:tab w:val="left" w:pos="5580"/>
              </w:tabs>
              <w:jc w:val="center"/>
              <w:rPr>
                <w:sz w:val="24"/>
                <w:highlight w:val="none"/>
              </w:rPr>
            </w:pPr>
          </w:p>
        </w:tc>
        <w:tc>
          <w:tcPr>
            <w:tcW w:w="2357" w:type="pct"/>
            <w:tcBorders>
              <w:top w:val="single" w:color="auto" w:sz="4" w:space="0"/>
              <w:left w:val="single" w:color="auto" w:sz="4" w:space="0"/>
              <w:bottom w:val="single" w:color="auto" w:sz="4" w:space="0"/>
              <w:right w:val="single" w:color="auto" w:sz="4" w:space="0"/>
            </w:tcBorders>
            <w:noWrap w:val="0"/>
            <w:vAlign w:val="center"/>
          </w:tcPr>
          <w:p w14:paraId="5BF75989">
            <w:pPr>
              <w:tabs>
                <w:tab w:val="left" w:pos="5580"/>
              </w:tabs>
              <w:jc w:val="center"/>
              <w:rPr>
                <w:sz w:val="24"/>
                <w:highlight w:val="none"/>
              </w:rPr>
            </w:pPr>
            <w:r>
              <w:rPr>
                <w:rFonts w:hint="eastAsia"/>
                <w:b/>
                <w:sz w:val="24"/>
                <w:highlight w:val="none"/>
              </w:rPr>
              <w:t>大写</w:t>
            </w:r>
          </w:p>
        </w:tc>
        <w:tc>
          <w:tcPr>
            <w:tcW w:w="980" w:type="pct"/>
            <w:tcBorders>
              <w:top w:val="single" w:color="auto" w:sz="4" w:space="0"/>
              <w:left w:val="single" w:color="auto" w:sz="4" w:space="0"/>
              <w:bottom w:val="single" w:color="auto" w:sz="4" w:space="0"/>
              <w:right w:val="single" w:color="auto" w:sz="4" w:space="0"/>
            </w:tcBorders>
            <w:noWrap w:val="0"/>
            <w:vAlign w:val="center"/>
          </w:tcPr>
          <w:p w14:paraId="34090BD4">
            <w:pPr>
              <w:tabs>
                <w:tab w:val="left" w:pos="5580"/>
              </w:tabs>
              <w:jc w:val="center"/>
              <w:rPr>
                <w:sz w:val="24"/>
                <w:highlight w:val="none"/>
              </w:rPr>
            </w:pPr>
            <w:r>
              <w:rPr>
                <w:rFonts w:hint="eastAsia"/>
                <w:b/>
                <w:sz w:val="24"/>
                <w:highlight w:val="none"/>
              </w:rPr>
              <w:t>小写</w:t>
            </w:r>
          </w:p>
        </w:tc>
      </w:tr>
      <w:tr w14:paraId="424C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 w:hRule="atLeast"/>
          <w:jc w:val="center"/>
        </w:trPr>
        <w:tc>
          <w:tcPr>
            <w:tcW w:w="324" w:type="pct"/>
            <w:vMerge w:val="continue"/>
            <w:tcBorders>
              <w:left w:val="single" w:color="auto" w:sz="4" w:space="0"/>
              <w:bottom w:val="single" w:color="auto" w:sz="4" w:space="0"/>
              <w:right w:val="single" w:color="auto" w:sz="4" w:space="0"/>
            </w:tcBorders>
            <w:noWrap w:val="0"/>
            <w:vAlign w:val="center"/>
          </w:tcPr>
          <w:p w14:paraId="7994A786">
            <w:pPr>
              <w:tabs>
                <w:tab w:val="left" w:pos="5580"/>
              </w:tabs>
              <w:jc w:val="center"/>
              <w:rPr>
                <w:sz w:val="24"/>
                <w:highlight w:val="none"/>
              </w:rPr>
            </w:pPr>
          </w:p>
        </w:tc>
        <w:tc>
          <w:tcPr>
            <w:tcW w:w="653" w:type="pct"/>
            <w:vMerge w:val="continue"/>
            <w:tcBorders>
              <w:left w:val="single" w:color="auto" w:sz="4" w:space="0"/>
              <w:bottom w:val="single" w:color="auto" w:sz="4" w:space="0"/>
              <w:right w:val="single" w:color="auto" w:sz="4" w:space="0"/>
            </w:tcBorders>
            <w:noWrap w:val="0"/>
            <w:vAlign w:val="center"/>
          </w:tcPr>
          <w:p w14:paraId="4A1473C1">
            <w:pPr>
              <w:tabs>
                <w:tab w:val="left" w:pos="5580"/>
              </w:tabs>
              <w:jc w:val="center"/>
              <w:rPr>
                <w:sz w:val="24"/>
                <w:highlight w:val="none"/>
              </w:rPr>
            </w:pPr>
          </w:p>
        </w:tc>
        <w:tc>
          <w:tcPr>
            <w:tcW w:w="684" w:type="pct"/>
            <w:vMerge w:val="continue"/>
            <w:tcBorders>
              <w:left w:val="single" w:color="auto" w:sz="4" w:space="0"/>
              <w:bottom w:val="single" w:color="auto" w:sz="4" w:space="0"/>
              <w:right w:val="single" w:color="auto" w:sz="4" w:space="0"/>
            </w:tcBorders>
            <w:noWrap w:val="0"/>
            <w:vAlign w:val="center"/>
          </w:tcPr>
          <w:p w14:paraId="5DCAB41F">
            <w:pPr>
              <w:tabs>
                <w:tab w:val="left" w:pos="5580"/>
              </w:tabs>
              <w:jc w:val="center"/>
              <w:rPr>
                <w:sz w:val="24"/>
                <w:highlight w:val="none"/>
              </w:rPr>
            </w:pPr>
          </w:p>
        </w:tc>
        <w:tc>
          <w:tcPr>
            <w:tcW w:w="2357" w:type="pct"/>
            <w:tcBorders>
              <w:top w:val="single" w:color="auto" w:sz="4" w:space="0"/>
              <w:left w:val="single" w:color="auto" w:sz="4" w:space="0"/>
              <w:bottom w:val="single" w:color="auto" w:sz="4" w:space="0"/>
              <w:right w:val="single" w:color="auto" w:sz="4" w:space="0"/>
            </w:tcBorders>
            <w:noWrap w:val="0"/>
            <w:vAlign w:val="center"/>
          </w:tcPr>
          <w:p w14:paraId="6E79F343">
            <w:pPr>
              <w:keepNext w:val="0"/>
              <w:keepLines w:val="0"/>
              <w:suppressLineNumbers w:val="0"/>
              <w:tabs>
                <w:tab w:val="left" w:pos="5580"/>
              </w:tabs>
              <w:spacing w:before="0" w:beforeAutospacing="0" w:after="0" w:afterAutospacing="0"/>
              <w:ind w:left="0" w:leftChars="0" w:right="0" w:rightChars="0"/>
              <w:jc w:val="center"/>
              <w:rPr>
                <w:sz w:val="24"/>
                <w:highlight w:val="none"/>
              </w:rPr>
            </w:pPr>
            <w:r>
              <w:rPr>
                <w:rFonts w:hint="eastAsia"/>
                <w:b w:val="0"/>
                <w:bCs/>
                <w:sz w:val="24"/>
                <w:szCs w:val="24"/>
                <w:highlight w:val="none"/>
                <w:lang w:val="en-US" w:eastAsia="zh-CN"/>
              </w:rPr>
              <w:t>陆仟肆佰元整</w:t>
            </w:r>
          </w:p>
        </w:tc>
        <w:tc>
          <w:tcPr>
            <w:tcW w:w="980" w:type="pct"/>
            <w:tcBorders>
              <w:top w:val="single" w:color="auto" w:sz="4" w:space="0"/>
              <w:left w:val="single" w:color="auto" w:sz="4" w:space="0"/>
              <w:bottom w:val="single" w:color="auto" w:sz="4" w:space="0"/>
              <w:right w:val="single" w:color="auto" w:sz="4" w:space="0"/>
            </w:tcBorders>
            <w:noWrap w:val="0"/>
            <w:vAlign w:val="center"/>
          </w:tcPr>
          <w:p w14:paraId="5377B08B">
            <w:pPr>
              <w:keepNext w:val="0"/>
              <w:keepLines w:val="0"/>
              <w:widowControl/>
              <w:suppressLineNumbers w:val="0"/>
              <w:spacing w:before="0" w:beforeAutospacing="0" w:after="0" w:afterAutospacing="0"/>
              <w:ind w:left="0" w:leftChars="0" w:right="0" w:rightChars="0"/>
              <w:jc w:val="center"/>
              <w:textAlignment w:val="center"/>
              <w:rPr>
                <w:sz w:val="24"/>
                <w:highlight w:val="none"/>
              </w:rPr>
            </w:pPr>
            <w:r>
              <w:rPr>
                <w:rFonts w:hint="eastAsia" w:ascii="宋体" w:hAnsi="宋体" w:eastAsia="宋体" w:cs="宋体"/>
                <w:i w:val="0"/>
                <w:iCs w:val="0"/>
                <w:color w:val="000000"/>
                <w:kern w:val="0"/>
                <w:sz w:val="24"/>
                <w:szCs w:val="24"/>
                <w:u w:val="none"/>
                <w:lang w:val="en-US" w:eastAsia="zh-CN" w:bidi="ar"/>
              </w:rPr>
              <w:t xml:space="preserve">￥6,400.00 </w:t>
            </w:r>
          </w:p>
        </w:tc>
      </w:tr>
    </w:tbl>
    <w:p w14:paraId="2634B906">
      <w:pPr>
        <w:spacing w:line="360" w:lineRule="auto"/>
        <w:ind w:left="1920" w:leftChars="200" w:hanging="1440" w:hangingChars="600"/>
        <w:rPr>
          <w:rFonts w:ascii="宋体" w:hAnsi="宋体" w:cs="宋体"/>
          <w:highlight w:val="none"/>
        </w:rPr>
      </w:pPr>
    </w:p>
    <w:p w14:paraId="33D2C41B">
      <w:pPr>
        <w:spacing w:before="163" w:beforeLines="50" w:line="360" w:lineRule="auto"/>
        <w:rPr>
          <w:rFonts w:hint="eastAsia" w:ascii="宋体" w:hAnsi="宋体" w:eastAsia="宋体" w:cs="宋体"/>
          <w:lang w:eastAsia="zh-CN"/>
        </w:rPr>
      </w:pPr>
      <w:r>
        <w:rPr>
          <w:rFonts w:hint="eastAsia" w:ascii="宋体" w:hAnsi="宋体" w:cs="宋体"/>
          <w:b/>
          <w:bCs/>
          <w:lang w:val="en-US" w:eastAsia="zh-CN"/>
        </w:rPr>
        <w:t>四</w:t>
      </w:r>
      <w:r>
        <w:rPr>
          <w:rFonts w:hint="eastAsia" w:ascii="宋体" w:hAnsi="宋体" w:cs="宋体"/>
          <w:b/>
          <w:bCs/>
        </w:rPr>
        <w:t>、评审专家名单：刘莉</w:t>
      </w:r>
      <w:r>
        <w:rPr>
          <w:rFonts w:hint="eastAsia" w:ascii="宋体" w:hAnsi="宋体" w:cs="宋体"/>
          <w:b/>
          <w:bCs/>
          <w:lang w:eastAsia="zh-CN"/>
        </w:rPr>
        <w:t>、</w:t>
      </w:r>
      <w:r>
        <w:rPr>
          <w:rFonts w:hint="eastAsia" w:ascii="宋体" w:hAnsi="宋体" w:cs="宋体"/>
          <w:b/>
          <w:bCs/>
        </w:rPr>
        <w:t>左莉华</w:t>
      </w:r>
      <w:r>
        <w:rPr>
          <w:rFonts w:hint="eastAsia" w:ascii="宋体" w:hAnsi="宋体" w:cs="宋体"/>
          <w:b/>
          <w:bCs/>
          <w:lang w:eastAsia="zh-CN"/>
        </w:rPr>
        <w:t>、</w:t>
      </w:r>
      <w:r>
        <w:rPr>
          <w:rFonts w:hint="eastAsia" w:ascii="宋体" w:hAnsi="宋体" w:cs="宋体"/>
          <w:b/>
          <w:bCs/>
        </w:rPr>
        <w:t>兰汀隆</w:t>
      </w:r>
    </w:p>
    <w:p w14:paraId="75CB649A">
      <w:pPr>
        <w:spacing w:line="360" w:lineRule="auto"/>
        <w:rPr>
          <w:rFonts w:ascii="宋体" w:hAnsi="宋体" w:cs="宋体"/>
          <w:b/>
          <w:bCs/>
        </w:rPr>
      </w:pPr>
      <w:r>
        <w:rPr>
          <w:rFonts w:hint="eastAsia" w:ascii="宋体" w:hAnsi="宋体" w:cs="宋体"/>
          <w:b/>
          <w:bCs/>
          <w:lang w:val="en-US" w:eastAsia="zh-CN"/>
        </w:rPr>
        <w:t>五</w:t>
      </w:r>
      <w:r>
        <w:rPr>
          <w:rFonts w:hint="eastAsia" w:ascii="宋体" w:hAnsi="宋体" w:cs="宋体"/>
          <w:b/>
          <w:bCs/>
        </w:rPr>
        <w:t>、代理服务收费标准及金额：</w:t>
      </w:r>
    </w:p>
    <w:p w14:paraId="49DE459F">
      <w:pPr>
        <w:spacing w:line="360" w:lineRule="auto"/>
        <w:ind w:firstLine="480" w:firstLineChars="200"/>
        <w:rPr>
          <w:rFonts w:hint="default" w:ascii="宋体" w:hAnsi="宋体" w:eastAsia="宋体" w:cs="宋体"/>
          <w:lang w:val="en-US" w:eastAsia="zh-CN"/>
        </w:rPr>
      </w:pPr>
      <w:r>
        <w:rPr>
          <w:rFonts w:hint="eastAsia" w:ascii="宋体" w:hAnsi="宋体" w:cs="宋体"/>
        </w:rPr>
        <w:t>代理服务收费标准：参照国家发展计划委员会颁发的《招标代理服务收费管理暂行办法》（计价格[2002]1980号）和国家发展改革委办公厅关于招标代理服</w:t>
      </w:r>
      <w:bookmarkStart w:id="20" w:name="_GoBack"/>
      <w:bookmarkEnd w:id="20"/>
      <w:r>
        <w:rPr>
          <w:rFonts w:hint="eastAsia" w:ascii="宋体" w:hAnsi="宋体" w:cs="宋体"/>
        </w:rPr>
        <w:t>务收费有关问题的通知（发改办价格[2003]857号）执行。</w:t>
      </w:r>
    </w:p>
    <w:p w14:paraId="64D898F9">
      <w:pPr>
        <w:spacing w:line="360" w:lineRule="auto"/>
        <w:ind w:firstLine="480" w:firstLineChars="200"/>
        <w:rPr>
          <w:rFonts w:hint="eastAsia" w:ascii="宋体" w:hAnsi="宋体" w:eastAsia="宋体" w:cs="宋体"/>
          <w:highlight w:val="none"/>
          <w:lang w:val="en-US" w:eastAsia="zh-CN"/>
        </w:rPr>
      </w:pPr>
      <w:r>
        <w:rPr>
          <w:rFonts w:hint="eastAsia" w:ascii="宋体" w:hAnsi="宋体" w:cs="宋体"/>
        </w:rPr>
        <w:t>代理</w:t>
      </w:r>
      <w:r>
        <w:rPr>
          <w:rFonts w:hint="eastAsia" w:ascii="宋体" w:hAnsi="宋体" w:cs="宋体"/>
          <w:highlight w:val="none"/>
        </w:rPr>
        <w:t>服务收费金额：人民</w:t>
      </w:r>
      <w:r>
        <w:rPr>
          <w:rFonts w:hint="eastAsia" w:ascii="宋体" w:hAnsi="宋体" w:cs="宋体"/>
          <w:highlight w:val="none"/>
          <w:lang w:val="en-US" w:eastAsia="zh-CN"/>
        </w:rPr>
        <w:t>币3.8008</w:t>
      </w:r>
      <w:r>
        <w:rPr>
          <w:rFonts w:hint="eastAsia" w:ascii="宋体" w:hAnsi="宋体" w:cs="宋体"/>
          <w:highlight w:val="none"/>
        </w:rPr>
        <w:t>万元</w:t>
      </w:r>
      <w:r>
        <w:rPr>
          <w:rFonts w:hint="eastAsia" w:ascii="宋体" w:hAnsi="宋体" w:cs="宋体"/>
          <w:highlight w:val="none"/>
          <w:lang w:eastAsia="zh-CN"/>
        </w:rPr>
        <w:t>。</w:t>
      </w:r>
    </w:p>
    <w:p w14:paraId="61809093">
      <w:pPr>
        <w:numPr>
          <w:ilvl w:val="0"/>
          <w:numId w:val="0"/>
        </w:numPr>
        <w:spacing w:line="360" w:lineRule="auto"/>
      </w:pPr>
      <w:r>
        <w:rPr>
          <w:rFonts w:hint="eastAsia" w:ascii="宋体" w:hAnsi="宋体" w:cs="宋体"/>
          <w:b/>
          <w:bCs/>
          <w:lang w:val="en-US" w:eastAsia="zh-CN"/>
        </w:rPr>
        <w:t>六</w:t>
      </w:r>
      <w:r>
        <w:rPr>
          <w:rFonts w:hint="eastAsia" w:ascii="宋体" w:hAnsi="宋体" w:cs="宋体"/>
          <w:b/>
          <w:bCs/>
        </w:rPr>
        <w:t>、公告期限</w:t>
      </w:r>
    </w:p>
    <w:p w14:paraId="6FC41102">
      <w:pPr>
        <w:spacing w:line="360" w:lineRule="auto"/>
        <w:ind w:firstLine="480" w:firstLineChars="200"/>
        <w:rPr>
          <w:rFonts w:ascii="宋体" w:hAnsi="宋体" w:cs="宋体"/>
          <w:kern w:val="0"/>
        </w:rPr>
      </w:pPr>
      <w:r>
        <w:rPr>
          <w:rFonts w:hint="eastAsia" w:ascii="宋体" w:hAnsi="宋体" w:cs="宋体"/>
          <w:kern w:val="0"/>
        </w:rPr>
        <w:t>自本公告发布之日起1个工作日。</w:t>
      </w:r>
    </w:p>
    <w:p w14:paraId="37D1FE3B">
      <w:pPr>
        <w:spacing w:line="360" w:lineRule="auto"/>
        <w:rPr>
          <w:rFonts w:ascii="宋体" w:hAnsi="宋体" w:cs="宋体"/>
          <w:b/>
          <w:bCs/>
          <w:highlight w:val="none"/>
        </w:rPr>
      </w:pPr>
      <w:r>
        <w:rPr>
          <w:rFonts w:hint="eastAsia" w:ascii="宋体" w:hAnsi="宋体" w:cs="宋体"/>
          <w:b/>
          <w:bCs/>
          <w:lang w:val="en-US" w:eastAsia="zh-CN"/>
        </w:rPr>
        <w:t>七</w:t>
      </w:r>
      <w:r>
        <w:rPr>
          <w:rFonts w:hint="eastAsia" w:ascii="宋体" w:hAnsi="宋体" w:cs="宋体"/>
          <w:b/>
          <w:bCs/>
        </w:rPr>
        <w:t>、其他补充事宜</w:t>
      </w:r>
    </w:p>
    <w:p w14:paraId="781B3C03">
      <w:pPr>
        <w:spacing w:line="360" w:lineRule="auto"/>
        <w:ind w:firstLine="480" w:firstLineChars="200"/>
        <w:rPr>
          <w:rFonts w:hint="eastAsia" w:ascii="宋体" w:hAnsi="宋体" w:cs="宋体"/>
          <w:kern w:val="0"/>
          <w:highlight w:val="none"/>
        </w:rPr>
      </w:pPr>
      <w:r>
        <w:rPr>
          <w:rFonts w:hint="eastAsia" w:ascii="宋体" w:hAnsi="宋体" w:cs="宋体"/>
          <w:highlight w:val="none"/>
          <w:lang w:val="en-US" w:eastAsia="zh-CN"/>
        </w:rPr>
        <w:t>北京机器人融资租赁股份有限公司</w:t>
      </w:r>
      <w:r>
        <w:rPr>
          <w:rFonts w:hint="eastAsia" w:ascii="宋体" w:hAnsi="宋体" w:cs="宋体"/>
          <w:kern w:val="0"/>
          <w:highlight w:val="none"/>
        </w:rPr>
        <w:t>评审总得分(总平均分):92.15。</w:t>
      </w:r>
    </w:p>
    <w:p w14:paraId="6B71066D">
      <w:pPr>
        <w:spacing w:line="360" w:lineRule="auto"/>
        <w:rPr>
          <w:rFonts w:ascii="宋体" w:hAnsi="宋体" w:cs="宋体"/>
          <w:b/>
          <w:bCs/>
          <w:kern w:val="0"/>
        </w:rPr>
      </w:pPr>
      <w:r>
        <w:rPr>
          <w:rFonts w:hint="eastAsia" w:ascii="宋体" w:hAnsi="宋体" w:cs="宋体"/>
          <w:b/>
          <w:bCs/>
          <w:kern w:val="0"/>
          <w:lang w:val="en-US" w:eastAsia="zh-CN"/>
        </w:rPr>
        <w:t>八</w:t>
      </w:r>
      <w:r>
        <w:rPr>
          <w:rFonts w:hint="eastAsia" w:ascii="宋体" w:hAnsi="宋体" w:cs="宋体"/>
          <w:b/>
          <w:bCs/>
          <w:kern w:val="0"/>
        </w:rPr>
        <w:t>、凡对本次公告内容提出询问，请按以下方式联系。</w:t>
      </w:r>
    </w:p>
    <w:p w14:paraId="006F499C">
      <w:pPr>
        <w:pStyle w:val="4"/>
        <w:spacing w:line="360" w:lineRule="auto"/>
        <w:ind w:firstLine="600" w:firstLineChars="250"/>
        <w:rPr>
          <w:rFonts w:ascii="宋体" w:hAnsi="宋体" w:cs="宋体"/>
          <w:b w:val="0"/>
          <w:sz w:val="24"/>
          <w:szCs w:val="24"/>
        </w:rPr>
      </w:pPr>
      <w:bookmarkStart w:id="3" w:name="_Toc28359023"/>
      <w:bookmarkStart w:id="4" w:name="_Toc19952"/>
      <w:bookmarkStart w:id="5" w:name="_Toc28359100"/>
      <w:bookmarkStart w:id="6" w:name="_Toc35393641"/>
      <w:bookmarkStart w:id="7" w:name="_Toc35393810"/>
      <w:r>
        <w:rPr>
          <w:rFonts w:hint="eastAsia" w:ascii="宋体" w:hAnsi="宋体" w:cs="宋体"/>
          <w:b w:val="0"/>
          <w:sz w:val="24"/>
          <w:szCs w:val="24"/>
        </w:rPr>
        <w:t>1.采购人信息</w:t>
      </w:r>
      <w:bookmarkEnd w:id="3"/>
      <w:bookmarkEnd w:id="4"/>
      <w:bookmarkEnd w:id="5"/>
      <w:bookmarkEnd w:id="6"/>
      <w:bookmarkEnd w:id="7"/>
    </w:p>
    <w:p w14:paraId="400EC884">
      <w:pPr>
        <w:spacing w:line="360" w:lineRule="auto"/>
        <w:ind w:firstLine="720" w:firstLineChars="300"/>
        <w:rPr>
          <w:rFonts w:ascii="宋体" w:hAnsi="宋体" w:cs="宋体"/>
        </w:rPr>
      </w:pPr>
      <w:bookmarkStart w:id="8" w:name="_Toc28359009"/>
      <w:bookmarkStart w:id="9" w:name="_Toc28359086"/>
      <w:bookmarkStart w:id="10" w:name="_Toc35393811"/>
      <w:bookmarkStart w:id="11" w:name="_Toc28359101"/>
      <w:bookmarkStart w:id="12" w:name="_Toc35393642"/>
      <w:bookmarkStart w:id="13" w:name="_Toc28359024"/>
      <w:bookmarkStart w:id="14" w:name="_Toc30495"/>
      <w:r>
        <w:rPr>
          <w:rFonts w:hint="eastAsia" w:ascii="宋体" w:hAnsi="宋体" w:cs="宋体"/>
        </w:rPr>
        <w:t>名    称：</w:t>
      </w:r>
      <w:r>
        <w:rPr>
          <w:rFonts w:hint="eastAsia"/>
          <w:highlight w:val="none"/>
          <w:lang w:eastAsia="zh-CN"/>
        </w:rPr>
        <w:t>首都医科大学附属北京胸科医院</w:t>
      </w:r>
    </w:p>
    <w:p w14:paraId="2A4CF382">
      <w:pPr>
        <w:spacing w:line="360" w:lineRule="auto"/>
        <w:ind w:firstLine="720" w:firstLineChars="300"/>
        <w:rPr>
          <w:rFonts w:ascii="宋体" w:hAnsi="宋体" w:cs="宋体"/>
        </w:rPr>
      </w:pPr>
      <w:r>
        <w:rPr>
          <w:rFonts w:hint="eastAsia" w:ascii="宋体" w:hAnsi="宋体" w:cs="宋体"/>
        </w:rPr>
        <w:t>地    址：</w:t>
      </w:r>
      <w:r>
        <w:rPr>
          <w:rFonts w:hint="eastAsia" w:ascii="宋体" w:hAnsi="宋体" w:cs="宋体"/>
          <w:sz w:val="24"/>
          <w:highlight w:val="none"/>
          <w:u w:val="single"/>
        </w:rPr>
        <w:t>北京市通州区北关大街9号院</w:t>
      </w:r>
    </w:p>
    <w:p w14:paraId="0B428BA1">
      <w:pPr>
        <w:spacing w:line="360" w:lineRule="auto"/>
        <w:ind w:firstLine="720" w:firstLineChars="300"/>
        <w:rPr>
          <w:rFonts w:ascii="宋体" w:hAnsi="宋体" w:cs="宋体"/>
        </w:rPr>
      </w:pPr>
      <w:r>
        <w:rPr>
          <w:rFonts w:hint="eastAsia" w:ascii="宋体" w:hAnsi="宋体" w:cs="宋体"/>
        </w:rPr>
        <w:t>联系方式：</w:t>
      </w:r>
      <w:r>
        <w:rPr>
          <w:rFonts w:hint="eastAsia" w:ascii="宋体" w:hAnsi="宋体" w:cs="宋体"/>
          <w:sz w:val="24"/>
          <w:highlight w:val="none"/>
          <w:u w:val="single"/>
        </w:rPr>
        <w:t xml:space="preserve">010-89509596 </w:t>
      </w:r>
    </w:p>
    <w:bookmarkEnd w:id="8"/>
    <w:bookmarkEnd w:id="9"/>
    <w:p w14:paraId="49274218">
      <w:pPr>
        <w:pStyle w:val="4"/>
        <w:spacing w:line="360" w:lineRule="auto"/>
        <w:ind w:firstLine="720" w:firstLineChars="300"/>
        <w:rPr>
          <w:rFonts w:ascii="宋体" w:hAnsi="宋体" w:cs="宋体"/>
          <w:b w:val="0"/>
          <w:sz w:val="24"/>
          <w:szCs w:val="24"/>
        </w:rPr>
      </w:pPr>
      <w:r>
        <w:rPr>
          <w:rFonts w:hint="eastAsia" w:ascii="宋体" w:hAnsi="宋体" w:cs="宋体"/>
          <w:b w:val="0"/>
          <w:sz w:val="24"/>
          <w:szCs w:val="24"/>
        </w:rPr>
        <w:t>2.采购代理机构信息</w:t>
      </w:r>
      <w:bookmarkEnd w:id="10"/>
      <w:bookmarkEnd w:id="11"/>
      <w:bookmarkEnd w:id="12"/>
      <w:bookmarkEnd w:id="13"/>
      <w:bookmarkEnd w:id="14"/>
    </w:p>
    <w:p w14:paraId="0F2116AB">
      <w:pPr>
        <w:spacing w:line="360" w:lineRule="auto"/>
        <w:ind w:firstLine="720" w:firstLineChars="300"/>
        <w:rPr>
          <w:rFonts w:ascii="宋体" w:hAnsi="宋体" w:cs="宋体"/>
          <w:u w:val="single"/>
        </w:rPr>
      </w:pPr>
      <w:r>
        <w:rPr>
          <w:rFonts w:hint="eastAsia" w:ascii="宋体" w:hAnsi="宋体" w:cs="宋体"/>
        </w:rPr>
        <w:t>名    称：北京国际贸易有限公司</w:t>
      </w:r>
    </w:p>
    <w:p w14:paraId="778B2EAE">
      <w:pPr>
        <w:spacing w:line="360" w:lineRule="auto"/>
        <w:ind w:firstLine="720" w:firstLineChars="300"/>
        <w:rPr>
          <w:rFonts w:ascii="宋体" w:hAnsi="宋体" w:cs="宋体"/>
        </w:rPr>
      </w:pPr>
      <w:r>
        <w:rPr>
          <w:rFonts w:hint="eastAsia" w:ascii="宋体" w:hAnsi="宋体" w:cs="宋体"/>
        </w:rPr>
        <w:t>地　  址：北京市朝阳区建国门外大街甲3号</w:t>
      </w:r>
    </w:p>
    <w:p w14:paraId="3ABC0A6B">
      <w:pPr>
        <w:spacing w:line="360" w:lineRule="auto"/>
        <w:ind w:firstLine="720" w:firstLineChars="300"/>
        <w:rPr>
          <w:rFonts w:ascii="宋体" w:hAnsi="宋体" w:cs="宋体"/>
          <w:u w:val="single"/>
        </w:rPr>
      </w:pPr>
      <w:r>
        <w:rPr>
          <w:rFonts w:hint="eastAsia" w:ascii="宋体" w:hAnsi="宋体" w:cs="宋体"/>
        </w:rPr>
        <w:t>联系方式：010-85343456</w:t>
      </w:r>
    </w:p>
    <w:p w14:paraId="20D9101A">
      <w:pPr>
        <w:pStyle w:val="4"/>
        <w:spacing w:line="360" w:lineRule="auto"/>
        <w:ind w:firstLine="720" w:firstLineChars="300"/>
        <w:rPr>
          <w:rFonts w:ascii="宋体" w:hAnsi="宋体" w:cs="宋体"/>
          <w:b w:val="0"/>
          <w:sz w:val="24"/>
          <w:szCs w:val="24"/>
        </w:rPr>
      </w:pPr>
      <w:bookmarkStart w:id="15" w:name="_Toc35393643"/>
      <w:bookmarkStart w:id="16" w:name="_Toc35393812"/>
      <w:bookmarkStart w:id="17" w:name="_Toc28359025"/>
      <w:bookmarkStart w:id="18" w:name="_Toc28359102"/>
      <w:bookmarkStart w:id="19" w:name="_Toc23427"/>
      <w:r>
        <w:rPr>
          <w:rFonts w:hint="eastAsia" w:ascii="宋体" w:hAnsi="宋体" w:cs="宋体"/>
          <w:b w:val="0"/>
          <w:sz w:val="24"/>
          <w:szCs w:val="24"/>
        </w:rPr>
        <w:t>3.项目联系方式</w:t>
      </w:r>
      <w:bookmarkEnd w:id="15"/>
      <w:bookmarkEnd w:id="16"/>
      <w:bookmarkEnd w:id="17"/>
      <w:bookmarkEnd w:id="18"/>
      <w:bookmarkEnd w:id="19"/>
    </w:p>
    <w:p w14:paraId="3FF89499">
      <w:pPr>
        <w:spacing w:line="360" w:lineRule="auto"/>
        <w:ind w:firstLine="720" w:firstLineChars="300"/>
        <w:rPr>
          <w:rFonts w:ascii="宋体" w:hAnsi="宋体" w:cs="宋体"/>
          <w:u w:val="single"/>
        </w:rPr>
      </w:pPr>
      <w:r>
        <w:rPr>
          <w:rFonts w:hint="eastAsia" w:ascii="宋体" w:hAnsi="宋体" w:cs="宋体"/>
        </w:rPr>
        <w:t>项目联系人：张娇、张珊、梁潇</w:t>
      </w:r>
    </w:p>
    <w:p w14:paraId="6769B96D">
      <w:pPr>
        <w:spacing w:line="360" w:lineRule="auto"/>
        <w:ind w:firstLine="720" w:firstLineChars="300"/>
        <w:rPr>
          <w:rFonts w:ascii="宋体" w:hAnsi="宋体" w:cs="宋体"/>
          <w:u w:val="single"/>
        </w:rPr>
      </w:pPr>
      <w:r>
        <w:rPr>
          <w:rFonts w:hint="eastAsia" w:ascii="宋体" w:hAnsi="宋体" w:cs="宋体"/>
        </w:rPr>
        <w:t>电   话：010-85343456</w:t>
      </w:r>
    </w:p>
    <w:p w14:paraId="5AEED267">
      <w:pPr>
        <w:spacing w:line="360" w:lineRule="auto"/>
        <w:ind w:left="240" w:leftChars="100"/>
        <w:rPr>
          <w:rFonts w:ascii="宋体" w:hAnsi="宋体" w:cs="宋体"/>
        </w:rPr>
      </w:pPr>
    </w:p>
    <w:p w14:paraId="6AAB8A81">
      <w:pPr>
        <w:pStyle w:val="6"/>
        <w:rPr>
          <w:rFonts w:ascii="宋体" w:hAnsi="宋体" w:cs="宋体"/>
        </w:rPr>
      </w:pPr>
    </w:p>
    <w:p w14:paraId="53CBE8DD">
      <w:pPr>
        <w:pStyle w:val="6"/>
        <w:rPr>
          <w:rFonts w:ascii="宋体" w:hAnsi="宋体" w:cs="宋体"/>
        </w:rPr>
      </w:pPr>
    </w:p>
    <w:p w14:paraId="503FAAF0">
      <w:pPr>
        <w:pStyle w:val="6"/>
        <w:rPr>
          <w:rFonts w:ascii="宋体" w:hAnsi="宋体" w:cs="宋体"/>
        </w:rPr>
      </w:pPr>
    </w:p>
    <w:p w14:paraId="28CB0298">
      <w:pPr>
        <w:pStyle w:val="6"/>
        <w:rPr>
          <w:rFonts w:ascii="宋体" w:hAnsi="宋体" w:cs="宋体"/>
        </w:rPr>
      </w:pPr>
    </w:p>
    <w:p w14:paraId="3256CEAF">
      <w:pPr>
        <w:pStyle w:val="6"/>
        <w:rPr>
          <w:rFonts w:ascii="宋体" w:hAnsi="宋体" w:cs="宋体"/>
        </w:rPr>
      </w:pPr>
    </w:p>
    <w:p w14:paraId="65240CB4">
      <w:pPr>
        <w:pStyle w:val="6"/>
        <w:rPr>
          <w:rFonts w:ascii="宋体" w:hAnsi="宋体" w:cs="宋体"/>
        </w:rPr>
      </w:pPr>
    </w:p>
    <w:p w14:paraId="2D17B526">
      <w:pPr>
        <w:pStyle w:val="6"/>
        <w:rPr>
          <w:rFonts w:ascii="宋体" w:hAnsi="宋体" w:cs="宋体"/>
        </w:rPr>
      </w:pPr>
    </w:p>
    <w:p w14:paraId="562007B7">
      <w:pPr>
        <w:pStyle w:val="6"/>
        <w:rPr>
          <w:rFonts w:ascii="宋体" w:hAnsi="宋体" w:cs="宋体"/>
        </w:rPr>
      </w:pPr>
    </w:p>
    <w:p w14:paraId="0F81A324">
      <w:pPr>
        <w:pStyle w:val="6"/>
        <w:rPr>
          <w:rFonts w:ascii="宋体" w:hAnsi="宋体" w:cs="宋体"/>
        </w:rPr>
      </w:pPr>
    </w:p>
    <w:p w14:paraId="6186507B">
      <w:pPr>
        <w:pStyle w:val="6"/>
        <w:rPr>
          <w:rFonts w:ascii="宋体" w:hAnsi="宋体" w:cs="宋体"/>
        </w:rPr>
      </w:pPr>
    </w:p>
    <w:p w14:paraId="018AE9C4">
      <w:pPr>
        <w:pStyle w:val="6"/>
        <w:rPr>
          <w:rFonts w:ascii="宋体" w:hAnsi="宋体" w:cs="宋体"/>
        </w:rPr>
      </w:pPr>
    </w:p>
    <w:p w14:paraId="5E9432E6">
      <w:pPr>
        <w:pStyle w:val="6"/>
        <w:rPr>
          <w:rFonts w:ascii="宋体" w:hAnsi="宋体" w:cs="宋体"/>
        </w:rPr>
      </w:pPr>
    </w:p>
    <w:p w14:paraId="1C394956">
      <w:pPr>
        <w:pStyle w:val="6"/>
        <w:ind w:left="0" w:leftChars="0" w:firstLine="0" w:firstLineChars="0"/>
        <w:rPr>
          <w:rFonts w:hint="eastAsia" w:ascii="宋体" w:hAnsi="宋体" w:eastAsia="宋体" w:cs="宋体"/>
          <w:lang w:eastAsia="zh-CN"/>
        </w:rPr>
      </w:pPr>
    </w:p>
    <w:sectPr>
      <w:pgSz w:w="11906" w:h="16838"/>
      <w:pgMar w:top="1440" w:right="1080" w:bottom="1440" w:left="1080" w:header="851" w:footer="992" w:gutter="0"/>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仿宋_GBK">
    <w:altName w:val="等线"/>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TNjYWE3NzJkN2QyNzI0ZDUxMDFlZTAzODYzMjMifQ=="/>
  </w:docVars>
  <w:rsids>
    <w:rsidRoot w:val="004E7980"/>
    <w:rsid w:val="00153764"/>
    <w:rsid w:val="001806E3"/>
    <w:rsid w:val="001B14E9"/>
    <w:rsid w:val="001D6BAF"/>
    <w:rsid w:val="00252EF3"/>
    <w:rsid w:val="0033608F"/>
    <w:rsid w:val="004E7980"/>
    <w:rsid w:val="004F1AD7"/>
    <w:rsid w:val="004F7174"/>
    <w:rsid w:val="005A1D49"/>
    <w:rsid w:val="006479BA"/>
    <w:rsid w:val="0068674C"/>
    <w:rsid w:val="006C3623"/>
    <w:rsid w:val="006C79C2"/>
    <w:rsid w:val="008A3B28"/>
    <w:rsid w:val="008A6370"/>
    <w:rsid w:val="008D1A5B"/>
    <w:rsid w:val="0090078F"/>
    <w:rsid w:val="00927956"/>
    <w:rsid w:val="00B236AC"/>
    <w:rsid w:val="00B7073B"/>
    <w:rsid w:val="00B81C0D"/>
    <w:rsid w:val="00BE5CB3"/>
    <w:rsid w:val="00C46778"/>
    <w:rsid w:val="00C75D9E"/>
    <w:rsid w:val="00C85083"/>
    <w:rsid w:val="00D31104"/>
    <w:rsid w:val="00DA48ED"/>
    <w:rsid w:val="00E437BC"/>
    <w:rsid w:val="00E51277"/>
    <w:rsid w:val="01DC3BC6"/>
    <w:rsid w:val="028B667F"/>
    <w:rsid w:val="03312FA5"/>
    <w:rsid w:val="045F7637"/>
    <w:rsid w:val="04933B02"/>
    <w:rsid w:val="051922E9"/>
    <w:rsid w:val="052615FE"/>
    <w:rsid w:val="05823F16"/>
    <w:rsid w:val="05B35D6A"/>
    <w:rsid w:val="06B74364"/>
    <w:rsid w:val="07E331B7"/>
    <w:rsid w:val="07E92107"/>
    <w:rsid w:val="08C971F6"/>
    <w:rsid w:val="09220894"/>
    <w:rsid w:val="098F1CD1"/>
    <w:rsid w:val="0A283ED3"/>
    <w:rsid w:val="0A572DDF"/>
    <w:rsid w:val="0B0523A4"/>
    <w:rsid w:val="0B925298"/>
    <w:rsid w:val="0D3E1419"/>
    <w:rsid w:val="0DB273A9"/>
    <w:rsid w:val="0E630D48"/>
    <w:rsid w:val="0E736AF2"/>
    <w:rsid w:val="0EA00F4E"/>
    <w:rsid w:val="10036F74"/>
    <w:rsid w:val="106523AC"/>
    <w:rsid w:val="10EC787A"/>
    <w:rsid w:val="11976170"/>
    <w:rsid w:val="1197736A"/>
    <w:rsid w:val="12DC130A"/>
    <w:rsid w:val="13B25B08"/>
    <w:rsid w:val="14243297"/>
    <w:rsid w:val="142A16A8"/>
    <w:rsid w:val="152467E1"/>
    <w:rsid w:val="154E53D8"/>
    <w:rsid w:val="159E4625"/>
    <w:rsid w:val="16B17D25"/>
    <w:rsid w:val="17AC6144"/>
    <w:rsid w:val="1B81532C"/>
    <w:rsid w:val="1B86476A"/>
    <w:rsid w:val="1C26713F"/>
    <w:rsid w:val="1E797A4A"/>
    <w:rsid w:val="1EA87CD0"/>
    <w:rsid w:val="1F7D7510"/>
    <w:rsid w:val="1F87635B"/>
    <w:rsid w:val="1F997948"/>
    <w:rsid w:val="1FDE43C2"/>
    <w:rsid w:val="1FE55560"/>
    <w:rsid w:val="20270625"/>
    <w:rsid w:val="20302DFB"/>
    <w:rsid w:val="222B0B4E"/>
    <w:rsid w:val="23151909"/>
    <w:rsid w:val="234704F0"/>
    <w:rsid w:val="23557108"/>
    <w:rsid w:val="23C70FA0"/>
    <w:rsid w:val="24643283"/>
    <w:rsid w:val="248D1853"/>
    <w:rsid w:val="25BA5130"/>
    <w:rsid w:val="26361ABD"/>
    <w:rsid w:val="265213ED"/>
    <w:rsid w:val="26CA69A6"/>
    <w:rsid w:val="27C371A7"/>
    <w:rsid w:val="28A60136"/>
    <w:rsid w:val="28E6501B"/>
    <w:rsid w:val="28FB4F40"/>
    <w:rsid w:val="28FC235B"/>
    <w:rsid w:val="29AA01EA"/>
    <w:rsid w:val="2B3C0D4A"/>
    <w:rsid w:val="2BA81E59"/>
    <w:rsid w:val="2DAE77E9"/>
    <w:rsid w:val="2DF216DA"/>
    <w:rsid w:val="2E5C5179"/>
    <w:rsid w:val="2FA85EA9"/>
    <w:rsid w:val="306275EE"/>
    <w:rsid w:val="32295600"/>
    <w:rsid w:val="333D6679"/>
    <w:rsid w:val="338D3C55"/>
    <w:rsid w:val="34010499"/>
    <w:rsid w:val="34D23C26"/>
    <w:rsid w:val="352112E7"/>
    <w:rsid w:val="354E0A01"/>
    <w:rsid w:val="3734217F"/>
    <w:rsid w:val="37747402"/>
    <w:rsid w:val="38F2407A"/>
    <w:rsid w:val="39003390"/>
    <w:rsid w:val="39711FA9"/>
    <w:rsid w:val="3CAF79B9"/>
    <w:rsid w:val="3E332998"/>
    <w:rsid w:val="3F2A1578"/>
    <w:rsid w:val="3FA5067B"/>
    <w:rsid w:val="4007741B"/>
    <w:rsid w:val="40BC23C2"/>
    <w:rsid w:val="40C10651"/>
    <w:rsid w:val="40CF1F2C"/>
    <w:rsid w:val="40EC1FA8"/>
    <w:rsid w:val="44CF3072"/>
    <w:rsid w:val="44D437FB"/>
    <w:rsid w:val="44E177B9"/>
    <w:rsid w:val="44FA1B13"/>
    <w:rsid w:val="45B27966"/>
    <w:rsid w:val="4636352C"/>
    <w:rsid w:val="472B71D3"/>
    <w:rsid w:val="474E4E09"/>
    <w:rsid w:val="4A5B47E7"/>
    <w:rsid w:val="4AAD6C81"/>
    <w:rsid w:val="4CB14F1D"/>
    <w:rsid w:val="4D6E35EE"/>
    <w:rsid w:val="4DDB092F"/>
    <w:rsid w:val="4DE72DDF"/>
    <w:rsid w:val="4E8E1906"/>
    <w:rsid w:val="512F0C70"/>
    <w:rsid w:val="51D75590"/>
    <w:rsid w:val="525E728A"/>
    <w:rsid w:val="53584606"/>
    <w:rsid w:val="538B74DE"/>
    <w:rsid w:val="53A26B6F"/>
    <w:rsid w:val="54494ACA"/>
    <w:rsid w:val="54673E6B"/>
    <w:rsid w:val="552673C0"/>
    <w:rsid w:val="56B90783"/>
    <w:rsid w:val="56FE2C40"/>
    <w:rsid w:val="58373FB5"/>
    <w:rsid w:val="588A4C60"/>
    <w:rsid w:val="58E95FEA"/>
    <w:rsid w:val="590A1DA2"/>
    <w:rsid w:val="59103135"/>
    <w:rsid w:val="5AEE2B1C"/>
    <w:rsid w:val="5D72326D"/>
    <w:rsid w:val="5D9C47EC"/>
    <w:rsid w:val="5E5D76E0"/>
    <w:rsid w:val="5F117C07"/>
    <w:rsid w:val="5FD135EE"/>
    <w:rsid w:val="602C2AFA"/>
    <w:rsid w:val="609D069B"/>
    <w:rsid w:val="60C774EF"/>
    <w:rsid w:val="60D10C16"/>
    <w:rsid w:val="6138200C"/>
    <w:rsid w:val="62A71354"/>
    <w:rsid w:val="64235F78"/>
    <w:rsid w:val="64367476"/>
    <w:rsid w:val="64941876"/>
    <w:rsid w:val="64B472D0"/>
    <w:rsid w:val="64EC2CA8"/>
    <w:rsid w:val="656E0126"/>
    <w:rsid w:val="65BF4DD1"/>
    <w:rsid w:val="66940880"/>
    <w:rsid w:val="672F1F15"/>
    <w:rsid w:val="682E257A"/>
    <w:rsid w:val="68AA7D3F"/>
    <w:rsid w:val="68CD19CD"/>
    <w:rsid w:val="691937FC"/>
    <w:rsid w:val="698E789B"/>
    <w:rsid w:val="69A86563"/>
    <w:rsid w:val="69B83CD2"/>
    <w:rsid w:val="6AEA5C76"/>
    <w:rsid w:val="6C511742"/>
    <w:rsid w:val="6F9C12DD"/>
    <w:rsid w:val="6FD1766A"/>
    <w:rsid w:val="705E5CE7"/>
    <w:rsid w:val="7205731D"/>
    <w:rsid w:val="72545F38"/>
    <w:rsid w:val="73586CCA"/>
    <w:rsid w:val="73A32B35"/>
    <w:rsid w:val="73D70B56"/>
    <w:rsid w:val="75C46DC3"/>
    <w:rsid w:val="766A232A"/>
    <w:rsid w:val="76746911"/>
    <w:rsid w:val="77651D73"/>
    <w:rsid w:val="77C4430A"/>
    <w:rsid w:val="78A86196"/>
    <w:rsid w:val="78F84707"/>
    <w:rsid w:val="79304D29"/>
    <w:rsid w:val="797D6036"/>
    <w:rsid w:val="7A023F44"/>
    <w:rsid w:val="7B4502FE"/>
    <w:rsid w:val="7B465D29"/>
    <w:rsid w:val="7C0D0FF8"/>
    <w:rsid w:val="7C497DE0"/>
    <w:rsid w:val="7D9B2799"/>
    <w:rsid w:val="7D9F4038"/>
    <w:rsid w:val="7EB75A62"/>
    <w:rsid w:val="7FDB3B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4"/>
      <w:lang w:val="en-US" w:eastAsia="zh-CN" w:bidi="ar-SA"/>
    </w:rPr>
  </w:style>
  <w:style w:type="paragraph" w:styleId="3">
    <w:name w:val="heading 1"/>
    <w:basedOn w:val="1"/>
    <w:next w:val="1"/>
    <w:qFormat/>
    <w:uiPriority w:val="9"/>
    <w:pPr>
      <w:jc w:val="left"/>
      <w:outlineLvl w:val="0"/>
    </w:pPr>
    <w:rPr>
      <w:rFonts w:hint="eastAsia" w:ascii="宋体" w:hAnsi="宋体"/>
      <w:b/>
      <w:kern w:val="44"/>
      <w:sz w:val="48"/>
      <w:szCs w:val="48"/>
    </w:rPr>
  </w:style>
  <w:style w:type="paragraph" w:styleId="4">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rPr>
  </w:style>
  <w:style w:type="paragraph" w:styleId="6">
    <w:name w:val="Normal Indent"/>
    <w:basedOn w:val="1"/>
    <w:qFormat/>
    <w:uiPriority w:val="0"/>
    <w:pPr>
      <w:adjustRightInd w:val="0"/>
      <w:spacing w:line="360" w:lineRule="atLeast"/>
      <w:ind w:firstLine="420" w:firstLineChars="200"/>
      <w:jc w:val="left"/>
      <w:textAlignment w:val="baseline"/>
    </w:pPr>
    <w:rPr>
      <w:rFonts w:ascii="Times New Roman" w:hAnsi="Times New Roman"/>
      <w:kern w:val="0"/>
      <w:szCs w:val="20"/>
    </w:rPr>
  </w:style>
  <w:style w:type="paragraph" w:styleId="7">
    <w:name w:val="Body Text Indent"/>
    <w:basedOn w:val="1"/>
    <w:qFormat/>
    <w:uiPriority w:val="0"/>
    <w:pPr>
      <w:ind w:firstLine="750"/>
    </w:pPr>
    <w:rPr>
      <w:sz w:val="28"/>
    </w:rPr>
  </w:style>
  <w:style w:type="paragraph" w:styleId="8">
    <w:name w:val="Plain Text"/>
    <w:basedOn w:val="1"/>
    <w:qFormat/>
    <w:uiPriority w:val="0"/>
    <w:rPr>
      <w:rFonts w:ascii="宋体" w:hAnsi="Courier New"/>
      <w:szCs w:val="22"/>
    </w:rPr>
  </w:style>
  <w:style w:type="paragraph" w:styleId="9">
    <w:name w:val="footer"/>
    <w:basedOn w:val="1"/>
    <w:link w:val="33"/>
    <w:qFormat/>
    <w:uiPriority w:val="0"/>
    <w:pPr>
      <w:tabs>
        <w:tab w:val="center" w:pos="4153"/>
        <w:tab w:val="right" w:pos="8306"/>
      </w:tabs>
      <w:snapToGrid w:val="0"/>
      <w:jc w:val="left"/>
    </w:pPr>
    <w:rPr>
      <w:sz w:val="18"/>
      <w:szCs w:val="18"/>
    </w:rPr>
  </w:style>
  <w:style w:type="paragraph" w:styleId="10">
    <w:name w:val="header"/>
    <w:basedOn w:val="1"/>
    <w:next w:val="11"/>
    <w:link w:val="32"/>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Quote"/>
    <w:basedOn w:val="1"/>
    <w:next w:val="1"/>
    <w:qFormat/>
    <w:uiPriority w:val="99"/>
    <w:pPr>
      <w:ind w:left="864" w:right="864"/>
      <w:jc w:val="center"/>
    </w:pPr>
    <w:rPr>
      <w:i/>
      <w:iCs/>
      <w:color w:val="404040"/>
    </w:rPr>
  </w:style>
  <w:style w:type="paragraph" w:styleId="12">
    <w:name w:val="Title"/>
    <w:basedOn w:val="1"/>
    <w:qFormat/>
    <w:uiPriority w:val="0"/>
    <w:pPr>
      <w:jc w:val="center"/>
      <w:outlineLvl w:val="0"/>
    </w:pPr>
    <w:rPr>
      <w:b/>
      <w:sz w:val="32"/>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style>
  <w:style w:type="character" w:styleId="17">
    <w:name w:val="FollowedHyperlink"/>
    <w:basedOn w:val="15"/>
    <w:qFormat/>
    <w:uiPriority w:val="0"/>
    <w:rPr>
      <w:color w:val="000000"/>
      <w:u w:val="none"/>
    </w:rPr>
  </w:style>
  <w:style w:type="character" w:styleId="18">
    <w:name w:val="Emphasis"/>
    <w:basedOn w:val="15"/>
    <w:qFormat/>
    <w:uiPriority w:val="0"/>
  </w:style>
  <w:style w:type="character" w:styleId="19">
    <w:name w:val="HTML Definition"/>
    <w:basedOn w:val="15"/>
    <w:qFormat/>
    <w:uiPriority w:val="0"/>
  </w:style>
  <w:style w:type="character" w:styleId="20">
    <w:name w:val="HTML Acronym"/>
    <w:basedOn w:val="15"/>
    <w:qFormat/>
    <w:uiPriority w:val="0"/>
  </w:style>
  <w:style w:type="character" w:styleId="21">
    <w:name w:val="HTML Variable"/>
    <w:basedOn w:val="15"/>
    <w:qFormat/>
    <w:uiPriority w:val="0"/>
  </w:style>
  <w:style w:type="character" w:styleId="22">
    <w:name w:val="Hyperlink"/>
    <w:basedOn w:val="15"/>
    <w:qFormat/>
    <w:uiPriority w:val="0"/>
    <w:rPr>
      <w:color w:val="0000FF"/>
      <w:u w:val="single"/>
    </w:rPr>
  </w:style>
  <w:style w:type="character" w:styleId="23">
    <w:name w:val="HTML Code"/>
    <w:basedOn w:val="15"/>
    <w:qFormat/>
    <w:uiPriority w:val="0"/>
    <w:rPr>
      <w:rFonts w:ascii="Courier New" w:hAnsi="Courier New"/>
      <w:sz w:val="20"/>
    </w:rPr>
  </w:style>
  <w:style w:type="character" w:styleId="24">
    <w:name w:val="HTML Cite"/>
    <w:basedOn w:val="15"/>
    <w:qFormat/>
    <w:uiPriority w:val="0"/>
  </w:style>
  <w:style w:type="paragraph" w:customStyle="1" w:styleId="2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6">
    <w:name w:val="正文3"/>
    <w:qFormat/>
    <w:uiPriority w:val="0"/>
    <w:pPr>
      <w:jc w:val="both"/>
    </w:pPr>
    <w:rPr>
      <w:rFonts w:ascii="Calibri" w:hAnsi="Calibri" w:eastAsia="宋体" w:cs="Times New Roman"/>
      <w:kern w:val="2"/>
      <w:sz w:val="21"/>
      <w:szCs w:val="21"/>
      <w:lang w:val="en-US" w:eastAsia="zh-CN" w:bidi="ar-SA"/>
    </w:rPr>
  </w:style>
  <w:style w:type="character" w:customStyle="1" w:styleId="27">
    <w:name w:val="active"/>
    <w:basedOn w:val="15"/>
    <w:qFormat/>
    <w:uiPriority w:val="0"/>
    <w:rPr>
      <w:color w:val="FFFFFF"/>
      <w:shd w:val="clear" w:color="auto" w:fill="E22323"/>
    </w:rPr>
  </w:style>
  <w:style w:type="character" w:customStyle="1" w:styleId="28">
    <w:name w:val="hover5"/>
    <w:basedOn w:val="15"/>
    <w:qFormat/>
    <w:uiPriority w:val="0"/>
    <w:rPr>
      <w:color w:val="0063BA"/>
    </w:rPr>
  </w:style>
  <w:style w:type="character" w:customStyle="1" w:styleId="29">
    <w:name w:val="margin_right202"/>
    <w:basedOn w:val="15"/>
    <w:qFormat/>
    <w:uiPriority w:val="0"/>
  </w:style>
  <w:style w:type="character" w:customStyle="1" w:styleId="30">
    <w:name w:val="before"/>
    <w:basedOn w:val="15"/>
    <w:qFormat/>
    <w:uiPriority w:val="0"/>
    <w:rPr>
      <w:shd w:val="clear" w:color="auto" w:fill="E22323"/>
    </w:rPr>
  </w:style>
  <w:style w:type="character" w:customStyle="1" w:styleId="31">
    <w:name w:val="active6"/>
    <w:basedOn w:val="15"/>
    <w:qFormat/>
    <w:uiPriority w:val="0"/>
    <w:rPr>
      <w:color w:val="FFFFFF"/>
      <w:shd w:val="clear" w:color="auto" w:fill="E22323"/>
    </w:rPr>
  </w:style>
  <w:style w:type="character" w:customStyle="1" w:styleId="32">
    <w:name w:val="页眉 字符"/>
    <w:basedOn w:val="15"/>
    <w:link w:val="10"/>
    <w:qFormat/>
    <w:uiPriority w:val="0"/>
    <w:rPr>
      <w:rFonts w:ascii="Calibri" w:hAnsi="Calibri"/>
      <w:kern w:val="2"/>
      <w:sz w:val="18"/>
      <w:szCs w:val="18"/>
    </w:rPr>
  </w:style>
  <w:style w:type="character" w:customStyle="1" w:styleId="33">
    <w:name w:val="页脚 字符"/>
    <w:basedOn w:val="15"/>
    <w:link w:val="9"/>
    <w:qFormat/>
    <w:uiPriority w:val="0"/>
    <w:rPr>
      <w:rFonts w:ascii="Calibri" w:hAnsi="Calibri"/>
      <w:kern w:val="2"/>
      <w:sz w:val="18"/>
      <w:szCs w:val="18"/>
    </w:rPr>
  </w:style>
  <w:style w:type="character" w:customStyle="1" w:styleId="34">
    <w:name w:val="font21"/>
    <w:basedOn w:val="15"/>
    <w:qFormat/>
    <w:uiPriority w:val="0"/>
    <w:rPr>
      <w:rFonts w:hint="eastAsia" w:ascii="宋体" w:hAnsi="宋体" w:eastAsia="宋体" w:cs="宋体"/>
      <w:color w:val="000000"/>
      <w:sz w:val="20"/>
      <w:szCs w:val="20"/>
      <w:u w:val="none"/>
    </w:rPr>
  </w:style>
  <w:style w:type="character" w:customStyle="1" w:styleId="35">
    <w:name w:val="font71"/>
    <w:basedOn w:val="15"/>
    <w:qFormat/>
    <w:uiPriority w:val="0"/>
    <w:rPr>
      <w:rFonts w:hint="eastAsia" w:ascii="宋体" w:hAnsi="宋体" w:eastAsia="宋体" w:cs="宋体"/>
      <w:color w:val="000000"/>
      <w:sz w:val="20"/>
      <w:szCs w:val="20"/>
      <w:u w:val="none"/>
    </w:rPr>
  </w:style>
  <w:style w:type="character" w:customStyle="1" w:styleId="36">
    <w:name w:val="font41"/>
    <w:basedOn w:val="15"/>
    <w:qFormat/>
    <w:uiPriority w:val="0"/>
    <w:rPr>
      <w:rFonts w:hint="eastAsia" w:ascii="宋体" w:hAnsi="宋体" w:eastAsia="宋体" w:cs="宋体"/>
      <w:color w:val="000000"/>
      <w:sz w:val="20"/>
      <w:szCs w:val="20"/>
      <w:u w:val="none"/>
    </w:rPr>
  </w:style>
  <w:style w:type="character" w:customStyle="1" w:styleId="37">
    <w:name w:val="font81"/>
    <w:basedOn w:val="15"/>
    <w:qFormat/>
    <w:uiPriority w:val="0"/>
    <w:rPr>
      <w:rFonts w:hint="eastAsia" w:ascii="宋体" w:hAnsi="宋体" w:eastAsia="宋体" w:cs="宋体"/>
      <w:color w:val="333333"/>
      <w:sz w:val="20"/>
      <w:szCs w:val="20"/>
      <w:u w:val="none"/>
    </w:rPr>
  </w:style>
  <w:style w:type="character" w:customStyle="1" w:styleId="38">
    <w:name w:val="font51"/>
    <w:basedOn w:val="15"/>
    <w:qFormat/>
    <w:uiPriority w:val="0"/>
    <w:rPr>
      <w:rFonts w:hint="eastAsia" w:ascii="宋体" w:hAnsi="宋体" w:eastAsia="宋体" w:cs="宋体"/>
      <w:color w:val="000000"/>
      <w:sz w:val="20"/>
      <w:szCs w:val="20"/>
      <w:u w:val="none"/>
      <w:vertAlign w:val="superscript"/>
    </w:rPr>
  </w:style>
  <w:style w:type="character" w:customStyle="1" w:styleId="39">
    <w:name w:val="font11"/>
    <w:basedOn w:val="15"/>
    <w:qFormat/>
    <w:uiPriority w:val="0"/>
    <w:rPr>
      <w:rFonts w:hint="eastAsia" w:ascii="等线" w:hAnsi="等线" w:eastAsia="等线" w:cs="等线"/>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644</Words>
  <Characters>758</Characters>
  <Lines>4</Lines>
  <Paragraphs>1</Paragraphs>
  <TotalTime>6</TotalTime>
  <ScaleCrop>false</ScaleCrop>
  <LinksUpToDate>false</LinksUpToDate>
  <CharactersWithSpaces>781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2020-06-17T03:43:00Z</dcterms:created>
  <dc:creator>chensi</dc:creator>
  <cp:lastModifiedBy>许岩</cp:lastModifiedBy>
  <cp:lastPrinted>2021-09-23T04:16:00Z</cp:lastPrinted>
  <dcterms:modified xsi:type="dcterms:W3CDTF">2026-04-14T01:59:13Z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6343CC9DDA444359BEF5F7171B1643F0_13</vt:lpwstr>
  </property>
  <property fmtid="{D5CDD505-2E9C-101B-9397-08002B2CF9AE}" pid="4" name="KSOTemplateDocerSaveRecord">
    <vt:lpwstr>eyJoZGlkIjoiMmUxYmY1ZTFjY2IxODE4OTVlZTdmMDljODBjNzliYmQiLCJ1c2VySWQiOiIyNTc1MzczMzAifQ==</vt:lpwstr>
  </property>
</Properties>
</file>