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0FE9C">
      <w:pPr>
        <w:keepNext w:val="0"/>
        <w:keepLines w:val="0"/>
        <w:pageBreakBefore w:val="0"/>
        <w:tabs>
          <w:tab w:val="left" w:pos="0"/>
        </w:tabs>
        <w:kinsoku/>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28359022"/>
      <w:bookmarkStart w:id="1" w:name="_Toc35393809"/>
      <w:r>
        <w:rPr>
          <w:rFonts w:hint="default" w:ascii="Times New Roman" w:hAnsi="Times New Roman" w:eastAsia="宋体" w:cs="Times New Roman"/>
          <w:b/>
          <w:bCs/>
          <w:sz w:val="28"/>
          <w:szCs w:val="28"/>
        </w:rPr>
        <w:t>农村改革项目成交</w:t>
      </w:r>
      <w:r>
        <w:rPr>
          <w:rFonts w:hint="eastAsia" w:ascii="Times New Roman" w:hAnsi="Times New Roman" w:eastAsia="宋体" w:cs="Times New Roman"/>
          <w:b/>
          <w:bCs/>
          <w:sz w:val="28"/>
          <w:szCs w:val="28"/>
          <w:lang w:val="en-US" w:eastAsia="zh-CN"/>
        </w:rPr>
        <w:t>结果</w:t>
      </w:r>
      <w:r>
        <w:rPr>
          <w:rFonts w:hint="default" w:ascii="Times New Roman" w:hAnsi="Times New Roman" w:eastAsia="宋体" w:cs="Times New Roman"/>
          <w:b/>
          <w:bCs/>
          <w:sz w:val="28"/>
          <w:szCs w:val="28"/>
          <w:lang w:val="en-US" w:eastAsia="zh-CN"/>
        </w:rPr>
        <w:t>公</w:t>
      </w:r>
      <w:r>
        <w:rPr>
          <w:rFonts w:hint="default" w:ascii="Times New Roman" w:hAnsi="Times New Roman" w:eastAsia="宋体" w:cs="Times New Roman"/>
          <w:b/>
          <w:bCs/>
          <w:sz w:val="28"/>
          <w:szCs w:val="28"/>
        </w:rPr>
        <w:t>告</w:t>
      </w:r>
      <w:bookmarkEnd w:id="0"/>
      <w:bookmarkEnd w:id="1"/>
    </w:p>
    <w:p w14:paraId="434E75F7">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192</w:t>
      </w:r>
    </w:p>
    <w:p w14:paraId="1CB72633">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二、项目名称：农村改革项目</w:t>
      </w:r>
    </w:p>
    <w:p w14:paraId="581811AD">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三、成交信息</w:t>
      </w:r>
    </w:p>
    <w:tbl>
      <w:tblPr>
        <w:tblStyle w:val="12"/>
        <w:tblW w:w="4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584"/>
        <w:gridCol w:w="3683"/>
        <w:gridCol w:w="1618"/>
      </w:tblGrid>
      <w:tr w14:paraId="0138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2" w:type="pct"/>
            <w:vAlign w:val="center"/>
          </w:tcPr>
          <w:p w14:paraId="540B7CBE">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供应商名称</w:t>
            </w:r>
          </w:p>
        </w:tc>
        <w:tc>
          <w:tcPr>
            <w:tcW w:w="832" w:type="pct"/>
            <w:vAlign w:val="center"/>
          </w:tcPr>
          <w:p w14:paraId="31B35182">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统一社会</w:t>
            </w:r>
          </w:p>
          <w:p w14:paraId="4E0DB6EC">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信用代码</w:t>
            </w:r>
          </w:p>
        </w:tc>
        <w:tc>
          <w:tcPr>
            <w:tcW w:w="1935" w:type="pct"/>
            <w:vAlign w:val="center"/>
          </w:tcPr>
          <w:p w14:paraId="089EA03E">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地址</w:t>
            </w:r>
          </w:p>
        </w:tc>
        <w:tc>
          <w:tcPr>
            <w:tcW w:w="850" w:type="pct"/>
            <w:vAlign w:val="center"/>
          </w:tcPr>
          <w:p w14:paraId="08B267A7">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b/>
                <w:bCs/>
                <w:sz w:val="22"/>
                <w:szCs w:val="22"/>
                <w:vertAlign w:val="baseline"/>
                <w:lang w:val="en-US" w:eastAsia="zh-CN"/>
              </w:rPr>
            </w:pPr>
            <w:r>
              <w:rPr>
                <w:rFonts w:hint="default" w:ascii="Times New Roman" w:hAnsi="Times New Roman" w:eastAsia="宋体" w:cs="Times New Roman"/>
                <w:b/>
                <w:bCs/>
                <w:sz w:val="22"/>
                <w:szCs w:val="22"/>
                <w:vertAlign w:val="baseline"/>
                <w:lang w:val="en-US" w:eastAsia="zh-CN"/>
              </w:rPr>
              <w:t>成交金额</w:t>
            </w:r>
          </w:p>
        </w:tc>
      </w:tr>
      <w:tr w14:paraId="32A9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382" w:type="pct"/>
            <w:vAlign w:val="center"/>
          </w:tcPr>
          <w:p w14:paraId="1A3F8B21">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sz w:val="22"/>
                <w:szCs w:val="22"/>
                <w:vertAlign w:val="baseline"/>
                <w:lang w:val="en-US" w:eastAsia="zh-CN"/>
              </w:rPr>
            </w:pPr>
            <w:r>
              <w:rPr>
                <w:rFonts w:hint="default" w:ascii="Times New Roman" w:hAnsi="Times New Roman" w:eastAsia="宋体" w:cs="Times New Roman"/>
                <w:color w:val="000000"/>
                <w:sz w:val="24"/>
                <w:szCs w:val="24"/>
              </w:rPr>
              <w:t>北京恒诚永信会计师事务所（普通合伙）</w:t>
            </w:r>
          </w:p>
        </w:tc>
        <w:tc>
          <w:tcPr>
            <w:tcW w:w="832" w:type="pct"/>
            <w:vAlign w:val="center"/>
          </w:tcPr>
          <w:p w14:paraId="67055552">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sz w:val="22"/>
                <w:szCs w:val="22"/>
                <w:vertAlign w:val="baseline"/>
                <w:lang w:val="en-US" w:eastAsia="zh-CN"/>
              </w:rPr>
            </w:pPr>
            <w:r>
              <w:rPr>
                <w:rFonts w:hint="eastAsia" w:ascii="Times New Roman" w:hAnsi="Times New Roman" w:eastAsia="宋体" w:cs="Times New Roman"/>
                <w:sz w:val="22"/>
                <w:szCs w:val="22"/>
                <w:vertAlign w:val="baseline"/>
                <w:lang w:val="en-US" w:eastAsia="zh-CN"/>
              </w:rPr>
              <w:t>91110108797551423H</w:t>
            </w:r>
          </w:p>
        </w:tc>
        <w:tc>
          <w:tcPr>
            <w:tcW w:w="1935" w:type="pct"/>
            <w:vAlign w:val="center"/>
          </w:tcPr>
          <w:p w14:paraId="51970EC4">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sz w:val="22"/>
                <w:szCs w:val="22"/>
                <w:vertAlign w:val="baseline"/>
                <w:lang w:val="en-US" w:eastAsia="zh-CN"/>
              </w:rPr>
            </w:pPr>
            <w:r>
              <w:rPr>
                <w:rFonts w:hint="eastAsia" w:ascii="Times New Roman" w:hAnsi="Times New Roman" w:eastAsia="宋体" w:cs="Times New Roman"/>
                <w:sz w:val="22"/>
                <w:szCs w:val="22"/>
                <w:vertAlign w:val="baseline"/>
                <w:lang w:val="en-US" w:eastAsia="zh-CN"/>
              </w:rPr>
              <w:t>北京市昌平区城北街道御路园小区七号楼二层201,202室</w:t>
            </w:r>
          </w:p>
        </w:tc>
        <w:tc>
          <w:tcPr>
            <w:tcW w:w="850" w:type="pct"/>
            <w:vAlign w:val="center"/>
          </w:tcPr>
          <w:p w14:paraId="7DEE3300">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sz w:val="22"/>
                <w:szCs w:val="22"/>
                <w:vertAlign w:val="baseline"/>
                <w:lang w:val="en-US" w:eastAsia="zh-CN"/>
              </w:rPr>
            </w:pPr>
            <w:r>
              <w:rPr>
                <w:rFonts w:hint="eastAsia" w:ascii="Times New Roman" w:hAnsi="Times New Roman" w:eastAsia="宋体" w:cs="Times New Roman"/>
                <w:i w:val="0"/>
                <w:iCs w:val="0"/>
                <w:color w:val="000000"/>
                <w:kern w:val="2"/>
                <w:sz w:val="24"/>
                <w:szCs w:val="24"/>
                <w:u w:val="none"/>
                <w:lang w:val="en-US" w:eastAsia="zh-CN" w:bidi="ar-SA"/>
              </w:rPr>
              <w:t>¥</w:t>
            </w:r>
            <w:r>
              <w:rPr>
                <w:rFonts w:hint="default" w:ascii="Times New Roman" w:hAnsi="Times New Roman" w:eastAsia="宋体" w:cs="Times New Roman"/>
                <w:i w:val="0"/>
                <w:iCs w:val="0"/>
                <w:color w:val="000000"/>
                <w:kern w:val="2"/>
                <w:sz w:val="24"/>
                <w:szCs w:val="24"/>
                <w:u w:val="none"/>
                <w:lang w:val="en-US" w:eastAsia="zh-CN" w:bidi="ar-SA"/>
              </w:rPr>
              <w:t>1230000.00</w:t>
            </w:r>
          </w:p>
        </w:tc>
      </w:tr>
    </w:tbl>
    <w:p w14:paraId="6473AE4B">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1"/>
        <w:tblW w:w="4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8"/>
      </w:tblGrid>
      <w:tr w14:paraId="711A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3241BDC2">
            <w:pPr>
              <w:keepNext w:val="0"/>
              <w:keepLines w:val="0"/>
              <w:pageBreakBefore w:val="0"/>
              <w:kinsoku/>
              <w:overflowPunct/>
              <w:topLinePunct w:val="0"/>
              <w:bidi w:val="0"/>
              <w:snapToGrid/>
              <w:spacing w:beforeAutospacing="0" w:afterAutospacing="0" w:line="360" w:lineRule="auto"/>
              <w:jc w:val="center"/>
              <w:textAlignment w:val="auto"/>
              <w:outlineLvl w:val="9"/>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服务类</w:t>
            </w:r>
          </w:p>
        </w:tc>
      </w:tr>
      <w:tr w14:paraId="3E58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B1310F7">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名称：农村改革项目</w:t>
            </w:r>
          </w:p>
          <w:p w14:paraId="0D20FDC6">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服务范围</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服务要求：</w:t>
            </w:r>
            <w:r>
              <w:rPr>
                <w:rFonts w:hint="default" w:ascii="Times New Roman" w:hAnsi="Times New Roman" w:eastAsia="宋体" w:cs="Times New Roman"/>
                <w:sz w:val="24"/>
                <w:lang w:eastAsia="zh-CN"/>
              </w:rPr>
              <w:t>按照《中华人民共和国农村集体经济组织法》、农业农村部等十部门《关于全面开展农村集体资产清产核资工作的通知》要求，进一步落实市委农工委、市农委《关于进一步深化本市农村集体产权制度改革发展壮大农村集体经济的若干意见》，委托第三方专业机构，开展农村集体资产清查结果复核、农经提级审计工作</w:t>
            </w:r>
            <w:r>
              <w:rPr>
                <w:rFonts w:hint="default" w:ascii="Times New Roman" w:hAnsi="Times New Roman" w:eastAsia="宋体" w:cs="Times New Roman"/>
                <w:sz w:val="24"/>
                <w:lang w:val="en-US" w:eastAsia="zh-CN"/>
              </w:rPr>
              <w:t>（详见采购需求）</w:t>
            </w:r>
            <w:r>
              <w:rPr>
                <w:rFonts w:hint="default" w:ascii="Times New Roman" w:hAnsi="Times New Roman" w:eastAsia="宋体" w:cs="Times New Roman"/>
                <w:kern w:val="0"/>
                <w:sz w:val="24"/>
                <w:szCs w:val="24"/>
                <w:lang w:val="en-US" w:eastAsia="zh-CN"/>
              </w:rPr>
              <w:t>。</w:t>
            </w:r>
          </w:p>
          <w:p w14:paraId="06F4C2A1">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w:t>
            </w:r>
            <w:r>
              <w:rPr>
                <w:rFonts w:hint="default" w:ascii="Times New Roman" w:hAnsi="Times New Roman" w:eastAsia="宋体" w:cs="Times New Roman"/>
                <w:sz w:val="24"/>
              </w:rPr>
              <w:t>自合同签订之日起至202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年09月30日。</w:t>
            </w:r>
          </w:p>
          <w:p w14:paraId="2860326E">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服务标准：详见</w:t>
            </w:r>
            <w:r>
              <w:rPr>
                <w:rFonts w:hint="default" w:ascii="Times New Roman" w:hAnsi="Times New Roman" w:eastAsia="宋体" w:cs="Times New Roman"/>
                <w:kern w:val="0"/>
                <w:sz w:val="24"/>
                <w:szCs w:val="24"/>
                <w:lang w:val="en-US" w:eastAsia="zh-CN"/>
              </w:rPr>
              <w:t>竞争性磋商文件。</w:t>
            </w:r>
          </w:p>
        </w:tc>
      </w:tr>
    </w:tbl>
    <w:p w14:paraId="391288BF">
      <w:pPr>
        <w:keepNext w:val="0"/>
        <w:keepLines w:val="0"/>
        <w:pageBreakBefore w:val="0"/>
        <w:numPr>
          <w:ilvl w:val="0"/>
          <w:numId w:val="1"/>
        </w:numPr>
        <w:kinsoku/>
        <w:overflowPunct/>
        <w:topLinePunct w:val="0"/>
        <w:bidi w:val="0"/>
        <w:snapToGrid/>
        <w:spacing w:beforeAutospacing="0" w:afterAutospacing="0" w:line="360" w:lineRule="auto"/>
        <w:textAlignment w:val="auto"/>
        <w:outlineLvl w:val="9"/>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评审专家名单：</w:t>
      </w:r>
      <w:bookmarkStart w:id="6" w:name="_GoBack"/>
      <w:r>
        <w:rPr>
          <w:rFonts w:hint="default" w:ascii="Times New Roman" w:hAnsi="Times New Roman" w:eastAsia="宋体" w:cs="Times New Roman"/>
          <w:sz w:val="24"/>
          <w:szCs w:val="24"/>
          <w:highlight w:val="none"/>
        </w:rPr>
        <w:t>王辉</w:t>
      </w:r>
      <w:bookmarkEnd w:id="6"/>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赵淑艳</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宋燕青</w:t>
      </w:r>
      <w:r>
        <w:rPr>
          <w:rFonts w:hint="default" w:ascii="Times New Roman" w:hAnsi="Times New Roman" w:eastAsia="宋体" w:cs="Times New Roman"/>
          <w:sz w:val="24"/>
          <w:szCs w:val="24"/>
          <w:highlight w:val="none"/>
        </w:rPr>
        <w:tab/>
      </w:r>
    </w:p>
    <w:p w14:paraId="6E535D65">
      <w:pPr>
        <w:keepNext w:val="0"/>
        <w:keepLines w:val="0"/>
        <w:pageBreakBefore w:val="0"/>
        <w:numPr>
          <w:ilvl w:val="0"/>
          <w:numId w:val="1"/>
        </w:numPr>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六、代理服务收费标准及金</w:t>
      </w:r>
      <w:r>
        <w:rPr>
          <w:rFonts w:hint="default" w:ascii="Times New Roman" w:hAnsi="Times New Roman" w:eastAsia="宋体" w:cs="Times New Roman"/>
          <w:sz w:val="24"/>
          <w:szCs w:val="24"/>
          <w:highlight w:val="none"/>
        </w:rPr>
        <w:t>额</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共计</w:t>
      </w:r>
      <w:r>
        <w:rPr>
          <w:rFonts w:hint="eastAsia" w:ascii="Times New Roman" w:hAnsi="Times New Roman" w:eastAsia="宋体" w:cs="Times New Roman"/>
          <w:color w:val="auto"/>
          <w:sz w:val="24"/>
          <w:szCs w:val="24"/>
          <w:highlight w:val="none"/>
          <w:lang w:val="en-US" w:eastAsia="zh-CN"/>
        </w:rPr>
        <w:t>1.845</w:t>
      </w:r>
      <w:r>
        <w:rPr>
          <w:rFonts w:hint="default" w:ascii="Times New Roman" w:hAnsi="Times New Roman" w:eastAsia="宋体" w:cs="Times New Roman"/>
          <w:color w:val="auto"/>
          <w:sz w:val="24"/>
          <w:szCs w:val="24"/>
          <w:highlight w:val="none"/>
        </w:rPr>
        <w:t>万元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收费标准详见</w:t>
      </w:r>
      <w:r>
        <w:rPr>
          <w:rFonts w:hint="default" w:ascii="Times New Roman" w:hAnsi="Times New Roman" w:eastAsia="宋体" w:cs="Times New Roman"/>
          <w:sz w:val="24"/>
          <w:szCs w:val="24"/>
          <w:highlight w:val="none"/>
          <w:lang w:val="en-US" w:eastAsia="zh-CN"/>
        </w:rPr>
        <w:t>竞争性</w:t>
      </w:r>
      <w:r>
        <w:rPr>
          <w:rFonts w:hint="default" w:ascii="Times New Roman" w:hAnsi="Times New Roman" w:eastAsia="宋体" w:cs="Times New Roman"/>
          <w:sz w:val="24"/>
          <w:szCs w:val="24"/>
          <w:highlight w:val="none"/>
        </w:rPr>
        <w:t>磋商文件。</w:t>
      </w:r>
    </w:p>
    <w:p w14:paraId="537E7DE7">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七、公告期限</w:t>
      </w:r>
    </w:p>
    <w:p w14:paraId="1A022F42">
      <w:pPr>
        <w:keepNext w:val="0"/>
        <w:keepLines w:val="0"/>
        <w:pageBreakBefore w:val="0"/>
        <w:kinsoku/>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10D4FB6B">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271465BC">
      <w:pPr>
        <w:keepNext w:val="0"/>
        <w:keepLines w:val="0"/>
        <w:pageBreakBefore w:val="0"/>
        <w:kinsoku/>
        <w:wordWrap w:val="0"/>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8.1本公告同时在中国政府采购网（http://www.ccgp.gov.cn）、北京市政府采购网（http://www.ccgp-beijing.gov.cn/）发布。</w:t>
      </w:r>
    </w:p>
    <w:p w14:paraId="47C1B63E">
      <w:pPr>
        <w:keepNext w:val="0"/>
        <w:keepLines w:val="0"/>
        <w:pageBreakBefore w:val="0"/>
        <w:kinsoku/>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8.2采购代理机构项目编号：BJJQ-202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192</w:t>
      </w:r>
    </w:p>
    <w:p w14:paraId="2BC11B47">
      <w:pPr>
        <w:pStyle w:val="2"/>
        <w:ind w:firstLine="480" w:firstLineChars="200"/>
        <w:rPr>
          <w:rFonts w:hint="default"/>
          <w:lang w:val="en-US" w:eastAsia="zh-CN"/>
        </w:rPr>
      </w:pPr>
      <w:r>
        <w:rPr>
          <w:rFonts w:hint="eastAsia" w:ascii="Times New Roman" w:hAnsi="Times New Roman" w:eastAsia="宋体" w:cs="Times New Roman"/>
          <w:sz w:val="24"/>
          <w:szCs w:val="24"/>
          <w:lang w:val="en-US" w:eastAsia="zh-CN"/>
        </w:rPr>
        <w:t>8.3成交供应商评审总得分：94.00</w:t>
      </w:r>
    </w:p>
    <w:p w14:paraId="0BE659F9">
      <w:pPr>
        <w:keepNext w:val="0"/>
        <w:keepLines w:val="0"/>
        <w:pageBreakBefore w:val="0"/>
        <w:kinsoku/>
        <w:overflowPunct/>
        <w:topLinePunct w:val="0"/>
        <w:bidi w:val="0"/>
        <w:snapToGrid/>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5DFC2DE9">
      <w:pPr>
        <w:widowControl/>
        <w:spacing w:line="360" w:lineRule="auto"/>
        <w:ind w:firstLine="720" w:firstLineChars="300"/>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1.采购人信息</w:t>
      </w:r>
    </w:p>
    <w:p w14:paraId="23A62262">
      <w:pPr>
        <w:spacing w:line="360" w:lineRule="auto"/>
        <w:ind w:left="1079" w:leftChars="371" w:hanging="300" w:hangingChars="125"/>
        <w:jc w:val="left"/>
        <w:rPr>
          <w:rFonts w:hint="default" w:ascii="Times New Roman" w:hAnsi="Times New Roman" w:eastAsia="宋体" w:cs="Times New Roman"/>
          <w:b w:val="0"/>
          <w:bCs/>
          <w:sz w:val="24"/>
        </w:rPr>
      </w:pPr>
      <w:bookmarkStart w:id="2" w:name="_Toc28359009"/>
      <w:bookmarkStart w:id="3" w:name="_Toc28359086"/>
      <w:r>
        <w:rPr>
          <w:rFonts w:hint="default" w:ascii="Times New Roman" w:hAnsi="Times New Roman" w:eastAsia="宋体" w:cs="Times New Roman"/>
          <w:b w:val="0"/>
          <w:bCs/>
          <w:sz w:val="24"/>
        </w:rPr>
        <w:t xml:space="preserve">名    称：北京市农业农村局 </w:t>
      </w:r>
    </w:p>
    <w:p w14:paraId="5C9117C1">
      <w:pPr>
        <w:spacing w:line="360" w:lineRule="auto"/>
        <w:ind w:left="1079" w:leftChars="371" w:hanging="300" w:hangingChars="12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地    址：北京市通州区潞城镇留庄路5号院</w:t>
      </w:r>
    </w:p>
    <w:p w14:paraId="7B4ACEF6">
      <w:pPr>
        <w:spacing w:line="360" w:lineRule="auto"/>
        <w:ind w:left="1079" w:leftChars="371" w:hanging="300" w:hangingChars="125"/>
        <w:jc w:val="left"/>
        <w:rPr>
          <w:rFonts w:hint="default" w:ascii="Times New Roman" w:hAnsi="Times New Roman" w:eastAsia="宋体" w:cs="Times New Roman"/>
          <w:b w:val="0"/>
          <w:bCs/>
          <w:sz w:val="24"/>
          <w:u w:val="single"/>
          <w:lang w:val="en-US" w:eastAsia="zh-CN"/>
        </w:rPr>
      </w:pPr>
      <w:r>
        <w:rPr>
          <w:rFonts w:hint="default" w:ascii="Times New Roman" w:hAnsi="Times New Roman" w:eastAsia="宋体" w:cs="Times New Roman"/>
          <w:b w:val="0"/>
          <w:bCs/>
          <w:sz w:val="24"/>
        </w:rPr>
        <w:t>联系方式：</w:t>
      </w:r>
      <w:r>
        <w:rPr>
          <w:rFonts w:hint="default" w:ascii="Times New Roman" w:hAnsi="Times New Roman" w:eastAsia="宋体" w:cs="Times New Roman"/>
          <w:sz w:val="24"/>
          <w:lang w:val="en-US" w:eastAsia="zh-CN"/>
        </w:rPr>
        <w:t>胡老师，</w:t>
      </w:r>
      <w:r>
        <w:rPr>
          <w:rFonts w:hint="default" w:ascii="Times New Roman" w:hAnsi="Times New Roman" w:eastAsia="宋体" w:cs="Times New Roman"/>
          <w:sz w:val="24"/>
        </w:rPr>
        <w:t>010-555251</w:t>
      </w:r>
      <w:r>
        <w:rPr>
          <w:rFonts w:hint="default" w:ascii="Times New Roman" w:hAnsi="Times New Roman" w:eastAsia="宋体" w:cs="Times New Roman"/>
          <w:sz w:val="24"/>
          <w:lang w:val="en-US" w:eastAsia="zh-CN"/>
        </w:rPr>
        <w:t>68</w:t>
      </w:r>
    </w:p>
    <w:p w14:paraId="4545EE34">
      <w:pPr>
        <w:spacing w:line="360" w:lineRule="auto"/>
        <w:ind w:left="1076" w:leftChars="371" w:hanging="297" w:hangingChars="124"/>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2.采购代理机构信息</w:t>
      </w:r>
      <w:bookmarkEnd w:id="2"/>
      <w:bookmarkEnd w:id="3"/>
    </w:p>
    <w:p w14:paraId="0F3E794D">
      <w:pPr>
        <w:spacing w:line="360" w:lineRule="auto"/>
        <w:ind w:left="1076" w:leftChars="371" w:hanging="297" w:hangingChars="124"/>
        <w:jc w:val="left"/>
        <w:rPr>
          <w:rFonts w:hint="default" w:ascii="Times New Roman" w:hAnsi="Times New Roman" w:eastAsia="宋体" w:cs="Times New Roman"/>
          <w:b w:val="0"/>
          <w:bCs/>
          <w:sz w:val="24"/>
        </w:rPr>
      </w:pPr>
      <w:bookmarkStart w:id="4" w:name="_Toc28359010"/>
      <w:bookmarkStart w:id="5" w:name="_Toc28359087"/>
      <w:r>
        <w:rPr>
          <w:rFonts w:hint="default" w:ascii="Times New Roman" w:hAnsi="Times New Roman" w:eastAsia="宋体" w:cs="Times New Roman"/>
          <w:b w:val="0"/>
          <w:bCs/>
          <w:sz w:val="24"/>
        </w:rPr>
        <w:t>名    称：北京汇诚金桥国际招标咨询有限公司</w:t>
      </w:r>
    </w:p>
    <w:p w14:paraId="2C22015C">
      <w:pPr>
        <w:spacing w:line="360" w:lineRule="auto"/>
        <w:ind w:left="1076" w:leftChars="371" w:hanging="297" w:hangingChars="124"/>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地    址：北京市东城区朝内大街南竹杆胡同6号北京INN3号楼9层</w:t>
      </w:r>
    </w:p>
    <w:p w14:paraId="748FA949">
      <w:pPr>
        <w:spacing w:line="360" w:lineRule="auto"/>
        <w:ind w:left="1076" w:leftChars="371" w:hanging="297" w:hangingChars="124"/>
        <w:jc w:val="left"/>
        <w:rPr>
          <w:rFonts w:hint="default" w:ascii="Times New Roman" w:hAnsi="Times New Roman" w:eastAsia="宋体" w:cs="Times New Roman"/>
          <w:b w:val="0"/>
          <w:bCs/>
          <w:sz w:val="24"/>
          <w:u w:val="single"/>
        </w:rPr>
      </w:pPr>
      <w:r>
        <w:rPr>
          <w:rFonts w:hint="default" w:ascii="Times New Roman" w:hAnsi="Times New Roman" w:eastAsia="宋体" w:cs="Times New Roman"/>
          <w:b w:val="0"/>
          <w:bCs/>
          <w:sz w:val="24"/>
        </w:rPr>
        <w:t>联系方式：张萍、李先磊，010-65244876、65699706</w:t>
      </w:r>
    </w:p>
    <w:p w14:paraId="7CB4A8DA">
      <w:pPr>
        <w:spacing w:line="360" w:lineRule="auto"/>
        <w:ind w:left="1076" w:leftChars="371" w:hanging="297" w:hangingChars="124"/>
        <w:rPr>
          <w:rFonts w:hint="default" w:ascii="Times New Roman" w:hAnsi="Times New Roman" w:eastAsia="宋体" w:cs="Times New Roman"/>
          <w:b w:val="0"/>
          <w:bCs/>
          <w:sz w:val="24"/>
          <w:u w:val="single"/>
        </w:rPr>
      </w:pPr>
      <w:r>
        <w:rPr>
          <w:rFonts w:hint="default" w:ascii="Times New Roman" w:hAnsi="Times New Roman" w:eastAsia="宋体" w:cs="Times New Roman"/>
          <w:b w:val="0"/>
          <w:bCs/>
          <w:sz w:val="24"/>
        </w:rPr>
        <w:t>3.项目联系方式</w:t>
      </w:r>
      <w:bookmarkEnd w:id="4"/>
      <w:bookmarkEnd w:id="5"/>
    </w:p>
    <w:p w14:paraId="77B19623">
      <w:pPr>
        <w:pStyle w:val="2"/>
        <w:spacing w:line="360" w:lineRule="auto"/>
        <w:ind w:left="1076" w:leftChars="371" w:hanging="297" w:hangingChars="124"/>
        <w:rPr>
          <w:rFonts w:hint="default" w:ascii="Times New Roman" w:hAnsi="Times New Roman" w:eastAsia="宋体" w:cs="Times New Roman"/>
          <w:b w:val="0"/>
          <w:bCs/>
          <w:sz w:val="24"/>
          <w:u w:val="single"/>
          <w:lang w:val="en-US" w:eastAsia="zh-CN" w:bidi="ar"/>
        </w:rPr>
      </w:pPr>
      <w:r>
        <w:rPr>
          <w:rFonts w:hint="default" w:ascii="Times New Roman" w:hAnsi="Times New Roman" w:eastAsia="宋体" w:cs="Times New Roman"/>
          <w:b w:val="0"/>
          <w:bCs/>
          <w:sz w:val="24"/>
          <w:szCs w:val="24"/>
        </w:rPr>
        <w:t>项目联系人：张萍、李先磊</w:t>
      </w:r>
    </w:p>
    <w:p w14:paraId="6862404B">
      <w:pPr>
        <w:pStyle w:val="2"/>
        <w:spacing w:line="360" w:lineRule="auto"/>
        <w:ind w:left="1076" w:leftChars="371" w:hanging="297" w:hangingChars="124"/>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rPr>
        <w:t>电      话：010-65244876、65699706</w:t>
      </w:r>
    </w:p>
    <w:p w14:paraId="302A6FA9">
      <w:pPr>
        <w:keepNext w:val="0"/>
        <w:keepLines w:val="0"/>
        <w:pageBreakBefore w:val="0"/>
        <w:kinsoku/>
        <w:overflowPunct/>
        <w:topLinePunct w:val="0"/>
        <w:bidi w:val="0"/>
        <w:snapToGrid/>
        <w:spacing w:beforeAutospacing="0" w:afterAutospacing="0" w:line="360" w:lineRule="auto"/>
        <w:ind w:firstLine="240" w:firstLineChars="100"/>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rPr>
        <w:t>十、附件</w:t>
      </w:r>
    </w:p>
    <w:p w14:paraId="47C1EF5E">
      <w:pPr>
        <w:keepNext w:val="0"/>
        <w:keepLines w:val="0"/>
        <w:pageBreakBefore w:val="0"/>
        <w:kinsoku/>
        <w:overflowPunct/>
        <w:topLinePunct w:val="0"/>
        <w:bidi w:val="0"/>
        <w:snapToGrid/>
        <w:spacing w:beforeAutospacing="0" w:afterAutospacing="0" w:line="360" w:lineRule="auto"/>
        <w:ind w:firstLine="720" w:firstLineChars="300"/>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1.采购文件</w:t>
      </w:r>
    </w:p>
    <w:p w14:paraId="4227BA9E">
      <w:pPr>
        <w:keepNext w:val="0"/>
        <w:keepLines w:val="0"/>
        <w:pageBreakBefore w:val="0"/>
        <w:kinsoku/>
        <w:overflowPunct/>
        <w:topLinePunct w:val="0"/>
        <w:bidi w:val="0"/>
        <w:snapToGrid/>
        <w:spacing w:beforeAutospacing="0" w:afterAutospacing="0" w:line="360" w:lineRule="auto"/>
        <w:ind w:firstLine="720" w:firstLineChars="300"/>
        <w:textAlignment w:val="auto"/>
        <w:outlineLvl w:val="9"/>
        <w:rPr>
          <w:rFonts w:hint="default" w:ascii="Times New Roman" w:hAnsi="Times New Roman" w:eastAsia="宋体" w:cs="Times New Roman"/>
          <w:sz w:val="24"/>
          <w:szCs w:val="24"/>
          <w:highlight w:val="yellow"/>
          <w:lang w:val="en-US" w:eastAsia="zh-CN"/>
        </w:rPr>
      </w:pPr>
      <w:r>
        <w:rPr>
          <w:rFonts w:hint="default" w:ascii="Times New Roman" w:hAnsi="Times New Roman" w:eastAsia="宋体" w:cs="Times New Roman"/>
          <w:kern w:val="0"/>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C3E85"/>
    <w:multiLevelType w:val="singleLevel"/>
    <w:tmpl w:val="9BBC3E8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NjZmQzZTliNDhmODM4YTRkY2MyN2FkY2VhNWRmODAifQ=="/>
  </w:docVars>
  <w:rsids>
    <w:rsidRoot w:val="004D1179"/>
    <w:rsid w:val="00051475"/>
    <w:rsid w:val="00276863"/>
    <w:rsid w:val="002E2237"/>
    <w:rsid w:val="0041710E"/>
    <w:rsid w:val="00422A1B"/>
    <w:rsid w:val="004D1179"/>
    <w:rsid w:val="006608AB"/>
    <w:rsid w:val="00705D10"/>
    <w:rsid w:val="00721F31"/>
    <w:rsid w:val="00765FA9"/>
    <w:rsid w:val="0077059A"/>
    <w:rsid w:val="007F65BC"/>
    <w:rsid w:val="009C2459"/>
    <w:rsid w:val="009E442F"/>
    <w:rsid w:val="00A42D63"/>
    <w:rsid w:val="00A83878"/>
    <w:rsid w:val="00AE5856"/>
    <w:rsid w:val="00AF1351"/>
    <w:rsid w:val="00B33BC6"/>
    <w:rsid w:val="00B469DD"/>
    <w:rsid w:val="00C61709"/>
    <w:rsid w:val="00D62758"/>
    <w:rsid w:val="00DA630C"/>
    <w:rsid w:val="00FA634B"/>
    <w:rsid w:val="00FE498C"/>
    <w:rsid w:val="01514167"/>
    <w:rsid w:val="01E943A0"/>
    <w:rsid w:val="025A0025"/>
    <w:rsid w:val="02B82105"/>
    <w:rsid w:val="030460FB"/>
    <w:rsid w:val="045A77D7"/>
    <w:rsid w:val="046D395F"/>
    <w:rsid w:val="05397A62"/>
    <w:rsid w:val="05593EEC"/>
    <w:rsid w:val="058C5071"/>
    <w:rsid w:val="062C0CFF"/>
    <w:rsid w:val="06C069D5"/>
    <w:rsid w:val="082C3238"/>
    <w:rsid w:val="087151BF"/>
    <w:rsid w:val="09686808"/>
    <w:rsid w:val="098C2D10"/>
    <w:rsid w:val="09F50A27"/>
    <w:rsid w:val="0ADE7A34"/>
    <w:rsid w:val="0BE004D6"/>
    <w:rsid w:val="0D230FC8"/>
    <w:rsid w:val="0E611762"/>
    <w:rsid w:val="0EA217C7"/>
    <w:rsid w:val="0F53554E"/>
    <w:rsid w:val="110A4DCF"/>
    <w:rsid w:val="128D6FC9"/>
    <w:rsid w:val="14086F62"/>
    <w:rsid w:val="14261483"/>
    <w:rsid w:val="14AD4809"/>
    <w:rsid w:val="15531D6B"/>
    <w:rsid w:val="15FF5C91"/>
    <w:rsid w:val="1610623E"/>
    <w:rsid w:val="165C118C"/>
    <w:rsid w:val="168248A3"/>
    <w:rsid w:val="1783099B"/>
    <w:rsid w:val="182D6D09"/>
    <w:rsid w:val="1A2E0D57"/>
    <w:rsid w:val="1B611624"/>
    <w:rsid w:val="1B9F67E5"/>
    <w:rsid w:val="1BC93F92"/>
    <w:rsid w:val="1DA21F28"/>
    <w:rsid w:val="1E842F20"/>
    <w:rsid w:val="1F196DB1"/>
    <w:rsid w:val="1F2B2044"/>
    <w:rsid w:val="1F5D3872"/>
    <w:rsid w:val="20250E4F"/>
    <w:rsid w:val="20753DC1"/>
    <w:rsid w:val="222114DC"/>
    <w:rsid w:val="256A441E"/>
    <w:rsid w:val="256E2403"/>
    <w:rsid w:val="25D41F0B"/>
    <w:rsid w:val="28767174"/>
    <w:rsid w:val="28947EC4"/>
    <w:rsid w:val="29222225"/>
    <w:rsid w:val="2A0B4F4C"/>
    <w:rsid w:val="2AFD7B09"/>
    <w:rsid w:val="2CE658F2"/>
    <w:rsid w:val="2EBC2204"/>
    <w:rsid w:val="2F912ACC"/>
    <w:rsid w:val="30955C68"/>
    <w:rsid w:val="315F3BAC"/>
    <w:rsid w:val="3185449F"/>
    <w:rsid w:val="31E67ED6"/>
    <w:rsid w:val="323A4620"/>
    <w:rsid w:val="329B4A44"/>
    <w:rsid w:val="32C33E29"/>
    <w:rsid w:val="336D09B6"/>
    <w:rsid w:val="34FE2F4C"/>
    <w:rsid w:val="35200172"/>
    <w:rsid w:val="35610116"/>
    <w:rsid w:val="35A8384C"/>
    <w:rsid w:val="35DC6957"/>
    <w:rsid w:val="39123DEA"/>
    <w:rsid w:val="399900AF"/>
    <w:rsid w:val="39B61C3E"/>
    <w:rsid w:val="39FA1197"/>
    <w:rsid w:val="3A3259F6"/>
    <w:rsid w:val="3A4F76E5"/>
    <w:rsid w:val="3A702832"/>
    <w:rsid w:val="3C5E715D"/>
    <w:rsid w:val="3CF53810"/>
    <w:rsid w:val="3EB95566"/>
    <w:rsid w:val="41A421AE"/>
    <w:rsid w:val="41F52311"/>
    <w:rsid w:val="41F60795"/>
    <w:rsid w:val="41FD3881"/>
    <w:rsid w:val="423052E0"/>
    <w:rsid w:val="436332AB"/>
    <w:rsid w:val="43B41225"/>
    <w:rsid w:val="446F2D4B"/>
    <w:rsid w:val="45C755CA"/>
    <w:rsid w:val="45DE6E06"/>
    <w:rsid w:val="45E57CF9"/>
    <w:rsid w:val="4788063A"/>
    <w:rsid w:val="47C3256A"/>
    <w:rsid w:val="491E7057"/>
    <w:rsid w:val="4BA40904"/>
    <w:rsid w:val="4C2537F3"/>
    <w:rsid w:val="4D1E2254"/>
    <w:rsid w:val="4DC9496B"/>
    <w:rsid w:val="4E174FFB"/>
    <w:rsid w:val="4FE44C13"/>
    <w:rsid w:val="517C782D"/>
    <w:rsid w:val="51BF02E3"/>
    <w:rsid w:val="529D410E"/>
    <w:rsid w:val="558772CD"/>
    <w:rsid w:val="55EF77D0"/>
    <w:rsid w:val="570C1BF9"/>
    <w:rsid w:val="57830B89"/>
    <w:rsid w:val="584B45E2"/>
    <w:rsid w:val="589D6304"/>
    <w:rsid w:val="595B3A6D"/>
    <w:rsid w:val="5AB171AB"/>
    <w:rsid w:val="5B9F666D"/>
    <w:rsid w:val="5BDD2EE5"/>
    <w:rsid w:val="5D6B74D4"/>
    <w:rsid w:val="5E744166"/>
    <w:rsid w:val="5EB10EBB"/>
    <w:rsid w:val="5EB629D1"/>
    <w:rsid w:val="5F1A4D0E"/>
    <w:rsid w:val="5FCD64CC"/>
    <w:rsid w:val="60177B46"/>
    <w:rsid w:val="60C90799"/>
    <w:rsid w:val="61073070"/>
    <w:rsid w:val="636369CE"/>
    <w:rsid w:val="68587AA5"/>
    <w:rsid w:val="68882CE8"/>
    <w:rsid w:val="68E72104"/>
    <w:rsid w:val="69054339"/>
    <w:rsid w:val="6A3353BA"/>
    <w:rsid w:val="6ACB3DDC"/>
    <w:rsid w:val="6AEA2D28"/>
    <w:rsid w:val="6BD73442"/>
    <w:rsid w:val="6CC448DE"/>
    <w:rsid w:val="6D011914"/>
    <w:rsid w:val="6DDF5E6C"/>
    <w:rsid w:val="6E7623D2"/>
    <w:rsid w:val="70744BA6"/>
    <w:rsid w:val="71067B98"/>
    <w:rsid w:val="71272B08"/>
    <w:rsid w:val="730D3A7C"/>
    <w:rsid w:val="730E028E"/>
    <w:rsid w:val="73390E72"/>
    <w:rsid w:val="737C169B"/>
    <w:rsid w:val="74792510"/>
    <w:rsid w:val="74AC041A"/>
    <w:rsid w:val="754E726F"/>
    <w:rsid w:val="75920C00"/>
    <w:rsid w:val="76461B81"/>
    <w:rsid w:val="77737259"/>
    <w:rsid w:val="78846BD7"/>
    <w:rsid w:val="79AD70BA"/>
    <w:rsid w:val="7A11742F"/>
    <w:rsid w:val="7B91113D"/>
    <w:rsid w:val="7DBF4FA6"/>
    <w:rsid w:val="7FA46D24"/>
    <w:rsid w:val="7FCA34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7"/>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1"/>
    <w:link w:val="18"/>
    <w:autoRedefine/>
    <w:qFormat/>
    <w:uiPriority w:val="99"/>
    <w:rPr>
      <w:rFonts w:ascii="宋体" w:hAnsi="Courier New"/>
    </w:rPr>
  </w:style>
  <w:style w:type="paragraph" w:styleId="5">
    <w:name w:val="annotation text"/>
    <w:basedOn w:val="1"/>
    <w:link w:val="1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spacing w:after="120"/>
    </w:p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Balloon Text"/>
    <w:basedOn w:val="1"/>
    <w:link w:val="20"/>
    <w:autoRedefine/>
    <w:semiHidden/>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autoRedefine/>
    <w:semiHidden/>
    <w:qFormat/>
    <w:uiPriority w:val="99"/>
    <w:rPr>
      <w:rFonts w:cs="Times New Roman"/>
      <w:sz w:val="21"/>
      <w:szCs w:val="21"/>
    </w:rPr>
  </w:style>
  <w:style w:type="paragraph" w:customStyle="1" w:styleId="15">
    <w:name w:val="正文文本1"/>
    <w:basedOn w:val="1"/>
    <w:autoRedefine/>
    <w:qFormat/>
    <w:uiPriority w:val="0"/>
    <w:pPr>
      <w:widowControl/>
      <w:spacing w:line="360" w:lineRule="auto"/>
    </w:pPr>
    <w:rPr>
      <w:color w:val="FF0000"/>
    </w:rPr>
  </w:style>
  <w:style w:type="character" w:customStyle="1" w:styleId="16">
    <w:name w:val="标题 1 字符"/>
    <w:link w:val="3"/>
    <w:autoRedefine/>
    <w:qFormat/>
    <w:locked/>
    <w:uiPriority w:val="99"/>
    <w:rPr>
      <w:rFonts w:ascii="宋体" w:hAnsi="宋体" w:eastAsia="宋体" w:cs="宋体"/>
      <w:b/>
      <w:bCs/>
      <w:kern w:val="36"/>
      <w:sz w:val="48"/>
      <w:szCs w:val="48"/>
    </w:rPr>
  </w:style>
  <w:style w:type="character" w:customStyle="1" w:styleId="17">
    <w:name w:val="标题 2 字符"/>
    <w:link w:val="4"/>
    <w:autoRedefine/>
    <w:qFormat/>
    <w:locked/>
    <w:uiPriority w:val="99"/>
    <w:rPr>
      <w:rFonts w:ascii="宋体" w:hAnsi="宋体" w:eastAsia="宋体" w:cs="宋体"/>
      <w:b/>
      <w:bCs/>
      <w:kern w:val="0"/>
      <w:sz w:val="36"/>
      <w:szCs w:val="36"/>
    </w:rPr>
  </w:style>
  <w:style w:type="character" w:customStyle="1" w:styleId="18">
    <w:name w:val="纯文本 字符"/>
    <w:link w:val="2"/>
    <w:autoRedefine/>
    <w:qFormat/>
    <w:locked/>
    <w:uiPriority w:val="99"/>
    <w:rPr>
      <w:rFonts w:ascii="宋体" w:hAnsi="Courier New" w:cs="Times New Roman"/>
    </w:rPr>
  </w:style>
  <w:style w:type="character" w:customStyle="1" w:styleId="19">
    <w:name w:val="批注文字 字符"/>
    <w:basedOn w:val="13"/>
    <w:link w:val="5"/>
    <w:autoRedefine/>
    <w:semiHidden/>
    <w:qFormat/>
    <w:uiPriority w:val="99"/>
  </w:style>
  <w:style w:type="character" w:customStyle="1" w:styleId="20">
    <w:name w:val="批注框文本 字符"/>
    <w:link w:val="8"/>
    <w:autoRedefine/>
    <w:semiHidden/>
    <w:qFormat/>
    <w:uiPriority w:val="99"/>
    <w:rPr>
      <w:sz w:val="0"/>
      <w:szCs w:val="0"/>
    </w:rPr>
  </w:style>
  <w:style w:type="character" w:customStyle="1" w:styleId="21">
    <w:name w:val="页眉 字符"/>
    <w:link w:val="10"/>
    <w:autoRedefine/>
    <w:qFormat/>
    <w:uiPriority w:val="99"/>
    <w:rPr>
      <w:sz w:val="18"/>
      <w:szCs w:val="18"/>
    </w:rPr>
  </w:style>
  <w:style w:type="character" w:customStyle="1" w:styleId="22">
    <w:name w:val="页脚 字符"/>
    <w:link w:val="9"/>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620</Words>
  <Characters>792</Characters>
  <Lines>5</Lines>
  <Paragraphs>1</Paragraphs>
  <TotalTime>16</TotalTime>
  <ScaleCrop>false</ScaleCrop>
  <LinksUpToDate>false</LinksUpToDate>
  <CharactersWithSpaces>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cp:lastPrinted>2023-03-14T03:02:00Z</cp:lastPrinted>
  <dcterms:modified xsi:type="dcterms:W3CDTF">2026-04-16T06:06:13Z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1ADED94070CE4980A6EB8A5B43913309</vt:lpwstr>
  </property>
  <property fmtid="{D5CDD505-2E9C-101B-9397-08002B2CF9AE}" pid="4" name="KSOTemplateDocerSaveRecord">
    <vt:lpwstr>eyJoZGlkIjoiMGYzMThkMDdmNjc1ZjYyYzBhMDlmMWEyYzUwNjRjYTQiLCJ1c2VySWQiOiIxNTg3OTkxMzIyIn0=</vt:lpwstr>
  </property>
</Properties>
</file>