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8"/>
                    <a:stretch>
                      <a:fillRect/>
                    </a:stretch>
                  </pic:blipFill>
                  <pic:spPr>
                    <a:xfrm>
                      <a:off x="0" y="0"/>
                      <a:ext cx="1859280" cy="520065"/>
                    </a:xfrm>
                    <a:prstGeom prst="rect">
                      <a:avLst/>
                    </a:prstGeom>
                  </pic:spPr>
                </pic:pic>
              </a:graphicData>
            </a:graphic>
          </wp:inline>
        </w:drawing>
      </w:r>
    </w:p>
    <w:p w14:paraId="377A6AAF">
      <w:pPr>
        <w:spacing w:line="360" w:lineRule="auto"/>
        <w:ind w:firstLine="300" w:firstLineChars="50"/>
        <w:rPr>
          <w:rFonts w:hint="eastAsia" w:eastAsia="宋体"/>
          <w:sz w:val="60"/>
          <w:szCs w:val="60"/>
          <w:highlight w:val="none"/>
          <w:lang w:eastAsia="zh-CN"/>
        </w:rPr>
      </w:pP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6164651B">
      <w:pPr>
        <w:spacing w:line="360" w:lineRule="auto"/>
        <w:jc w:val="both"/>
        <w:rPr>
          <w:sz w:val="60"/>
          <w:szCs w:val="60"/>
        </w:rPr>
      </w:pPr>
    </w:p>
    <w:p w14:paraId="7F058C0B">
      <w:pPr>
        <w:spacing w:line="360" w:lineRule="auto"/>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北京市八达岭林场管理处不动产登记办理项目-评估鉴定服务（第1包：安全及抗震性能鉴定）</w:t>
      </w:r>
    </w:p>
    <w:p w14:paraId="0AFEE69D">
      <w:pPr>
        <w:tabs>
          <w:tab w:val="left" w:pos="3240"/>
          <w:tab w:val="left" w:pos="3420"/>
        </w:tabs>
        <w:spacing w:line="360" w:lineRule="auto"/>
        <w:ind w:left="2832" w:leftChars="444" w:hanging="1900" w:hangingChars="528"/>
        <w:jc w:val="left"/>
        <w:rPr>
          <w:rFonts w:hint="eastAsia"/>
          <w:bCs/>
          <w:sz w:val="36"/>
          <w:szCs w:val="36"/>
          <w:lang w:eastAsia="zh-CN"/>
        </w:rPr>
      </w:pPr>
      <w:r>
        <w:rPr>
          <w:bCs/>
          <w:sz w:val="36"/>
          <w:szCs w:val="36"/>
        </w:rPr>
        <w:t>项目编号</w:t>
      </w:r>
      <w:r>
        <w:rPr>
          <w:rFonts w:hint="eastAsia"/>
          <w:bCs/>
          <w:sz w:val="36"/>
          <w:szCs w:val="36"/>
          <w:lang w:eastAsia="zh-CN"/>
        </w:rPr>
        <w:t>：</w:t>
      </w:r>
      <w:r>
        <w:rPr>
          <w:rFonts w:hint="eastAsia" w:ascii="Times New Roman" w:hAnsi="Times New Roman" w:eastAsia="宋体" w:cs="Times New Roman"/>
          <w:bCs/>
          <w:kern w:val="2"/>
          <w:sz w:val="36"/>
          <w:szCs w:val="36"/>
          <w:lang w:val="en-US" w:eastAsia="zh-CN" w:bidi="ar-SA"/>
        </w:rPr>
        <w:fldChar w:fldCharType="begin"/>
      </w:r>
      <w:r>
        <w:rPr>
          <w:rFonts w:hint="eastAsia" w:ascii="Times New Roman" w:hAnsi="Times New Roman" w:eastAsia="宋体" w:cs="Times New Roman"/>
          <w:bCs/>
          <w:kern w:val="2"/>
          <w:sz w:val="36"/>
          <w:szCs w:val="36"/>
          <w:lang w:val="en-US" w:eastAsia="zh-CN" w:bidi="ar-SA"/>
        </w:rPr>
        <w:instrText xml:space="preserve"> HYPERLINK "http://219.232.204.193:8080/frontend/plan/project_detail.html?projectUuid=93bb4886-78b5-4f3d-a601-83b94c3550d3" </w:instrText>
      </w:r>
      <w:r>
        <w:rPr>
          <w:rFonts w:hint="eastAsia" w:ascii="Times New Roman" w:hAnsi="Times New Roman" w:eastAsia="宋体" w:cs="Times New Roman"/>
          <w:bCs/>
          <w:kern w:val="2"/>
          <w:sz w:val="36"/>
          <w:szCs w:val="36"/>
          <w:lang w:val="en-US" w:eastAsia="zh-CN" w:bidi="ar-SA"/>
        </w:rPr>
        <w:fldChar w:fldCharType="separate"/>
      </w:r>
      <w:r>
        <w:rPr>
          <w:rFonts w:hint="default" w:ascii="Times New Roman" w:hAnsi="Times New Roman" w:eastAsia="宋体" w:cs="Times New Roman"/>
          <w:bCs/>
          <w:kern w:val="2"/>
          <w:sz w:val="36"/>
          <w:szCs w:val="36"/>
          <w:lang w:val="en-US" w:eastAsia="zh-CN" w:bidi="ar-SA"/>
        </w:rPr>
        <w:t>11000026210200164726-XM001</w:t>
      </w:r>
      <w:r>
        <w:rPr>
          <w:rFonts w:hint="default" w:ascii="Times New Roman" w:hAnsi="Times New Roman" w:eastAsia="宋体" w:cs="Times New Roman"/>
          <w:bCs/>
          <w:kern w:val="2"/>
          <w:sz w:val="36"/>
          <w:szCs w:val="36"/>
          <w:lang w:val="en-US" w:eastAsia="zh-CN" w:bidi="ar-SA"/>
        </w:rPr>
        <w:fldChar w:fldCharType="end"/>
      </w:r>
    </w:p>
    <w:p w14:paraId="6AD9FF9D">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1026" w:firstLineChars="300"/>
        <w:jc w:val="left"/>
        <w:textAlignment w:val="auto"/>
        <w:rPr>
          <w:rFonts w:hint="eastAsia"/>
          <w:bCs/>
          <w:sz w:val="36"/>
          <w:szCs w:val="36"/>
          <w:lang w:eastAsia="zh-CN"/>
        </w:rPr>
      </w:pPr>
      <w:r>
        <w:rPr>
          <w:rFonts w:hint="eastAsia" w:ascii="宋体" w:hAnsi="宋体" w:eastAsia="宋体" w:cs="宋体"/>
          <w:b w:val="0"/>
          <w:snapToGrid w:val="0"/>
          <w:color w:val="auto"/>
          <w:spacing w:val="-9"/>
          <w:position w:val="5"/>
          <w:sz w:val="36"/>
          <w:szCs w:val="36"/>
          <w:highlight w:val="none"/>
          <w:lang w:val="en-US" w:eastAsia="zh-CN" w:bidi="ar-SA"/>
        </w:rPr>
        <w:t>招标编号</w:t>
      </w:r>
      <w:r>
        <w:rPr>
          <w:rFonts w:hint="eastAsia" w:ascii="宋体" w:hAnsi="宋体" w:cs="宋体"/>
          <w:b w:val="0"/>
          <w:snapToGrid w:val="0"/>
          <w:color w:val="auto"/>
          <w:spacing w:val="-9"/>
          <w:position w:val="5"/>
          <w:sz w:val="36"/>
          <w:szCs w:val="36"/>
          <w:highlight w:val="none"/>
          <w:lang w:val="en-US" w:eastAsia="zh-CN" w:bidi="ar-SA"/>
        </w:rPr>
        <w:t>：JJBJ26030325</w:t>
      </w:r>
    </w:p>
    <w:p w14:paraId="61EAA85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北京市八达岭林场管理处</w:t>
      </w:r>
    </w:p>
    <w:p w14:paraId="35A3AC1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6879EAA">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0BDEC0F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rPr>
          <w:rFonts w:ascii="Times New Roman" w:hAnsi="Times New Roman"/>
        </w:rPr>
        <w:fldChar w:fldCharType="end"/>
      </w:r>
    </w:p>
    <w:p w14:paraId="7B9CA794">
      <w:pPr>
        <w:pStyle w:val="31"/>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1"/>
        <w:spacing w:line="360" w:lineRule="auto"/>
        <w:rPr>
          <w:rFonts w:ascii="Times New Roman" w:hAnsi="Times New Roman"/>
          <w:b w:val="0"/>
        </w:rPr>
      </w:pPr>
    </w:p>
    <w:p w14:paraId="4F0BB5A4">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pStyle w:val="4"/>
        <w:spacing w:before="0" w:line="360" w:lineRule="auto"/>
        <w:jc w:val="left"/>
        <w:rPr>
          <w:rFonts w:ascii="Times New Roman" w:hAnsi="Times New Roman" w:eastAsia="宋体"/>
          <w:sz w:val="24"/>
          <w:szCs w:val="24"/>
        </w:rPr>
      </w:pPr>
      <w:bookmarkStart w:id="4" w:name="_Toc35393621"/>
      <w:bookmarkStart w:id="5" w:name="_Toc35393790"/>
      <w:bookmarkStart w:id="6" w:name="_Toc28359079"/>
      <w:bookmarkStart w:id="7" w:name="_Toc28359002"/>
      <w:bookmarkStart w:id="8" w:name="_Hlk24379207"/>
      <w:r>
        <w:rPr>
          <w:rFonts w:ascii="Times New Roman" w:hAnsi="Times New Roman" w:eastAsia="宋体"/>
          <w:sz w:val="24"/>
          <w:szCs w:val="24"/>
        </w:rPr>
        <w:t>一、项目基本情况</w:t>
      </w:r>
      <w:bookmarkEnd w:id="4"/>
      <w:bookmarkEnd w:id="5"/>
      <w:bookmarkEnd w:id="6"/>
      <w:bookmarkEnd w:id="7"/>
    </w:p>
    <w:p w14:paraId="37DF81DE">
      <w:pPr>
        <w:spacing w:line="360" w:lineRule="auto"/>
        <w:ind w:firstLine="480" w:firstLineChars="200"/>
        <w:rPr>
          <w:rFonts w:hint="eastAsia"/>
          <w:sz w:val="24"/>
          <w:lang w:val="en-US" w:eastAsia="zh-CN"/>
        </w:rPr>
      </w:pPr>
      <w:r>
        <w:rPr>
          <w:sz w:val="24"/>
        </w:rPr>
        <w:t>1.项目编</w:t>
      </w:r>
      <w:r>
        <w:rPr>
          <w:rFonts w:hint="eastAsia"/>
          <w:sz w:val="24"/>
          <w:lang w:eastAsia="zh-CN"/>
        </w:rPr>
        <w:t>号：</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"http://219.232.204.193:8080/frontend/plan/project_detail.html?projectUuid=93bb4886-78b5-4f3d-a601-83b94c3550d3" </w:instrText>
      </w:r>
      <w:r>
        <w:rPr>
          <w:rFonts w:hint="eastAsia"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11000026210200164726-XM001</w:t>
      </w:r>
      <w:r>
        <w:rPr>
          <w:rFonts w:hint="default" w:ascii="Times New Roman" w:hAnsi="Times New Roman" w:eastAsia="宋体" w:cs="Times New Roman"/>
          <w:kern w:val="2"/>
          <w:sz w:val="24"/>
          <w:szCs w:val="24"/>
          <w:lang w:val="en-US" w:eastAsia="zh-CN" w:bidi="ar-SA"/>
        </w:rPr>
        <w:fldChar w:fldCharType="end"/>
      </w:r>
    </w:p>
    <w:p w14:paraId="476781E8">
      <w:pPr>
        <w:tabs>
          <w:tab w:val="left" w:pos="312"/>
        </w:tabs>
        <w:spacing w:line="360" w:lineRule="auto"/>
        <w:ind w:left="480"/>
        <w:rPr>
          <w:rFonts w:hint="eastAsia" w:eastAsia="宋体"/>
          <w:sz w:val="24"/>
          <w:u w:val="single"/>
          <w:lang w:eastAsia="zh-CN"/>
        </w:rPr>
      </w:pPr>
      <w:r>
        <w:rPr>
          <w:rFonts w:hint="eastAsia"/>
          <w:sz w:val="24"/>
        </w:rPr>
        <w:t>2.</w:t>
      </w:r>
      <w:r>
        <w:rPr>
          <w:sz w:val="24"/>
        </w:rPr>
        <w:t>项目名称：</w:t>
      </w:r>
      <w:bookmarkEnd w:id="8"/>
      <w:bookmarkStart w:id="9" w:name="OLE_LINK4"/>
      <w:r>
        <w:rPr>
          <w:rFonts w:hint="eastAsia"/>
          <w:sz w:val="24"/>
          <w:lang w:eastAsia="zh-CN"/>
        </w:rPr>
        <w:t>北京市八达岭林场管理处不动产登记办理项目-评估鉴定服务（第1包：安全及抗震性能鉴定）</w:t>
      </w:r>
    </w:p>
    <w:bookmarkEnd w:id="9"/>
    <w:p w14:paraId="50E4AA1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3.项目预算金额：</w:t>
      </w:r>
      <w:r>
        <w:rPr>
          <w:rFonts w:hint="eastAsia" w:ascii="宋体" w:hAnsi="宋体" w:cs="宋体"/>
          <w:color w:val="auto"/>
          <w:sz w:val="24"/>
          <w:szCs w:val="24"/>
          <w:lang w:val="en-US" w:eastAsia="zh-CN"/>
        </w:rPr>
        <w:t>55</w:t>
      </w:r>
      <w:r>
        <w:rPr>
          <w:rFonts w:hint="eastAsia" w:ascii="宋体" w:hAnsi="宋体" w:eastAsia="宋体" w:cs="宋体"/>
          <w:color w:val="auto"/>
          <w:sz w:val="24"/>
          <w:szCs w:val="24"/>
        </w:rPr>
        <w:t>万元、项目最高限价（如有）：</w:t>
      </w:r>
      <w:r>
        <w:rPr>
          <w:rFonts w:hint="eastAsia" w:ascii="宋体" w:hAnsi="宋体" w:cs="宋体"/>
          <w:color w:val="auto"/>
          <w:sz w:val="24"/>
          <w:szCs w:val="24"/>
          <w:lang w:val="en-US" w:eastAsia="zh-CN"/>
        </w:rPr>
        <w:t>55</w:t>
      </w:r>
      <w:r>
        <w:rPr>
          <w:rFonts w:hint="eastAsia" w:ascii="宋体" w:hAnsi="宋体" w:eastAsia="宋体" w:cs="宋体"/>
          <w:color w:val="auto"/>
          <w:sz w:val="24"/>
          <w:szCs w:val="24"/>
        </w:rPr>
        <w:t>万元</w:t>
      </w:r>
    </w:p>
    <w:p w14:paraId="7BA372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84"/>
        <w:gridCol w:w="1470"/>
        <w:gridCol w:w="863"/>
        <w:gridCol w:w="3721"/>
      </w:tblGrid>
      <w:tr w14:paraId="4585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2E4CDDC1">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084" w:type="dxa"/>
            <w:vAlign w:val="center"/>
          </w:tcPr>
          <w:p w14:paraId="54347BC3">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1470" w:type="dxa"/>
            <w:vAlign w:val="center"/>
          </w:tcPr>
          <w:p w14:paraId="57E3878A">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63" w:type="dxa"/>
            <w:vAlign w:val="center"/>
          </w:tcPr>
          <w:p w14:paraId="17FEC5E6">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3721" w:type="dxa"/>
            <w:vAlign w:val="center"/>
          </w:tcPr>
          <w:p w14:paraId="06870C2B">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39A2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679A4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01</w:t>
            </w:r>
          </w:p>
        </w:tc>
        <w:tc>
          <w:tcPr>
            <w:tcW w:w="2084" w:type="dxa"/>
            <w:vAlign w:val="center"/>
          </w:tcPr>
          <w:p w14:paraId="5310621F">
            <w:pPr>
              <w:jc w:val="center"/>
              <w:rPr>
                <w:rFonts w:hint="eastAsia" w:ascii="宋体" w:hAnsi="宋体" w:eastAsia="宋体" w:cs="宋体"/>
                <w:bCs/>
                <w:color w:val="auto"/>
                <w:sz w:val="24"/>
                <w:szCs w:val="24"/>
                <w:lang w:eastAsia="zh-CN"/>
              </w:rPr>
            </w:pPr>
            <w:r>
              <w:rPr>
                <w:rFonts w:hint="eastAsia"/>
                <w:color w:val="auto"/>
                <w:sz w:val="24"/>
                <w:highlight w:val="none"/>
                <w:u w:val="single"/>
                <w:lang w:val="en-US" w:eastAsia="zh-CN"/>
              </w:rPr>
              <w:t>安全及抗震性能鉴定</w:t>
            </w:r>
          </w:p>
        </w:tc>
        <w:tc>
          <w:tcPr>
            <w:tcW w:w="1470" w:type="dxa"/>
            <w:vAlign w:val="center"/>
          </w:tcPr>
          <w:p w14:paraId="4EA965DC">
            <w:pPr>
              <w:jc w:val="center"/>
              <w:rPr>
                <w:rFonts w:hint="default" w:ascii="宋体" w:hAnsi="宋体" w:eastAsia="宋体" w:cs="宋体"/>
                <w:bCs/>
                <w:color w:val="auto"/>
                <w:sz w:val="24"/>
                <w:szCs w:val="24"/>
                <w:lang w:val="en-US"/>
              </w:rPr>
            </w:pPr>
            <w:r>
              <w:rPr>
                <w:rFonts w:hint="eastAsia"/>
                <w:color w:val="auto"/>
                <w:sz w:val="24"/>
                <w:highlight w:val="none"/>
                <w:u w:val="none"/>
                <w:lang w:val="en-US" w:eastAsia="zh-CN"/>
              </w:rPr>
              <w:t>55</w:t>
            </w:r>
          </w:p>
        </w:tc>
        <w:tc>
          <w:tcPr>
            <w:tcW w:w="863" w:type="dxa"/>
            <w:vAlign w:val="center"/>
          </w:tcPr>
          <w:p w14:paraId="19BFC444">
            <w:pPr>
              <w:jc w:val="center"/>
              <w:rPr>
                <w:rFonts w:hint="default" w:ascii="宋体" w:hAnsi="宋体" w:eastAsia="宋体" w:cs="宋体"/>
                <w:bCs/>
                <w:color w:val="auto"/>
                <w:sz w:val="24"/>
                <w:szCs w:val="24"/>
                <w:lang w:val="en-US" w:eastAsia="zh-CN"/>
              </w:rPr>
            </w:pPr>
            <w:r>
              <w:rPr>
                <w:rFonts w:hint="eastAsia" w:ascii="Times New Roman" w:hAnsi="Times New Roman" w:eastAsia="宋体" w:cs="Times New Roman"/>
                <w:color w:val="auto"/>
                <w:sz w:val="24"/>
                <w:highlight w:val="none"/>
                <w:u w:val="none"/>
                <w:lang w:val="en-US" w:eastAsia="zh-CN"/>
              </w:rPr>
              <w:t>1项</w:t>
            </w:r>
          </w:p>
        </w:tc>
        <w:tc>
          <w:tcPr>
            <w:tcW w:w="3721" w:type="dxa"/>
            <w:vAlign w:val="center"/>
          </w:tcPr>
          <w:p w14:paraId="5EFC9F5F">
            <w:pPr>
              <w:jc w:val="left"/>
              <w:rPr>
                <w:rFonts w:hint="eastAsia" w:ascii="宋体" w:hAnsi="宋体" w:eastAsia="宋体" w:cs="宋体"/>
                <w:color w:val="auto"/>
                <w:kern w:val="0"/>
                <w:sz w:val="24"/>
                <w:szCs w:val="24"/>
                <w:u w:val="none"/>
              </w:rPr>
            </w:pPr>
            <w:r>
              <w:rPr>
                <w:rFonts w:hint="eastAsia" w:ascii="Times New Roman" w:hAnsi="Times New Roman" w:cs="Times New Roman"/>
                <w:color w:val="auto"/>
                <w:sz w:val="24"/>
                <w:highlight w:val="none"/>
                <w:u w:val="none"/>
                <w:lang w:val="en-US" w:eastAsia="zh-CN"/>
              </w:rPr>
              <w:t>根据实际情况，完成结构体系核查、现场检测、结构外观调查、混凝土抗压强度检测、混凝土构件钢筋配置检测、混凝土构件保护层厚度检测、砌筑砂浆抗压强度检测、砌体强度检测、构件连接检测、安全及抗震鉴定等，出具鉴定报告书。</w:t>
            </w:r>
          </w:p>
        </w:tc>
      </w:tr>
    </w:tbl>
    <w:p w14:paraId="73C34E31">
      <w:pPr>
        <w:spacing w:line="360" w:lineRule="auto"/>
        <w:ind w:firstLine="480" w:firstLineChars="200"/>
        <w:rPr>
          <w:rFonts w:hint="eastAsia" w:ascii="宋体" w:hAnsi="宋体" w:eastAsia="宋体" w:cs="宋体"/>
          <w:color w:val="auto"/>
          <w:sz w:val="24"/>
          <w:szCs w:val="24"/>
        </w:rPr>
      </w:pPr>
    </w:p>
    <w:p w14:paraId="180D6D1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eastAsia="宋体" w:cs="宋体"/>
          <w:color w:val="auto"/>
          <w:sz w:val="24"/>
          <w:szCs w:val="24"/>
          <w:lang w:val="en-US" w:eastAsia="zh-CN"/>
        </w:rPr>
        <w:t>自合同签订之日起22日历天。</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6.本项目是否接受联合体投标：▇是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 否。</w:t>
      </w:r>
    </w:p>
    <w:p w14:paraId="347A7240">
      <w:pPr>
        <w:spacing w:line="360" w:lineRule="auto"/>
        <w:ind w:firstLine="480" w:firstLineChars="200"/>
        <w:rPr>
          <w:rFonts w:ascii="Times New Roman" w:hAnsi="Times New Roman" w:cs="Times New Roman"/>
          <w:sz w:val="24"/>
        </w:rPr>
      </w:pPr>
    </w:p>
    <w:p w14:paraId="0DB8C9B6">
      <w:pPr>
        <w:pStyle w:val="4"/>
        <w:spacing w:before="0" w:line="360" w:lineRule="auto"/>
        <w:jc w:val="left"/>
        <w:rPr>
          <w:rFonts w:ascii="Times New Roman" w:hAnsi="Times New Roman" w:eastAsia="宋体"/>
          <w:sz w:val="24"/>
          <w:szCs w:val="24"/>
        </w:rPr>
      </w:pPr>
      <w:bookmarkStart w:id="10" w:name="_Toc28359080"/>
      <w:bookmarkStart w:id="11" w:name="_Toc35393622"/>
      <w:bookmarkStart w:id="12" w:name="_Toc35393791"/>
      <w:bookmarkStart w:id="13" w:name="_Toc28359003"/>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4" w:name="_Hlk191481981"/>
      <w:bookmarkStart w:id="15" w:name="_Toc28359081"/>
      <w:bookmarkStart w:id="16" w:name="_Toc28359004"/>
      <w:r>
        <w:rPr>
          <w:sz w:val="24"/>
        </w:rPr>
        <w:t>2.落实政府采购政策需满足的资格要求：</w:t>
      </w:r>
    </w:p>
    <w:p w14:paraId="7EC54045">
      <w:pPr>
        <w:spacing w:line="360" w:lineRule="auto"/>
        <w:ind w:firstLine="480" w:firstLineChars="200"/>
        <w:rPr>
          <w:sz w:val="24"/>
        </w:rPr>
      </w:pPr>
      <w:r>
        <w:rPr>
          <w:sz w:val="24"/>
        </w:rPr>
        <w:t>2.1 中小企业政策</w:t>
      </w:r>
    </w:p>
    <w:p w14:paraId="703F90F9">
      <w:pPr>
        <w:spacing w:line="360" w:lineRule="auto"/>
        <w:ind w:firstLine="480" w:firstLineChars="200"/>
        <w:rPr>
          <w:sz w:val="24"/>
        </w:rPr>
      </w:pPr>
      <w:r>
        <w:rPr>
          <w:sz w:val="24"/>
        </w:rPr>
        <w:t>□本项目不专门面向中小企业预留采购份额。</w:t>
      </w:r>
    </w:p>
    <w:p w14:paraId="51A98EAD">
      <w:pPr>
        <w:spacing w:line="360" w:lineRule="auto"/>
        <w:ind w:firstLine="480" w:firstLineChars="200"/>
        <w:rPr>
          <w:sz w:val="24"/>
        </w:rPr>
      </w:pPr>
      <w:r>
        <w:rPr>
          <w:rFonts w:hint="eastAsia"/>
          <w:sz w:val="24"/>
        </w:rPr>
        <w:t>■</w:t>
      </w:r>
      <w:r>
        <w:rPr>
          <w:sz w:val="24"/>
        </w:rPr>
        <w:t xml:space="preserve">本项目专门面向 </w:t>
      </w:r>
      <w:r>
        <w:rPr>
          <w:rFonts w:hint="eastAsia" w:ascii="宋体" w:hAnsi="宋体" w:cs="宋体"/>
          <w:b/>
          <w:bCs/>
          <w:spacing w:val="1"/>
          <w:sz w:val="24"/>
        </w:rPr>
        <w:t>■</w:t>
      </w:r>
      <w:r>
        <w:rPr>
          <w:sz w:val="24"/>
        </w:rPr>
        <w:t xml:space="preserve"> 中小□小微企业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1AB29B15">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3.2其他特定资格要求：</w:t>
      </w:r>
    </w:p>
    <w:p w14:paraId="61A5C869">
      <w:pPr>
        <w:keepNext w:val="0"/>
        <w:keepLines w:val="0"/>
        <w:pageBreakBefore w:val="0"/>
        <w:widowControl/>
        <w:tabs>
          <w:tab w:val="left" w:pos="900"/>
          <w:tab w:val="left" w:pos="1134"/>
          <w:tab w:val="left" w:pos="1589"/>
          <w:tab w:val="left" w:pos="5521"/>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position w:val="0"/>
          <w:sz w:val="24"/>
          <w:szCs w:val="24"/>
          <w:u w:val="none"/>
          <w:lang w:val="en-US" w:eastAsia="zh-CN"/>
        </w:rPr>
      </w:pPr>
      <w:r>
        <w:rPr>
          <w:rFonts w:hint="eastAsia" w:ascii="宋体" w:hAnsi="宋体" w:eastAsia="宋体" w:cs="宋体"/>
          <w:color w:val="auto"/>
          <w:spacing w:val="0"/>
          <w:position w:val="0"/>
          <w:sz w:val="24"/>
          <w:szCs w:val="24"/>
          <w:u w:val="none"/>
          <w:lang w:val="en-US" w:eastAsia="zh-CN"/>
        </w:rPr>
        <w:t>3.2.</w:t>
      </w:r>
      <w:r>
        <w:rPr>
          <w:rFonts w:hint="eastAsia" w:ascii="宋体" w:hAnsi="宋体" w:cs="宋体"/>
          <w:color w:val="auto"/>
          <w:spacing w:val="0"/>
          <w:position w:val="0"/>
          <w:sz w:val="24"/>
          <w:szCs w:val="24"/>
          <w:u w:val="none"/>
          <w:lang w:val="en-US" w:eastAsia="zh-CN"/>
        </w:rPr>
        <w:t>1</w:t>
      </w:r>
      <w:r>
        <w:rPr>
          <w:rFonts w:hint="eastAsia" w:ascii="宋体" w:hAnsi="宋体" w:eastAsia="宋体" w:cs="宋体"/>
          <w:color w:val="auto"/>
          <w:sz w:val="24"/>
          <w:shd w:val="clear"/>
          <w:lang w:val="en-US" w:eastAsia="zh-CN"/>
        </w:rPr>
        <w:t>具备有效期内的检验检测机构资质认定证书（CMA）；</w:t>
      </w:r>
    </w:p>
    <w:p w14:paraId="749212AE">
      <w:pPr>
        <w:tabs>
          <w:tab w:val="left" w:pos="900"/>
          <w:tab w:val="left" w:pos="1134"/>
          <w:tab w:val="left" w:pos="1589"/>
          <w:tab w:val="left" w:pos="5521"/>
        </w:tabs>
        <w:snapToGrid w:val="0"/>
        <w:spacing w:line="360" w:lineRule="auto"/>
        <w:ind w:left="0" w:leftChars="0" w:firstLine="480" w:firstLineChars="200"/>
        <w:rPr>
          <w:rFonts w:hint="eastAsia" w:ascii="宋体" w:hAnsi="宋体" w:eastAsia="宋体" w:cs="宋体"/>
          <w:color w:val="auto"/>
          <w:sz w:val="24"/>
          <w:shd w:val="clear"/>
          <w:lang w:val="en-US" w:eastAsia="zh-CN"/>
        </w:rPr>
      </w:pPr>
      <w:r>
        <w:rPr>
          <w:rFonts w:hint="eastAsia" w:ascii="宋体" w:hAnsi="宋体" w:eastAsia="宋体" w:cs="宋体"/>
          <w:color w:val="auto"/>
          <w:spacing w:val="0"/>
          <w:position w:val="0"/>
          <w:sz w:val="24"/>
          <w:szCs w:val="24"/>
          <w:u w:val="none"/>
          <w:lang w:val="en-US" w:eastAsia="zh-CN"/>
        </w:rPr>
        <w:t>3.2.</w:t>
      </w:r>
      <w:r>
        <w:rPr>
          <w:rFonts w:hint="eastAsia" w:ascii="宋体" w:hAnsi="宋体" w:cs="宋体"/>
          <w:color w:val="auto"/>
          <w:spacing w:val="0"/>
          <w:position w:val="0"/>
          <w:sz w:val="24"/>
          <w:szCs w:val="24"/>
          <w:u w:val="none"/>
          <w:lang w:val="en-US" w:eastAsia="zh-CN"/>
        </w:rPr>
        <w:t>2</w:t>
      </w:r>
      <w:r>
        <w:rPr>
          <w:rFonts w:hint="eastAsia" w:ascii="宋体" w:hAnsi="宋体" w:eastAsia="宋体" w:cs="宋体"/>
          <w:color w:val="auto"/>
          <w:sz w:val="24"/>
          <w:shd w:val="clear"/>
          <w:lang w:val="en-US" w:eastAsia="zh-CN"/>
        </w:rPr>
        <w:t>具备有效期内中国合格评定国家认可委员会实验室认可证书（CNAS）及中国合格评定国家认可委员会检验机构认可证书（CNAS）</w:t>
      </w:r>
      <w:r>
        <w:rPr>
          <w:rFonts w:hint="eastAsia" w:ascii="宋体" w:hAnsi="宋体" w:cs="宋体"/>
          <w:color w:val="auto"/>
          <w:sz w:val="24"/>
          <w:shd w:val="clear"/>
          <w:lang w:val="en-US" w:eastAsia="zh-CN"/>
        </w:rPr>
        <w:t>。</w:t>
      </w:r>
    </w:p>
    <w:p w14:paraId="0AEDA0D9">
      <w:pPr>
        <w:numPr>
          <w:ilvl w:val="-1"/>
          <w:numId w:val="0"/>
        </w:numPr>
        <w:tabs>
          <w:tab w:val="left" w:pos="900"/>
          <w:tab w:val="left" w:pos="1134"/>
          <w:tab w:val="left" w:pos="1589"/>
          <w:tab w:val="left" w:pos="5521"/>
        </w:tabs>
        <w:snapToGrid w:val="0"/>
        <w:spacing w:line="360" w:lineRule="auto"/>
        <w:ind w:left="0" w:leftChars="0" w:firstLine="480" w:firstLineChars="200"/>
        <w:rPr>
          <w:rFonts w:hint="eastAsia" w:eastAsia="宋体"/>
          <w:sz w:val="24"/>
          <w:lang w:val="en-US" w:eastAsia="zh-CN"/>
        </w:rPr>
      </w:pPr>
      <w:r>
        <w:rPr>
          <w:rFonts w:hint="eastAsia" w:ascii="宋体" w:hAnsi="宋体" w:eastAsia="宋体" w:cs="宋体"/>
          <w:color w:val="auto"/>
          <w:spacing w:val="0"/>
          <w:position w:val="0"/>
          <w:sz w:val="24"/>
          <w:szCs w:val="24"/>
          <w:u w:val="none"/>
          <w:lang w:val="en-US" w:eastAsia="zh-CN"/>
        </w:rPr>
        <w:t>3.2.</w:t>
      </w:r>
      <w:r>
        <w:rPr>
          <w:rFonts w:hint="eastAsia" w:ascii="宋体" w:hAnsi="宋体" w:cs="宋体"/>
          <w:color w:val="auto"/>
          <w:spacing w:val="0"/>
          <w:position w:val="0"/>
          <w:sz w:val="24"/>
          <w:szCs w:val="24"/>
          <w:u w:val="none"/>
          <w:lang w:val="en-US" w:eastAsia="zh-CN"/>
        </w:rPr>
        <w:t>3</w:t>
      </w:r>
      <w:r>
        <w:rPr>
          <w:rFonts w:hint="eastAsia" w:ascii="宋体" w:hAnsi="宋体" w:cs="宋体"/>
          <w:color w:val="auto"/>
          <w:sz w:val="24"/>
          <w:shd w:val="clear"/>
          <w:lang w:val="en-US" w:eastAsia="zh-CN"/>
        </w:rPr>
        <w:t>投标供应商须为北京市住房与城乡建设委员会</w:t>
      </w:r>
      <w:r>
        <w:rPr>
          <w:rFonts w:hint="eastAsia" w:ascii="宋体" w:hAnsi="宋体" w:cs="宋体"/>
          <w:color w:val="auto"/>
          <w:sz w:val="24"/>
          <w:shd w:val="clear"/>
          <w:lang w:val="en-US" w:eastAsia="zh-CN"/>
        </w:rPr>
        <w:fldChar w:fldCharType="begin"/>
      </w:r>
      <w:r>
        <w:rPr>
          <w:rFonts w:hint="eastAsia" w:ascii="宋体" w:hAnsi="宋体" w:cs="宋体"/>
          <w:color w:val="auto"/>
          <w:sz w:val="24"/>
          <w:shd w:val="clear"/>
          <w:lang w:val="en-US" w:eastAsia="zh-CN"/>
        </w:rPr>
        <w:instrText xml:space="preserve"> HYPERLINK "http://bjjs.zjw.beijing.gov.cn/eportal/ui?pageId=53613826" \o "建设工程质量检测机构名录" \t "https://zjw.beijing.gov.cn/_blank" </w:instrText>
      </w:r>
      <w:r>
        <w:rPr>
          <w:rFonts w:hint="eastAsia" w:ascii="宋体" w:hAnsi="宋体" w:cs="宋体"/>
          <w:color w:val="auto"/>
          <w:sz w:val="24"/>
          <w:shd w:val="clear"/>
          <w:lang w:val="en-US" w:eastAsia="zh-CN"/>
        </w:rPr>
        <w:fldChar w:fldCharType="separate"/>
      </w:r>
      <w:r>
        <w:rPr>
          <w:rFonts w:hint="eastAsia" w:ascii="宋体" w:hAnsi="宋体" w:cs="宋体"/>
          <w:color w:val="auto"/>
          <w:sz w:val="24"/>
          <w:shd w:val="clear"/>
          <w:lang w:val="en-US" w:eastAsia="zh-CN"/>
        </w:rPr>
        <w:t>建设工程质量检测机构名录</w:t>
      </w:r>
      <w:r>
        <w:rPr>
          <w:rFonts w:hint="eastAsia" w:ascii="宋体" w:hAnsi="宋体" w:cs="宋体"/>
          <w:color w:val="auto"/>
          <w:sz w:val="24"/>
          <w:shd w:val="clear"/>
          <w:lang w:val="en-US" w:eastAsia="zh-CN"/>
        </w:rPr>
        <w:fldChar w:fldCharType="end"/>
      </w:r>
      <w:r>
        <w:rPr>
          <w:rFonts w:hint="eastAsia" w:ascii="宋体" w:hAnsi="宋体" w:cs="宋体"/>
          <w:color w:val="auto"/>
          <w:sz w:val="24"/>
          <w:shd w:val="clear"/>
          <w:lang w:val="en-US" w:eastAsia="zh-CN"/>
        </w:rPr>
        <w:t>中备案企业；</w:t>
      </w:r>
    </w:p>
    <w:bookmarkEnd w:id="14"/>
    <w:p w14:paraId="466E0156">
      <w:pPr>
        <w:spacing w:line="360" w:lineRule="auto"/>
        <w:ind w:firstLine="480" w:firstLineChars="200"/>
        <w:rPr>
          <w:i/>
          <w:iCs/>
          <w:sz w:val="24"/>
          <w:u w:val="single"/>
        </w:rPr>
      </w:pPr>
    </w:p>
    <w:bookmarkEnd w:id="15"/>
    <w:bookmarkEnd w:id="16"/>
    <w:p w14:paraId="05361630">
      <w:pPr>
        <w:pStyle w:val="4"/>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03</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03</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13</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09:00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cs="宋体"/>
          <w:sz w:val="24"/>
          <w:szCs w:val="24"/>
          <w:u w:val="single"/>
          <w:lang w:val="en-US" w:eastAsia="zh-CN" w:bidi="ar"/>
        </w:rPr>
        <w:t>24:00</w:t>
      </w:r>
      <w:r>
        <w:rPr>
          <w:rFonts w:hint="eastAsia" w:ascii="宋体" w:hAnsi="宋体" w:eastAsia="宋体" w:cs="宋体"/>
          <w:sz w:val="24"/>
          <w:szCs w:val="24"/>
          <w:lang w:bidi="ar"/>
        </w:rPr>
        <w:t>（北京时间，法定节假日除外）。</w:t>
      </w:r>
    </w:p>
    <w:p w14:paraId="56EE060C">
      <w:pPr>
        <w:adjustRightInd w:val="0"/>
        <w:snapToGrid w:val="0"/>
        <w:spacing w:line="360" w:lineRule="auto"/>
        <w:ind w:firstLine="480" w:firstLineChars="200"/>
        <w:rPr>
          <w:sz w:val="24"/>
        </w:rPr>
      </w:pPr>
      <w:r>
        <w:rPr>
          <w:sz w:val="24"/>
          <w:lang w:bidi="ar"/>
        </w:rPr>
        <w:t>2.地点：北京市政府采购电子交易平台</w:t>
      </w:r>
    </w:p>
    <w:p w14:paraId="046ADB7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rPr>
      </w:pPr>
      <w:r>
        <w:rPr>
          <w:sz w:val="24"/>
          <w:lang w:bidi="ar"/>
        </w:rPr>
        <w:t>4.售价：0元。</w:t>
      </w:r>
    </w:p>
    <w:p w14:paraId="4619EF50">
      <w:pPr>
        <w:tabs>
          <w:tab w:val="left" w:pos="900"/>
          <w:tab w:val="left" w:pos="1980"/>
        </w:tabs>
        <w:snapToGrid w:val="0"/>
        <w:spacing w:line="360" w:lineRule="auto"/>
        <w:ind w:left="840"/>
        <w:rPr>
          <w:sz w:val="24"/>
        </w:rPr>
      </w:pPr>
    </w:p>
    <w:p w14:paraId="6BFE9C43">
      <w:pPr>
        <w:pStyle w:val="4"/>
        <w:widowControl/>
        <w:spacing w:before="0" w:line="360" w:lineRule="auto"/>
        <w:jc w:val="left"/>
        <w:rPr>
          <w:rFonts w:ascii="Times New Roman" w:hAnsi="Times New Roman" w:eastAsia="宋体"/>
          <w:sz w:val="24"/>
          <w:szCs w:val="24"/>
        </w:rPr>
      </w:pPr>
      <w:bookmarkStart w:id="19" w:name="_Toc28359005"/>
      <w:bookmarkStart w:id="20" w:name="_Toc28359082"/>
      <w:bookmarkStart w:id="21" w:name="_Toc35393793"/>
      <w:bookmarkStart w:id="22" w:name="_Toc35393624"/>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21BDAC21">
      <w:pPr>
        <w:spacing w:line="360" w:lineRule="auto"/>
        <w:ind w:firstLine="480" w:firstLineChars="200"/>
        <w:rPr>
          <w:bCs/>
          <w:sz w:val="24"/>
          <w:u w:val="single"/>
        </w:rPr>
      </w:pPr>
      <w:r>
        <w:rPr>
          <w:sz w:val="24"/>
          <w:lang w:bidi="ar"/>
        </w:rPr>
        <w:t>投标截止时间、开标时</w:t>
      </w:r>
      <w:r>
        <w:rPr>
          <w:sz w:val="24"/>
          <w:highlight w:val="none"/>
          <w:lang w:bidi="ar"/>
        </w:rPr>
        <w:t>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03</w:t>
      </w:r>
      <w:r>
        <w:rPr>
          <w:sz w:val="24"/>
          <w:highlight w:val="none"/>
          <w:lang w:bidi="ar"/>
        </w:rPr>
        <w:t>月</w:t>
      </w:r>
      <w:r>
        <w:rPr>
          <w:rFonts w:hint="eastAsia"/>
          <w:sz w:val="24"/>
          <w:highlight w:val="none"/>
          <w:u w:val="single"/>
          <w:lang w:val="en-US" w:eastAsia="zh-CN" w:bidi="ar"/>
        </w:rPr>
        <w:t>30</w:t>
      </w:r>
      <w:r>
        <w:rPr>
          <w:sz w:val="24"/>
          <w:highlight w:val="none"/>
          <w:lang w:bidi="ar"/>
        </w:rPr>
        <w:t>日</w:t>
      </w:r>
      <w:r>
        <w:rPr>
          <w:rFonts w:hint="eastAsia"/>
          <w:sz w:val="24"/>
          <w:highlight w:val="none"/>
          <w:u w:val="single"/>
          <w:lang w:val="en-US" w:eastAsia="zh-CN" w:bidi="ar"/>
        </w:rPr>
        <w:t>14</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w:t>
      </w:r>
      <w:r>
        <w:rPr>
          <w:bCs/>
          <w:sz w:val="24"/>
          <w:lang w:bidi="ar"/>
        </w:rPr>
        <w:t>京时间）</w:t>
      </w:r>
      <w:r>
        <w:rPr>
          <w:iCs/>
          <w:sz w:val="24"/>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4"/>
        <w:spacing w:before="0" w:line="360" w:lineRule="auto"/>
        <w:jc w:val="left"/>
        <w:rPr>
          <w:rFonts w:ascii="Times New Roman" w:hAnsi="Times New Roman" w:eastAsia="宋体"/>
          <w:sz w:val="24"/>
          <w:szCs w:val="24"/>
        </w:rPr>
      </w:pPr>
      <w:bookmarkStart w:id="23" w:name="_Toc28359007"/>
      <w:bookmarkStart w:id="24" w:name="_Toc35393794"/>
      <w:bookmarkStart w:id="25" w:name="_Toc35393625"/>
      <w:bookmarkStart w:id="26" w:name="_Toc28359084"/>
      <w:r>
        <w:rPr>
          <w:rFonts w:ascii="Times New Roman" w:hAnsi="Times New Roman" w:eastAsia="宋体"/>
          <w:sz w:val="24"/>
          <w:szCs w:val="24"/>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4"/>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10EC39F">
      <w:pPr>
        <w:spacing w:line="360" w:lineRule="auto"/>
        <w:ind w:firstLine="480" w:firstLineChars="200"/>
        <w:jc w:val="both"/>
        <w:rPr>
          <w:rFonts w:hint="eastAsia" w:ascii="宋体" w:hAnsi="宋体" w:cs="宋体"/>
          <w:color w:val="auto"/>
          <w:spacing w:val="-4"/>
          <w:sz w:val="24"/>
          <w:szCs w:val="24"/>
          <w:highlight w:val="none"/>
          <w:lang w:val="en-US" w:eastAsia="zh-CN"/>
        </w:rPr>
      </w:pPr>
      <w:r>
        <w:rPr>
          <w:rFonts w:hint="eastAsia"/>
          <w:sz w:val="24"/>
          <w:lang w:bidi="ar"/>
        </w:rPr>
        <w:t>招标编号：</w:t>
      </w:r>
      <w:bookmarkEnd w:id="29"/>
      <w:r>
        <w:rPr>
          <w:rFonts w:hint="eastAsia" w:ascii="宋体" w:hAnsi="宋体" w:eastAsia="宋体" w:cs="宋体"/>
          <w:color w:val="auto"/>
          <w:spacing w:val="-4"/>
          <w:sz w:val="24"/>
          <w:szCs w:val="24"/>
          <w:highlight w:val="none"/>
        </w:rPr>
        <w:t>JJBJ26030325</w:t>
      </w:r>
    </w:p>
    <w:p w14:paraId="6091D53F">
      <w:pPr>
        <w:pStyle w:val="4"/>
        <w:spacing w:before="0" w:line="360" w:lineRule="auto"/>
        <w:jc w:val="left"/>
        <w:rPr>
          <w:rFonts w:ascii="Times New Roman" w:hAnsi="Times New Roman" w:eastAsia="宋体"/>
          <w:sz w:val="24"/>
          <w:szCs w:val="24"/>
        </w:rPr>
      </w:pPr>
      <w:bookmarkStart w:id="30" w:name="_Toc35393796"/>
      <w:bookmarkStart w:id="31" w:name="_Toc28359008"/>
      <w:bookmarkStart w:id="32" w:name="_Toc28359085"/>
      <w:bookmarkStart w:id="33" w:name="_Toc35393627"/>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u w:val="single"/>
          <w:lang w:eastAsia="zh-CN"/>
        </w:rPr>
      </w:pPr>
      <w:bookmarkStart w:id="34" w:name="_Toc28359086"/>
      <w:bookmarkStart w:id="35" w:name="_Toc28359009"/>
      <w:r>
        <w:rPr>
          <w:rFonts w:hint="eastAsia" w:ascii="宋体" w:hAnsi="宋体" w:cs="宋体"/>
          <w:sz w:val="24"/>
        </w:rPr>
        <w:t>名称：</w:t>
      </w:r>
      <w:r>
        <w:rPr>
          <w:rFonts w:hint="eastAsia" w:ascii="宋体" w:hAnsi="宋体" w:cs="宋体"/>
          <w:sz w:val="24"/>
          <w:u w:val="single"/>
          <w:lang w:eastAsia="zh-CN"/>
        </w:rPr>
        <w:t>北京市八达岭林场管理处</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cs="宋体"/>
          <w:color w:val="auto"/>
          <w:sz w:val="24"/>
          <w:u w:val="single"/>
          <w:shd w:val="clear"/>
          <w:lang w:val="en-US" w:eastAsia="zh-CN"/>
        </w:rPr>
        <w:t xml:space="preserve">北京市延庆区八达岭镇青龙桥 </w:t>
      </w:r>
    </w:p>
    <w:p w14:paraId="5805BBF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cs="宋体"/>
          <w:color w:val="auto"/>
          <w:sz w:val="24"/>
          <w:u w:val="single"/>
          <w:shd w:val="clear"/>
          <w:lang w:val="en-US" w:eastAsia="zh-CN"/>
        </w:rPr>
        <w:t>李工 010-69135850</w:t>
      </w:r>
    </w:p>
    <w:p w14:paraId="032D7A9C">
      <w:pPr>
        <w:widowControl/>
        <w:spacing w:line="360" w:lineRule="auto"/>
        <w:ind w:firstLine="720" w:firstLineChars="300"/>
        <w:jc w:val="left"/>
        <w:rPr>
          <w:rFonts w:hint="eastAsia" w:ascii="宋体" w:hAnsi="宋体" w:cs="宋体"/>
          <w:sz w:val="24"/>
          <w:u w:val="single"/>
        </w:rPr>
      </w:pPr>
    </w:p>
    <w:p w14:paraId="0247E109">
      <w:pPr>
        <w:spacing w:line="360" w:lineRule="auto"/>
        <w:ind w:firstLine="720" w:firstLineChars="300"/>
        <w:jc w:val="left"/>
        <w:rPr>
          <w:rFonts w:hint="eastAsia" w:ascii="宋体" w:hAnsi="宋体" w:cs="宋体"/>
          <w:sz w:val="24"/>
        </w:rPr>
      </w:pPr>
    </w:p>
    <w:p w14:paraId="2D8D921D">
      <w:pPr>
        <w:spacing w:line="360" w:lineRule="auto"/>
        <w:ind w:firstLine="723" w:firstLineChars="300"/>
        <w:jc w:val="left"/>
        <w:rPr>
          <w:b/>
          <w:sz w:val="24"/>
        </w:rPr>
      </w:pPr>
      <w:r>
        <w:rPr>
          <w:b/>
          <w:sz w:val="24"/>
        </w:rPr>
        <w:t>2.采购代理机构信息</w:t>
      </w:r>
      <w:bookmarkEnd w:id="34"/>
      <w:bookmarkEnd w:id="35"/>
    </w:p>
    <w:p w14:paraId="2B2B2140">
      <w:pPr>
        <w:spacing w:line="360" w:lineRule="auto"/>
        <w:ind w:left="1079" w:leftChars="371" w:hanging="300" w:hangingChars="125"/>
        <w:jc w:val="left"/>
        <w:rPr>
          <w:rFonts w:hint="eastAsia" w:eastAsia="宋体"/>
          <w:sz w:val="24"/>
          <w:lang w:eastAsia="zh-CN"/>
        </w:rPr>
      </w:pPr>
      <w:bookmarkStart w:id="36" w:name="_Toc28359010"/>
      <w:bookmarkStart w:id="37" w:name="_Toc28359087"/>
      <w:r>
        <w:rPr>
          <w:sz w:val="24"/>
        </w:rPr>
        <w:t>名    称：</w:t>
      </w:r>
      <w:bookmarkStart w:id="38" w:name="_Hlk218672654"/>
      <w:r>
        <w:rPr>
          <w:rFonts w:hint="eastAsia"/>
          <w:spacing w:val="-13"/>
          <w:sz w:val="24"/>
          <w:u w:val="single"/>
          <w:lang w:eastAsia="zh-CN"/>
        </w:rPr>
        <w:t>北京市八达岭林场管理处</w:t>
      </w:r>
    </w:p>
    <w:bookmarkEnd w:id="36"/>
    <w:bookmarkEnd w:id="37"/>
    <w:bookmarkEnd w:id="38"/>
    <w:p w14:paraId="170DEE2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向生建、王欣、张鹏、杨梦洁、陈文彪，010-51361371、156</w:t>
      </w:r>
      <w:r>
        <w:rPr>
          <w:rFonts w:hint="eastAsia" w:ascii="宋体" w:hAnsi="宋体" w:cs="宋体"/>
          <w:color w:val="auto"/>
          <w:sz w:val="24"/>
          <w:highlight w:val="none"/>
          <w:u w:val="single"/>
          <w:lang w:val="en-US" w:eastAsia="zh-CN"/>
        </w:rPr>
        <w:t>52749571</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010-51361371、156</w:t>
      </w:r>
      <w:r>
        <w:rPr>
          <w:rFonts w:hint="eastAsia" w:ascii="宋体" w:hAnsi="宋体" w:cs="宋体"/>
          <w:color w:val="auto"/>
          <w:sz w:val="24"/>
          <w:highlight w:val="none"/>
          <w:u w:val="single"/>
          <w:lang w:val="en-US" w:eastAsia="zh-CN"/>
        </w:rPr>
        <w:t>52749571</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305158928"/>
      <w:bookmarkStart w:id="40" w:name="_Toc226965856"/>
      <w:bookmarkStart w:id="41" w:name="_Toc127161488"/>
      <w:bookmarkStart w:id="42" w:name="_Toc99301420"/>
      <w:bookmarkStart w:id="43" w:name="_Toc265228423"/>
      <w:bookmarkStart w:id="44" w:name="_Toc127151777"/>
      <w:bookmarkStart w:id="45" w:name="_Toc264969275"/>
      <w:bookmarkStart w:id="46" w:name="_Toc195842950"/>
      <w:bookmarkStart w:id="47" w:name="_Toc305158854"/>
      <w:bookmarkStart w:id="48" w:name="_Toc353873938"/>
      <w:bookmarkStart w:id="49" w:name="_Toc353825548"/>
      <w:bookmarkStart w:id="50" w:name="_Toc150774783"/>
      <w:bookmarkStart w:id="51" w:name="_Toc512937850"/>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4"/>
        <w:tabs>
          <w:tab w:val="center" w:pos="4592"/>
          <w:tab w:val="left" w:pos="7860"/>
        </w:tabs>
        <w:spacing w:before="0" w:line="360" w:lineRule="auto"/>
        <w:rPr>
          <w:rFonts w:ascii="Times New Roman" w:hAnsi="Times New Roman" w:eastAsia="宋体"/>
          <w:sz w:val="28"/>
        </w:rPr>
      </w:pPr>
      <w:bookmarkStart w:id="52" w:name="_Toc149720812"/>
      <w:bookmarkStart w:id="53" w:name="_Toc151193617"/>
      <w:bookmarkStart w:id="54" w:name="_Toc164229214"/>
      <w:bookmarkStart w:id="55" w:name="_Toc151190146"/>
      <w:bookmarkStart w:id="56" w:name="_Toc150774619"/>
      <w:bookmarkStart w:id="57" w:name="_Toc142311021"/>
      <w:bookmarkStart w:id="58" w:name="_Toc520356144"/>
      <w:bookmarkStart w:id="59" w:name="_Toc127151720"/>
      <w:bookmarkStart w:id="60" w:name="_Toc151193689"/>
      <w:bookmarkStart w:id="61" w:name="_Toc151193761"/>
      <w:bookmarkStart w:id="62" w:name="_Toc151193833"/>
      <w:bookmarkStart w:id="63" w:name="_Toc151193907"/>
      <w:bookmarkStart w:id="64" w:name="_Toc127151519"/>
      <w:bookmarkStart w:id="65" w:name="_Toc150480757"/>
      <w:bookmarkStart w:id="66" w:name="_Toc164351613"/>
      <w:bookmarkStart w:id="67" w:name="_Toc164608788"/>
      <w:bookmarkStart w:id="68" w:name="_Toc164608633"/>
      <w:bookmarkStart w:id="69" w:name="_Toc226965792"/>
      <w:bookmarkStart w:id="70" w:name="_Toc226337215"/>
      <w:bookmarkStart w:id="71" w:name="_Toc164229360"/>
      <w:bookmarkStart w:id="72" w:name="_Toc195842884"/>
      <w:bookmarkStart w:id="73" w:name="_Toc226965709"/>
      <w:bookmarkStart w:id="74" w:name="_Toc150774724"/>
      <w:bookmarkStart w:id="75" w:name="_Toc150509270"/>
      <w:bookmarkStart w:id="76" w:name="_Toc226309763"/>
      <w:bookmarkStart w:id="77" w:name="_Toc127161433"/>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4"/>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4"/>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4"/>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4"/>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4"/>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4"/>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4"/>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4"/>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4"/>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4"/>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cs="宋体"/>
                      <w:bCs/>
                      <w:sz w:val="24"/>
                      <w:lang w:eastAsia="zh-CN"/>
                    </w:rPr>
                    <w:t>北京市八达岭林场管理处不动产登记办理项目-评估鉴定服务（第1包：安全及抗震性能鉴定）</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cs="宋体"/>
                      <w:color w:val="auto"/>
                      <w:kern w:val="2"/>
                      <w:sz w:val="24"/>
                      <w:shd w:val="clear"/>
                      <w:lang w:val="en-US" w:eastAsia="zh-CN"/>
                    </w:rPr>
                    <w:t>其他未列明行业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4"/>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4"/>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eastAsia"/>
                <w:spacing w:val="-18"/>
                <w:lang w:eastAsia="zh-CN"/>
              </w:rPr>
            </w:pPr>
            <w:r>
              <w:rPr>
                <w:rFonts w:hint="eastAsia"/>
                <w:spacing w:val="-18"/>
                <w:u w:val="single"/>
                <w:lang w:val="en-US" w:eastAsia="zh-CN"/>
              </w:rPr>
              <w:t>1.1</w:t>
            </w:r>
            <w:r>
              <w:rPr>
                <w:rFonts w:hint="eastAsia"/>
                <w:spacing w:val="-18"/>
                <w:u w:val="single"/>
                <w:lang w:eastAsia="zh-CN"/>
              </w:rPr>
              <w:t>万元</w:t>
            </w:r>
            <w:r>
              <w:rPr>
                <w:rFonts w:hint="eastAsia"/>
                <w:spacing w:val="-18"/>
                <w:lang w:eastAsia="zh-CN"/>
              </w:rPr>
              <w:t>；</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4"/>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4"/>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4"/>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4"/>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4"/>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4"/>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4"/>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4"/>
              <w:adjustRightInd w:val="0"/>
              <w:snapToGrid w:val="0"/>
              <w:spacing w:line="300" w:lineRule="auto"/>
              <w:rPr>
                <w:rFonts w:hAnsi="宋体" w:cs="宋体"/>
                <w:sz w:val="24"/>
                <w:szCs w:val="24"/>
              </w:rPr>
            </w:pPr>
            <w:r>
              <w:rPr>
                <w:rFonts w:hAnsi="宋体" w:cs="宋体"/>
                <w:sz w:val="24"/>
                <w:szCs w:val="24"/>
              </w:rPr>
              <w:t>□是</w:t>
            </w:r>
          </w:p>
          <w:p w14:paraId="43D7B7CA">
            <w:pPr>
              <w:pStyle w:val="24"/>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4"/>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4"/>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4"/>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4"/>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4"/>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5"/>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4"/>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5"/>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5"/>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445C04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195842882"/>
      <w:bookmarkStart w:id="79" w:name="_Toc226965790"/>
      <w:bookmarkStart w:id="80" w:name="_Toc305158785"/>
      <w:bookmarkStart w:id="81" w:name="_Toc265228355"/>
      <w:bookmarkStart w:id="82" w:name="_Toc353873662"/>
      <w:bookmarkStart w:id="83" w:name="_Toc353873932"/>
      <w:bookmarkStart w:id="84" w:name="_Toc150774722"/>
      <w:bookmarkStart w:id="85" w:name="_Toc305158859"/>
      <w:bookmarkStart w:id="86" w:name="_Toc353825542"/>
      <w:bookmarkStart w:id="87" w:name="_Toc150480755"/>
      <w:bookmarkStart w:id="88" w:name="_Toc264969207"/>
      <w:bookmarkStart w:id="89" w:name="_Toc142311019"/>
      <w:bookmarkStart w:id="90" w:name="_Toc226337213"/>
      <w:bookmarkStart w:id="91" w:name="_Toc127151517"/>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4"/>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305158786"/>
      <w:bookmarkStart w:id="95" w:name="_Toc151193760"/>
      <w:bookmarkStart w:id="96" w:name="_Toc151193906"/>
      <w:bookmarkStart w:id="97" w:name="_Toc151193688"/>
      <w:bookmarkStart w:id="98" w:name="_Toc151193616"/>
      <w:bookmarkStart w:id="99" w:name="_Toc226309762"/>
      <w:bookmarkStart w:id="100" w:name="_Toc195842883"/>
      <w:bookmarkStart w:id="101" w:name="_Toc150509269"/>
      <w:bookmarkStart w:id="102" w:name="_Toc226965708"/>
      <w:bookmarkStart w:id="103" w:name="_Toc226965791"/>
      <w:bookmarkStart w:id="104" w:name="_Toc150774618"/>
      <w:bookmarkStart w:id="105" w:name="_Toc265228356"/>
      <w:bookmarkStart w:id="106" w:name="_Toc151193832"/>
      <w:bookmarkStart w:id="107" w:name="_Toc142311020"/>
      <w:bookmarkStart w:id="108" w:name="_Toc305158860"/>
      <w:bookmarkStart w:id="109" w:name="_Toc264969208"/>
      <w:bookmarkStart w:id="110" w:name="_Toc151190145"/>
      <w:bookmarkStart w:id="111" w:name="_Toc150480756"/>
      <w:bookmarkStart w:id="112" w:name="_Toc226337214"/>
      <w:bookmarkStart w:id="113" w:name="_Toc150774723"/>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4" w:name="_Toc305158787"/>
      <w:bookmarkStart w:id="115" w:name="_Toc265228357"/>
      <w:bookmarkStart w:id="116" w:name="_Toc264969209"/>
      <w:bookmarkStart w:id="117" w:name="_Toc305158861"/>
      <w:r>
        <w:rPr>
          <w:sz w:val="24"/>
        </w:rPr>
        <w:t>采购人、采购代理机构、投标人</w:t>
      </w:r>
      <w:bookmarkEnd w:id="114"/>
      <w:bookmarkEnd w:id="115"/>
      <w:bookmarkEnd w:id="116"/>
      <w:bookmarkEnd w:id="117"/>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18" w:name="_Toc226337216"/>
      <w:bookmarkStart w:id="119" w:name="_Toc164229215"/>
      <w:bookmarkStart w:id="120" w:name="_Toc305158862"/>
      <w:bookmarkStart w:id="121" w:name="_Toc142311022"/>
      <w:bookmarkStart w:id="122" w:name="_Toc151190147"/>
      <w:bookmarkStart w:id="123" w:name="_Toc150480758"/>
      <w:bookmarkStart w:id="124" w:name="_Toc151193618"/>
      <w:bookmarkStart w:id="125" w:name="_Toc226309764"/>
      <w:bookmarkStart w:id="126" w:name="_Toc150509271"/>
      <w:bookmarkStart w:id="127" w:name="_Toc264969210"/>
      <w:bookmarkStart w:id="128" w:name="_Toc150774725"/>
      <w:bookmarkStart w:id="129" w:name="_Toc149720813"/>
      <w:bookmarkStart w:id="130" w:name="_Toc127161434"/>
      <w:bookmarkStart w:id="131" w:name="_Toc150774620"/>
      <w:bookmarkStart w:id="132" w:name="_Toc164229361"/>
      <w:bookmarkStart w:id="133" w:name="_Toc127151721"/>
      <w:bookmarkStart w:id="134" w:name="_Toc151193762"/>
      <w:bookmarkStart w:id="135" w:name="_Toc164351614"/>
      <w:bookmarkStart w:id="136" w:name="_Toc265228358"/>
      <w:bookmarkStart w:id="137" w:name="_Toc226965710"/>
      <w:bookmarkStart w:id="138" w:name="_Toc164608634"/>
      <w:bookmarkStart w:id="139" w:name="_Toc195842885"/>
      <w:bookmarkStart w:id="140" w:name="_Toc151193690"/>
      <w:bookmarkStart w:id="141" w:name="_Toc151193908"/>
      <w:bookmarkStart w:id="142" w:name="_Toc226965793"/>
      <w:bookmarkStart w:id="143" w:name="_Toc305158788"/>
      <w:bookmarkStart w:id="144" w:name="_Toc164608789"/>
      <w:bookmarkStart w:id="145" w:name="_Toc151193834"/>
      <w:bookmarkStart w:id="146" w:name="_Toc127151520"/>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0774622"/>
      <w:bookmarkStart w:id="148" w:name="_Toc151193620"/>
      <w:bookmarkStart w:id="149" w:name="_Toc265228360"/>
      <w:bookmarkStart w:id="150" w:name="_Toc151193836"/>
      <w:bookmarkStart w:id="151" w:name="_Toc305158864"/>
      <w:bookmarkStart w:id="152" w:name="_Toc264969212"/>
      <w:bookmarkStart w:id="153" w:name="_Toc127151522"/>
      <w:bookmarkStart w:id="154" w:name="_Toc195842887"/>
      <w:bookmarkStart w:id="155" w:name="_Toc151190149"/>
      <w:bookmarkStart w:id="156" w:name="_Toc150509273"/>
      <w:bookmarkStart w:id="157" w:name="_Toc226965712"/>
      <w:bookmarkStart w:id="158" w:name="_Toc151193692"/>
      <w:bookmarkStart w:id="159" w:name="_Toc150480760"/>
      <w:bookmarkStart w:id="160" w:name="_Toc150774727"/>
      <w:bookmarkStart w:id="161" w:name="_Toc305158790"/>
      <w:bookmarkStart w:id="162" w:name="_Toc520356146"/>
      <w:bookmarkStart w:id="163" w:name="_Toc226965795"/>
      <w:bookmarkStart w:id="164" w:name="_Toc226309766"/>
      <w:bookmarkStart w:id="165" w:name="_Toc226337218"/>
      <w:bookmarkStart w:id="166" w:name="_Toc142311024"/>
      <w:bookmarkStart w:id="167" w:name="_Toc151193764"/>
      <w:bookmarkStart w:id="168" w:name="_Toc151193910"/>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9"/>
        </w:numPr>
        <w:tabs>
          <w:tab w:val="left" w:pos="360"/>
        </w:tabs>
        <w:snapToGrid w:val="0"/>
        <w:spacing w:line="360" w:lineRule="auto"/>
        <w:ind w:left="357" w:hanging="357"/>
        <w:outlineLvl w:val="1"/>
        <w:rPr>
          <w:sz w:val="24"/>
        </w:rPr>
      </w:pPr>
      <w:bookmarkStart w:id="172" w:name="_Toc142311025"/>
      <w:bookmarkStart w:id="173" w:name="_Toc150774728"/>
      <w:bookmarkStart w:id="174" w:name="_Toc150480761"/>
      <w:bookmarkStart w:id="175" w:name="_Toc151190150"/>
      <w:bookmarkStart w:id="176" w:name="_Toc195842888"/>
      <w:bookmarkStart w:id="177" w:name="_Toc305158791"/>
      <w:bookmarkStart w:id="178" w:name="_Toc151193837"/>
      <w:bookmarkStart w:id="179" w:name="_Toc264969213"/>
      <w:bookmarkStart w:id="180" w:name="_Toc164608792"/>
      <w:bookmarkStart w:id="181" w:name="_Toc150509274"/>
      <w:bookmarkStart w:id="182" w:name="_Toc164229364"/>
      <w:bookmarkStart w:id="183" w:name="_Toc151193693"/>
      <w:bookmarkStart w:id="184" w:name="_Toc226965713"/>
      <w:bookmarkStart w:id="185" w:name="_Toc226309767"/>
      <w:bookmarkStart w:id="186" w:name="_Toc151193911"/>
      <w:bookmarkStart w:id="187" w:name="_Toc520356147"/>
      <w:bookmarkStart w:id="188" w:name="_Toc164608637"/>
      <w:bookmarkStart w:id="189" w:name="_Toc150774623"/>
      <w:bookmarkStart w:id="190" w:name="_Toc265228361"/>
      <w:bookmarkStart w:id="191" w:name="_Toc305158865"/>
      <w:bookmarkStart w:id="192" w:name="_Toc151193621"/>
      <w:bookmarkStart w:id="193" w:name="_Toc127151724"/>
      <w:bookmarkStart w:id="194" w:name="_Toc127161437"/>
      <w:bookmarkStart w:id="195" w:name="_Toc164229218"/>
      <w:bookmarkStart w:id="196" w:name="_Toc127151523"/>
      <w:bookmarkStart w:id="197" w:name="_Toc149720816"/>
      <w:bookmarkStart w:id="198" w:name="_Toc226965796"/>
      <w:bookmarkStart w:id="199" w:name="_Toc151193765"/>
      <w:bookmarkStart w:id="200" w:name="_Toc164351617"/>
      <w:bookmarkStart w:id="201" w:name="_Toc226337219"/>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150774731"/>
      <w:bookmarkStart w:id="204" w:name="_Toc151193768"/>
      <w:bookmarkStart w:id="205" w:name="_Toc151193624"/>
      <w:bookmarkStart w:id="206" w:name="_Toc150509277"/>
      <w:bookmarkStart w:id="207" w:name="_Toc226309770"/>
      <w:bookmarkStart w:id="208" w:name="_Toc265228364"/>
      <w:bookmarkStart w:id="209" w:name="_Toc151193696"/>
      <w:bookmarkStart w:id="210" w:name="_Toc151193914"/>
      <w:bookmarkStart w:id="211" w:name="_Toc226965716"/>
      <w:bookmarkStart w:id="212" w:name="_Toc226965799"/>
      <w:bookmarkStart w:id="213" w:name="_Toc305158868"/>
      <w:bookmarkStart w:id="214" w:name="_Toc151193840"/>
      <w:bookmarkStart w:id="215" w:name="_Toc520356150"/>
      <w:bookmarkStart w:id="216" w:name="_Toc150480764"/>
      <w:bookmarkStart w:id="217" w:name="_Toc305158794"/>
      <w:bookmarkStart w:id="218" w:name="_Toc264969216"/>
      <w:bookmarkStart w:id="219" w:name="_Toc226337222"/>
      <w:bookmarkStart w:id="220" w:name="_Toc151190153"/>
      <w:bookmarkStart w:id="221" w:name="_Toc195842891"/>
      <w:bookmarkStart w:id="222" w:name="_Toc142311028"/>
      <w:bookmarkStart w:id="223" w:name="_Toc127151526"/>
      <w:bookmarkStart w:id="224" w:name="_Toc150774626"/>
    </w:p>
    <w:p w14:paraId="45804B8F">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9"/>
        </w:numPr>
        <w:tabs>
          <w:tab w:val="left" w:pos="360"/>
        </w:tabs>
        <w:snapToGrid w:val="0"/>
        <w:spacing w:line="360" w:lineRule="auto"/>
        <w:ind w:left="357" w:hanging="357"/>
        <w:outlineLvl w:val="1"/>
        <w:rPr>
          <w:sz w:val="24"/>
        </w:rPr>
      </w:pPr>
      <w:bookmarkStart w:id="225" w:name="_Toc151193915"/>
      <w:bookmarkStart w:id="226" w:name="_Toc150774732"/>
      <w:bookmarkStart w:id="227" w:name="_Toc164229368"/>
      <w:bookmarkStart w:id="228" w:name="_Toc149720820"/>
      <w:bookmarkStart w:id="229" w:name="_Toc151193841"/>
      <w:bookmarkStart w:id="230" w:name="_Toc265228365"/>
      <w:bookmarkStart w:id="231" w:name="_Toc305158869"/>
      <w:bookmarkStart w:id="232" w:name="_Toc164351621"/>
      <w:bookmarkStart w:id="233" w:name="_Toc516367021"/>
      <w:bookmarkStart w:id="234" w:name="_Toc305158795"/>
      <w:bookmarkStart w:id="235" w:name="_Toc264969217"/>
      <w:bookmarkStart w:id="236" w:name="_Toc151193697"/>
      <w:bookmarkStart w:id="237" w:name="_Toc226965717"/>
      <w:bookmarkStart w:id="238" w:name="_Toc520356151"/>
      <w:bookmarkStart w:id="239" w:name="_Toc226337223"/>
      <w:bookmarkStart w:id="240" w:name="_Toc127161441"/>
      <w:bookmarkStart w:id="241" w:name="_Toc226309771"/>
      <w:bookmarkStart w:id="242" w:name="_Toc151193769"/>
      <w:bookmarkStart w:id="243" w:name="_Toc127151728"/>
      <w:bookmarkStart w:id="244" w:name="_Toc151193625"/>
      <w:bookmarkStart w:id="245" w:name="_Toc151190154"/>
      <w:bookmarkStart w:id="246" w:name="_Toc142311029"/>
      <w:bookmarkStart w:id="247" w:name="_Toc164608796"/>
      <w:bookmarkStart w:id="248" w:name="_Toc150509278"/>
      <w:bookmarkStart w:id="249" w:name="_Toc164608641"/>
      <w:bookmarkStart w:id="250" w:name="_Toc127151527"/>
      <w:bookmarkStart w:id="251" w:name="_Toc195842892"/>
      <w:bookmarkStart w:id="252" w:name="_Toc164229222"/>
      <w:bookmarkStart w:id="253" w:name="_Toc150774627"/>
      <w:bookmarkStart w:id="254" w:name="_Toc226965800"/>
      <w:bookmarkStart w:id="255" w:name="_Toc150480765"/>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6" w:name="_Ref467306195"/>
      <w:bookmarkStart w:id="257" w:name="_Ref467306676"/>
      <w:bookmarkStart w:id="258" w:name="_Toc516367022"/>
      <w:bookmarkStart w:id="259" w:name="_Toc164229369"/>
      <w:bookmarkStart w:id="260" w:name="_Toc164608642"/>
      <w:bookmarkStart w:id="261" w:name="_Toc305158870"/>
      <w:bookmarkStart w:id="262" w:name="_Toc226965801"/>
      <w:bookmarkStart w:id="263" w:name="_Toc164608797"/>
      <w:bookmarkStart w:id="264" w:name="_Toc264969218"/>
      <w:bookmarkStart w:id="265" w:name="_Toc226337224"/>
      <w:bookmarkStart w:id="266" w:name="_Toc150774628"/>
      <w:bookmarkStart w:id="267" w:name="_Toc164351622"/>
      <w:bookmarkStart w:id="268" w:name="_Toc150480766"/>
      <w:bookmarkStart w:id="269" w:name="_Toc151193626"/>
      <w:bookmarkStart w:id="270" w:name="_Toc265228366"/>
      <w:bookmarkStart w:id="271" w:name="_Toc226309772"/>
      <w:bookmarkStart w:id="272" w:name="_Toc226965718"/>
      <w:bookmarkStart w:id="273" w:name="_Toc149720821"/>
      <w:bookmarkStart w:id="274" w:name="_Toc127151528"/>
      <w:bookmarkStart w:id="275" w:name="_Toc127161442"/>
      <w:bookmarkStart w:id="276" w:name="_Toc305158796"/>
      <w:bookmarkStart w:id="277" w:name="_Toc520356152"/>
      <w:bookmarkStart w:id="278" w:name="_Toc151193770"/>
      <w:bookmarkStart w:id="279" w:name="_Toc127151729"/>
      <w:bookmarkStart w:id="280" w:name="_Toc151190155"/>
      <w:bookmarkStart w:id="281" w:name="_Toc195842893"/>
      <w:bookmarkStart w:id="282" w:name="_Toc150774733"/>
      <w:bookmarkStart w:id="283" w:name="_Toc164229223"/>
      <w:bookmarkStart w:id="284" w:name="_Toc151193842"/>
      <w:bookmarkStart w:id="285" w:name="_Toc151193698"/>
      <w:bookmarkStart w:id="286" w:name="_Toc142311030"/>
      <w:bookmarkStart w:id="287" w:name="_Toc151193916"/>
      <w:bookmarkStart w:id="288" w:name="_Toc150509279"/>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9"/>
        </w:numPr>
        <w:tabs>
          <w:tab w:val="left" w:pos="360"/>
        </w:tabs>
        <w:snapToGrid w:val="0"/>
        <w:spacing w:line="360" w:lineRule="auto"/>
        <w:ind w:left="357" w:hanging="357"/>
        <w:outlineLvl w:val="1"/>
        <w:rPr>
          <w:sz w:val="24"/>
        </w:rPr>
      </w:pPr>
      <w:bookmarkStart w:id="290" w:name="_Toc164351624"/>
      <w:bookmarkStart w:id="291" w:name="_Toc151193772"/>
      <w:bookmarkStart w:id="292" w:name="_Toc520356155"/>
      <w:bookmarkStart w:id="293" w:name="_Toc127151731"/>
      <w:bookmarkStart w:id="294" w:name="_Toc127161444"/>
      <w:bookmarkStart w:id="295" w:name="_Toc164229225"/>
      <w:bookmarkStart w:id="296" w:name="_Toc151193918"/>
      <w:bookmarkStart w:id="297" w:name="_Toc164608799"/>
      <w:bookmarkStart w:id="298" w:name="_Toc164608644"/>
      <w:bookmarkStart w:id="299" w:name="_Toc142311032"/>
      <w:bookmarkStart w:id="300" w:name="_Toc151190157"/>
      <w:bookmarkStart w:id="301" w:name="_Toc150480768"/>
      <w:bookmarkStart w:id="302" w:name="_Toc150774735"/>
      <w:bookmarkStart w:id="303" w:name="_Toc151193844"/>
      <w:bookmarkStart w:id="304" w:name="_Toc127151530"/>
      <w:bookmarkStart w:id="305" w:name="_Toc195842895"/>
      <w:bookmarkStart w:id="306" w:name="_Toc151193700"/>
      <w:bookmarkStart w:id="307" w:name="_Toc150509281"/>
      <w:bookmarkStart w:id="308" w:name="_Toc149720823"/>
      <w:bookmarkStart w:id="309" w:name="_Toc151193628"/>
      <w:bookmarkStart w:id="310" w:name="_Toc164229371"/>
      <w:bookmarkStart w:id="311" w:name="_Toc150774630"/>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2" w:name="_Toc305158873"/>
      <w:bookmarkStart w:id="313" w:name="_Toc226337227"/>
      <w:bookmarkStart w:id="314" w:name="_Toc151193919"/>
      <w:bookmarkStart w:id="315" w:name="_Toc226965804"/>
      <w:bookmarkStart w:id="316" w:name="_Toc195842896"/>
      <w:bookmarkStart w:id="317" w:name="_Toc150509282"/>
      <w:bookmarkStart w:id="318" w:name="_Toc150480769"/>
      <w:bookmarkStart w:id="319" w:name="_Toc149720824"/>
      <w:bookmarkStart w:id="320" w:name="_Toc127161445"/>
      <w:bookmarkStart w:id="321" w:name="_Toc265228369"/>
      <w:bookmarkStart w:id="322" w:name="_Toc520356156"/>
      <w:bookmarkStart w:id="323" w:name="_Toc151193629"/>
      <w:bookmarkStart w:id="324" w:name="_Toc305158799"/>
      <w:bookmarkStart w:id="325" w:name="_Toc150774736"/>
      <w:bookmarkStart w:id="326" w:name="_Toc142311033"/>
      <w:bookmarkStart w:id="327" w:name="_Toc151193773"/>
      <w:bookmarkStart w:id="328" w:name="_Toc150774631"/>
      <w:bookmarkStart w:id="329" w:name="_Toc151193845"/>
      <w:bookmarkStart w:id="330" w:name="_Toc264969221"/>
      <w:bookmarkStart w:id="331" w:name="_Toc164608800"/>
      <w:bookmarkStart w:id="332" w:name="_Toc164608645"/>
      <w:bookmarkStart w:id="333" w:name="_Toc164351625"/>
      <w:bookmarkStart w:id="334" w:name="_Toc151190158"/>
      <w:bookmarkStart w:id="335" w:name="_Toc127151531"/>
      <w:bookmarkStart w:id="336" w:name="_Toc127151732"/>
      <w:bookmarkStart w:id="337" w:name="_Toc151193701"/>
      <w:bookmarkStart w:id="338" w:name="_Toc164229372"/>
      <w:bookmarkStart w:id="339" w:name="_Toc164229226"/>
      <w:bookmarkStart w:id="340" w:name="_Toc226965721"/>
      <w:bookmarkStart w:id="341" w:name="_Ref467306513"/>
      <w:bookmarkStart w:id="342" w:name="_Toc226309775"/>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5" w:name="_Toc164229227"/>
      <w:bookmarkStart w:id="346" w:name="_Toc226337228"/>
      <w:bookmarkStart w:id="347" w:name="_Toc150774737"/>
      <w:bookmarkStart w:id="348" w:name="_Toc164229373"/>
      <w:bookmarkStart w:id="349" w:name="_Toc226965805"/>
      <w:bookmarkStart w:id="350" w:name="_Toc151193630"/>
      <w:bookmarkStart w:id="351" w:name="_Toc265228370"/>
      <w:bookmarkStart w:id="352" w:name="_Toc149720825"/>
      <w:bookmarkStart w:id="353" w:name="_Toc520356157"/>
      <w:bookmarkStart w:id="354" w:name="_Toc142311034"/>
      <w:bookmarkStart w:id="355" w:name="_Toc264969222"/>
      <w:bookmarkStart w:id="356" w:name="_Toc151190159"/>
      <w:bookmarkStart w:id="357" w:name="_Toc195842897"/>
      <w:bookmarkStart w:id="358" w:name="_Toc305158800"/>
      <w:bookmarkStart w:id="359" w:name="_Toc164351626"/>
      <w:bookmarkStart w:id="360" w:name="_Toc151193702"/>
      <w:bookmarkStart w:id="361" w:name="_Toc305158874"/>
      <w:bookmarkStart w:id="362" w:name="_Toc150509283"/>
      <w:bookmarkStart w:id="363" w:name="_Toc226309776"/>
      <w:bookmarkStart w:id="364" w:name="_Toc151193846"/>
      <w:bookmarkStart w:id="365" w:name="_Toc150774632"/>
      <w:bookmarkStart w:id="366" w:name="_Toc226965722"/>
      <w:bookmarkStart w:id="367" w:name="_Toc151193920"/>
      <w:bookmarkStart w:id="368" w:name="_Toc127151532"/>
      <w:bookmarkStart w:id="369" w:name="_Toc151193774"/>
      <w:bookmarkStart w:id="370" w:name="_Toc127151733"/>
      <w:bookmarkStart w:id="371" w:name="_Toc164608801"/>
      <w:bookmarkStart w:id="372" w:name="_Toc127161446"/>
      <w:bookmarkStart w:id="373" w:name="_Toc150480770"/>
      <w:bookmarkStart w:id="374" w:name="_Toc16460864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5" w:name="_Toc164608802"/>
      <w:bookmarkStart w:id="376" w:name="_Toc520356158"/>
      <w:bookmarkStart w:id="377" w:name="_Toc226965723"/>
      <w:bookmarkStart w:id="378" w:name="_Toc150480771"/>
      <w:bookmarkStart w:id="379" w:name="_Toc127151734"/>
      <w:bookmarkStart w:id="380" w:name="_Toc164229228"/>
      <w:bookmarkStart w:id="381" w:name="_Toc264969223"/>
      <w:bookmarkStart w:id="382" w:name="_Toc150509284"/>
      <w:bookmarkStart w:id="383" w:name="_Toc164229374"/>
      <w:bookmarkStart w:id="384" w:name="_Toc195842898"/>
      <w:bookmarkStart w:id="385" w:name="_Toc164351627"/>
      <w:bookmarkStart w:id="386" w:name="_Toc226337229"/>
      <w:bookmarkStart w:id="387" w:name="_Toc142311035"/>
      <w:bookmarkStart w:id="388" w:name="_Toc265228371"/>
      <w:bookmarkStart w:id="389" w:name="_Toc226309777"/>
      <w:bookmarkStart w:id="390" w:name="_Toc149720826"/>
      <w:bookmarkStart w:id="391" w:name="_Toc150774633"/>
      <w:bookmarkStart w:id="392" w:name="_Toc127161447"/>
      <w:bookmarkStart w:id="393" w:name="_Toc151193703"/>
      <w:bookmarkStart w:id="394" w:name="_Toc151190160"/>
      <w:bookmarkStart w:id="395" w:name="_Toc164608647"/>
      <w:bookmarkStart w:id="396" w:name="_Toc151193631"/>
      <w:bookmarkStart w:id="397" w:name="_Toc305158875"/>
      <w:bookmarkStart w:id="398" w:name="_Toc151193847"/>
      <w:bookmarkStart w:id="399" w:name="_Toc226965806"/>
      <w:bookmarkStart w:id="400" w:name="_Toc151193775"/>
      <w:bookmarkStart w:id="401" w:name="_Toc150774738"/>
      <w:bookmarkStart w:id="402" w:name="_Toc305158801"/>
      <w:bookmarkStart w:id="403" w:name="_Toc127151533"/>
      <w:bookmarkStart w:id="404" w:name="_Toc151193921"/>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5" w:name="_Toc265228372"/>
      <w:bookmarkStart w:id="406" w:name="_Toc226337230"/>
      <w:bookmarkStart w:id="407" w:name="_Toc226965807"/>
      <w:bookmarkStart w:id="408" w:name="_Toc151193848"/>
      <w:bookmarkStart w:id="409" w:name="_Toc305158802"/>
      <w:bookmarkStart w:id="410" w:name="_Toc305158876"/>
      <w:bookmarkStart w:id="411" w:name="_Toc150509285"/>
      <w:bookmarkStart w:id="412" w:name="_Toc226965724"/>
      <w:bookmarkStart w:id="413" w:name="_Toc142311036"/>
      <w:bookmarkStart w:id="414" w:name="_Toc151193632"/>
      <w:bookmarkStart w:id="415" w:name="_Toc226309778"/>
      <w:bookmarkStart w:id="416" w:name="_Toc151193922"/>
      <w:bookmarkStart w:id="417" w:name="_Toc520356159"/>
      <w:bookmarkStart w:id="418" w:name="_Toc150480772"/>
      <w:bookmarkStart w:id="419" w:name="_Toc150774634"/>
      <w:bookmarkStart w:id="420" w:name="_Toc151193776"/>
      <w:bookmarkStart w:id="421" w:name="_Toc151190161"/>
      <w:bookmarkStart w:id="422" w:name="_Toc264969224"/>
      <w:bookmarkStart w:id="423" w:name="_Toc150774739"/>
      <w:bookmarkStart w:id="424" w:name="_Toc127151534"/>
      <w:bookmarkStart w:id="425" w:name="_Toc195842899"/>
      <w:bookmarkStart w:id="426"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9"/>
        </w:numPr>
        <w:tabs>
          <w:tab w:val="left" w:pos="360"/>
        </w:tabs>
        <w:snapToGrid w:val="0"/>
        <w:spacing w:line="360" w:lineRule="auto"/>
        <w:ind w:left="357" w:hanging="357"/>
        <w:outlineLvl w:val="1"/>
        <w:rPr>
          <w:sz w:val="24"/>
        </w:rPr>
      </w:pPr>
      <w:bookmarkStart w:id="427" w:name="_Toc151193923"/>
      <w:bookmarkStart w:id="428" w:name="_Toc150509286"/>
      <w:bookmarkStart w:id="429" w:name="_Toc150774740"/>
      <w:bookmarkStart w:id="430" w:name="_Toc195842900"/>
      <w:bookmarkStart w:id="431" w:name="_Toc164229376"/>
      <w:bookmarkStart w:id="432" w:name="_Toc150774635"/>
      <w:bookmarkStart w:id="433" w:name="_Toc164229230"/>
      <w:bookmarkStart w:id="434" w:name="_Toc164608804"/>
      <w:bookmarkStart w:id="435" w:name="_Toc305158877"/>
      <w:bookmarkStart w:id="436" w:name="_Toc226309779"/>
      <w:bookmarkStart w:id="437" w:name="_Toc149720828"/>
      <w:bookmarkStart w:id="438" w:name="_Toc151193849"/>
      <w:bookmarkStart w:id="439" w:name="_Toc151193633"/>
      <w:bookmarkStart w:id="440" w:name="_Toc151193777"/>
      <w:bookmarkStart w:id="441" w:name="_Toc226337231"/>
      <w:bookmarkStart w:id="442" w:name="_Toc151193705"/>
      <w:bookmarkStart w:id="443" w:name="_Toc164608649"/>
      <w:bookmarkStart w:id="444" w:name="_Toc150480773"/>
      <w:bookmarkStart w:id="445" w:name="_Toc520356160"/>
      <w:bookmarkStart w:id="446" w:name="_Toc151190162"/>
      <w:bookmarkStart w:id="447" w:name="_Toc265228373"/>
      <w:bookmarkStart w:id="448" w:name="_Toc142311037"/>
      <w:bookmarkStart w:id="449" w:name="_Toc127161449"/>
      <w:bookmarkStart w:id="450" w:name="_Toc264969225"/>
      <w:bookmarkStart w:id="451" w:name="_Toc305158803"/>
      <w:bookmarkStart w:id="452" w:name="_Toc226965808"/>
      <w:bookmarkStart w:id="453" w:name="_Toc164351629"/>
      <w:bookmarkStart w:id="454" w:name="_Toc127151736"/>
      <w:bookmarkStart w:id="455" w:name="_Toc127151535"/>
      <w:bookmarkStart w:id="456" w:name="_Toc22696572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57" w:name="_Toc149720829"/>
      <w:bookmarkStart w:id="458" w:name="_Toc305158804"/>
      <w:bookmarkStart w:id="459" w:name="_Toc264969226"/>
      <w:bookmarkStart w:id="460" w:name="_Toc195842901"/>
      <w:bookmarkStart w:id="461" w:name="_Toc127151536"/>
      <w:bookmarkStart w:id="462" w:name="_Toc305158878"/>
      <w:bookmarkStart w:id="463" w:name="_Toc127151737"/>
      <w:bookmarkStart w:id="464" w:name="_Toc226965809"/>
      <w:bookmarkStart w:id="465" w:name="_Toc151193778"/>
      <w:bookmarkStart w:id="466" w:name="_Toc150480774"/>
      <w:bookmarkStart w:id="467" w:name="_Toc265228374"/>
      <w:bookmarkStart w:id="468" w:name="_Toc164608650"/>
      <w:bookmarkStart w:id="469" w:name="_Toc151193634"/>
      <w:bookmarkStart w:id="470" w:name="_Toc150774636"/>
      <w:bookmarkStart w:id="471" w:name="_Toc226337232"/>
      <w:bookmarkStart w:id="472" w:name="_Toc226309780"/>
      <w:bookmarkStart w:id="473" w:name="_Toc151190163"/>
      <w:bookmarkStart w:id="474" w:name="_Toc151193850"/>
      <w:bookmarkStart w:id="475" w:name="_Toc127161450"/>
      <w:bookmarkStart w:id="476" w:name="_Toc150774741"/>
      <w:bookmarkStart w:id="477" w:name="_Toc150509287"/>
      <w:bookmarkStart w:id="478" w:name="_Toc226965726"/>
      <w:bookmarkStart w:id="479" w:name="_Toc142311038"/>
      <w:bookmarkStart w:id="480" w:name="_Toc164229231"/>
      <w:bookmarkStart w:id="481" w:name="_Toc164229377"/>
      <w:bookmarkStart w:id="482" w:name="_Toc164608805"/>
      <w:bookmarkStart w:id="483" w:name="_Toc164351630"/>
      <w:bookmarkStart w:id="484" w:name="_Toc520356161"/>
      <w:bookmarkStart w:id="485" w:name="_Toc151193706"/>
      <w:bookmarkStart w:id="486" w:name="_Toc15119392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87" w:name="_Toc164229232"/>
      <w:bookmarkStart w:id="488" w:name="_Toc151193707"/>
      <w:bookmarkStart w:id="489" w:name="_Toc150509288"/>
      <w:bookmarkStart w:id="490" w:name="_Toc226309781"/>
      <w:bookmarkStart w:id="491" w:name="_Toc151190164"/>
      <w:bookmarkStart w:id="492" w:name="_Toc264969227"/>
      <w:bookmarkStart w:id="493" w:name="_Toc164229378"/>
      <w:bookmarkStart w:id="494" w:name="_Toc150774742"/>
      <w:bookmarkStart w:id="495" w:name="_Toc226337233"/>
      <w:bookmarkStart w:id="496" w:name="_Toc151193635"/>
      <w:bookmarkStart w:id="497" w:name="_Toc520356162"/>
      <w:bookmarkStart w:id="498" w:name="_Toc151193779"/>
      <w:bookmarkStart w:id="499" w:name="_Toc151193851"/>
      <w:bookmarkStart w:id="500" w:name="_Toc305158805"/>
      <w:bookmarkStart w:id="501" w:name="_Toc151193925"/>
      <w:bookmarkStart w:id="502" w:name="_Toc127161451"/>
      <w:bookmarkStart w:id="503" w:name="_Toc150480775"/>
      <w:bookmarkStart w:id="504" w:name="_Toc195842902"/>
      <w:bookmarkStart w:id="505" w:name="_Toc150774637"/>
      <w:bookmarkStart w:id="506" w:name="_Toc226965810"/>
      <w:bookmarkStart w:id="507" w:name="_Toc164608651"/>
      <w:bookmarkStart w:id="508" w:name="_Toc142311039"/>
      <w:bookmarkStart w:id="509" w:name="_Toc305158879"/>
      <w:bookmarkStart w:id="510" w:name="_Toc226965727"/>
      <w:bookmarkStart w:id="511" w:name="_Toc164351631"/>
      <w:bookmarkStart w:id="512" w:name="_Toc164608806"/>
      <w:bookmarkStart w:id="513" w:name="_Toc149720830"/>
      <w:bookmarkStart w:id="514" w:name="_Toc127151738"/>
      <w:bookmarkStart w:id="515" w:name="_Toc265228375"/>
      <w:bookmarkStart w:id="516" w:name="_Toc12715153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4"/>
        <w:spacing w:before="0" w:line="360" w:lineRule="auto"/>
        <w:rPr>
          <w:rFonts w:ascii="Times New Roman" w:hAnsi="Times New Roman" w:eastAsia="宋体"/>
          <w:sz w:val="28"/>
        </w:rPr>
      </w:pPr>
      <w:bookmarkStart w:id="517" w:name="_Toc226965728"/>
      <w:bookmarkStart w:id="518" w:name="_Toc265228376"/>
      <w:bookmarkStart w:id="519" w:name="_Toc195842903"/>
      <w:bookmarkStart w:id="520" w:name="_Toc226965811"/>
      <w:bookmarkStart w:id="521" w:name="_Toc150509289"/>
      <w:bookmarkStart w:id="522" w:name="_Toc151190165"/>
      <w:bookmarkStart w:id="523" w:name="_Toc151193926"/>
      <w:bookmarkStart w:id="524" w:name="_Toc151193708"/>
      <w:bookmarkStart w:id="525" w:name="_Toc127151538"/>
      <w:bookmarkStart w:id="526" w:name="_Toc150480776"/>
      <w:bookmarkStart w:id="527" w:name="_Toc305158880"/>
      <w:bookmarkStart w:id="528" w:name="_Toc151193636"/>
      <w:bookmarkStart w:id="529" w:name="_Toc305158806"/>
      <w:bookmarkStart w:id="530" w:name="_Toc226309782"/>
      <w:bookmarkStart w:id="531" w:name="_Toc150774638"/>
      <w:bookmarkStart w:id="532" w:name="_Toc150774743"/>
      <w:bookmarkStart w:id="533" w:name="_Toc264969228"/>
      <w:bookmarkStart w:id="534" w:name="_Toc151193780"/>
      <w:bookmarkStart w:id="535" w:name="_Toc520356163"/>
      <w:bookmarkStart w:id="536" w:name="_Toc151193852"/>
      <w:bookmarkStart w:id="537" w:name="_Toc226337234"/>
      <w:bookmarkStart w:id="538" w:name="_Toc142311040"/>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9"/>
        </w:numPr>
        <w:tabs>
          <w:tab w:val="left" w:pos="360"/>
        </w:tabs>
        <w:snapToGrid w:val="0"/>
        <w:spacing w:line="360" w:lineRule="auto"/>
        <w:ind w:left="357" w:hanging="357"/>
        <w:outlineLvl w:val="1"/>
        <w:rPr>
          <w:sz w:val="24"/>
        </w:rPr>
      </w:pPr>
      <w:bookmarkStart w:id="539" w:name="_Toc226337235"/>
      <w:bookmarkStart w:id="540" w:name="_Toc164608808"/>
      <w:bookmarkStart w:id="541" w:name="_Toc164229380"/>
      <w:bookmarkStart w:id="542" w:name="_Toc127161453"/>
      <w:bookmarkStart w:id="543" w:name="_Toc151193637"/>
      <w:bookmarkStart w:id="544" w:name="_Toc305158807"/>
      <w:bookmarkStart w:id="545" w:name="_Toc150774639"/>
      <w:bookmarkStart w:id="546" w:name="_Toc150480777"/>
      <w:bookmarkStart w:id="547" w:name="_Toc520356164"/>
      <w:bookmarkStart w:id="548" w:name="_Toc150774744"/>
      <w:bookmarkStart w:id="549" w:name="_Toc142311041"/>
      <w:bookmarkStart w:id="550" w:name="_Toc149720832"/>
      <w:bookmarkStart w:id="551" w:name="_Toc127151539"/>
      <w:bookmarkStart w:id="552" w:name="_Toc195842904"/>
      <w:bookmarkStart w:id="553" w:name="_Toc264969229"/>
      <w:bookmarkStart w:id="554" w:name="_Toc226965729"/>
      <w:bookmarkStart w:id="555" w:name="_Toc265228377"/>
      <w:bookmarkStart w:id="556" w:name="_Toc127151740"/>
      <w:bookmarkStart w:id="557" w:name="_Toc151190166"/>
      <w:bookmarkStart w:id="558" w:name="_Toc151193709"/>
      <w:bookmarkStart w:id="559" w:name="_Toc226965812"/>
      <w:bookmarkStart w:id="560" w:name="_Toc151193853"/>
      <w:bookmarkStart w:id="561" w:name="_Toc151193781"/>
      <w:bookmarkStart w:id="562" w:name="_Toc164351633"/>
      <w:bookmarkStart w:id="563" w:name="_Toc164608653"/>
      <w:bookmarkStart w:id="564" w:name="_Toc305158881"/>
      <w:bookmarkStart w:id="565" w:name="_Toc150509290"/>
      <w:bookmarkStart w:id="566" w:name="_Toc151193927"/>
      <w:bookmarkStart w:id="567" w:name="_Toc226309783"/>
      <w:bookmarkStart w:id="568" w:name="_Toc164229234"/>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9"/>
        </w:numPr>
        <w:tabs>
          <w:tab w:val="left" w:pos="360"/>
        </w:tabs>
        <w:snapToGrid w:val="0"/>
        <w:spacing w:line="360" w:lineRule="auto"/>
        <w:ind w:left="357" w:hanging="357"/>
        <w:outlineLvl w:val="1"/>
        <w:rPr>
          <w:sz w:val="24"/>
        </w:rPr>
      </w:pPr>
      <w:bookmarkStart w:id="572" w:name="_Toc226965730"/>
      <w:bookmarkStart w:id="573" w:name="_Toc150774745"/>
      <w:bookmarkStart w:id="574" w:name="_Toc151193638"/>
      <w:bookmarkStart w:id="575" w:name="_Toc164351634"/>
      <w:bookmarkStart w:id="576" w:name="_Toc151190167"/>
      <w:bookmarkStart w:id="577" w:name="_Toc164608809"/>
      <w:bookmarkStart w:id="578" w:name="_Toc150480778"/>
      <w:bookmarkStart w:id="579" w:name="_Toc164229235"/>
      <w:bookmarkStart w:id="580" w:name="_Toc127151741"/>
      <w:bookmarkStart w:id="581" w:name="_Toc226309784"/>
      <w:bookmarkStart w:id="582" w:name="_Toc142311042"/>
      <w:bookmarkStart w:id="583" w:name="_Toc150509291"/>
      <w:bookmarkStart w:id="584" w:name="_Toc151193854"/>
      <w:bookmarkStart w:id="585" w:name="_Toc151193782"/>
      <w:bookmarkStart w:id="586" w:name="_Toc164608654"/>
      <w:bookmarkStart w:id="587" w:name="_Toc151193928"/>
      <w:bookmarkStart w:id="588" w:name="_Toc127161454"/>
      <w:bookmarkStart w:id="589" w:name="_Toc305158882"/>
      <w:bookmarkStart w:id="590" w:name="_Toc305158808"/>
      <w:bookmarkStart w:id="591" w:name="_Toc226965813"/>
      <w:bookmarkStart w:id="592" w:name="_Toc151193710"/>
      <w:bookmarkStart w:id="593" w:name="_Toc149720833"/>
      <w:bookmarkStart w:id="594" w:name="_Toc164229381"/>
      <w:bookmarkStart w:id="595" w:name="_Toc195842905"/>
      <w:bookmarkStart w:id="596" w:name="_Toc226337236"/>
      <w:bookmarkStart w:id="597" w:name="_Toc127151540"/>
      <w:bookmarkStart w:id="598" w:name="_Toc150774640"/>
      <w:bookmarkStart w:id="599" w:name="_Toc265228378"/>
      <w:bookmarkStart w:id="600" w:name="_Toc264969230"/>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4"/>
        <w:spacing w:before="0" w:line="360" w:lineRule="auto"/>
        <w:rPr>
          <w:rFonts w:ascii="Times New Roman" w:hAnsi="Times New Roman" w:eastAsia="宋体"/>
          <w:sz w:val="28"/>
        </w:rPr>
      </w:pPr>
      <w:bookmarkStart w:id="603" w:name="_Toc226965735"/>
      <w:bookmarkStart w:id="604" w:name="_Toc150480783"/>
      <w:bookmarkStart w:id="605" w:name="_Toc150509296"/>
      <w:bookmarkStart w:id="606" w:name="_Toc226337241"/>
      <w:bookmarkStart w:id="607" w:name="_Toc265228383"/>
      <w:bookmarkStart w:id="608" w:name="_Toc151193787"/>
      <w:bookmarkStart w:id="609" w:name="_Toc151193715"/>
      <w:bookmarkStart w:id="610" w:name="_Toc305158887"/>
      <w:bookmarkStart w:id="611" w:name="_Toc151193859"/>
      <w:bookmarkStart w:id="612" w:name="_Toc142311047"/>
      <w:bookmarkStart w:id="613" w:name="_Toc226965818"/>
      <w:bookmarkStart w:id="614" w:name="_Toc264969235"/>
      <w:bookmarkStart w:id="615" w:name="_Toc151193933"/>
      <w:bookmarkStart w:id="616" w:name="_Toc151193643"/>
      <w:bookmarkStart w:id="617" w:name="_Toc150774750"/>
      <w:bookmarkStart w:id="618" w:name="_Toc150774645"/>
      <w:bookmarkStart w:id="619" w:name="_Toc127151545"/>
      <w:bookmarkStart w:id="620" w:name="_Toc151190172"/>
      <w:bookmarkStart w:id="621" w:name="_Toc305158813"/>
      <w:bookmarkStart w:id="622" w:name="_Toc226309789"/>
      <w:bookmarkStart w:id="623" w:name="_Toc195842910"/>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1193789"/>
      <w:bookmarkStart w:id="625" w:name="_Toc164229242"/>
      <w:bookmarkStart w:id="626" w:name="_Toc150480785"/>
      <w:bookmarkStart w:id="627" w:name="_Toc226309791"/>
      <w:bookmarkStart w:id="628" w:name="_Toc226965737"/>
      <w:bookmarkStart w:id="629" w:name="_Toc305158889"/>
      <w:bookmarkStart w:id="630" w:name="_Toc149720840"/>
      <w:bookmarkStart w:id="631" w:name="_Toc151193861"/>
      <w:bookmarkStart w:id="632" w:name="_Toc127161461"/>
      <w:bookmarkStart w:id="633" w:name="_Toc151193935"/>
      <w:bookmarkStart w:id="634" w:name="_Toc305158815"/>
      <w:bookmarkStart w:id="635" w:name="_Toc142311049"/>
      <w:bookmarkStart w:id="636" w:name="_Toc264969237"/>
      <w:bookmarkStart w:id="637" w:name="_Toc164608816"/>
      <w:bookmarkStart w:id="638" w:name="_Toc164608661"/>
      <w:bookmarkStart w:id="639" w:name="_Toc164351641"/>
      <w:bookmarkStart w:id="640" w:name="_Toc150774647"/>
      <w:bookmarkStart w:id="641" w:name="_Toc151193645"/>
      <w:bookmarkStart w:id="642" w:name="_Toc150509298"/>
      <w:bookmarkStart w:id="643" w:name="_Toc150774752"/>
      <w:bookmarkStart w:id="644" w:name="_Toc151193717"/>
      <w:bookmarkStart w:id="645" w:name="_Toc195842912"/>
      <w:bookmarkStart w:id="646" w:name="_Toc127151748"/>
      <w:bookmarkStart w:id="647" w:name="_Toc265228385"/>
      <w:bookmarkStart w:id="648" w:name="_Toc164229388"/>
      <w:bookmarkStart w:id="649" w:name="_Toc226965820"/>
      <w:bookmarkStart w:id="650" w:name="_Toc127151547"/>
      <w:bookmarkStart w:id="651" w:name="_Toc226337243"/>
      <w:bookmarkStart w:id="652" w:name="_Toc151190174"/>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3" w:name="_Toc305158817"/>
      <w:bookmarkStart w:id="654" w:name="_Toc305158891"/>
      <w:bookmarkStart w:id="655" w:name="_Toc264969239"/>
      <w:bookmarkStart w:id="656" w:name="_Toc164229244"/>
      <w:bookmarkStart w:id="657" w:name="_Toc195842914"/>
      <w:bookmarkStart w:id="658" w:name="_Toc265228387"/>
      <w:bookmarkStart w:id="659" w:name="_Toc226965822"/>
      <w:bookmarkStart w:id="660" w:name="_Toc226965739"/>
      <w:bookmarkStart w:id="661" w:name="_Toc151193647"/>
      <w:bookmarkStart w:id="662" w:name="_Toc151193791"/>
      <w:bookmarkStart w:id="663" w:name="_Toc127151750"/>
      <w:bookmarkStart w:id="664" w:name="_Toc127151549"/>
      <w:bookmarkStart w:id="665" w:name="_Toc149720842"/>
      <w:bookmarkStart w:id="666" w:name="_Toc127161463"/>
      <w:bookmarkStart w:id="667" w:name="_Toc226309793"/>
      <w:bookmarkStart w:id="668" w:name="_Toc150774649"/>
      <w:bookmarkStart w:id="669" w:name="_Toc226337245"/>
      <w:bookmarkStart w:id="670" w:name="_Toc150774754"/>
      <w:bookmarkStart w:id="671" w:name="_Toc142311051"/>
      <w:bookmarkStart w:id="672" w:name="_Toc150480787"/>
      <w:bookmarkStart w:id="673" w:name="_Toc151190176"/>
      <w:bookmarkStart w:id="674" w:name="_Toc150509300"/>
      <w:bookmarkStart w:id="675" w:name="_Toc151193719"/>
      <w:bookmarkStart w:id="676" w:name="_Toc164608663"/>
      <w:bookmarkStart w:id="677" w:name="_Toc164229390"/>
      <w:bookmarkStart w:id="678" w:name="_Toc151193863"/>
      <w:bookmarkStart w:id="679" w:name="_Toc151193937"/>
      <w:bookmarkStart w:id="680" w:name="_Toc164351643"/>
      <w:bookmarkStart w:id="681" w:name="_Toc164608818"/>
      <w:bookmarkStart w:id="682" w:name="_Ref467307090"/>
      <w:bookmarkStart w:id="683" w:name="_Ref467306425"/>
      <w:bookmarkStart w:id="684" w:name="_Toc520356176"/>
      <w:r>
        <w:rPr>
          <w:sz w:val="24"/>
        </w:rPr>
        <w:t>中标公告与中标通知书</w:t>
      </w:r>
      <w:bookmarkEnd w:id="653"/>
      <w:bookmarkEnd w:id="654"/>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9"/>
        </w:numPr>
        <w:tabs>
          <w:tab w:val="left" w:pos="360"/>
        </w:tabs>
        <w:snapToGrid w:val="0"/>
        <w:spacing w:line="360" w:lineRule="auto"/>
        <w:ind w:left="357" w:hanging="357"/>
        <w:outlineLvl w:val="1"/>
        <w:rPr>
          <w:sz w:val="24"/>
        </w:rPr>
      </w:pPr>
      <w:bookmarkStart w:id="685" w:name="_Toc265228388"/>
      <w:bookmarkStart w:id="686" w:name="_Toc127151550"/>
      <w:bookmarkStart w:id="687" w:name="_Ref467306377"/>
      <w:bookmarkStart w:id="688" w:name="_Toc149720843"/>
      <w:bookmarkStart w:id="689" w:name="_Toc305158818"/>
      <w:bookmarkStart w:id="690" w:name="_Toc195842915"/>
      <w:bookmarkStart w:id="691" w:name="_Toc151193864"/>
      <w:bookmarkStart w:id="692" w:name="_Toc164229245"/>
      <w:bookmarkStart w:id="693" w:name="_Toc164351644"/>
      <w:bookmarkStart w:id="694" w:name="_Toc164608664"/>
      <w:bookmarkStart w:id="695" w:name="_Toc127161464"/>
      <w:bookmarkStart w:id="696" w:name="_Toc226965823"/>
      <w:bookmarkStart w:id="697" w:name="_Ref467307204"/>
      <w:bookmarkStart w:id="698" w:name="_Toc127151751"/>
      <w:bookmarkStart w:id="699" w:name="_Toc305158892"/>
      <w:bookmarkStart w:id="700" w:name="_Toc150774755"/>
      <w:bookmarkStart w:id="701" w:name="_Ref467306978"/>
      <w:bookmarkStart w:id="702" w:name="_Toc226965740"/>
      <w:bookmarkStart w:id="703" w:name="_Toc164608819"/>
      <w:bookmarkStart w:id="704" w:name="_Ref467307062"/>
      <w:bookmarkStart w:id="705" w:name="_Toc226309794"/>
      <w:bookmarkStart w:id="706" w:name="_Toc226337246"/>
      <w:bookmarkStart w:id="707" w:name="_Toc264969240"/>
      <w:bookmarkStart w:id="708" w:name="_Toc150774650"/>
      <w:bookmarkStart w:id="709" w:name="_Toc520356175"/>
      <w:bookmarkStart w:id="710" w:name="_Toc151193720"/>
      <w:bookmarkStart w:id="711" w:name="_Toc150480788"/>
      <w:bookmarkStart w:id="712" w:name="_Toc142311052"/>
      <w:bookmarkStart w:id="713" w:name="_Toc151190177"/>
      <w:bookmarkStart w:id="714" w:name="_Toc151193648"/>
      <w:bookmarkStart w:id="715" w:name="_Toc151193938"/>
      <w:bookmarkStart w:id="716" w:name="_Toc150509301"/>
      <w:bookmarkStart w:id="717" w:name="_Toc151193792"/>
      <w:bookmarkStart w:id="718" w:name="_Toc164229391"/>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353825544"/>
      <w:bookmarkStart w:id="721" w:name="_Toc226965827"/>
      <w:bookmarkStart w:id="722" w:name="_Toc264969244"/>
      <w:bookmarkStart w:id="723" w:name="_Toc150480792"/>
      <w:bookmarkStart w:id="724" w:name="_Toc305158822"/>
      <w:bookmarkStart w:id="725" w:name="_Toc353873664"/>
      <w:bookmarkStart w:id="726" w:name="_Toc150774759"/>
      <w:bookmarkStart w:id="727" w:name="_Toc142311056"/>
      <w:bookmarkStart w:id="728" w:name="_Toc127151554"/>
      <w:bookmarkStart w:id="729" w:name="_Toc353873934"/>
      <w:bookmarkStart w:id="730" w:name="_Toc305158896"/>
      <w:bookmarkStart w:id="731" w:name="_Toc226337250"/>
      <w:bookmarkStart w:id="732" w:name="_Toc265228392"/>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522424701"/>
      <w:bookmarkEnd w:id="757"/>
      <w:bookmarkStart w:id="758" w:name="_Hlt487900425"/>
      <w:bookmarkEnd w:id="758"/>
      <w:bookmarkStart w:id="759" w:name="_Toc226965858"/>
      <w:bookmarkStart w:id="760" w:name="_Toc127161490"/>
      <w:bookmarkStart w:id="761" w:name="_Toc353825550"/>
      <w:bookmarkStart w:id="762" w:name="_Toc353873940"/>
      <w:bookmarkStart w:id="763" w:name="_Toc127151779"/>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6" w:name="_Toc264969231"/>
      <w:bookmarkStart w:id="767" w:name="_Toc226337237"/>
      <w:bookmarkStart w:id="768" w:name="_Toc151190168"/>
      <w:bookmarkStart w:id="769" w:name="_Toc164351635"/>
      <w:bookmarkStart w:id="770" w:name="_Toc226309785"/>
      <w:bookmarkStart w:id="771" w:name="_Toc164229236"/>
      <w:bookmarkStart w:id="772" w:name="_Toc151193855"/>
      <w:bookmarkStart w:id="773" w:name="_Toc195842906"/>
      <w:bookmarkStart w:id="774" w:name="_Toc226965814"/>
      <w:bookmarkStart w:id="775" w:name="_Toc150774746"/>
      <w:bookmarkStart w:id="776" w:name="_Toc150774641"/>
      <w:bookmarkStart w:id="777" w:name="_Toc151193711"/>
      <w:bookmarkStart w:id="778" w:name="_Toc127161455"/>
      <w:bookmarkStart w:id="779" w:name="_Toc164608810"/>
      <w:bookmarkStart w:id="780" w:name="_Toc149720834"/>
      <w:bookmarkStart w:id="781" w:name="_Toc150480779"/>
      <w:bookmarkStart w:id="782" w:name="_Toc265228379"/>
      <w:bookmarkStart w:id="783" w:name="_Toc151193929"/>
      <w:bookmarkStart w:id="784" w:name="_Toc305158809"/>
      <w:bookmarkStart w:id="785" w:name="_Toc151193783"/>
      <w:bookmarkStart w:id="786" w:name="_Toc150509292"/>
      <w:bookmarkStart w:id="787" w:name="_Toc305158883"/>
      <w:bookmarkStart w:id="788" w:name="_Toc164608655"/>
      <w:bookmarkStart w:id="789" w:name="_Toc127151742"/>
      <w:bookmarkStart w:id="790" w:name="_Toc142311043"/>
      <w:bookmarkStart w:id="791" w:name="_Toc226965731"/>
      <w:bookmarkStart w:id="792" w:name="_Toc151193639"/>
      <w:bookmarkStart w:id="793" w:name="_Toc164229382"/>
      <w:bookmarkStart w:id="794" w:name="_Toc127151541"/>
      <w:bookmarkStart w:id="795" w:name="_Toc353825551"/>
      <w:bookmarkStart w:id="796" w:name="_Toc353873941"/>
      <w:bookmarkStart w:id="797" w:name="_Toc353873935"/>
      <w:bookmarkStart w:id="798" w:name="_Toc226337251"/>
      <w:bookmarkStart w:id="799" w:name="_Toc353873665"/>
      <w:bookmarkStart w:id="800" w:name="_Toc195842920"/>
      <w:bookmarkStart w:id="801" w:name="_Toc264969245"/>
      <w:bookmarkStart w:id="802" w:name="_Toc150480793"/>
      <w:bookmarkStart w:id="803" w:name="_Toc305158823"/>
      <w:bookmarkStart w:id="804" w:name="_Toc353825545"/>
      <w:bookmarkStart w:id="805" w:name="_Toc150774760"/>
      <w:bookmarkStart w:id="806" w:name="_Toc127151555"/>
      <w:bookmarkStart w:id="807" w:name="_Toc226965828"/>
      <w:bookmarkStart w:id="808" w:name="_Toc265228393"/>
      <w:bookmarkStart w:id="809" w:name="_Toc305158897"/>
      <w:bookmarkStart w:id="810" w:name="_Toc142311057"/>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0BC157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6" w:name="_Toc151193860"/>
      <w:bookmarkStart w:id="827" w:name="_Toc127151546"/>
      <w:bookmarkStart w:id="828" w:name="_Toc150774646"/>
      <w:bookmarkStart w:id="829" w:name="_Toc305158814"/>
      <w:bookmarkStart w:id="830" w:name="_Toc264969236"/>
      <w:bookmarkStart w:id="831" w:name="_Toc151193934"/>
      <w:bookmarkStart w:id="832" w:name="_Toc151193644"/>
      <w:bookmarkStart w:id="833" w:name="_Toc226337242"/>
      <w:bookmarkStart w:id="834" w:name="_Toc149720839"/>
      <w:bookmarkStart w:id="835" w:name="_Toc164229387"/>
      <w:bookmarkStart w:id="836" w:name="_Toc142311048"/>
      <w:bookmarkStart w:id="837" w:name="_Toc265228384"/>
      <w:bookmarkStart w:id="838" w:name="_Toc150774751"/>
      <w:bookmarkStart w:id="839" w:name="_Toc164229241"/>
      <w:bookmarkStart w:id="840" w:name="_Toc164608815"/>
      <w:bookmarkStart w:id="841" w:name="_Toc226965736"/>
      <w:bookmarkStart w:id="842" w:name="_Toc151193716"/>
      <w:bookmarkStart w:id="843" w:name="_Toc305158888"/>
      <w:bookmarkStart w:id="844" w:name="_Toc195842911"/>
      <w:bookmarkStart w:id="845" w:name="_Ref467307010"/>
      <w:bookmarkStart w:id="846" w:name="_Toc127161460"/>
      <w:bookmarkStart w:id="847" w:name="_Toc164351640"/>
      <w:bookmarkStart w:id="848" w:name="_Toc127151747"/>
      <w:bookmarkStart w:id="849" w:name="_Toc226965819"/>
      <w:bookmarkStart w:id="850" w:name="_Toc151190173"/>
      <w:bookmarkStart w:id="851" w:name="_Toc164608660"/>
      <w:bookmarkStart w:id="852" w:name="_Toc150480784"/>
      <w:bookmarkStart w:id="853" w:name="_Toc226309790"/>
      <w:bookmarkStart w:id="854" w:name="_Toc150509297"/>
      <w:bookmarkStart w:id="855" w:name="_Toc520356170"/>
      <w:bookmarkStart w:id="856" w:name="_Toc151193788"/>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8"/>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pStyle w:val="248"/>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商务部分（18分）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048D18F">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12</w:t>
            </w:r>
          </w:p>
        </w:tc>
        <w:tc>
          <w:tcPr>
            <w:tcW w:w="4585" w:type="dxa"/>
            <w:shd w:val="clear" w:color="auto" w:fill="auto"/>
            <w:vAlign w:val="center"/>
          </w:tcPr>
          <w:p w14:paraId="11697CA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近3年（2023年3月1日至今）承担完成的安全及抗震性能鉴定类似业绩：每有一项类似业绩得</w:t>
            </w:r>
            <w:r>
              <w:rPr>
                <w:rFonts w:hint="eastAsia" w:ascii="宋体" w:hAnsi="宋体" w:cs="宋体"/>
                <w:b w:val="0"/>
                <w:bCs w:val="0"/>
                <w:color w:val="auto"/>
                <w:szCs w:val="21"/>
                <w:highlight w:val="none"/>
                <w:shd w:val="clear"/>
                <w:lang w:val="en-US" w:eastAsia="zh-CN"/>
              </w:rPr>
              <w:t>3</w:t>
            </w:r>
            <w:r>
              <w:rPr>
                <w:rFonts w:hint="eastAsia" w:ascii="宋体" w:hAnsi="宋体" w:cs="宋体"/>
                <w:color w:val="auto"/>
                <w:szCs w:val="21"/>
                <w:highlight w:val="none"/>
                <w:shd w:val="clear"/>
                <w:lang w:val="en-US" w:eastAsia="zh-CN"/>
              </w:rPr>
              <w:t>分，最多</w:t>
            </w:r>
            <w:r>
              <w:rPr>
                <w:rFonts w:hint="eastAsia" w:ascii="宋体" w:hAnsi="宋体" w:cs="宋体"/>
                <w:b w:val="0"/>
                <w:bCs w:val="0"/>
                <w:color w:val="auto"/>
                <w:szCs w:val="21"/>
                <w:highlight w:val="none"/>
                <w:shd w:val="clear"/>
                <w:lang w:val="en-US" w:eastAsia="zh-CN"/>
              </w:rPr>
              <w:t>12</w:t>
            </w:r>
            <w:r>
              <w:rPr>
                <w:rFonts w:hint="eastAsia" w:ascii="宋体" w:hAnsi="宋体" w:cs="宋体"/>
                <w:color w:val="auto"/>
                <w:szCs w:val="21"/>
                <w:highlight w:val="none"/>
                <w:shd w:val="clear"/>
                <w:lang w:val="en-US" w:eastAsia="zh-CN"/>
              </w:rPr>
              <w:t>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8"/>
              <w:spacing w:before="0" w:after="0" w:line="240" w:lineRule="auto"/>
              <w:rPr>
                <w:rFonts w:hint="eastAsia" w:ascii="宋体" w:hAnsi="宋体" w:eastAsia="宋体" w:cs="宋体"/>
                <w:color w:val="auto"/>
                <w:sz w:val="21"/>
                <w:szCs w:val="21"/>
                <w:highlight w:val="none"/>
              </w:rPr>
            </w:pPr>
          </w:p>
        </w:tc>
      </w:tr>
      <w:tr w14:paraId="31AE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3B246F9B">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shd w:val="clear" w:color="auto" w:fill="auto"/>
            <w:vAlign w:val="center"/>
          </w:tcPr>
          <w:p w14:paraId="55541992">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shd w:val="clear"/>
              </w:rPr>
              <w:t>项目负责人</w:t>
            </w:r>
          </w:p>
        </w:tc>
        <w:tc>
          <w:tcPr>
            <w:tcW w:w="756" w:type="dxa"/>
            <w:shd w:val="clear" w:color="auto" w:fill="auto"/>
            <w:vAlign w:val="center"/>
          </w:tcPr>
          <w:p w14:paraId="05088974">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6</w:t>
            </w:r>
          </w:p>
        </w:tc>
        <w:tc>
          <w:tcPr>
            <w:tcW w:w="4585" w:type="dxa"/>
            <w:shd w:val="clear" w:color="auto" w:fill="auto"/>
            <w:vAlign w:val="center"/>
          </w:tcPr>
          <w:p w14:paraId="0AC62A5C">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项目负责人资历要求：</w:t>
            </w:r>
          </w:p>
          <w:p w14:paraId="6E4E3B29">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项目负责人具有一级注册结构工程师或高级工程师得3分；</w:t>
            </w:r>
          </w:p>
          <w:p w14:paraId="3B33E84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项目负责人具有二级注册结构工程师或中级工程师得2分；</w:t>
            </w:r>
          </w:p>
          <w:p w14:paraId="002BDED3">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学历要求：</w:t>
            </w:r>
          </w:p>
          <w:p w14:paraId="7B4FDC61">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项目负责人具有大学本科及以上学历得3分；</w:t>
            </w:r>
          </w:p>
          <w:p w14:paraId="7BEF0C68">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具有专科学历得1分，否则不得分；</w:t>
            </w:r>
          </w:p>
        </w:tc>
        <w:tc>
          <w:tcPr>
            <w:tcW w:w="2440" w:type="dxa"/>
            <w:vAlign w:val="center"/>
          </w:tcPr>
          <w:p w14:paraId="46F5AE42">
            <w:pPr>
              <w:pStyle w:val="248"/>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r>
              <w:rPr>
                <w:rFonts w:hint="eastAsia" w:ascii="宋体" w:hAnsi="宋体" w:cs="宋体"/>
                <w:color w:val="auto"/>
                <w:sz w:val="21"/>
                <w:szCs w:val="21"/>
                <w:highlight w:val="none"/>
                <w:lang w:val="en-US" w:eastAsia="zh-CN"/>
              </w:rPr>
              <w:t>72</w:t>
            </w:r>
            <w:r>
              <w:rPr>
                <w:rFonts w:hint="eastAsia" w:ascii="宋体" w:hAnsi="宋体" w:eastAsia="宋体" w:cs="宋体"/>
                <w:color w:val="auto"/>
                <w:sz w:val="21"/>
                <w:szCs w:val="21"/>
                <w:highlight w:val="none"/>
                <w:lang w:val="en-US" w:eastAsia="zh-CN"/>
              </w:rPr>
              <w:t>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项目需求及重点难点分析</w:t>
            </w:r>
          </w:p>
        </w:tc>
        <w:tc>
          <w:tcPr>
            <w:tcW w:w="756" w:type="dxa"/>
            <w:vAlign w:val="center"/>
          </w:tcPr>
          <w:p w14:paraId="61373F36">
            <w:pPr>
              <w:ind w:firstLine="0" w:firstLineChars="0"/>
              <w:jc w:val="left"/>
              <w:rPr>
                <w:rFonts w:hint="eastAsia" w:ascii="宋体" w:hAnsi="宋体" w:eastAsia="宋体" w:cs="宋体"/>
                <w:b w:val="0"/>
                <w:color w:val="auto"/>
                <w:sz w:val="21"/>
                <w:szCs w:val="21"/>
                <w:highlight w:val="none"/>
              </w:rPr>
            </w:pPr>
            <w:r>
              <w:rPr>
                <w:rFonts w:hint="eastAsia" w:ascii="宋体" w:hAnsi="宋体" w:cs="宋体"/>
                <w:color w:val="auto"/>
                <w:szCs w:val="21"/>
                <w:highlight w:val="none"/>
                <w:shd w:val="clear"/>
                <w:lang w:val="en-US" w:eastAsia="zh-CN"/>
              </w:rPr>
              <w:t>15</w:t>
            </w:r>
          </w:p>
        </w:tc>
        <w:tc>
          <w:tcPr>
            <w:tcW w:w="4585" w:type="dxa"/>
            <w:vAlign w:val="center"/>
          </w:tcPr>
          <w:p w14:paraId="396C5757">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投标人需充分了解本项目现状，项目需求分析内容完整、分析透彻、熟悉项目相关工作管理要求及项目重点难点分析，得15分；</w:t>
            </w:r>
          </w:p>
          <w:p w14:paraId="4903AD59">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对项目相关工作要求有一定的了解，并对项目特点进行了分析，得10分；</w:t>
            </w:r>
          </w:p>
          <w:p w14:paraId="2D9C29EA">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对项目需求分析内容有偏差、未理解项目工作要求，得5分；</w:t>
            </w:r>
          </w:p>
          <w:p w14:paraId="239A6B34">
            <w:r>
              <w:rPr>
                <w:rFonts w:hint="eastAsia" w:ascii="宋体" w:hAnsi="宋体" w:cs="宋体"/>
                <w:color w:val="auto"/>
                <w:szCs w:val="21"/>
                <w:highlight w:val="none"/>
                <w:shd w:val="clear"/>
                <w:lang w:val="en-US" w:eastAsia="zh-CN"/>
              </w:rPr>
              <w:t>未提供，不得分。</w:t>
            </w:r>
          </w:p>
          <w:p w14:paraId="6DB3CAAC">
            <w:pPr>
              <w:ind w:firstLine="0" w:firstLineChars="0"/>
              <w:jc w:val="left"/>
              <w:rPr>
                <w:rFonts w:hint="eastAsia" w:ascii="宋体" w:hAnsi="宋体" w:eastAsia="宋体" w:cs="宋体"/>
                <w:b w:val="0"/>
                <w:color w:val="auto"/>
                <w:sz w:val="21"/>
                <w:szCs w:val="21"/>
                <w:highlight w:val="none"/>
              </w:rPr>
            </w:pPr>
          </w:p>
        </w:tc>
        <w:tc>
          <w:tcPr>
            <w:tcW w:w="2440" w:type="dxa"/>
            <w:vAlign w:val="center"/>
          </w:tcPr>
          <w:p w14:paraId="2F341C7E">
            <w:pPr>
              <w:pStyle w:val="248"/>
              <w:spacing w:before="0" w:after="0" w:line="240" w:lineRule="auto"/>
              <w:rPr>
                <w:rFonts w:hint="eastAsia" w:ascii="宋体" w:hAnsi="宋体" w:eastAsia="宋体" w:cs="宋体"/>
                <w:color w:val="auto"/>
                <w:sz w:val="21"/>
                <w:szCs w:val="21"/>
                <w:highlight w:val="none"/>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检测鉴定</w:t>
            </w:r>
            <w:r>
              <w:rPr>
                <w:rFonts w:hint="eastAsia" w:ascii="宋体" w:hAnsi="宋体" w:eastAsia="宋体" w:cs="宋体"/>
                <w:color w:val="auto"/>
                <w:szCs w:val="21"/>
                <w:highlight w:val="none"/>
                <w:shd w:val="clear"/>
                <w:lang w:val="en-US" w:eastAsia="zh-CN"/>
              </w:rPr>
              <w:t>服务方案</w:t>
            </w:r>
          </w:p>
        </w:tc>
        <w:tc>
          <w:tcPr>
            <w:tcW w:w="756" w:type="dxa"/>
            <w:vAlign w:val="center"/>
          </w:tcPr>
          <w:p w14:paraId="177C24B5">
            <w:pPr>
              <w:ind w:firstLine="0" w:firstLineChars="0"/>
              <w:jc w:val="left"/>
              <w:rPr>
                <w:rFonts w:hint="eastAsia" w:ascii="宋体" w:hAnsi="宋体" w:eastAsia="宋体" w:cs="宋体"/>
                <w:b w:val="0"/>
                <w:color w:val="auto"/>
                <w:sz w:val="21"/>
                <w:szCs w:val="21"/>
                <w:highlight w:val="none"/>
              </w:rPr>
            </w:pPr>
            <w:r>
              <w:rPr>
                <w:rFonts w:hint="eastAsia" w:ascii="宋体" w:hAnsi="宋体" w:cs="宋体"/>
                <w:color w:val="auto"/>
                <w:szCs w:val="21"/>
                <w:highlight w:val="none"/>
                <w:shd w:val="clear"/>
                <w:lang w:val="en-US" w:eastAsia="zh-CN"/>
              </w:rPr>
              <w:t>10</w:t>
            </w:r>
          </w:p>
        </w:tc>
        <w:tc>
          <w:tcPr>
            <w:tcW w:w="4585" w:type="dxa"/>
            <w:vAlign w:val="center"/>
          </w:tcPr>
          <w:p w14:paraId="0602D0C1">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对</w:t>
            </w:r>
            <w:r>
              <w:rPr>
                <w:rFonts w:hint="eastAsia" w:ascii="宋体" w:hAnsi="宋体" w:cs="宋体"/>
                <w:color w:val="auto"/>
                <w:szCs w:val="21"/>
                <w:highlight w:val="none"/>
                <w:shd w:val="clear"/>
                <w:lang w:val="en-US" w:eastAsia="zh-CN"/>
              </w:rPr>
              <w:t>整体</w:t>
            </w:r>
            <w:r>
              <w:rPr>
                <w:rFonts w:hint="eastAsia" w:ascii="宋体" w:hAnsi="宋体" w:eastAsia="宋体" w:cs="宋体"/>
                <w:color w:val="auto"/>
                <w:szCs w:val="21"/>
                <w:highlight w:val="none"/>
                <w:shd w:val="clear"/>
                <w:lang w:val="en-US" w:eastAsia="en-US"/>
              </w:rPr>
              <w:t>技术方案、检测</w:t>
            </w:r>
            <w:r>
              <w:rPr>
                <w:rFonts w:hint="eastAsia" w:ascii="宋体" w:hAnsi="宋体" w:cs="宋体"/>
                <w:color w:val="auto"/>
                <w:szCs w:val="21"/>
                <w:highlight w:val="none"/>
                <w:shd w:val="clear"/>
                <w:lang w:val="en-US" w:eastAsia="zh-CN"/>
              </w:rPr>
              <w:t>鉴定</w:t>
            </w:r>
            <w:r>
              <w:rPr>
                <w:rFonts w:hint="eastAsia" w:ascii="宋体" w:hAnsi="宋体" w:eastAsia="宋体" w:cs="宋体"/>
                <w:color w:val="auto"/>
                <w:szCs w:val="21"/>
                <w:highlight w:val="none"/>
                <w:shd w:val="clear"/>
                <w:lang w:val="en-US" w:eastAsia="en-US"/>
              </w:rPr>
              <w:t>程序</w:t>
            </w:r>
            <w:r>
              <w:rPr>
                <w:rFonts w:hint="eastAsia" w:ascii="宋体" w:hAnsi="宋体" w:cs="宋体"/>
                <w:color w:val="auto"/>
                <w:szCs w:val="21"/>
                <w:highlight w:val="none"/>
                <w:shd w:val="clear"/>
                <w:lang w:val="en-US" w:eastAsia="zh-CN"/>
              </w:rPr>
              <w:t>等</w:t>
            </w:r>
            <w:r>
              <w:rPr>
                <w:rFonts w:hint="eastAsia" w:ascii="宋体" w:hAnsi="宋体" w:eastAsia="宋体" w:cs="宋体"/>
                <w:color w:val="auto"/>
                <w:szCs w:val="21"/>
                <w:highlight w:val="none"/>
                <w:shd w:val="clear"/>
                <w:lang w:val="en-US" w:eastAsia="en-US"/>
              </w:rPr>
              <w:t>针对性强，检测目标明确，可操作性及针对性</w:t>
            </w:r>
            <w:r>
              <w:rPr>
                <w:rFonts w:hint="eastAsia" w:ascii="宋体" w:hAnsi="宋体" w:eastAsia="宋体" w:cs="宋体"/>
                <w:color w:val="auto"/>
                <w:szCs w:val="21"/>
                <w:highlight w:val="none"/>
                <w:shd w:val="clear"/>
                <w:lang w:val="en-US" w:eastAsia="zh-CN"/>
              </w:rPr>
              <w:t>表述详细</w:t>
            </w:r>
            <w:r>
              <w:rPr>
                <w:rFonts w:hint="eastAsia" w:ascii="宋体" w:hAnsi="宋体" w:cs="宋体"/>
                <w:color w:val="auto"/>
                <w:szCs w:val="21"/>
                <w:highlight w:val="none"/>
                <w:shd w:val="clear"/>
                <w:lang w:val="en-US" w:eastAsia="zh-CN"/>
              </w:rPr>
              <w:t>准确</w:t>
            </w:r>
            <w:r>
              <w:rPr>
                <w:rFonts w:hint="eastAsia" w:ascii="宋体" w:hAnsi="宋体" w:eastAsia="宋体" w:cs="宋体"/>
                <w:color w:val="auto"/>
                <w:szCs w:val="21"/>
                <w:highlight w:val="none"/>
                <w:shd w:val="clear"/>
                <w:lang w:val="en-US" w:eastAsia="zh-CN"/>
              </w:rPr>
              <w:t>，得</w:t>
            </w:r>
            <w:r>
              <w:rPr>
                <w:rFonts w:hint="eastAsia" w:ascii="宋体" w:hAnsi="宋体" w:cs="宋体"/>
                <w:color w:val="auto"/>
                <w:szCs w:val="21"/>
                <w:highlight w:val="none"/>
                <w:shd w:val="clear"/>
                <w:lang w:val="en-US" w:eastAsia="zh-CN"/>
              </w:rPr>
              <w:t>10</w:t>
            </w:r>
            <w:r>
              <w:rPr>
                <w:rFonts w:hint="eastAsia" w:ascii="宋体" w:hAnsi="宋体" w:eastAsia="宋体" w:cs="宋体"/>
                <w:color w:val="auto"/>
                <w:szCs w:val="21"/>
                <w:highlight w:val="none"/>
                <w:shd w:val="clear"/>
                <w:lang w:val="en-US" w:eastAsia="zh-CN"/>
              </w:rPr>
              <w:t>分；</w:t>
            </w:r>
          </w:p>
          <w:p w14:paraId="4A69B365">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对对</w:t>
            </w:r>
            <w:r>
              <w:rPr>
                <w:rFonts w:hint="eastAsia" w:ascii="宋体" w:hAnsi="宋体" w:eastAsia="宋体" w:cs="宋体"/>
                <w:color w:val="auto"/>
                <w:szCs w:val="21"/>
                <w:highlight w:val="none"/>
                <w:shd w:val="clear"/>
                <w:lang w:val="en-US" w:eastAsia="en-US"/>
              </w:rPr>
              <w:t>检测技术方案、检测程序</w:t>
            </w:r>
            <w:r>
              <w:rPr>
                <w:rFonts w:hint="eastAsia" w:ascii="宋体" w:hAnsi="宋体" w:cs="宋体"/>
                <w:color w:val="auto"/>
                <w:szCs w:val="21"/>
                <w:highlight w:val="none"/>
                <w:shd w:val="clear"/>
                <w:lang w:val="en-US" w:eastAsia="zh-CN"/>
              </w:rPr>
              <w:t>等可操作性、</w:t>
            </w:r>
            <w:r>
              <w:rPr>
                <w:rFonts w:hint="eastAsia" w:ascii="宋体" w:hAnsi="宋体" w:eastAsia="宋体" w:cs="宋体"/>
                <w:color w:val="auto"/>
                <w:szCs w:val="21"/>
                <w:highlight w:val="none"/>
                <w:shd w:val="clear"/>
                <w:lang w:val="en-US" w:eastAsia="en-US"/>
              </w:rPr>
              <w:t>针对</w:t>
            </w:r>
            <w:r>
              <w:rPr>
                <w:rFonts w:hint="eastAsia" w:ascii="宋体" w:hAnsi="宋体" w:eastAsia="宋体" w:cs="宋体"/>
                <w:color w:val="auto"/>
                <w:szCs w:val="21"/>
                <w:highlight w:val="none"/>
                <w:shd w:val="clear"/>
                <w:lang w:val="en-US" w:eastAsia="zh-CN"/>
              </w:rPr>
              <w:t>性表述</w:t>
            </w:r>
            <w:r>
              <w:rPr>
                <w:rFonts w:hint="eastAsia" w:ascii="宋体" w:hAnsi="宋体" w:cs="宋体"/>
                <w:color w:val="auto"/>
                <w:szCs w:val="21"/>
                <w:highlight w:val="none"/>
                <w:shd w:val="clear"/>
                <w:lang w:val="en-US" w:eastAsia="zh-CN"/>
              </w:rPr>
              <w:t>较详细准确</w:t>
            </w:r>
            <w:r>
              <w:rPr>
                <w:rFonts w:hint="eastAsia" w:ascii="宋体" w:hAnsi="宋体" w:eastAsia="宋体" w:cs="宋体"/>
                <w:color w:val="auto"/>
                <w:szCs w:val="21"/>
                <w:highlight w:val="none"/>
                <w:shd w:val="clear"/>
                <w:lang w:val="en-US" w:eastAsia="zh-CN"/>
              </w:rPr>
              <w:t>，得</w:t>
            </w:r>
            <w:r>
              <w:rPr>
                <w:rFonts w:hint="eastAsia" w:ascii="宋体" w:hAnsi="宋体" w:cs="宋体"/>
                <w:color w:val="auto"/>
                <w:szCs w:val="21"/>
                <w:highlight w:val="none"/>
                <w:shd w:val="clear"/>
                <w:lang w:val="en-US" w:eastAsia="zh-CN"/>
              </w:rPr>
              <w:t>7</w:t>
            </w:r>
            <w:r>
              <w:rPr>
                <w:rFonts w:hint="eastAsia" w:ascii="宋体" w:hAnsi="宋体" w:eastAsia="宋体" w:cs="宋体"/>
                <w:color w:val="auto"/>
                <w:szCs w:val="21"/>
                <w:highlight w:val="none"/>
                <w:shd w:val="clear"/>
                <w:lang w:val="en-US" w:eastAsia="zh-CN"/>
              </w:rPr>
              <w:t>分；</w:t>
            </w:r>
          </w:p>
          <w:p w14:paraId="3F6792A7">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对对</w:t>
            </w:r>
            <w:r>
              <w:rPr>
                <w:rFonts w:hint="eastAsia" w:ascii="宋体" w:hAnsi="宋体" w:eastAsia="宋体" w:cs="宋体"/>
                <w:color w:val="auto"/>
                <w:szCs w:val="21"/>
                <w:highlight w:val="none"/>
                <w:shd w:val="clear"/>
                <w:lang w:val="en-US" w:eastAsia="en-US"/>
              </w:rPr>
              <w:t>检测技术方案、检测程序</w:t>
            </w:r>
            <w:r>
              <w:rPr>
                <w:rFonts w:hint="eastAsia" w:ascii="宋体" w:hAnsi="宋体" w:cs="宋体"/>
                <w:color w:val="auto"/>
                <w:szCs w:val="21"/>
                <w:highlight w:val="none"/>
                <w:shd w:val="clear"/>
                <w:lang w:val="en-US" w:eastAsia="zh-CN"/>
              </w:rPr>
              <w:t>等可操作性、</w:t>
            </w:r>
            <w:r>
              <w:rPr>
                <w:rFonts w:hint="eastAsia" w:ascii="宋体" w:hAnsi="宋体" w:eastAsia="宋体" w:cs="宋体"/>
                <w:color w:val="auto"/>
                <w:szCs w:val="21"/>
                <w:highlight w:val="none"/>
                <w:shd w:val="clear"/>
                <w:lang w:val="en-US" w:eastAsia="en-US"/>
              </w:rPr>
              <w:t>针对</w:t>
            </w:r>
            <w:r>
              <w:rPr>
                <w:rFonts w:hint="eastAsia" w:ascii="宋体" w:hAnsi="宋体" w:eastAsia="宋体" w:cs="宋体"/>
                <w:color w:val="auto"/>
                <w:szCs w:val="21"/>
                <w:highlight w:val="none"/>
                <w:shd w:val="clear"/>
                <w:lang w:val="en-US" w:eastAsia="zh-CN"/>
              </w:rPr>
              <w:t>性表述不</w:t>
            </w:r>
            <w:r>
              <w:rPr>
                <w:rFonts w:hint="eastAsia" w:ascii="宋体" w:hAnsi="宋体" w:cs="宋体"/>
                <w:color w:val="auto"/>
                <w:szCs w:val="21"/>
                <w:highlight w:val="none"/>
                <w:shd w:val="clear"/>
                <w:lang w:val="en-US" w:eastAsia="zh-CN"/>
              </w:rPr>
              <w:t>详细不</w:t>
            </w:r>
            <w:r>
              <w:rPr>
                <w:rFonts w:hint="eastAsia" w:ascii="宋体" w:hAnsi="宋体" w:eastAsia="宋体" w:cs="宋体"/>
                <w:color w:val="auto"/>
                <w:szCs w:val="21"/>
                <w:highlight w:val="none"/>
                <w:shd w:val="clear"/>
                <w:lang w:val="en-US" w:eastAsia="zh-CN"/>
              </w:rPr>
              <w:t>准确，得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7615885D">
            <w:pPr>
              <w:ind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5C855BB2">
            <w:pPr>
              <w:pStyle w:val="248"/>
              <w:spacing w:before="0" w:after="0" w:line="240" w:lineRule="auto"/>
              <w:rPr>
                <w:rFonts w:hint="eastAsia" w:ascii="宋体" w:hAnsi="宋体" w:eastAsia="宋体" w:cs="宋体"/>
                <w:color w:val="auto"/>
                <w:sz w:val="21"/>
                <w:szCs w:val="21"/>
                <w:highlight w:val="none"/>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vAlign w:val="center"/>
          </w:tcPr>
          <w:p w14:paraId="744161ED">
            <w:pPr>
              <w:widowControl/>
              <w:autoSpaceDE/>
              <w:autoSpaceDN/>
              <w:spacing w:before="0"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en-US" w:bidi="ar-SA"/>
              </w:rPr>
              <w:t>拟投入主要检测设备</w:t>
            </w:r>
          </w:p>
        </w:tc>
        <w:tc>
          <w:tcPr>
            <w:tcW w:w="756" w:type="dxa"/>
            <w:vAlign w:val="center"/>
          </w:tcPr>
          <w:p w14:paraId="32A10FF6">
            <w:pPr>
              <w:ind w:firstLine="0" w:firstLineChars="0"/>
              <w:jc w:val="left"/>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shd w:val="clear"/>
                <w:lang w:val="en-US" w:eastAsia="zh-CN"/>
              </w:rPr>
              <w:t>6</w:t>
            </w:r>
          </w:p>
        </w:tc>
        <w:tc>
          <w:tcPr>
            <w:tcW w:w="4585" w:type="dxa"/>
            <w:vAlign w:val="center"/>
          </w:tcPr>
          <w:p w14:paraId="48C92950">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zh-CN"/>
              </w:rPr>
              <w:t>设备配置齐全合理到位，得</w:t>
            </w:r>
            <w:r>
              <w:rPr>
                <w:rFonts w:hint="eastAsia" w:ascii="宋体" w:hAnsi="宋体" w:cs="宋体"/>
                <w:b w:val="0"/>
                <w:bCs w:val="0"/>
                <w:color w:val="auto"/>
                <w:szCs w:val="21"/>
                <w:highlight w:val="none"/>
                <w:shd w:val="clear"/>
                <w:lang w:val="en-US" w:eastAsia="zh-CN"/>
              </w:rPr>
              <w:t>6</w:t>
            </w:r>
            <w:r>
              <w:rPr>
                <w:rFonts w:hint="eastAsia" w:ascii="宋体" w:hAnsi="宋体" w:eastAsia="宋体" w:cs="宋体"/>
                <w:b w:val="0"/>
                <w:bCs w:val="0"/>
                <w:color w:val="auto"/>
                <w:szCs w:val="21"/>
                <w:highlight w:val="none"/>
                <w:shd w:val="clear"/>
                <w:lang w:val="en-US" w:eastAsia="zh-CN"/>
              </w:rPr>
              <w:t>分；</w:t>
            </w:r>
          </w:p>
          <w:p w14:paraId="37FFE90F">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zh-CN"/>
              </w:rPr>
              <w:t>设备配置基本齐全</w:t>
            </w:r>
            <w:r>
              <w:rPr>
                <w:rFonts w:hint="eastAsia" w:ascii="宋体" w:hAnsi="宋体" w:cs="宋体"/>
                <w:b w:val="0"/>
                <w:bCs w:val="0"/>
                <w:color w:val="auto"/>
                <w:szCs w:val="21"/>
                <w:highlight w:val="none"/>
                <w:shd w:val="clear"/>
                <w:lang w:val="en-US" w:eastAsia="zh-CN"/>
              </w:rPr>
              <w:t>、</w:t>
            </w:r>
            <w:r>
              <w:rPr>
                <w:rFonts w:hint="eastAsia" w:ascii="宋体" w:hAnsi="宋体" w:eastAsia="宋体" w:cs="宋体"/>
                <w:b w:val="0"/>
                <w:bCs w:val="0"/>
                <w:color w:val="auto"/>
                <w:szCs w:val="21"/>
                <w:highlight w:val="none"/>
                <w:shd w:val="clear"/>
                <w:lang w:val="en-US" w:eastAsia="zh-CN"/>
              </w:rPr>
              <w:t>合理，得3分；</w:t>
            </w:r>
          </w:p>
          <w:p w14:paraId="12767AFE">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zh-CN"/>
              </w:rPr>
              <w:t>设备配置不齐全</w:t>
            </w:r>
            <w:r>
              <w:rPr>
                <w:rFonts w:hint="eastAsia" w:ascii="宋体" w:hAnsi="宋体" w:cs="宋体"/>
                <w:b w:val="0"/>
                <w:bCs w:val="0"/>
                <w:color w:val="auto"/>
                <w:szCs w:val="21"/>
                <w:highlight w:val="none"/>
                <w:shd w:val="clear"/>
                <w:lang w:val="en-US" w:eastAsia="zh-CN"/>
              </w:rPr>
              <w:t>、不合理</w:t>
            </w:r>
            <w:r>
              <w:rPr>
                <w:rFonts w:hint="eastAsia" w:ascii="宋体" w:hAnsi="宋体" w:eastAsia="宋体" w:cs="宋体"/>
                <w:b w:val="0"/>
                <w:bCs w:val="0"/>
                <w:color w:val="auto"/>
                <w:szCs w:val="21"/>
                <w:highlight w:val="none"/>
                <w:shd w:val="clear"/>
                <w:lang w:val="en-US" w:eastAsia="zh-CN"/>
              </w:rPr>
              <w:t>，得1分；</w:t>
            </w:r>
          </w:p>
          <w:p w14:paraId="128382DA">
            <w:r>
              <w:rPr>
                <w:rFonts w:hint="eastAsia" w:ascii="宋体" w:hAnsi="宋体" w:eastAsia="宋体" w:cs="宋体"/>
                <w:b w:val="0"/>
                <w:bCs w:val="0"/>
                <w:color w:val="auto"/>
                <w:szCs w:val="21"/>
                <w:highlight w:val="none"/>
                <w:shd w:val="clear"/>
                <w:lang w:val="en-US" w:eastAsia="zh-CN"/>
              </w:rPr>
              <w:t>未提供，不得分。</w:t>
            </w:r>
          </w:p>
          <w:p w14:paraId="627198B5">
            <w:pPr>
              <w:ind w:firstLine="0" w:firstLineChars="0"/>
              <w:jc w:val="left"/>
              <w:rPr>
                <w:rFonts w:hint="eastAsia" w:ascii="宋体" w:hAnsi="宋体" w:eastAsia="宋体" w:cs="宋体"/>
                <w:b w:val="0"/>
                <w:color w:val="auto"/>
                <w:sz w:val="21"/>
                <w:szCs w:val="21"/>
                <w:highlight w:val="none"/>
              </w:rPr>
            </w:pPr>
          </w:p>
        </w:tc>
        <w:tc>
          <w:tcPr>
            <w:tcW w:w="2440" w:type="dxa"/>
            <w:vAlign w:val="center"/>
          </w:tcPr>
          <w:p w14:paraId="75990950">
            <w:pPr>
              <w:pStyle w:val="248"/>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4FE2DACB">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vAlign w:val="center"/>
          </w:tcPr>
          <w:p w14:paraId="6C798C33">
            <w:pPr>
              <w:widowControl/>
              <w:autoSpaceDE/>
              <w:autoSpaceDN/>
              <w:spacing w:before="0"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en-US" w:bidi="ar-SA"/>
              </w:rPr>
              <w:t>质量保证措施</w:t>
            </w:r>
          </w:p>
        </w:tc>
        <w:tc>
          <w:tcPr>
            <w:tcW w:w="756" w:type="dxa"/>
            <w:vAlign w:val="center"/>
          </w:tcPr>
          <w:p w14:paraId="6A7893A0">
            <w:pPr>
              <w:ind w:firstLine="0" w:firstLineChars="0"/>
              <w:jc w:val="left"/>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shd w:val="clear"/>
                <w:lang w:val="en-US" w:eastAsia="zh-CN"/>
              </w:rPr>
              <w:t>6</w:t>
            </w:r>
          </w:p>
        </w:tc>
        <w:tc>
          <w:tcPr>
            <w:tcW w:w="4585" w:type="dxa"/>
            <w:vAlign w:val="center"/>
          </w:tcPr>
          <w:p w14:paraId="70971E3A">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质量保证措施阐述清晰且措施得力，科学合理，措施得力，针对性强的，得</w:t>
            </w:r>
            <w:r>
              <w:rPr>
                <w:rFonts w:hint="eastAsia" w:ascii="宋体" w:hAnsi="宋体" w:cs="宋体"/>
                <w:b w:val="0"/>
                <w:bCs w:val="0"/>
                <w:color w:val="auto"/>
                <w:szCs w:val="21"/>
                <w:highlight w:val="none"/>
                <w:shd w:val="clear"/>
                <w:lang w:val="en-US" w:eastAsia="zh-CN"/>
              </w:rPr>
              <w:t>6</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78041FBE">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3</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5FD08CB1">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1</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42E3E8D9">
            <w:pPr>
              <w:ind w:firstLine="0" w:firstLineChars="0"/>
              <w:jc w:val="left"/>
              <w:rPr>
                <w:rFonts w:hint="eastAsia" w:ascii="宋体" w:hAnsi="宋体" w:eastAsia="宋体" w:cs="宋体"/>
                <w:b w:val="0"/>
                <w:color w:val="auto"/>
                <w:sz w:val="21"/>
                <w:szCs w:val="21"/>
                <w:highlight w:val="none"/>
                <w:lang w:eastAsia="zh-CN"/>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35178C27">
            <w:pPr>
              <w:pStyle w:val="248"/>
              <w:spacing w:before="0" w:after="0" w:line="240" w:lineRule="auto"/>
              <w:rPr>
                <w:rFonts w:hint="eastAsia" w:ascii="宋体" w:hAnsi="宋体" w:eastAsia="宋体" w:cs="宋体"/>
                <w:color w:val="auto"/>
                <w:sz w:val="21"/>
                <w:szCs w:val="21"/>
                <w:highlight w:val="none"/>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vAlign w:val="center"/>
          </w:tcPr>
          <w:p w14:paraId="0C1D7C73">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项目人员配置</w:t>
            </w:r>
          </w:p>
        </w:tc>
        <w:tc>
          <w:tcPr>
            <w:tcW w:w="756" w:type="dxa"/>
            <w:vAlign w:val="center"/>
          </w:tcPr>
          <w:p w14:paraId="58C4478F">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8</w:t>
            </w:r>
          </w:p>
        </w:tc>
        <w:tc>
          <w:tcPr>
            <w:tcW w:w="4585" w:type="dxa"/>
            <w:vAlign w:val="center"/>
          </w:tcPr>
          <w:p w14:paraId="53B3AF20">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除项目负责人外，项目管理团队中人员数量、专业配备合理性进行打分；</w:t>
            </w:r>
          </w:p>
          <w:p w14:paraId="3C96529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人员设置齐全、结构合理8分；</w:t>
            </w:r>
          </w:p>
          <w:p w14:paraId="25ED0C79">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人员设置较全、结构较合理4分；</w:t>
            </w:r>
          </w:p>
          <w:p w14:paraId="2681C11B">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人员设置欠齐全、结构不合理2分；</w:t>
            </w:r>
          </w:p>
          <w:p w14:paraId="7DA24B99">
            <w:pPr>
              <w:ind w:firstLine="0" w:firstLineChars="0"/>
              <w:jc w:val="left"/>
              <w:rPr>
                <w:rFonts w:hint="eastAsia" w:ascii="宋体" w:hAnsi="宋体" w:eastAsia="宋体" w:cs="宋体"/>
                <w:b w:val="0"/>
                <w:color w:val="auto"/>
                <w:sz w:val="21"/>
                <w:szCs w:val="21"/>
                <w:highlight w:val="none"/>
              </w:rPr>
            </w:pPr>
            <w:r>
              <w:rPr>
                <w:rFonts w:hint="eastAsia" w:ascii="宋体" w:hAnsi="宋体" w:cs="宋体"/>
                <w:color w:val="auto"/>
                <w:szCs w:val="21"/>
                <w:highlight w:val="none"/>
                <w:shd w:val="clear"/>
                <w:lang w:val="en-US" w:eastAsia="zh-CN"/>
              </w:rPr>
              <w:t>未提供，不得分。</w:t>
            </w:r>
          </w:p>
        </w:tc>
        <w:tc>
          <w:tcPr>
            <w:tcW w:w="2440" w:type="dxa"/>
            <w:vAlign w:val="center"/>
          </w:tcPr>
          <w:p w14:paraId="7BF3CBE4">
            <w:pPr>
              <w:pStyle w:val="248"/>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vAlign w:val="center"/>
          </w:tcPr>
          <w:p w14:paraId="64D02C85">
            <w:pPr>
              <w:widowControl/>
              <w:autoSpaceDE/>
              <w:autoSpaceDN/>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zh-CN" w:bidi="ar-SA"/>
              </w:rPr>
              <w:t>进度</w:t>
            </w:r>
            <w:r>
              <w:rPr>
                <w:rFonts w:hint="eastAsia" w:ascii="宋体" w:hAnsi="宋体" w:eastAsia="宋体" w:cs="宋体"/>
                <w:b w:val="0"/>
                <w:bCs w:val="0"/>
                <w:color w:val="auto"/>
                <w:sz w:val="21"/>
                <w:szCs w:val="21"/>
                <w:highlight w:val="none"/>
                <w:shd w:val="clear"/>
                <w:lang w:val="en-US" w:eastAsia="en-US" w:bidi="ar-SA"/>
              </w:rPr>
              <w:t>保证措施</w:t>
            </w:r>
          </w:p>
        </w:tc>
        <w:tc>
          <w:tcPr>
            <w:tcW w:w="756" w:type="dxa"/>
            <w:vAlign w:val="center"/>
          </w:tcPr>
          <w:p w14:paraId="70B5F005">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shd w:val="clear"/>
                <w:lang w:val="en-US" w:eastAsia="zh-CN"/>
              </w:rPr>
              <w:t>7</w:t>
            </w:r>
          </w:p>
        </w:tc>
        <w:tc>
          <w:tcPr>
            <w:tcW w:w="4585" w:type="dxa"/>
            <w:vAlign w:val="center"/>
          </w:tcPr>
          <w:p w14:paraId="65CAA32C">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保证措施阐述清晰且措施得力，科学合理，措施得力，针对性强的，得</w:t>
            </w:r>
            <w:r>
              <w:rPr>
                <w:rFonts w:hint="eastAsia" w:ascii="宋体" w:hAnsi="宋体" w:cs="宋体"/>
                <w:b w:val="0"/>
                <w:bCs w:val="0"/>
                <w:color w:val="auto"/>
                <w:szCs w:val="21"/>
                <w:highlight w:val="none"/>
                <w:shd w:val="clear"/>
                <w:lang w:val="en-US" w:eastAsia="zh-CN"/>
              </w:rPr>
              <w:t>7</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20C6DB41">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4</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224903C5">
            <w:pPr>
              <w:ind w:firstLine="0" w:firstLineChars="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2</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3B72E29E">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25256031">
            <w:pPr>
              <w:pStyle w:val="248"/>
              <w:spacing w:before="0" w:after="0" w:line="240" w:lineRule="auto"/>
              <w:rPr>
                <w:rFonts w:hint="eastAsia" w:ascii="宋体" w:hAnsi="宋体" w:eastAsia="宋体" w:cs="宋体"/>
                <w:color w:val="auto"/>
                <w:sz w:val="21"/>
                <w:szCs w:val="21"/>
                <w:highlight w:val="none"/>
              </w:rPr>
            </w:pPr>
          </w:p>
        </w:tc>
      </w:tr>
      <w:tr w14:paraId="41E7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B7E21AB">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1140" w:type="dxa"/>
            <w:vAlign w:val="center"/>
          </w:tcPr>
          <w:p w14:paraId="6909DBA1">
            <w:pPr>
              <w:widowControl/>
              <w:autoSpaceDE/>
              <w:autoSpaceDN/>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zh-CN" w:bidi="ar-SA"/>
              </w:rPr>
              <w:t>安全</w:t>
            </w:r>
            <w:r>
              <w:rPr>
                <w:rFonts w:hint="eastAsia" w:ascii="宋体" w:hAnsi="宋体" w:eastAsia="宋体" w:cs="宋体"/>
                <w:b w:val="0"/>
                <w:bCs w:val="0"/>
                <w:color w:val="auto"/>
                <w:sz w:val="21"/>
                <w:szCs w:val="21"/>
                <w:highlight w:val="none"/>
                <w:shd w:val="clear"/>
                <w:lang w:val="en-US" w:eastAsia="en-US" w:bidi="ar-SA"/>
              </w:rPr>
              <w:t>保证措施</w:t>
            </w:r>
          </w:p>
        </w:tc>
        <w:tc>
          <w:tcPr>
            <w:tcW w:w="756" w:type="dxa"/>
            <w:vAlign w:val="center"/>
          </w:tcPr>
          <w:p w14:paraId="6356856C">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shd w:val="clear"/>
                <w:lang w:val="en-US" w:eastAsia="zh-CN"/>
              </w:rPr>
              <w:t>6</w:t>
            </w:r>
          </w:p>
        </w:tc>
        <w:tc>
          <w:tcPr>
            <w:tcW w:w="4585" w:type="dxa"/>
            <w:vAlign w:val="center"/>
          </w:tcPr>
          <w:p w14:paraId="4B225651">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保证措施阐述清晰且措施得力，科学合理，措施得力，针对性强的，得</w:t>
            </w:r>
            <w:r>
              <w:rPr>
                <w:rFonts w:hint="eastAsia" w:ascii="宋体" w:hAnsi="宋体" w:cs="宋体"/>
                <w:b w:val="0"/>
                <w:bCs w:val="0"/>
                <w:color w:val="auto"/>
                <w:szCs w:val="21"/>
                <w:highlight w:val="none"/>
                <w:shd w:val="clear"/>
                <w:lang w:val="en-US" w:eastAsia="zh-CN"/>
              </w:rPr>
              <w:t>6</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60D585DA">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3</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12027974">
            <w:pPr>
              <w:ind w:firstLine="0" w:firstLineChars="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1</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3359A692">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3712B218">
            <w:pPr>
              <w:pStyle w:val="248"/>
              <w:spacing w:before="0" w:after="0" w:line="240" w:lineRule="auto"/>
              <w:rPr>
                <w:rFonts w:hint="eastAsia" w:ascii="宋体" w:hAnsi="宋体" w:eastAsia="宋体" w:cs="宋体"/>
                <w:color w:val="auto"/>
                <w:sz w:val="21"/>
                <w:szCs w:val="21"/>
                <w:highlight w:val="none"/>
              </w:rPr>
            </w:pPr>
          </w:p>
        </w:tc>
      </w:tr>
      <w:tr w14:paraId="6AB3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5AF9D087">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p>
        </w:tc>
        <w:tc>
          <w:tcPr>
            <w:tcW w:w="1140" w:type="dxa"/>
            <w:vAlign w:val="center"/>
          </w:tcPr>
          <w:p w14:paraId="0AFED831">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组织机构及岗位职责</w:t>
            </w:r>
          </w:p>
        </w:tc>
        <w:tc>
          <w:tcPr>
            <w:tcW w:w="756" w:type="dxa"/>
            <w:vAlign w:val="center"/>
          </w:tcPr>
          <w:p w14:paraId="78ECAA3F">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3</w:t>
            </w:r>
          </w:p>
        </w:tc>
        <w:tc>
          <w:tcPr>
            <w:tcW w:w="4585" w:type="dxa"/>
            <w:vAlign w:val="center"/>
          </w:tcPr>
          <w:p w14:paraId="4E40D9DF">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组织机构完整、岗位职责明确，得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1F0EFABA">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组织机构较完整、岗位职责较明确，得</w:t>
            </w:r>
            <w:r>
              <w:rPr>
                <w:rFonts w:hint="eastAsia" w:ascii="宋体" w:hAnsi="宋体" w:cs="宋体"/>
                <w:color w:val="auto"/>
                <w:szCs w:val="21"/>
                <w:highlight w:val="none"/>
                <w:shd w:val="clear"/>
                <w:lang w:val="en-US" w:eastAsia="zh-CN"/>
              </w:rPr>
              <w:t>2</w:t>
            </w:r>
            <w:r>
              <w:rPr>
                <w:rFonts w:hint="eastAsia" w:ascii="宋体" w:hAnsi="宋体" w:eastAsia="宋体" w:cs="宋体"/>
                <w:color w:val="auto"/>
                <w:szCs w:val="21"/>
                <w:highlight w:val="none"/>
                <w:shd w:val="clear"/>
                <w:lang w:val="en-US" w:eastAsia="zh-CN"/>
              </w:rPr>
              <w:t>分；</w:t>
            </w:r>
          </w:p>
          <w:p w14:paraId="488A724B">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组织机构不够完整、岗位职责不够明确，得1分；</w:t>
            </w:r>
          </w:p>
          <w:p w14:paraId="6B134D2E">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222DFF07">
            <w:pPr>
              <w:pStyle w:val="248"/>
              <w:spacing w:before="0" w:after="0" w:line="240" w:lineRule="auto"/>
              <w:rPr>
                <w:rFonts w:hint="eastAsia" w:ascii="宋体" w:hAnsi="宋体" w:eastAsia="宋体" w:cs="宋体"/>
                <w:color w:val="auto"/>
                <w:sz w:val="21"/>
                <w:szCs w:val="21"/>
                <w:highlight w:val="none"/>
              </w:rPr>
            </w:pPr>
          </w:p>
        </w:tc>
      </w:tr>
      <w:tr w14:paraId="1A1A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C480EDC">
            <w:pPr>
              <w:ind w:firstLine="28"/>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9</w:t>
            </w:r>
          </w:p>
        </w:tc>
        <w:tc>
          <w:tcPr>
            <w:tcW w:w="1140" w:type="dxa"/>
            <w:vAlign w:val="center"/>
          </w:tcPr>
          <w:p w14:paraId="341DABFA">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突发事件处理</w:t>
            </w:r>
          </w:p>
        </w:tc>
        <w:tc>
          <w:tcPr>
            <w:tcW w:w="756" w:type="dxa"/>
            <w:vAlign w:val="center"/>
          </w:tcPr>
          <w:p w14:paraId="287839A6">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3</w:t>
            </w:r>
          </w:p>
        </w:tc>
        <w:tc>
          <w:tcPr>
            <w:tcW w:w="4585" w:type="dxa"/>
            <w:vAlign w:val="center"/>
          </w:tcPr>
          <w:p w14:paraId="1DF467A6">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有针对项目</w:t>
            </w:r>
            <w:r>
              <w:rPr>
                <w:rFonts w:hint="eastAsia" w:ascii="宋体" w:hAnsi="宋体" w:cs="宋体"/>
                <w:color w:val="auto"/>
                <w:szCs w:val="21"/>
                <w:highlight w:val="none"/>
                <w:shd w:val="clear"/>
                <w:lang w:val="en-US" w:eastAsia="zh-CN"/>
              </w:rPr>
              <w:t>鉴定</w:t>
            </w:r>
            <w:r>
              <w:rPr>
                <w:rFonts w:hint="eastAsia" w:ascii="宋体" w:hAnsi="宋体" w:eastAsia="宋体" w:cs="宋体"/>
                <w:color w:val="auto"/>
                <w:szCs w:val="21"/>
                <w:highlight w:val="none"/>
                <w:shd w:val="clear"/>
                <w:lang w:val="en-US" w:eastAsia="zh-CN"/>
              </w:rPr>
              <w:t>过程中易发生的风险分析及处理措施，方案全面合理、符合要求，得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2F46EFE6">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方案基本全面、部分符合要求，得</w:t>
            </w:r>
            <w:r>
              <w:rPr>
                <w:rFonts w:hint="eastAsia" w:ascii="宋体" w:hAnsi="宋体" w:cs="宋体"/>
                <w:color w:val="auto"/>
                <w:szCs w:val="21"/>
                <w:highlight w:val="none"/>
                <w:shd w:val="clear"/>
                <w:lang w:val="en-US" w:eastAsia="zh-CN"/>
              </w:rPr>
              <w:t>2</w:t>
            </w:r>
            <w:r>
              <w:rPr>
                <w:rFonts w:hint="eastAsia" w:ascii="宋体" w:hAnsi="宋体" w:eastAsia="宋体" w:cs="宋体"/>
                <w:color w:val="auto"/>
                <w:szCs w:val="21"/>
                <w:highlight w:val="none"/>
                <w:shd w:val="clear"/>
                <w:lang w:val="en-US" w:eastAsia="zh-CN"/>
              </w:rPr>
              <w:t>分；</w:t>
            </w:r>
          </w:p>
          <w:p w14:paraId="46C9C9F7">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方案缺失严重或不合理，得1分；</w:t>
            </w:r>
          </w:p>
          <w:p w14:paraId="5655BF9E">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54801D7F">
            <w:pPr>
              <w:pStyle w:val="248"/>
              <w:spacing w:before="0" w:after="0" w:line="240" w:lineRule="auto"/>
              <w:rPr>
                <w:rFonts w:hint="eastAsia" w:ascii="宋体" w:hAnsi="宋体" w:eastAsia="宋体" w:cs="宋体"/>
                <w:color w:val="auto"/>
                <w:sz w:val="21"/>
                <w:szCs w:val="21"/>
                <w:highlight w:val="none"/>
              </w:rPr>
            </w:pPr>
          </w:p>
        </w:tc>
      </w:tr>
      <w:tr w14:paraId="6DB7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3F72C09">
            <w:pPr>
              <w:ind w:firstLine="28"/>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p>
        </w:tc>
        <w:tc>
          <w:tcPr>
            <w:tcW w:w="1140" w:type="dxa"/>
            <w:vAlign w:val="center"/>
          </w:tcPr>
          <w:p w14:paraId="68364EF1">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资料</w:t>
            </w:r>
            <w:r>
              <w:rPr>
                <w:rFonts w:hint="eastAsia" w:ascii="宋体" w:hAnsi="宋体" w:cs="宋体"/>
                <w:color w:val="auto"/>
                <w:szCs w:val="21"/>
                <w:highlight w:val="none"/>
                <w:shd w:val="clear"/>
                <w:lang w:val="en-US" w:eastAsia="zh-CN"/>
              </w:rPr>
              <w:t>收集整理</w:t>
            </w:r>
            <w:r>
              <w:rPr>
                <w:rFonts w:hint="eastAsia" w:ascii="宋体" w:hAnsi="宋体" w:eastAsia="宋体" w:cs="宋体"/>
                <w:color w:val="auto"/>
                <w:szCs w:val="21"/>
                <w:highlight w:val="none"/>
                <w:shd w:val="clear"/>
                <w:lang w:val="en-US" w:eastAsia="zh-CN"/>
              </w:rPr>
              <w:t>的管理措施</w:t>
            </w:r>
          </w:p>
        </w:tc>
        <w:tc>
          <w:tcPr>
            <w:tcW w:w="756" w:type="dxa"/>
            <w:vAlign w:val="center"/>
          </w:tcPr>
          <w:p w14:paraId="6579522A">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3</w:t>
            </w:r>
          </w:p>
        </w:tc>
        <w:tc>
          <w:tcPr>
            <w:tcW w:w="4585" w:type="dxa"/>
            <w:vAlign w:val="center"/>
          </w:tcPr>
          <w:p w14:paraId="0CF98957">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有完整</w:t>
            </w:r>
            <w:r>
              <w:rPr>
                <w:rFonts w:hint="eastAsia" w:ascii="宋体" w:hAnsi="宋体" w:cs="宋体"/>
                <w:color w:val="auto"/>
                <w:szCs w:val="21"/>
                <w:highlight w:val="none"/>
                <w:shd w:val="clear"/>
                <w:lang w:val="en-US" w:eastAsia="zh-CN"/>
              </w:rPr>
              <w:t>的</w:t>
            </w:r>
            <w:r>
              <w:rPr>
                <w:rFonts w:hint="eastAsia" w:ascii="宋体" w:hAnsi="宋体" w:eastAsia="宋体" w:cs="宋体"/>
                <w:color w:val="auto"/>
                <w:szCs w:val="21"/>
                <w:highlight w:val="none"/>
                <w:shd w:val="clear"/>
                <w:lang w:val="en-US" w:eastAsia="zh-CN"/>
              </w:rPr>
              <w:t>资料</w:t>
            </w:r>
            <w:r>
              <w:rPr>
                <w:rFonts w:hint="eastAsia" w:ascii="宋体" w:hAnsi="宋体" w:cs="宋体"/>
                <w:color w:val="auto"/>
                <w:szCs w:val="21"/>
                <w:highlight w:val="none"/>
                <w:shd w:val="clear"/>
                <w:lang w:val="en-US" w:eastAsia="zh-CN"/>
              </w:rPr>
              <w:t>收集整理</w:t>
            </w:r>
            <w:r>
              <w:rPr>
                <w:rFonts w:hint="eastAsia" w:ascii="宋体" w:hAnsi="宋体" w:eastAsia="宋体" w:cs="宋体"/>
                <w:color w:val="auto"/>
                <w:szCs w:val="21"/>
                <w:highlight w:val="none"/>
                <w:shd w:val="clear"/>
                <w:lang w:val="en-US" w:eastAsia="zh-CN"/>
              </w:rPr>
              <w:t>的管理措施，针对性强，对重点、难点把握准确，得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4EA15EBE">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针对性较强，对重点、难点把握基本准确，得</w:t>
            </w:r>
            <w:r>
              <w:rPr>
                <w:rFonts w:hint="eastAsia" w:ascii="宋体" w:hAnsi="宋体" w:cs="宋体"/>
                <w:color w:val="auto"/>
                <w:szCs w:val="21"/>
                <w:highlight w:val="none"/>
                <w:shd w:val="clear"/>
                <w:lang w:val="en-US" w:eastAsia="zh-CN"/>
              </w:rPr>
              <w:t>2</w:t>
            </w:r>
            <w:r>
              <w:rPr>
                <w:rFonts w:hint="eastAsia" w:ascii="宋体" w:hAnsi="宋体" w:eastAsia="宋体" w:cs="宋体"/>
                <w:color w:val="auto"/>
                <w:szCs w:val="21"/>
                <w:highlight w:val="none"/>
                <w:shd w:val="clear"/>
                <w:lang w:val="en-US" w:eastAsia="zh-CN"/>
              </w:rPr>
              <w:t>分；</w:t>
            </w:r>
          </w:p>
          <w:p w14:paraId="722D2046">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针对性欠合理，对重点、难点把握不准确，得</w:t>
            </w:r>
            <w:r>
              <w:rPr>
                <w:rFonts w:hint="eastAsia" w:ascii="宋体" w:hAnsi="宋体" w:cs="宋体"/>
                <w:color w:val="auto"/>
                <w:szCs w:val="21"/>
                <w:highlight w:val="none"/>
                <w:shd w:val="clear"/>
                <w:lang w:val="en-US" w:eastAsia="zh-CN"/>
              </w:rPr>
              <w:t>1</w:t>
            </w:r>
            <w:r>
              <w:rPr>
                <w:rFonts w:hint="eastAsia" w:ascii="宋体" w:hAnsi="宋体" w:eastAsia="宋体" w:cs="宋体"/>
                <w:color w:val="auto"/>
                <w:szCs w:val="21"/>
                <w:highlight w:val="none"/>
                <w:shd w:val="clear"/>
                <w:lang w:val="en-US" w:eastAsia="zh-CN"/>
              </w:rPr>
              <w:t>分；</w:t>
            </w:r>
          </w:p>
          <w:p w14:paraId="75EBA21F">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3F01E5DA">
            <w:pPr>
              <w:pStyle w:val="248"/>
              <w:spacing w:before="0" w:after="0" w:line="240" w:lineRule="auto"/>
              <w:rPr>
                <w:rFonts w:hint="eastAsia" w:ascii="宋体" w:hAnsi="宋体" w:eastAsia="宋体" w:cs="宋体"/>
                <w:color w:val="auto"/>
                <w:sz w:val="21"/>
                <w:szCs w:val="21"/>
                <w:highlight w:val="none"/>
              </w:rPr>
            </w:pPr>
          </w:p>
        </w:tc>
      </w:tr>
      <w:tr w14:paraId="3422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EADB2E3">
            <w:pPr>
              <w:ind w:firstLine="28"/>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w:t>
            </w:r>
          </w:p>
        </w:tc>
        <w:tc>
          <w:tcPr>
            <w:tcW w:w="1140" w:type="dxa"/>
            <w:vAlign w:val="center"/>
          </w:tcPr>
          <w:p w14:paraId="4B812E1D">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服务承诺</w:t>
            </w:r>
          </w:p>
        </w:tc>
        <w:tc>
          <w:tcPr>
            <w:tcW w:w="756" w:type="dxa"/>
            <w:vAlign w:val="center"/>
          </w:tcPr>
          <w:p w14:paraId="00137C93">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5</w:t>
            </w:r>
          </w:p>
        </w:tc>
        <w:tc>
          <w:tcPr>
            <w:tcW w:w="4585" w:type="dxa"/>
            <w:vAlign w:val="center"/>
          </w:tcPr>
          <w:p w14:paraId="6908BC4A">
            <w:pPr>
              <w:ind w:firstLine="0"/>
              <w:jc w:val="left"/>
              <w:rPr>
                <w:rFonts w:hint="eastAsia" w:ascii="宋体" w:hAnsi="宋体" w:eastAsia="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服务内容，服务质量</w:t>
            </w:r>
            <w:r>
              <w:rPr>
                <w:rFonts w:hint="eastAsia" w:ascii="宋体" w:hAnsi="宋体" w:eastAsia="宋体" w:cs="宋体"/>
                <w:color w:val="auto"/>
                <w:szCs w:val="21"/>
                <w:highlight w:val="none"/>
                <w:shd w:val="clear"/>
                <w:lang w:val="en-US" w:eastAsia="en-US"/>
              </w:rPr>
              <w:t>针对性强</w:t>
            </w:r>
            <w:r>
              <w:rPr>
                <w:rFonts w:hint="eastAsia" w:ascii="宋体" w:hAnsi="宋体" w:cs="宋体"/>
                <w:color w:val="auto"/>
                <w:szCs w:val="21"/>
                <w:highlight w:val="none"/>
                <w:shd w:val="clear"/>
                <w:lang w:val="en-US" w:eastAsia="zh-CN"/>
              </w:rPr>
              <w:t>，</w:t>
            </w:r>
            <w:r>
              <w:rPr>
                <w:rFonts w:hint="eastAsia" w:ascii="宋体" w:hAnsi="宋体" w:eastAsia="宋体" w:cs="宋体"/>
                <w:color w:val="auto"/>
                <w:szCs w:val="21"/>
                <w:highlight w:val="none"/>
                <w:shd w:val="clear"/>
                <w:lang w:val="en-US" w:eastAsia="en-US"/>
              </w:rPr>
              <w:t>科学合理，措施得力的，得</w:t>
            </w:r>
            <w:r>
              <w:rPr>
                <w:rFonts w:hint="eastAsia" w:ascii="宋体" w:hAnsi="宋体" w:eastAsia="宋体" w:cs="宋体"/>
                <w:color w:val="auto"/>
                <w:szCs w:val="21"/>
                <w:highlight w:val="none"/>
                <w:shd w:val="clear"/>
                <w:lang w:val="en-US" w:eastAsia="zh-CN"/>
              </w:rPr>
              <w:t>5</w:t>
            </w:r>
            <w:r>
              <w:rPr>
                <w:rFonts w:hint="eastAsia" w:ascii="宋体" w:hAnsi="宋体" w:eastAsia="宋体" w:cs="宋体"/>
                <w:color w:val="auto"/>
                <w:szCs w:val="21"/>
                <w:highlight w:val="none"/>
                <w:shd w:val="clear"/>
                <w:lang w:val="en-US" w:eastAsia="en-US"/>
              </w:rPr>
              <w:t>分</w:t>
            </w:r>
            <w:r>
              <w:rPr>
                <w:rFonts w:hint="eastAsia" w:ascii="宋体" w:hAnsi="宋体" w:eastAsia="宋体" w:cs="宋体"/>
                <w:color w:val="auto"/>
                <w:szCs w:val="21"/>
                <w:highlight w:val="none"/>
                <w:shd w:val="clear"/>
                <w:lang w:val="en-US" w:eastAsia="zh-CN"/>
              </w:rPr>
              <w:t>。</w:t>
            </w:r>
          </w:p>
          <w:p w14:paraId="079BDE6D">
            <w:pPr>
              <w:ind w:firstLine="0"/>
              <w:jc w:val="left"/>
              <w:rPr>
                <w:rFonts w:hint="eastAsia" w:ascii="宋体" w:hAnsi="宋体" w:eastAsia="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服务内容，服务质量</w:t>
            </w:r>
            <w:r>
              <w:rPr>
                <w:rFonts w:hint="eastAsia" w:ascii="宋体" w:hAnsi="宋体" w:eastAsia="宋体" w:cs="宋体"/>
                <w:color w:val="auto"/>
                <w:szCs w:val="21"/>
                <w:highlight w:val="none"/>
                <w:shd w:val="clear"/>
                <w:lang w:val="en-US" w:eastAsia="zh-CN"/>
              </w:rPr>
              <w:t>一般</w:t>
            </w:r>
            <w:r>
              <w:rPr>
                <w:rFonts w:hint="eastAsia" w:ascii="宋体" w:hAnsi="宋体" w:eastAsia="宋体" w:cs="宋体"/>
                <w:color w:val="auto"/>
                <w:szCs w:val="21"/>
                <w:highlight w:val="none"/>
                <w:shd w:val="clear"/>
                <w:lang w:val="en-US" w:eastAsia="en-US"/>
              </w:rPr>
              <w:t>，科学合理，措施</w:t>
            </w:r>
            <w:r>
              <w:rPr>
                <w:rFonts w:hint="eastAsia" w:ascii="宋体" w:hAnsi="宋体" w:eastAsia="宋体" w:cs="宋体"/>
                <w:color w:val="auto"/>
                <w:szCs w:val="21"/>
                <w:highlight w:val="none"/>
                <w:shd w:val="clear"/>
                <w:lang w:val="en-US" w:eastAsia="zh-CN"/>
              </w:rPr>
              <w:t>一般</w:t>
            </w:r>
            <w:r>
              <w:rPr>
                <w:rFonts w:hint="eastAsia" w:ascii="宋体" w:hAnsi="宋体" w:eastAsia="宋体" w:cs="宋体"/>
                <w:color w:val="auto"/>
                <w:szCs w:val="21"/>
                <w:highlight w:val="none"/>
                <w:shd w:val="clear"/>
                <w:lang w:val="en-US" w:eastAsia="en-US"/>
              </w:rPr>
              <w:t>，针对性</w:t>
            </w:r>
            <w:r>
              <w:rPr>
                <w:rFonts w:hint="eastAsia" w:ascii="宋体" w:hAnsi="宋体" w:eastAsia="宋体" w:cs="宋体"/>
                <w:color w:val="auto"/>
                <w:szCs w:val="21"/>
                <w:highlight w:val="none"/>
                <w:shd w:val="clear"/>
                <w:lang w:val="en-US" w:eastAsia="zh-CN"/>
              </w:rPr>
              <w:t>一般</w:t>
            </w:r>
            <w:r>
              <w:rPr>
                <w:rFonts w:hint="eastAsia" w:ascii="宋体" w:hAnsi="宋体" w:eastAsia="宋体" w:cs="宋体"/>
                <w:color w:val="auto"/>
                <w:szCs w:val="21"/>
                <w:highlight w:val="none"/>
                <w:shd w:val="clear"/>
                <w:lang w:val="en-US" w:eastAsia="en-US"/>
              </w:rPr>
              <w:t>的，得</w:t>
            </w:r>
            <w:r>
              <w:rPr>
                <w:rFonts w:hint="eastAsia" w:ascii="宋体" w:hAnsi="宋体" w:eastAsia="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en-US"/>
              </w:rPr>
              <w:t>分</w:t>
            </w:r>
            <w:r>
              <w:rPr>
                <w:rFonts w:hint="eastAsia" w:ascii="宋体" w:hAnsi="宋体" w:eastAsia="宋体" w:cs="宋体"/>
                <w:color w:val="auto"/>
                <w:szCs w:val="21"/>
                <w:highlight w:val="none"/>
                <w:shd w:val="clear"/>
                <w:lang w:val="en-US" w:eastAsia="zh-CN"/>
              </w:rPr>
              <w:t>。</w:t>
            </w:r>
          </w:p>
          <w:p w14:paraId="7FA51716">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服务内容，服务质量</w:t>
            </w:r>
            <w:r>
              <w:rPr>
                <w:rFonts w:hint="eastAsia" w:ascii="宋体" w:hAnsi="宋体" w:eastAsia="宋体" w:cs="宋体"/>
                <w:color w:val="auto"/>
                <w:szCs w:val="21"/>
                <w:highlight w:val="none"/>
                <w:shd w:val="clear"/>
                <w:lang w:val="en-US" w:eastAsia="zh-CN"/>
              </w:rPr>
              <w:t>缺乏</w:t>
            </w:r>
            <w:r>
              <w:rPr>
                <w:rFonts w:hint="eastAsia" w:ascii="宋体" w:hAnsi="宋体" w:eastAsia="宋体" w:cs="宋体"/>
                <w:color w:val="auto"/>
                <w:szCs w:val="21"/>
                <w:highlight w:val="none"/>
                <w:shd w:val="clear"/>
                <w:lang w:val="en-US" w:eastAsia="en-US"/>
              </w:rPr>
              <w:t>，科学合理，措施</w:t>
            </w:r>
            <w:r>
              <w:rPr>
                <w:rFonts w:hint="eastAsia" w:ascii="宋体" w:hAnsi="宋体" w:eastAsia="宋体" w:cs="宋体"/>
                <w:color w:val="auto"/>
                <w:szCs w:val="21"/>
                <w:highlight w:val="none"/>
                <w:shd w:val="clear"/>
                <w:lang w:val="en-US" w:eastAsia="zh-CN"/>
              </w:rPr>
              <w:t>缺乏</w:t>
            </w:r>
            <w:r>
              <w:rPr>
                <w:rFonts w:hint="eastAsia" w:ascii="宋体" w:hAnsi="宋体" w:eastAsia="宋体" w:cs="宋体"/>
                <w:color w:val="auto"/>
                <w:szCs w:val="21"/>
                <w:highlight w:val="none"/>
                <w:shd w:val="clear"/>
                <w:lang w:val="en-US" w:eastAsia="en-US"/>
              </w:rPr>
              <w:t>，针对性</w:t>
            </w:r>
            <w:r>
              <w:rPr>
                <w:rFonts w:hint="eastAsia" w:ascii="宋体" w:hAnsi="宋体" w:eastAsia="宋体" w:cs="宋体"/>
                <w:color w:val="auto"/>
                <w:szCs w:val="21"/>
                <w:highlight w:val="none"/>
                <w:shd w:val="clear"/>
                <w:lang w:val="en-US" w:eastAsia="zh-CN"/>
              </w:rPr>
              <w:t>缺乏</w:t>
            </w:r>
            <w:r>
              <w:rPr>
                <w:rFonts w:hint="eastAsia" w:ascii="宋体" w:hAnsi="宋体" w:eastAsia="宋体" w:cs="宋体"/>
                <w:color w:val="auto"/>
                <w:szCs w:val="21"/>
                <w:highlight w:val="none"/>
                <w:shd w:val="clear"/>
                <w:lang w:val="en-US" w:eastAsia="en-US"/>
              </w:rPr>
              <w:t>的，得</w:t>
            </w:r>
            <w:r>
              <w:rPr>
                <w:rFonts w:hint="eastAsia" w:ascii="宋体" w:hAnsi="宋体" w:eastAsia="宋体" w:cs="宋体"/>
                <w:color w:val="auto"/>
                <w:szCs w:val="21"/>
                <w:highlight w:val="none"/>
                <w:shd w:val="clear"/>
                <w:lang w:val="en-US" w:eastAsia="zh-CN"/>
              </w:rPr>
              <w:t>1</w:t>
            </w:r>
            <w:r>
              <w:rPr>
                <w:rFonts w:hint="eastAsia" w:ascii="宋体" w:hAnsi="宋体" w:eastAsia="宋体" w:cs="宋体"/>
                <w:color w:val="auto"/>
                <w:szCs w:val="21"/>
                <w:highlight w:val="none"/>
                <w:shd w:val="clear"/>
                <w:lang w:val="en-US" w:eastAsia="en-US"/>
              </w:rPr>
              <w:t>分</w:t>
            </w: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75D3BD7F">
            <w:pPr>
              <w:pStyle w:val="248"/>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8"/>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44E2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14:paraId="1383439C">
            <w:pPr>
              <w:ind w:left="-38"/>
              <w:jc w:val="center"/>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lang w:val="en-US" w:eastAsia="zh-CN" w:bidi="ar-SA"/>
              </w:rPr>
              <w:t>政策性得分（0分）</w:t>
            </w:r>
          </w:p>
        </w:tc>
      </w:tr>
      <w:tr w14:paraId="4AE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14:paraId="4E9771BA">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3FFEB5">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政策性得分</w:t>
            </w:r>
          </w:p>
        </w:tc>
        <w:tc>
          <w:tcPr>
            <w:tcW w:w="756" w:type="dxa"/>
            <w:vAlign w:val="center"/>
          </w:tcPr>
          <w:p w14:paraId="6145BBD0">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025" w:type="dxa"/>
            <w:gridSpan w:val="2"/>
            <w:vAlign w:val="center"/>
          </w:tcPr>
          <w:p w14:paraId="3C20378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r w14:paraId="3E8B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vAlign w:val="center"/>
          </w:tcPr>
          <w:p w14:paraId="42B1950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3C5088B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025" w:type="dxa"/>
            <w:gridSpan w:val="2"/>
            <w:vAlign w:val="center"/>
          </w:tcPr>
          <w:p w14:paraId="2D8C1EA9">
            <w:pPr>
              <w:rPr>
                <w:rFonts w:hint="eastAsia" w:ascii="宋体" w:hAnsi="宋体" w:eastAsia="宋体" w:cs="宋体"/>
                <w:color w:val="auto"/>
                <w:sz w:val="21"/>
                <w:szCs w:val="21"/>
                <w:highlight w:val="none"/>
              </w:rPr>
            </w:pPr>
          </w:p>
        </w:tc>
      </w:tr>
    </w:tbl>
    <w:p w14:paraId="17DA4672">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p w14:paraId="3430A298">
      <w:pPr>
        <w:widowControl/>
        <w:ind w:firstLine="3253" w:firstLineChars="900"/>
        <w:jc w:val="left"/>
        <w:textAlignment w:val="top"/>
        <w:rPr>
          <w:b/>
          <w:sz w:val="36"/>
          <w:szCs w:val="36"/>
        </w:rPr>
      </w:pPr>
      <w:r>
        <w:rPr>
          <w:b/>
          <w:sz w:val="36"/>
          <w:szCs w:val="36"/>
        </w:rPr>
        <w:t>第五章   采购需求</w:t>
      </w:r>
      <w:bookmarkEnd w:id="857"/>
    </w:p>
    <w:p w14:paraId="2DB6FD09">
      <w:pPr>
        <w:widowControl/>
        <w:ind w:firstLine="4337" w:firstLineChars="1200"/>
        <w:jc w:val="left"/>
        <w:textAlignment w:val="top"/>
        <w:rPr>
          <w:b/>
          <w:sz w:val="36"/>
          <w:szCs w:val="36"/>
        </w:rPr>
      </w:pPr>
    </w:p>
    <w:p w14:paraId="33AAE50A">
      <w:pPr>
        <w:pStyle w:val="259"/>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2521" w:type="dxa"/>
            <w:vAlign w:val="center"/>
          </w:tcPr>
          <w:p w14:paraId="7ADBC41D">
            <w:pPr>
              <w:spacing w:line="240" w:lineRule="auto"/>
              <w:contextualSpacing w:val="0"/>
              <w:jc w:val="center"/>
              <w:rPr>
                <w:rFonts w:hint="eastAsia" w:ascii="宋体" w:hAnsi="宋体" w:eastAsia="宋体" w:cs="宋体"/>
                <w:bCs/>
                <w:color w:val="auto"/>
                <w:sz w:val="24"/>
                <w:szCs w:val="24"/>
                <w:highlight w:val="none"/>
                <w:lang w:eastAsia="zh-CN"/>
              </w:rPr>
            </w:pPr>
            <w:r>
              <w:rPr>
                <w:rFonts w:hint="eastAsia" w:ascii="宋体" w:hAnsi="宋体" w:cs="宋体"/>
                <w:b w:val="0"/>
                <w:bCs/>
                <w:color w:val="auto"/>
                <w:sz w:val="24"/>
                <w:highlight w:val="none"/>
                <w:shd w:val="clear"/>
                <w:lang w:val="en-US" w:eastAsia="zh-CN"/>
              </w:rPr>
              <w:t>北京市八达岭林场管理处不动产登记办理项目-评估鉴定服务（安全及抗震性能鉴定）</w:t>
            </w:r>
          </w:p>
        </w:tc>
        <w:tc>
          <w:tcPr>
            <w:tcW w:w="1466" w:type="dxa"/>
            <w:vAlign w:val="center"/>
          </w:tcPr>
          <w:p w14:paraId="2F1CAA9B">
            <w:pPr>
              <w:spacing w:line="240" w:lineRule="auto"/>
              <w:contextualSpacing w:val="0"/>
              <w:jc w:val="center"/>
              <w:rPr>
                <w:rFonts w:hint="eastAsia" w:ascii="宋体" w:hAnsi="宋体" w:eastAsia="宋体" w:cs="宋体"/>
                <w:bCs/>
                <w:color w:val="auto"/>
                <w:sz w:val="24"/>
                <w:szCs w:val="24"/>
                <w:highlight w:val="none"/>
              </w:rPr>
            </w:pPr>
            <w:r>
              <w:rPr>
                <w:rFonts w:hint="eastAsia" w:ascii="宋体" w:hAnsi="宋体" w:cs="宋体"/>
                <w:b w:val="0"/>
                <w:bCs/>
                <w:color w:val="auto"/>
                <w:sz w:val="24"/>
                <w:highlight w:val="none"/>
                <w:shd w:val="clear"/>
                <w:lang w:val="en-US" w:eastAsia="zh-CN"/>
              </w:rPr>
              <w:t>55</w:t>
            </w:r>
          </w:p>
        </w:tc>
        <w:tc>
          <w:tcPr>
            <w:tcW w:w="840" w:type="dxa"/>
            <w:vAlign w:val="center"/>
          </w:tcPr>
          <w:p w14:paraId="3593DEF7">
            <w:pPr>
              <w:spacing w:line="240" w:lineRule="auto"/>
              <w:contextualSpacing w:val="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highlight w:val="none"/>
                <w:shd w:val="clear"/>
                <w:lang w:val="en-US" w:eastAsia="zh-CN"/>
              </w:rPr>
              <w:t>1项</w:t>
            </w:r>
          </w:p>
        </w:tc>
        <w:tc>
          <w:tcPr>
            <w:tcW w:w="3602" w:type="dxa"/>
            <w:vAlign w:val="center"/>
          </w:tcPr>
          <w:p w14:paraId="042659B1">
            <w:pPr>
              <w:spacing w:line="240" w:lineRule="auto"/>
              <w:contextualSpacing w:val="0"/>
              <w:jc w:val="center"/>
              <w:rPr>
                <w:rFonts w:hint="eastAsia" w:ascii="宋体" w:hAnsi="宋体" w:eastAsia="宋体" w:cs="宋体"/>
                <w:bCs/>
                <w:color w:val="auto"/>
                <w:kern w:val="2"/>
                <w:sz w:val="24"/>
                <w:szCs w:val="24"/>
                <w:highlight w:val="none"/>
                <w:u w:val="none"/>
              </w:rPr>
            </w:pPr>
            <w:r>
              <w:rPr>
                <w:rFonts w:hint="eastAsia" w:ascii="宋体" w:hAnsi="宋体" w:cs="宋体"/>
                <w:bCs/>
                <w:color w:val="auto"/>
                <w:sz w:val="24"/>
                <w:highlight w:val="none"/>
                <w:u w:val="none"/>
                <w:shd w:val="clear"/>
                <w:lang w:val="en-US" w:eastAsia="zh-CN"/>
              </w:rPr>
              <w:t>根据实际情况，完成结构体系核查、现场检测、结构外观调查、混凝土抗压强度检测、混凝土构件钢筋配置检测、混凝土构件保护层厚度检测、砌筑砂浆抗压强度检测、砌体强度检测、构件连接检测、安全及抗震鉴定等，出具鉴定报告书。</w:t>
            </w:r>
          </w:p>
        </w:tc>
      </w:tr>
    </w:tbl>
    <w:p w14:paraId="0C654B2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p>
    <w:p w14:paraId="56B6A518">
      <w:pPr>
        <w:pStyle w:val="259"/>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2DB97A8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 交付（实施）的时间（期限）和地点（范围）</w:t>
      </w:r>
    </w:p>
    <w:p w14:paraId="729AC3B1">
      <w:pPr>
        <w:keepNext w:val="0"/>
        <w:keepLines w:val="0"/>
        <w:pageBreakBefore w:val="0"/>
        <w:wordWrap/>
        <w:overflowPunct/>
        <w:topLinePunct w:val="0"/>
        <w:bidi w:val="0"/>
        <w:spacing w:line="36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1.1实施期限：自合同签订之日起22日历天。</w:t>
      </w:r>
    </w:p>
    <w:p w14:paraId="569EC855">
      <w:pPr>
        <w:keepNext w:val="0"/>
        <w:keepLines w:val="0"/>
        <w:pageBreakBefore w:val="0"/>
        <w:wordWrap/>
        <w:overflowPunct/>
        <w:topLinePunct w:val="0"/>
        <w:bidi w:val="0"/>
        <w:spacing w:line="36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1.2实施范围：森林公园教育培训基地及食堂、分场管理站业务用房、</w:t>
      </w:r>
      <w:r>
        <w:rPr>
          <w:rFonts w:hint="eastAsia" w:hAnsi="宋体" w:eastAsia="宋体" w:cs="宋体"/>
          <w:color w:val="auto"/>
          <w:spacing w:val="9"/>
          <w:sz w:val="24"/>
          <w:szCs w:val="24"/>
          <w:highlight w:val="none"/>
          <w:shd w:val="clear"/>
          <w:lang w:val="en-US" w:eastAsia="zh-CN"/>
        </w:rPr>
        <w:t>防火队营房等4处房产，共约8700平方米，完成上述房产的安全及抗震性能鉴定。</w:t>
      </w:r>
    </w:p>
    <w:p w14:paraId="6B54769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付款条件（进度和方式）</w:t>
      </w:r>
    </w:p>
    <w:p w14:paraId="6725878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详见本招标文件第六章拟签订的合同文本中“第</w:t>
      </w:r>
      <w:r>
        <w:rPr>
          <w:rFonts w:hint="eastAsia" w:ascii="宋体" w:hAnsi="宋体" w:cs="宋体"/>
          <w:b/>
          <w:bCs/>
          <w:snapToGrid w:val="0"/>
          <w:color w:val="auto"/>
          <w:sz w:val="24"/>
          <w:szCs w:val="24"/>
          <w:highlight w:val="none"/>
          <w:lang w:val="en-US" w:eastAsia="zh-CN" w:bidi="ar-SA"/>
        </w:rPr>
        <w:t>五</w:t>
      </w:r>
      <w:r>
        <w:rPr>
          <w:rFonts w:hint="eastAsia" w:ascii="宋体" w:hAnsi="宋体" w:eastAsia="宋体" w:cs="宋体"/>
          <w:b/>
          <w:bCs/>
          <w:snapToGrid w:val="0"/>
          <w:color w:val="auto"/>
          <w:sz w:val="24"/>
          <w:szCs w:val="24"/>
          <w:highlight w:val="none"/>
          <w:lang w:val="en-US" w:eastAsia="zh-CN" w:bidi="ar-SA"/>
        </w:rPr>
        <w:t xml:space="preserve">条 </w:t>
      </w:r>
      <w:r>
        <w:rPr>
          <w:rFonts w:hint="eastAsia" w:ascii="宋体" w:hAnsi="宋体" w:eastAsia="宋体" w:cs="宋体"/>
          <w:b/>
          <w:bCs/>
          <w:snapToGrid w:val="0"/>
          <w:color w:val="auto"/>
          <w:sz w:val="24"/>
          <w:szCs w:val="24"/>
          <w:highlight w:val="none"/>
        </w:rPr>
        <w:t>报酬及其支付方式</w:t>
      </w:r>
      <w:r>
        <w:rPr>
          <w:rFonts w:hint="eastAsia" w:ascii="宋体" w:hAnsi="宋体" w:eastAsia="宋体" w:cs="宋体"/>
          <w:b/>
          <w:bCs/>
          <w:snapToGrid w:val="0"/>
          <w:color w:val="auto"/>
          <w:sz w:val="24"/>
          <w:szCs w:val="24"/>
          <w:highlight w:val="none"/>
          <w:lang w:val="en-US" w:eastAsia="zh-CN" w:bidi="ar-SA"/>
        </w:rPr>
        <w:t>”</w:t>
      </w:r>
    </w:p>
    <w:p w14:paraId="1081818F">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i/>
          <w:color w:val="auto"/>
          <w:sz w:val="24"/>
          <w:szCs w:val="24"/>
          <w:highlight w:val="none"/>
        </w:rPr>
      </w:pPr>
    </w:p>
    <w:p w14:paraId="65E44D73">
      <w:pPr>
        <w:pStyle w:val="259"/>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3E7B2897">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检测鉴定目的 </w:t>
      </w:r>
    </w:p>
    <w:p w14:paraId="06B94266">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为全面了解建筑主体结构的安全性及抗震性，确保后续使用安全，要求供应商拟对本项目建筑主体结构进行现状检测、安全性及抗震鉴定，并对其可能 存在的安全隐患、损伤情况提出相应的合理化建议。 </w:t>
      </w:r>
    </w:p>
    <w:p w14:paraId="178BA28A">
      <w:pPr>
        <w:numPr>
          <w:ilvl w:val="-1"/>
          <w:numId w:val="0"/>
        </w:num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检测鉴定依据 </w:t>
      </w:r>
    </w:p>
    <w:p w14:paraId="55BA048D">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《建筑结构检测技术标准》（GB/T 50344-2019）； </w:t>
      </w:r>
    </w:p>
    <w:p w14:paraId="483C309E">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《混凝土结构现场检测技术标准》（GB/T 50784-2013）； </w:t>
      </w:r>
    </w:p>
    <w:p w14:paraId="671D1E63">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《混凝土结构工程施工质量验收规范》（GB 50204-2015）； </w:t>
      </w:r>
    </w:p>
    <w:p w14:paraId="0E8B775F">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《回弹法检测混凝土抗压强度技术规程》（JGJ/T 23-2011）； </w:t>
      </w:r>
    </w:p>
    <w:p w14:paraId="682B3EAE">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《混凝土中钢筋检测技术标准》（JGJ/T 152-2019）； </w:t>
      </w:r>
    </w:p>
    <w:p w14:paraId="39C39F00">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《砌体工程现场检测技术标准》（GB/T 50315-2011）； </w:t>
      </w:r>
    </w:p>
    <w:p w14:paraId="0BBDEFD0">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《砌体结构工程施工质量验收规范》（GB 50203-2011）； </w:t>
      </w:r>
    </w:p>
    <w:p w14:paraId="0D57C2A8">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《贯入法检测砌筑砂浆抗压强度技术规程》（JGJ/T 136-2017）； </w:t>
      </w:r>
    </w:p>
    <w:p w14:paraId="6A1B5FE7">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《房屋结构检测与鉴定操作规程》（DB11/T 849-2021）； </w:t>
      </w:r>
    </w:p>
    <w:p w14:paraId="15D13F26">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《建筑变形测量规范》（JG/J8-2016）； </w:t>
      </w:r>
    </w:p>
    <w:p w14:paraId="5724210F">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《建筑结构荷载规范》（GB 50009-2012）； </w:t>
      </w:r>
    </w:p>
    <w:p w14:paraId="40E2689C">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《混凝土结构设计规范》（GB 50010-2010）（2015年版）； </w:t>
      </w:r>
    </w:p>
    <w:p w14:paraId="2AFFAC45">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《民用建筑可靠性鉴定标准》（GB 50292-2015）； </w:t>
      </w:r>
    </w:p>
    <w:p w14:paraId="6E5B98FD">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《建筑抗震鉴定标准》（GB 50023-2009）； </w:t>
      </w:r>
    </w:p>
    <w:p w14:paraId="4E01F87C">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其他相关的国家规范、规程及标准；</w:t>
      </w:r>
    </w:p>
    <w:p w14:paraId="41B8676A">
      <w:pPr>
        <w:numPr>
          <w:ilvl w:val="-1"/>
          <w:numId w:val="0"/>
        </w:numPr>
        <w:spacing w:line="360" w:lineRule="auto"/>
        <w:ind w:left="0" w:leftChars="0" w:firstLine="0" w:firstLineChars="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检测鉴定内容 </w:t>
      </w:r>
    </w:p>
    <w:p w14:paraId="3657CE5A">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结构体系检查； </w:t>
      </w:r>
    </w:p>
    <w:p w14:paraId="22562143">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外观质量缺陷检查； </w:t>
      </w:r>
    </w:p>
    <w:p w14:paraId="6B6D2E36">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混凝土抗压强度检测； </w:t>
      </w:r>
    </w:p>
    <w:p w14:paraId="740F1E11">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混凝土碳化深度检测； </w:t>
      </w:r>
    </w:p>
    <w:p w14:paraId="1882D524">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钢筋保护层厚度检测； </w:t>
      </w:r>
    </w:p>
    <w:p w14:paraId="5C9AAB9F">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钢筋配置检测； </w:t>
      </w:r>
    </w:p>
    <w:p w14:paraId="027B1C6F">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 砌体砖抗压强度检测； </w:t>
      </w:r>
    </w:p>
    <w:p w14:paraId="1385514A">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 砌筑砂浆抗压强度检测； </w:t>
      </w:r>
    </w:p>
    <w:p w14:paraId="2BEFFBD5">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 结构平面布置检测； </w:t>
      </w:r>
    </w:p>
    <w:p w14:paraId="1F0A1C89">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（10）钢筋配置检测； </w:t>
      </w:r>
    </w:p>
    <w:p w14:paraId="59249F81">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（11）构件连接检测； </w:t>
      </w:r>
    </w:p>
    <w:p w14:paraId="5ED41123">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（12）结构构件变形检测； </w:t>
      </w:r>
    </w:p>
    <w:p w14:paraId="0C02E108">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（13）安全性鉴定； </w:t>
      </w:r>
    </w:p>
    <w:p w14:paraId="387910AF">
      <w:pPr>
        <w:spacing w:line="360" w:lineRule="auto"/>
        <w:ind w:left="0"/>
        <w:contextualSpacing/>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（14）抗震鉴定；</w:t>
      </w:r>
    </w:p>
    <w:p w14:paraId="0D6AACD5">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i/>
          <w:iCs/>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验收标准</w:t>
      </w:r>
    </w:p>
    <w:p w14:paraId="4382537D">
      <w:pPr>
        <w:keepNext w:val="0"/>
        <w:keepLines w:val="0"/>
        <w:pageBreakBefore w:val="0"/>
        <w:widowControl/>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按招标文件和合同约定进行验收</w:t>
      </w:r>
    </w:p>
    <w:p w14:paraId="1C180E54">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其他要求</w:t>
      </w:r>
    </w:p>
    <w:p w14:paraId="4EDD45C3">
      <w:pPr>
        <w:keepNext w:val="0"/>
        <w:keepLines w:val="0"/>
        <w:pageBreakBefore w:val="0"/>
        <w:wordWrap/>
        <w:overflowPunct/>
        <w:topLinePunct w:val="0"/>
        <w:bidi w:val="0"/>
        <w:adjustRightInd w:val="0"/>
        <w:snapToGrid w:val="0"/>
        <w:spacing w:line="360" w:lineRule="auto"/>
        <w:ind w:left="0" w:firstLine="0" w:firstLineChars="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1.除招标文件另有规定外，若出现有关法律、法规和规章有强制性规定但招标文件未列明的情形，则投标人应按照有关法律、法规和规章强制性规定执行。 </w:t>
      </w:r>
    </w:p>
    <w:p w14:paraId="7D1F4984">
      <w:pPr>
        <w:adjustRightInd w:val="0"/>
        <w:snapToGrid w:val="0"/>
        <w:spacing w:line="360" w:lineRule="auto"/>
        <w:textAlignment w:val="baseline"/>
        <w:rPr>
          <w:color w:val="auto"/>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2.本招标文件未明确的其它约定事项或条款，待采购人与投标人签订合同时，由双方协商订立。</w:t>
      </w:r>
    </w:p>
    <w:p w14:paraId="3112B2BB">
      <w:pPr>
        <w:rPr>
          <w:b/>
          <w:sz w:val="36"/>
          <w:szCs w:val="36"/>
        </w:rPr>
      </w:pPr>
      <w:r>
        <w:rPr>
          <w:b/>
          <w:sz w:val="36"/>
          <w:szCs w:val="36"/>
        </w:rPr>
        <w:br w:type="page"/>
      </w:r>
    </w:p>
    <w:p w14:paraId="2827209F">
      <w:pPr>
        <w:pStyle w:val="2"/>
      </w:pPr>
    </w:p>
    <w:p w14:paraId="1FAAE63D">
      <w:pPr>
        <w:spacing w:line="360" w:lineRule="auto"/>
        <w:ind w:firstLine="2168" w:firstLineChars="600"/>
        <w:jc w:val="both"/>
        <w:outlineLvl w:val="0"/>
        <w:rPr>
          <w:b/>
          <w:sz w:val="36"/>
          <w:szCs w:val="36"/>
        </w:rPr>
      </w:pPr>
      <w:r>
        <w:rPr>
          <w:b/>
          <w:sz w:val="36"/>
          <w:szCs w:val="36"/>
        </w:rPr>
        <w:t>第六章   拟签订的合同文本</w:t>
      </w:r>
      <w:bookmarkEnd w:id="858"/>
    </w:p>
    <w:p w14:paraId="46249B87">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1CFC429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59"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60"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60"/>
    <w:p w14:paraId="5260DBEC">
      <w:pPr>
        <w:tabs>
          <w:tab w:val="left" w:pos="900"/>
          <w:tab w:val="left" w:pos="1080"/>
        </w:tabs>
        <w:snapToGrid w:val="0"/>
        <w:spacing w:line="360" w:lineRule="auto"/>
        <w:rPr>
          <w:rFonts w:hint="eastAsia" w:ascii="宋体" w:hAnsi="宋体" w:eastAsia="宋体" w:cs="宋体"/>
          <w:kern w:val="0"/>
          <w:sz w:val="24"/>
        </w:rPr>
      </w:pPr>
      <w:bookmarkStart w:id="861"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59"/>
    <w:bookmarkEnd w:id="861"/>
    <w:p w14:paraId="69D15C89">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5217A2">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32E332C0">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AB60BD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5CCCE403">
      <w:pPr>
        <w:pStyle w:val="38"/>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62"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62"/>
    </w:p>
    <w:p w14:paraId="1EF93182">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1FCD7B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63"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63"/>
    </w:p>
    <w:p w14:paraId="11B6A447">
      <w:pPr>
        <w:rPr>
          <w:rFonts w:hint="eastAsia" w:ascii="宋体" w:hAnsi="宋体" w:eastAsia="宋体" w:cs="宋体"/>
          <w:sz w:val="24"/>
        </w:rPr>
      </w:pPr>
      <w:r>
        <w:rPr>
          <w:rFonts w:hint="eastAsia" w:ascii="宋体" w:hAnsi="宋体" w:eastAsia="宋体" w:cs="宋体"/>
          <w:sz w:val="24"/>
        </w:rPr>
        <w:br w:type="page"/>
      </w:r>
    </w:p>
    <w:p w14:paraId="6F72FCDD">
      <w:pPr>
        <w:ind w:firstLine="6080" w:firstLineChars="1900"/>
        <w:rPr>
          <w:rFonts w:hint="default" w:eastAsia="宋体"/>
          <w:szCs w:val="20"/>
          <w:highlight w:val="none"/>
          <w:u w:val="single"/>
          <w:lang w:val="en-US" w:eastAsia="zh-CN"/>
        </w:rPr>
      </w:pPr>
      <w:r>
        <w:rPr>
          <w:rFonts w:hint="eastAsia"/>
          <w:sz w:val="32"/>
          <w:highlight w:val="none"/>
        </w:rPr>
        <w:t>合同编号</w:t>
      </w:r>
      <w:r>
        <w:rPr>
          <w:sz w:val="32"/>
          <w:highlight w:val="none"/>
        </w:rPr>
        <w:t>:</w:t>
      </w:r>
      <w:r>
        <w:rPr>
          <w:rFonts w:hint="eastAsia"/>
          <w:sz w:val="32"/>
          <w:highlight w:val="none"/>
          <w:u w:val="single"/>
        </w:rPr>
        <w:t xml:space="preserve"> </w:t>
      </w:r>
      <w:r>
        <w:rPr>
          <w:rFonts w:hint="eastAsia"/>
          <w:sz w:val="32"/>
          <w:highlight w:val="none"/>
          <w:u w:val="single"/>
          <w:lang w:val="en-US" w:eastAsia="zh-CN"/>
        </w:rPr>
        <w:t xml:space="preserve">           </w:t>
      </w:r>
    </w:p>
    <w:p w14:paraId="4FA65801">
      <w:pPr>
        <w:spacing w:before="300"/>
        <w:jc w:val="center"/>
        <w:rPr>
          <w:rFonts w:hint="eastAsia" w:eastAsia="标宋体"/>
          <w:spacing w:val="180"/>
          <w:sz w:val="48"/>
          <w:highlight w:val="none"/>
        </w:rPr>
      </w:pPr>
    </w:p>
    <w:p w14:paraId="098BBDE2">
      <w:pPr>
        <w:pStyle w:val="2"/>
        <w:rPr>
          <w:rFonts w:hint="eastAsia"/>
          <w:highlight w:val="none"/>
        </w:rPr>
      </w:pPr>
    </w:p>
    <w:p w14:paraId="6E94ECB0">
      <w:pPr>
        <w:spacing w:before="300"/>
        <w:jc w:val="center"/>
        <w:rPr>
          <w:rFonts w:hint="eastAsia" w:eastAsia="标宋体"/>
          <w:spacing w:val="180"/>
          <w:sz w:val="48"/>
          <w:highlight w:val="none"/>
        </w:rPr>
      </w:pPr>
    </w:p>
    <w:p w14:paraId="53E58183">
      <w:pPr>
        <w:spacing w:before="300"/>
        <w:jc w:val="center"/>
        <w:rPr>
          <w:rFonts w:hint="eastAsia" w:eastAsia="标宋体"/>
          <w:spacing w:val="180"/>
          <w:sz w:val="48"/>
          <w:highlight w:val="none"/>
        </w:rPr>
      </w:pPr>
      <w:r>
        <w:rPr>
          <w:rFonts w:hint="eastAsia" w:eastAsia="标宋体"/>
          <w:spacing w:val="180"/>
          <w:sz w:val="48"/>
          <w:highlight w:val="none"/>
        </w:rPr>
        <w:t>技术服务合同</w:t>
      </w:r>
    </w:p>
    <w:p w14:paraId="40B4BE6E">
      <w:pPr>
        <w:rPr>
          <w:sz w:val="30"/>
          <w:szCs w:val="20"/>
          <w:highlight w:val="none"/>
        </w:rPr>
      </w:pPr>
    </w:p>
    <w:p w14:paraId="43DD19BE">
      <w:pPr>
        <w:pStyle w:val="2"/>
        <w:rPr>
          <w:sz w:val="30"/>
          <w:szCs w:val="20"/>
          <w:highlight w:val="none"/>
        </w:rPr>
      </w:pPr>
    </w:p>
    <w:p w14:paraId="28C8B3AF">
      <w:pPr>
        <w:pStyle w:val="2"/>
        <w:rPr>
          <w:sz w:val="30"/>
          <w:szCs w:val="20"/>
          <w:highlight w:val="none"/>
        </w:rPr>
      </w:pPr>
    </w:p>
    <w:p w14:paraId="0FE53D58">
      <w:pPr>
        <w:pStyle w:val="2"/>
        <w:rPr>
          <w:sz w:val="30"/>
          <w:szCs w:val="20"/>
          <w:highlight w:val="none"/>
        </w:rPr>
      </w:pPr>
    </w:p>
    <w:p w14:paraId="48B9E837">
      <w:pPr>
        <w:pStyle w:val="2"/>
        <w:rPr>
          <w:sz w:val="30"/>
          <w:szCs w:val="20"/>
          <w:highlight w:val="none"/>
        </w:rPr>
      </w:pPr>
    </w:p>
    <w:p w14:paraId="0861BD54">
      <w:pPr>
        <w:pStyle w:val="2"/>
        <w:rPr>
          <w:sz w:val="30"/>
          <w:szCs w:val="20"/>
          <w:highlight w:val="none"/>
        </w:rPr>
      </w:pPr>
    </w:p>
    <w:p w14:paraId="4E8D704E">
      <w:pPr>
        <w:pStyle w:val="2"/>
        <w:rPr>
          <w:sz w:val="30"/>
          <w:szCs w:val="20"/>
          <w:highlight w:val="none"/>
        </w:rPr>
      </w:pPr>
    </w:p>
    <w:p w14:paraId="39E85FBF">
      <w:pPr>
        <w:pStyle w:val="2"/>
        <w:rPr>
          <w:sz w:val="30"/>
          <w:szCs w:val="20"/>
          <w:highlight w:val="none"/>
        </w:rPr>
      </w:pPr>
    </w:p>
    <w:p w14:paraId="4367930E">
      <w:pPr>
        <w:pStyle w:val="2"/>
        <w:rPr>
          <w:highlight w:val="none"/>
        </w:rPr>
      </w:pPr>
    </w:p>
    <w:p w14:paraId="668DFD13">
      <w:pPr>
        <w:rPr>
          <w:sz w:val="30"/>
          <w:szCs w:val="20"/>
          <w:highlight w:val="none"/>
        </w:rPr>
      </w:pPr>
    </w:p>
    <w:p w14:paraId="48DA2233">
      <w:pPr>
        <w:ind w:left="1800" w:hanging="1800" w:hangingChars="600"/>
        <w:rPr>
          <w:color w:val="FF0000"/>
          <w:sz w:val="30"/>
          <w:highlight w:val="none"/>
          <w:u w:val="single"/>
        </w:rPr>
      </w:pPr>
      <w:r>
        <w:rPr>
          <w:rFonts w:hint="eastAsia"/>
          <w:sz w:val="30"/>
          <w:highlight w:val="none"/>
        </w:rPr>
        <w:t>项目名称</w:t>
      </w:r>
      <w:r>
        <w:rPr>
          <w:sz w:val="30"/>
          <w:highlight w:val="none"/>
        </w:rPr>
        <w:t xml:space="preserve">: </w:t>
      </w:r>
      <w:r>
        <w:rPr>
          <w:rFonts w:hint="eastAsia"/>
          <w:color w:val="FF0000"/>
          <w:sz w:val="30"/>
          <w:highlight w:val="none"/>
        </w:rPr>
        <w:t xml:space="preserve"> </w:t>
      </w:r>
      <w:r>
        <w:rPr>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sz w:val="30"/>
          <w:highlight w:val="none"/>
          <w:u w:val="single"/>
        </w:rPr>
        <w:t xml:space="preserve">   </w:t>
      </w:r>
    </w:p>
    <w:p w14:paraId="0DE523E4">
      <w:pPr>
        <w:spacing w:before="360" w:line="360" w:lineRule="exact"/>
        <w:rPr>
          <w:rFonts w:hint="eastAsia"/>
          <w:sz w:val="30"/>
          <w:highlight w:val="none"/>
          <w:u w:val="single"/>
        </w:rPr>
      </w:pPr>
      <w:r>
        <w:rPr>
          <w:rFonts w:hint="eastAsia"/>
          <w:sz w:val="30"/>
          <w:highlight w:val="none"/>
          <w:lang w:eastAsia="zh-CN"/>
        </w:rPr>
        <w:t>甲</w:t>
      </w:r>
      <w:r>
        <w:rPr>
          <w:rFonts w:hint="eastAsia"/>
          <w:sz w:val="30"/>
          <w:highlight w:val="none"/>
          <w:lang w:val="en-US" w:eastAsia="zh-CN"/>
        </w:rPr>
        <w:t xml:space="preserve">    </w:t>
      </w:r>
      <w:r>
        <w:rPr>
          <w:rFonts w:hint="eastAsia"/>
          <w:sz w:val="30"/>
          <w:highlight w:val="none"/>
          <w:lang w:eastAsia="zh-CN"/>
        </w:rPr>
        <w:t>方</w:t>
      </w:r>
      <w:r>
        <w:rPr>
          <w:sz w:val="30"/>
          <w:highlight w:val="none"/>
        </w:rPr>
        <w:t>:</w:t>
      </w:r>
      <w:r>
        <w:rPr>
          <w:rFonts w:hint="eastAsia"/>
          <w:color w:val="FF0000"/>
          <w:sz w:val="30"/>
          <w:highlight w:val="none"/>
        </w:rPr>
        <w:t xml:space="preserve"> </w:t>
      </w:r>
      <w:r>
        <w:rPr>
          <w:rFonts w:hint="eastAsia"/>
          <w:sz w:val="30"/>
          <w:highlight w:val="none"/>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p>
    <w:p w14:paraId="5B23DA7E">
      <w:pPr>
        <w:spacing w:before="360" w:line="400" w:lineRule="exact"/>
        <w:rPr>
          <w:rFonts w:hint="eastAsia"/>
          <w:sz w:val="30"/>
          <w:szCs w:val="20"/>
          <w:highlight w:val="none"/>
          <w:u w:val="single"/>
        </w:rPr>
      </w:pPr>
      <w:r>
        <w:rPr>
          <w:rFonts w:hint="eastAsia"/>
          <w:sz w:val="30"/>
          <w:highlight w:val="none"/>
          <w:lang w:eastAsia="zh-CN"/>
        </w:rPr>
        <w:t>乙</w:t>
      </w:r>
      <w:r>
        <w:rPr>
          <w:rFonts w:hint="eastAsia"/>
          <w:sz w:val="30"/>
          <w:highlight w:val="none"/>
          <w:lang w:val="en-US" w:eastAsia="zh-CN"/>
        </w:rPr>
        <w:t xml:space="preserve">    </w:t>
      </w:r>
      <w:r>
        <w:rPr>
          <w:rFonts w:hint="eastAsia"/>
          <w:sz w:val="30"/>
          <w:highlight w:val="none"/>
          <w:lang w:eastAsia="zh-CN"/>
        </w:rPr>
        <w:t>方</w:t>
      </w:r>
      <w:r>
        <w:rPr>
          <w:sz w:val="30"/>
          <w:highlight w:val="none"/>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r>
        <w:rPr>
          <w:sz w:val="30"/>
          <w:highlight w:val="none"/>
          <w:u w:val="single"/>
        </w:rPr>
        <w:t xml:space="preserve"> </w:t>
      </w:r>
      <w:r>
        <w:rPr>
          <w:rFonts w:hint="eastAsia"/>
          <w:sz w:val="30"/>
          <w:highlight w:val="none"/>
          <w:u w:val="single"/>
        </w:rPr>
        <w:t xml:space="preserve">   </w:t>
      </w:r>
    </w:p>
    <w:p w14:paraId="30C67345">
      <w:pPr>
        <w:spacing w:line="360" w:lineRule="exact"/>
        <w:rPr>
          <w:sz w:val="28"/>
          <w:szCs w:val="20"/>
          <w:highlight w:val="none"/>
        </w:rPr>
      </w:pPr>
    </w:p>
    <w:p w14:paraId="526D7940">
      <w:pPr>
        <w:rPr>
          <w:sz w:val="28"/>
          <w:szCs w:val="20"/>
          <w:highlight w:val="none"/>
        </w:rPr>
      </w:pPr>
    </w:p>
    <w:p w14:paraId="7ACE8576">
      <w:pPr>
        <w:rPr>
          <w:sz w:val="28"/>
          <w:szCs w:val="20"/>
          <w:highlight w:val="none"/>
        </w:rPr>
      </w:pPr>
    </w:p>
    <w:p w14:paraId="3F4A173E">
      <w:pPr>
        <w:rPr>
          <w:sz w:val="28"/>
          <w:szCs w:val="20"/>
          <w:highlight w:val="none"/>
        </w:rPr>
      </w:pPr>
    </w:p>
    <w:p w14:paraId="7892894A">
      <w:pPr>
        <w:pStyle w:val="2"/>
        <w:ind w:firstLine="0"/>
        <w:rPr>
          <w:sz w:val="28"/>
          <w:szCs w:val="20"/>
          <w:highlight w:val="none"/>
        </w:rPr>
      </w:pPr>
    </w:p>
    <w:p w14:paraId="5FCE8A16">
      <w:pPr>
        <w:pStyle w:val="2"/>
        <w:rPr>
          <w:sz w:val="28"/>
          <w:szCs w:val="20"/>
          <w:highlight w:val="none"/>
        </w:rPr>
      </w:pPr>
    </w:p>
    <w:p w14:paraId="7DACECC7">
      <w:pPr>
        <w:pStyle w:val="2"/>
        <w:rPr>
          <w:sz w:val="28"/>
          <w:szCs w:val="20"/>
          <w:highlight w:val="none"/>
        </w:rPr>
      </w:pPr>
    </w:p>
    <w:p w14:paraId="7A0A10B8">
      <w:pPr>
        <w:rPr>
          <w:rFonts w:hint="eastAsia"/>
          <w:sz w:val="28"/>
          <w:szCs w:val="20"/>
          <w:highlight w:val="none"/>
        </w:rPr>
      </w:pPr>
    </w:p>
    <w:p w14:paraId="586A22DA">
      <w:pPr>
        <w:spacing w:line="440" w:lineRule="exact"/>
        <w:rPr>
          <w:rFonts w:hint="eastAsia" w:eastAsia="宋体"/>
          <w:sz w:val="28"/>
          <w:highlight w:val="none"/>
          <w:lang w:val="en-US" w:eastAsia="zh-CN"/>
        </w:rPr>
      </w:pPr>
      <w:r>
        <w:rPr>
          <w:rFonts w:hint="eastAsia"/>
          <w:sz w:val="30"/>
          <w:highlight w:val="none"/>
        </w:rPr>
        <w:t>签订地点</w:t>
      </w:r>
      <w:r>
        <w:rPr>
          <w:sz w:val="30"/>
          <w:highlight w:val="none"/>
        </w:rPr>
        <w:t xml:space="preserve">:  </w:t>
      </w:r>
      <w:r>
        <w:rPr>
          <w:rFonts w:hint="eastAsia"/>
          <w:sz w:val="30"/>
          <w:highlight w:val="none"/>
          <w:lang w:val="en-US" w:eastAsia="zh-CN"/>
        </w:rPr>
        <w:t xml:space="preserve">    </w:t>
      </w:r>
      <w:r>
        <w:rPr>
          <w:rFonts w:hint="eastAsia"/>
          <w:sz w:val="28"/>
          <w:highlight w:val="none"/>
        </w:rPr>
        <w:t>北京市</w:t>
      </w:r>
      <w:r>
        <w:rPr>
          <w:rFonts w:hint="eastAsia"/>
          <w:sz w:val="28"/>
          <w:highlight w:val="none"/>
          <w:lang w:eastAsia="zh-CN"/>
        </w:rPr>
        <w:t>八达岭林场管理处</w:t>
      </w:r>
    </w:p>
    <w:p w14:paraId="02AF317D">
      <w:pPr>
        <w:spacing w:line="440" w:lineRule="exact"/>
        <w:rPr>
          <w:rFonts w:hint="default" w:eastAsia="宋体"/>
          <w:sz w:val="30"/>
          <w:szCs w:val="20"/>
          <w:highlight w:val="none"/>
          <w:lang w:val="en-US" w:eastAsia="zh-CN"/>
        </w:rPr>
      </w:pPr>
      <w:r>
        <w:rPr>
          <w:rFonts w:hint="eastAsia"/>
          <w:sz w:val="30"/>
          <w:highlight w:val="none"/>
        </w:rPr>
        <w:t>签订日期</w:t>
      </w:r>
      <w:r>
        <w:rPr>
          <w:sz w:val="30"/>
          <w:highlight w:val="none"/>
        </w:rPr>
        <w:t xml:space="preserve">:  </w:t>
      </w:r>
      <w:r>
        <w:rPr>
          <w:rFonts w:hint="eastAsia"/>
          <w:sz w:val="30"/>
          <w:highlight w:val="none"/>
          <w:lang w:val="en-US" w:eastAsia="zh-CN"/>
        </w:rPr>
        <w:t xml:space="preserve">    </w:t>
      </w:r>
      <w:r>
        <w:rPr>
          <w:rFonts w:hint="eastAsia"/>
          <w:sz w:val="30"/>
          <w:highlight w:val="none"/>
        </w:rPr>
        <w:t xml:space="preserve">年 </w:t>
      </w:r>
      <w:r>
        <w:rPr>
          <w:rFonts w:hint="eastAsia"/>
          <w:sz w:val="30"/>
          <w:highlight w:val="none"/>
          <w:lang w:val="en-US" w:eastAsia="zh-CN"/>
        </w:rPr>
        <w:t xml:space="preserve">  </w:t>
      </w:r>
      <w:r>
        <w:rPr>
          <w:rFonts w:hint="eastAsia"/>
          <w:sz w:val="30"/>
          <w:highlight w:val="none"/>
        </w:rPr>
        <w:t xml:space="preserve"> 月</w:t>
      </w:r>
      <w:r>
        <w:rPr>
          <w:sz w:val="30"/>
          <w:highlight w:val="none"/>
        </w:rPr>
        <w:t xml:space="preserve"> </w:t>
      </w:r>
      <w:r>
        <w:rPr>
          <w:rFonts w:hint="eastAsia"/>
          <w:sz w:val="30"/>
          <w:highlight w:val="none"/>
          <w:lang w:val="en-US" w:eastAsia="zh-CN"/>
        </w:rPr>
        <w:t xml:space="preserve">   日</w:t>
      </w:r>
    </w:p>
    <w:p w14:paraId="7539D455">
      <w:pPr>
        <w:rPr>
          <w:szCs w:val="20"/>
          <w:highlight w:val="none"/>
        </w:rPr>
      </w:pPr>
    </w:p>
    <w:p w14:paraId="2D6009B0">
      <w:pPr>
        <w:jc w:val="both"/>
        <w:rPr>
          <w:rFonts w:hint="eastAsia" w:eastAsia="黑体"/>
          <w:b/>
          <w:sz w:val="32"/>
          <w:szCs w:val="20"/>
          <w:highlight w:val="none"/>
          <w:vertAlign w:val="subscript"/>
        </w:rPr>
      </w:pPr>
    </w:p>
    <w:p w14:paraId="7878FCF0">
      <w:pPr>
        <w:pStyle w:val="2"/>
        <w:rPr>
          <w:rFonts w:hint="eastAsia"/>
        </w:rPr>
      </w:pPr>
    </w:p>
    <w:p w14:paraId="7B92B37A">
      <w:pPr>
        <w:pStyle w:val="2"/>
        <w:rPr>
          <w:rFonts w:hint="eastAsia"/>
          <w:highlight w:val="none"/>
        </w:rPr>
      </w:pPr>
    </w:p>
    <w:p w14:paraId="00806A99">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依据《中华人民共和国民法典》的规定，合同</w:t>
      </w:r>
      <w:r>
        <w:rPr>
          <w:rFonts w:hint="eastAsia" w:ascii="宋体" w:hAnsi="宋体" w:eastAsia="宋体" w:cs="宋体"/>
          <w:sz w:val="24"/>
          <w:highlight w:val="none"/>
          <w:u w:val="none"/>
        </w:rPr>
        <w:t>双方就</w:t>
      </w:r>
      <w:r>
        <w:rPr>
          <w:rFonts w:hint="eastAsia" w:ascii="宋体" w:hAnsi="宋体" w:eastAsia="宋体" w:cs="宋体"/>
          <w:sz w:val="24"/>
          <w:highlight w:val="none"/>
          <w:u w:val="single"/>
          <w:lang w:eastAsia="zh-CN"/>
        </w:rPr>
        <w:t>北京市八达岭林场管理处不动产登记办理项目-评估鉴定服务</w:t>
      </w:r>
      <w:r>
        <w:rPr>
          <w:rFonts w:hint="eastAsia" w:ascii="宋体" w:hAnsi="宋体" w:eastAsia="宋体" w:cs="宋体"/>
          <w:sz w:val="24"/>
          <w:highlight w:val="none"/>
          <w:u w:val="single"/>
        </w:rPr>
        <w:t>（安全及抗震性能鉴定）</w:t>
      </w:r>
      <w:r>
        <w:rPr>
          <w:rFonts w:hint="eastAsia" w:ascii="宋体" w:hAnsi="宋体" w:eastAsia="宋体" w:cs="宋体"/>
          <w:sz w:val="24"/>
          <w:highlight w:val="none"/>
        </w:rPr>
        <w:t xml:space="preserve">的技术服务，双方经平等协商，在真实、充分地表达各自意愿的基础上，达成如下协议，并由双方共同恪守。   </w:t>
      </w:r>
    </w:p>
    <w:p w14:paraId="19DEAB35">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一、服务内容、方式和要求：</w:t>
      </w:r>
    </w:p>
    <w:p w14:paraId="76AF64D3">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内容：</w:t>
      </w:r>
      <w:r>
        <w:rPr>
          <w:rFonts w:hint="eastAsia" w:ascii="宋体" w:hAnsi="宋体" w:eastAsia="宋体" w:cs="宋体"/>
          <w:sz w:val="24"/>
          <w:highlight w:val="none"/>
          <w:u w:val="single"/>
        </w:rPr>
        <w:t xml:space="preserve">  森林公园教育培训基地及食堂、分场管理站业务用房、防火队营房等4处房产房屋安全及抗震</w:t>
      </w:r>
      <w:r>
        <w:rPr>
          <w:rFonts w:hint="eastAsia" w:ascii="宋体" w:hAnsi="宋体" w:eastAsia="宋体" w:cs="宋体"/>
          <w:sz w:val="24"/>
          <w:highlight w:val="none"/>
          <w:u w:val="single"/>
          <w:lang w:eastAsia="zh-CN"/>
        </w:rPr>
        <w:t>性能</w:t>
      </w:r>
      <w:r>
        <w:rPr>
          <w:rFonts w:hint="eastAsia" w:ascii="宋体" w:hAnsi="宋体" w:eastAsia="宋体" w:cs="宋体"/>
          <w:sz w:val="24"/>
          <w:highlight w:val="none"/>
          <w:u w:val="single"/>
        </w:rPr>
        <w:t xml:space="preserve">鉴定  </w:t>
      </w:r>
      <w:r>
        <w:rPr>
          <w:rFonts w:hint="eastAsia" w:ascii="宋体" w:hAnsi="宋体" w:eastAsia="宋体" w:cs="宋体"/>
          <w:sz w:val="24"/>
          <w:highlight w:val="none"/>
        </w:rPr>
        <w:t>，建筑面积：</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约</w:t>
      </w:r>
      <w:r>
        <w:rPr>
          <w:rFonts w:hint="eastAsia" w:ascii="宋体" w:hAnsi="宋体" w:eastAsia="宋体" w:cs="宋体"/>
          <w:sz w:val="24"/>
          <w:highlight w:val="none"/>
          <w:u w:val="single"/>
          <w:lang w:val="en-US" w:eastAsia="zh-CN"/>
        </w:rPr>
        <w:t>8700</w:t>
      </w:r>
      <w:r>
        <w:rPr>
          <w:rFonts w:hint="eastAsia" w:ascii="宋体" w:hAnsi="宋体" w:eastAsia="宋体" w:cs="宋体"/>
          <w:sz w:val="24"/>
          <w:highlight w:val="none"/>
          <w:u w:val="single"/>
        </w:rPr>
        <w:t xml:space="preserve"> 平方米 </w:t>
      </w:r>
    </w:p>
    <w:p w14:paraId="2F9224BA">
      <w:pPr>
        <w:keepNext w:val="0"/>
        <w:keepLines w:val="0"/>
        <w:pageBreakBefore w:val="0"/>
        <w:kinsoku/>
        <w:wordWrap/>
        <w:overflowPunct/>
        <w:topLinePunct w:val="0"/>
        <w:autoSpaceDE/>
        <w:autoSpaceDN/>
        <w:bidi w:val="0"/>
        <w:adjustRightInd/>
        <w:snapToGrid/>
        <w:spacing w:line="360" w:lineRule="auto"/>
        <w:ind w:left="636" w:hanging="544" w:hangingChars="227"/>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（注：检测项目以现场实际情况确定面积、检测类型，最终以检测报告为准）</w:t>
      </w:r>
    </w:p>
    <w:p w14:paraId="3DDAB18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方式：受甲方委托，乙方负责对该</w:t>
      </w:r>
      <w:r>
        <w:rPr>
          <w:rFonts w:hint="eastAsia" w:ascii="宋体" w:hAnsi="宋体" w:eastAsia="宋体" w:cs="宋体"/>
          <w:sz w:val="24"/>
          <w:szCs w:val="24"/>
          <w:highlight w:val="none"/>
          <w:lang w:eastAsia="zh-CN"/>
        </w:rPr>
        <w:t>项目内房屋安全及抗震性能进行鉴定</w:t>
      </w:r>
      <w:r>
        <w:rPr>
          <w:rFonts w:hint="eastAsia" w:ascii="宋体" w:hAnsi="宋体" w:eastAsia="宋体" w:cs="宋体"/>
          <w:sz w:val="24"/>
          <w:szCs w:val="24"/>
          <w:highlight w:val="none"/>
        </w:rPr>
        <w:t>，并出具</w:t>
      </w:r>
      <w:r>
        <w:rPr>
          <w:rFonts w:hint="eastAsia" w:ascii="宋体" w:hAnsi="宋体" w:eastAsia="宋体" w:cs="宋体"/>
          <w:sz w:val="24"/>
          <w:szCs w:val="24"/>
          <w:highlight w:val="none"/>
          <w:lang w:eastAsia="zh-CN"/>
        </w:rPr>
        <w:t>鉴定</w:t>
      </w:r>
      <w:r>
        <w:rPr>
          <w:rFonts w:hint="eastAsia" w:ascii="宋体" w:hAnsi="宋体" w:eastAsia="宋体" w:cs="宋体"/>
          <w:sz w:val="24"/>
          <w:szCs w:val="24"/>
          <w:highlight w:val="none"/>
        </w:rPr>
        <w:t>报告。</w:t>
      </w:r>
    </w:p>
    <w:p w14:paraId="5A34619F">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要求：甲方提供给乙方施工、设计、复验资料，配合乙方现场工作。</w:t>
      </w:r>
    </w:p>
    <w:p w14:paraId="12D3BAA4">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检测依据：相关标准规范及设计图纸。</w:t>
      </w:r>
    </w:p>
    <w:p w14:paraId="2D28E436">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二、工作条件和协作事项：</w:t>
      </w:r>
    </w:p>
    <w:p w14:paraId="3A5988DD">
      <w:pPr>
        <w:keepNext w:val="0"/>
        <w:keepLines w:val="0"/>
        <w:pageBreakBefore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甲方需要提供的条件：</w:t>
      </w:r>
    </w:p>
    <w:p w14:paraId="56E89DB9">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甲方指定现场协调联系人；</w:t>
      </w:r>
    </w:p>
    <w:p w14:paraId="726A684E">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甲方提供乙方现场使用的水、电；</w:t>
      </w:r>
    </w:p>
    <w:p w14:paraId="13694FFC">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甲方协助提供乙方检测时所需登高设备；</w:t>
      </w:r>
    </w:p>
    <w:p w14:paraId="48DBBFD1">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甲方提供乙方检测仪器等的存放场所；</w:t>
      </w:r>
    </w:p>
    <w:p w14:paraId="6967DBD8">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甲方负责检测工作完成后的修补工作。</w:t>
      </w:r>
    </w:p>
    <w:p w14:paraId="2E6F70CE">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乙方遵守要求：</w:t>
      </w:r>
    </w:p>
    <w:p w14:paraId="1993C7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乙方在签订合同后在甲方各现场具备现场检测条件时，进行现场测试，现场检测共需要</w:t>
      </w:r>
      <w:r>
        <w:rPr>
          <w:rFonts w:hint="eastAsia" w:ascii="宋体" w:hAnsi="宋体" w:eastAsia="宋体" w:cs="宋体"/>
          <w:sz w:val="24"/>
          <w:szCs w:val="24"/>
          <w:highlight w:val="none"/>
          <w:u w:val="single"/>
        </w:rPr>
        <w:t xml:space="preserve"> 10  </w:t>
      </w:r>
      <w:r>
        <w:rPr>
          <w:rFonts w:hint="eastAsia" w:ascii="宋体" w:hAnsi="宋体" w:eastAsia="宋体" w:cs="宋体"/>
          <w:sz w:val="24"/>
          <w:szCs w:val="24"/>
          <w:highlight w:val="none"/>
        </w:rPr>
        <w:t>个</w:t>
      </w:r>
      <w:r>
        <w:rPr>
          <w:rFonts w:hint="eastAsia" w:ascii="宋体" w:hAnsi="宋体" w:cs="宋体"/>
          <w:sz w:val="24"/>
          <w:szCs w:val="24"/>
          <w:highlight w:val="none"/>
          <w:lang w:eastAsia="zh-CN"/>
        </w:rPr>
        <w:t>日历天</w:t>
      </w:r>
      <w:r>
        <w:rPr>
          <w:rFonts w:hint="eastAsia" w:ascii="宋体" w:hAnsi="宋体" w:eastAsia="宋体" w:cs="宋体"/>
          <w:sz w:val="24"/>
          <w:szCs w:val="24"/>
          <w:highlight w:val="none"/>
        </w:rPr>
        <w:t>，现场检测工作完成后共需要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w:t>
      </w:r>
      <w:r>
        <w:rPr>
          <w:rFonts w:hint="eastAsia" w:ascii="宋体" w:hAnsi="宋体" w:cs="宋体"/>
          <w:sz w:val="24"/>
          <w:szCs w:val="24"/>
          <w:highlight w:val="none"/>
          <w:lang w:eastAsia="zh-CN"/>
        </w:rPr>
        <w:t>日历</w:t>
      </w:r>
      <w:r>
        <w:rPr>
          <w:rFonts w:hint="eastAsia" w:ascii="宋体" w:hAnsi="宋体" w:cs="宋体"/>
          <w:sz w:val="24"/>
          <w:szCs w:val="24"/>
          <w:highlight w:val="none"/>
          <w:lang w:val="en-US" w:eastAsia="zh-CN"/>
        </w:rPr>
        <w:t xml:space="preserve"> 天</w:t>
      </w:r>
      <w:r>
        <w:rPr>
          <w:rFonts w:hint="eastAsia" w:ascii="宋体" w:hAnsi="宋体" w:eastAsia="宋体" w:cs="宋体"/>
          <w:sz w:val="24"/>
          <w:szCs w:val="24"/>
          <w:highlight w:val="none"/>
        </w:rPr>
        <w:t>提交书面检测报告。如遇到现场不具备检测条件和不可抗力等外力因素，提交报告时间相对顺延。</w:t>
      </w:r>
    </w:p>
    <w:p w14:paraId="0FC4F615">
      <w:pPr>
        <w:keepNext w:val="0"/>
        <w:keepLines w:val="0"/>
        <w:pageBreakBefore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三、履行期限、地点和方式</w:t>
      </w:r>
    </w:p>
    <w:p w14:paraId="2B26E8CA">
      <w:pPr>
        <w:keepNext w:val="0"/>
        <w:keepLines w:val="0"/>
        <w:pageBreakBefore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本合同自甲方具备现场检测条件时起在工程所在地履行，以乙方提交书面报告和甲方支付检测款为检测完成标志。</w:t>
      </w:r>
    </w:p>
    <w:p w14:paraId="2340CFAB">
      <w:pPr>
        <w:keepNext w:val="0"/>
        <w:keepLines w:val="0"/>
        <w:pageBreakBefore w:val="0"/>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报告提交地点：双方约定</w:t>
      </w:r>
    </w:p>
    <w:p w14:paraId="5DC0BDF4">
      <w:pPr>
        <w:keepNext w:val="0"/>
        <w:keepLines w:val="0"/>
        <w:pageBreakBefore w:val="0"/>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四、验收标准和方法</w:t>
      </w:r>
    </w:p>
    <w:p w14:paraId="7C34FE09">
      <w:pPr>
        <w:keepNext w:val="0"/>
        <w:keepLines w:val="0"/>
        <w:pageBreakBefore w:val="0"/>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验收标准和方式：由乙方提供甲方检测报告</w:t>
      </w:r>
      <w:r>
        <w:rPr>
          <w:rFonts w:hint="eastAsia" w:ascii="宋体" w:hAnsi="宋体" w:eastAsia="宋体" w:cs="宋体"/>
          <w:sz w:val="24"/>
          <w:szCs w:val="24"/>
          <w:highlight w:val="none"/>
          <w:u w:val="single"/>
        </w:rPr>
        <w:t>一式  肆 份</w:t>
      </w:r>
      <w:r>
        <w:rPr>
          <w:rFonts w:hint="eastAsia" w:ascii="宋体" w:hAnsi="宋体" w:eastAsia="宋体" w:cs="宋体"/>
          <w:sz w:val="24"/>
          <w:szCs w:val="24"/>
          <w:highlight w:val="none"/>
        </w:rPr>
        <w:t>。</w:t>
      </w:r>
    </w:p>
    <w:p w14:paraId="1F951668">
      <w:pPr>
        <w:keepNext w:val="0"/>
        <w:keepLines w:val="0"/>
        <w:pageBreakBefore w:val="0"/>
        <w:kinsoku/>
        <w:wordWrap/>
        <w:overflowPunct/>
        <w:topLinePunct w:val="0"/>
        <w:autoSpaceDE/>
        <w:autoSpaceDN/>
        <w:bidi w:val="0"/>
        <w:adjustRightInd/>
        <w:snapToGrid/>
        <w:spacing w:line="360" w:lineRule="auto"/>
        <w:ind w:firstLine="63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五、报酬及其支付方式</w:t>
      </w:r>
    </w:p>
    <w:p w14:paraId="41DC8C7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（一）本项目检测技术服务费按总价计算：</w:t>
      </w:r>
    </w:p>
    <w:p w14:paraId="3616D794">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合同为固定总价合同，</w:t>
      </w:r>
      <w:r>
        <w:rPr>
          <w:rFonts w:hint="eastAsia" w:ascii="宋体" w:hAnsi="宋体" w:eastAsia="宋体" w:cs="宋体"/>
          <w:sz w:val="24"/>
          <w:szCs w:val="24"/>
          <w:highlight w:val="none"/>
        </w:rPr>
        <w:t>技术服务费总计人民币小写：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38317A9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（二）支付方式：</w:t>
      </w:r>
    </w:p>
    <w:p w14:paraId="75801C9A">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具体支付方式和时间如下：</w:t>
      </w:r>
    </w:p>
    <w:p w14:paraId="76A84512">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（1）乙方</w:t>
      </w:r>
      <w:r>
        <w:rPr>
          <w:rFonts w:hint="eastAsia" w:ascii="宋体" w:hAnsi="宋体" w:eastAsia="宋体" w:cs="宋体"/>
          <w:sz w:val="24"/>
          <w:szCs w:val="24"/>
          <w:highlight w:val="none"/>
          <w:lang w:eastAsia="zh-CN"/>
        </w:rPr>
        <w:t>完成</w:t>
      </w:r>
      <w:r>
        <w:rPr>
          <w:rFonts w:hint="eastAsia" w:ascii="宋体" w:hAnsi="宋体" w:eastAsia="宋体" w:cs="宋体"/>
          <w:sz w:val="24"/>
          <w:szCs w:val="24"/>
          <w:highlight w:val="none"/>
        </w:rPr>
        <w:t>工程检测报告盖章正式版</w:t>
      </w:r>
      <w:r>
        <w:rPr>
          <w:rFonts w:hint="eastAsia" w:ascii="宋体" w:hAnsi="宋体" w:eastAsia="宋体" w:cs="宋体"/>
          <w:sz w:val="24"/>
          <w:szCs w:val="24"/>
          <w:highlight w:val="none"/>
          <w:lang w:eastAsia="zh-CN"/>
        </w:rPr>
        <w:t>，完成建委备案等全部工作，</w:t>
      </w:r>
      <w:r>
        <w:rPr>
          <w:rFonts w:hint="eastAsia" w:ascii="宋体" w:hAnsi="宋体" w:eastAsia="宋体" w:cs="宋体"/>
          <w:bCs/>
          <w:sz w:val="24"/>
          <w:szCs w:val="24"/>
          <w:highlight w:val="none"/>
        </w:rPr>
        <w:t>并经甲方验收确认后</w:t>
      </w:r>
      <w:r>
        <w:rPr>
          <w:rFonts w:hint="eastAsia" w:ascii="宋体" w:hAnsi="宋体" w:eastAsia="宋体" w:cs="宋体"/>
          <w:bCs/>
          <w:sz w:val="24"/>
          <w:szCs w:val="24"/>
          <w:highlight w:val="none"/>
          <w:lang w:val="en-US" w:eastAsia="zh-CN"/>
        </w:rPr>
        <w:t>60</w:t>
      </w:r>
      <w:r>
        <w:rPr>
          <w:rFonts w:hint="eastAsia" w:ascii="宋体" w:hAnsi="宋体" w:eastAsia="宋体" w:cs="宋体"/>
          <w:bCs/>
          <w:sz w:val="24"/>
          <w:szCs w:val="24"/>
          <w:highlight w:val="none"/>
        </w:rPr>
        <w:t>个工作日内，甲方向乙方支付全部合同额。</w:t>
      </w:r>
      <w:r>
        <w:rPr>
          <w:rFonts w:hint="eastAsia" w:ascii="宋体" w:hAnsi="宋体" w:eastAsia="宋体" w:cs="宋体"/>
          <w:bCs/>
          <w:sz w:val="24"/>
          <w:szCs w:val="24"/>
          <w:highlight w:val="none"/>
          <w:lang w:eastAsia="zh-CN"/>
        </w:rPr>
        <w:t>合同金额以最终财政批复资金为准，且资金下达后进行支付。</w:t>
      </w:r>
    </w:p>
    <w:p w14:paraId="1F6E62B8">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乙方在收取技术服务费的同时，应向甲方提供等额有效的技</w:t>
      </w:r>
    </w:p>
    <w:p w14:paraId="2928AB60">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术服务发票（税点6%）。</w:t>
      </w:r>
    </w:p>
    <w:p w14:paraId="1EB4C923">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（3）前期进场费如项目签署后乙方现场已开展检测工作因甲方原因取消，乙方有权</w:t>
      </w:r>
      <w:r>
        <w:rPr>
          <w:rFonts w:hint="eastAsia" w:ascii="宋体" w:hAnsi="宋体" w:eastAsia="宋体" w:cs="宋体"/>
          <w:sz w:val="24"/>
          <w:szCs w:val="24"/>
          <w:highlight w:val="none"/>
          <w:lang w:eastAsia="zh-CN"/>
        </w:rPr>
        <w:t>向甲方要求赔偿</w:t>
      </w:r>
      <w:r>
        <w:rPr>
          <w:rFonts w:hint="eastAsia" w:ascii="宋体" w:hAnsi="宋体" w:eastAsia="宋体" w:cs="宋体"/>
          <w:sz w:val="24"/>
          <w:szCs w:val="24"/>
          <w:highlight w:val="none"/>
        </w:rPr>
        <w:t>。</w:t>
      </w:r>
    </w:p>
    <w:p w14:paraId="32A4756F">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六、双方确定因履行本合同应遵守的保密义务如下：</w:t>
      </w:r>
    </w:p>
    <w:p w14:paraId="1500221F">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p w14:paraId="32088962">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保密内容：检测方案和报价。</w:t>
      </w:r>
    </w:p>
    <w:p w14:paraId="4E5264EA">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涉密人员范围：本项目有关人员。</w:t>
      </w:r>
    </w:p>
    <w:p w14:paraId="500FF066">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保密期限：五年。</w:t>
      </w:r>
    </w:p>
    <w:p w14:paraId="134BFE8E">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泄密责任：泄密者承担因泄密造成的全部责任。</w:t>
      </w:r>
    </w:p>
    <w:p w14:paraId="287AD7C6">
      <w:pPr>
        <w:pStyle w:val="18"/>
        <w:keepNext w:val="0"/>
        <w:keepLines w:val="0"/>
        <w:pageBreakBefore w:val="0"/>
        <w:kinsoku/>
        <w:wordWrap/>
        <w:overflowPunct/>
        <w:topLinePunct w:val="0"/>
        <w:autoSpaceDE/>
        <w:autoSpaceDN/>
        <w:bidi w:val="0"/>
        <w:adjustRightInd/>
        <w:snapToGrid/>
        <w:spacing w:before="0" w:line="360" w:lineRule="auto"/>
        <w:ind w:left="1044" w:leftChars="297" w:hanging="420" w:hangingChars="150"/>
        <w:textAlignment w:val="auto"/>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乙方：</w:t>
      </w:r>
    </w:p>
    <w:p w14:paraId="0BB774BA">
      <w:pPr>
        <w:pStyle w:val="18"/>
        <w:keepNext w:val="0"/>
        <w:keepLines w:val="0"/>
        <w:pageBreakBefore w:val="0"/>
        <w:kinsoku/>
        <w:wordWrap/>
        <w:overflowPunct/>
        <w:topLinePunct w:val="0"/>
        <w:autoSpaceDE/>
        <w:autoSpaceDN/>
        <w:bidi w:val="0"/>
        <w:adjustRightInd/>
        <w:snapToGrid/>
        <w:spacing w:before="0" w:line="360" w:lineRule="auto"/>
        <w:ind w:left="1044" w:leftChars="297" w:hanging="420" w:hangingChars="150"/>
        <w:textAlignment w:val="auto"/>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1、保密内容：甲方提供乙方开展本项目工作的所有图纸等技术资料。</w:t>
      </w:r>
    </w:p>
    <w:p w14:paraId="54826A45">
      <w:pPr>
        <w:pStyle w:val="18"/>
        <w:keepNext w:val="0"/>
        <w:keepLines w:val="0"/>
        <w:pageBreakBefore w:val="0"/>
        <w:kinsoku/>
        <w:wordWrap/>
        <w:overflowPunct/>
        <w:topLinePunct w:val="0"/>
        <w:autoSpaceDE/>
        <w:autoSpaceDN/>
        <w:bidi w:val="0"/>
        <w:adjustRightInd/>
        <w:snapToGrid/>
        <w:spacing w:before="0" w:line="360" w:lineRule="auto"/>
        <w:ind w:left="864" w:leftChars="297" w:hanging="240" w:hanging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2、涉密人员范围：本项目相关人员。</w:t>
      </w:r>
    </w:p>
    <w:p w14:paraId="708A09FA">
      <w:pPr>
        <w:pStyle w:val="18"/>
        <w:keepNext w:val="0"/>
        <w:keepLines w:val="0"/>
        <w:pageBreakBefore w:val="0"/>
        <w:kinsoku/>
        <w:wordWrap/>
        <w:overflowPunct/>
        <w:topLinePunct w:val="0"/>
        <w:autoSpaceDE/>
        <w:autoSpaceDN/>
        <w:bidi w:val="0"/>
        <w:adjustRightInd/>
        <w:snapToGrid/>
        <w:spacing w:before="0" w:line="360" w:lineRule="auto"/>
        <w:ind w:left="864" w:leftChars="297" w:hanging="240" w:hangingChars="100"/>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3、保密期限：五年。</w:t>
      </w:r>
    </w:p>
    <w:p w14:paraId="150382DB">
      <w:pPr>
        <w:pStyle w:val="18"/>
        <w:keepNext w:val="0"/>
        <w:keepLines w:val="0"/>
        <w:pageBreakBefore w:val="0"/>
        <w:kinsoku/>
        <w:wordWrap/>
        <w:overflowPunct/>
        <w:topLinePunct w:val="0"/>
        <w:autoSpaceDE/>
        <w:autoSpaceDN/>
        <w:bidi w:val="0"/>
        <w:adjustRightInd/>
        <w:snapToGrid/>
        <w:spacing w:before="0" w:line="360" w:lineRule="auto"/>
        <w:ind w:firstLine="630"/>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4、泄密责任：泄密者承担因泄密造成的全部责任。</w:t>
      </w:r>
    </w:p>
    <w:p w14:paraId="7055546D">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七、违约金或者损失赔偿的计算</w:t>
      </w:r>
    </w:p>
    <w:p w14:paraId="1BB6CFFF">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违反本合同约定，违约方应当按照《中华人民共和国民法典》有关条款的规定承担违约责任。</w:t>
      </w:r>
    </w:p>
    <w:p w14:paraId="2180BDF2">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八、解决合同纠纷的方式</w:t>
      </w:r>
    </w:p>
    <w:p w14:paraId="56EEE031">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未尽事宜双方协商解决：本合同的变更必须由双方协商一致，并以书面形式确定。</w:t>
      </w:r>
    </w:p>
    <w:p w14:paraId="039E3CD8">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在履行本合同的过程中发生争议，双方当事人和解或调解不成，可采取以下第 （二） 种方法解决。</w:t>
      </w:r>
    </w:p>
    <w:p w14:paraId="719D9407">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（一）双方同意由</w:t>
      </w:r>
      <w:r>
        <w:rPr>
          <w:rFonts w:hint="eastAsia" w:ascii="宋体" w:hAnsi="宋体" w:eastAsia="宋体" w:cs="宋体"/>
          <w:sz w:val="24"/>
          <w:szCs w:val="24"/>
          <w:highlight w:val="none"/>
          <w:u w:val="single"/>
        </w:rPr>
        <w:t xml:space="preserve">  北京   </w:t>
      </w:r>
      <w:r>
        <w:rPr>
          <w:rFonts w:hint="eastAsia" w:ascii="宋体" w:hAnsi="宋体" w:eastAsia="宋体" w:cs="宋体"/>
          <w:sz w:val="24"/>
          <w:szCs w:val="24"/>
          <w:highlight w:val="none"/>
        </w:rPr>
        <w:t>仲裁委员会仲裁。</w:t>
      </w:r>
    </w:p>
    <w:p w14:paraId="4598F822">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（二）双方约定向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的人民法院起诉。</w:t>
      </w:r>
    </w:p>
    <w:p w14:paraId="0C41A5AB">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九、本合同的变更必须由双方协商一致，并以书面形式确定本合同的变更。但有下列情形之一的，一方可以向另一方提出变更合同权利与义务的请求，另一方应当在  5个 工作日内予以答复；逾期未予答复的，视为同意。</w:t>
      </w:r>
    </w:p>
    <w:p w14:paraId="67C68F42">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根据现场实际情况需要增加结构检测工作内容（特指在检测过程中结构存在严重安全问题时，需要增加结构检测工作量情况） ；</w:t>
      </w:r>
    </w:p>
    <w:p w14:paraId="14FFDF0B">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十、本合同一式 </w:t>
      </w:r>
      <w:r>
        <w:rPr>
          <w:rFonts w:hint="eastAsia" w:ascii="宋体" w:hAnsi="宋体" w:eastAsia="宋体" w:cs="宋体"/>
          <w:sz w:val="24"/>
          <w:szCs w:val="24"/>
          <w:highlight w:val="none"/>
          <w:lang w:eastAsia="zh-CN"/>
        </w:rPr>
        <w:t>肆</w:t>
      </w:r>
      <w:r>
        <w:rPr>
          <w:rFonts w:hint="eastAsia" w:ascii="宋体" w:hAnsi="宋体" w:eastAsia="宋体" w:cs="宋体"/>
          <w:sz w:val="24"/>
          <w:szCs w:val="24"/>
          <w:highlight w:val="none"/>
        </w:rPr>
        <w:t xml:space="preserve"> 份，双方自各执 </w:t>
      </w:r>
      <w:r>
        <w:rPr>
          <w:rFonts w:hint="eastAsia" w:ascii="宋体" w:hAnsi="宋体" w:eastAsia="宋体" w:cs="宋体"/>
          <w:sz w:val="24"/>
          <w:szCs w:val="24"/>
          <w:highlight w:val="none"/>
          <w:lang w:eastAsia="zh-CN"/>
        </w:rPr>
        <w:t>贰</w:t>
      </w:r>
      <w:r>
        <w:rPr>
          <w:rFonts w:hint="eastAsia" w:ascii="宋体" w:hAnsi="宋体" w:eastAsia="宋体" w:cs="宋体"/>
          <w:sz w:val="24"/>
          <w:szCs w:val="24"/>
          <w:highlight w:val="none"/>
        </w:rPr>
        <w:t xml:space="preserve"> 份，自双方签字盖章之日起生效。</w:t>
      </w:r>
    </w:p>
    <w:p w14:paraId="0B38435A">
      <w:pPr>
        <w:rPr>
          <w:rFonts w:hint="eastAsia" w:ascii="宋体" w:hAnsi="宋体" w:eastAsia="宋体" w:cs="宋体"/>
          <w:sz w:val="24"/>
          <w:szCs w:val="24"/>
          <w:highlight w:val="none"/>
        </w:rPr>
      </w:pPr>
    </w:p>
    <w:p w14:paraId="5994D0ED">
      <w:pPr>
        <w:pStyle w:val="2"/>
        <w:rPr>
          <w:rFonts w:hint="eastAsia"/>
          <w:highlight w:val="none"/>
        </w:rPr>
      </w:pPr>
    </w:p>
    <w:tbl>
      <w:tblPr>
        <w:tblStyle w:val="44"/>
        <w:tblW w:w="9571" w:type="dxa"/>
        <w:tblInd w:w="0" w:type="dxa"/>
        <w:tblLayout w:type="fixed"/>
        <w:tblCellMar>
          <w:top w:w="0" w:type="dxa"/>
          <w:left w:w="108" w:type="dxa"/>
          <w:bottom w:w="0" w:type="dxa"/>
          <w:right w:w="108" w:type="dxa"/>
        </w:tblCellMar>
      </w:tblPr>
      <w:tblGrid>
        <w:gridCol w:w="4785"/>
        <w:gridCol w:w="4786"/>
      </w:tblGrid>
      <w:tr w14:paraId="30AB3CEF">
        <w:tblPrEx>
          <w:tblCellMar>
            <w:top w:w="0" w:type="dxa"/>
            <w:left w:w="108" w:type="dxa"/>
            <w:bottom w:w="0" w:type="dxa"/>
            <w:right w:w="108" w:type="dxa"/>
          </w:tblCellMar>
        </w:tblPrEx>
        <w:trPr>
          <w:cantSplit/>
          <w:trHeight w:val="567" w:hRule="atLeast"/>
        </w:trPr>
        <w:tc>
          <w:tcPr>
            <w:tcW w:w="4785" w:type="dxa"/>
            <w:noWrap w:val="0"/>
            <w:vAlign w:val="top"/>
          </w:tcPr>
          <w:p w14:paraId="304BD84B">
            <w:pPr>
              <w:spacing w:line="336" w:lineRule="auto"/>
              <w:rPr>
                <w:rFonts w:hint="eastAsia" w:ascii="宋体" w:hAnsi="宋体"/>
                <w:sz w:val="24"/>
                <w:highlight w:val="none"/>
              </w:rPr>
            </w:pPr>
            <w:r>
              <w:rPr>
                <w:rFonts w:hint="eastAsia" w:ascii="宋体" w:hAnsi="宋体"/>
                <w:sz w:val="24"/>
                <w:highlight w:val="none"/>
              </w:rPr>
              <w:t>甲方</w:t>
            </w:r>
            <w:r>
              <w:rPr>
                <w:rFonts w:ascii="宋体" w:hAnsi="宋体"/>
                <w:sz w:val="24"/>
                <w:highlight w:val="none"/>
              </w:rPr>
              <w:t>：</w:t>
            </w:r>
            <w:r>
              <w:rPr>
                <w:rFonts w:hint="eastAsia"/>
                <w:kern w:val="0"/>
                <w:sz w:val="24"/>
                <w:highlight w:val="none"/>
              </w:rPr>
              <w:t xml:space="preserve"> </w:t>
            </w:r>
          </w:p>
        </w:tc>
        <w:tc>
          <w:tcPr>
            <w:tcW w:w="4786" w:type="dxa"/>
            <w:noWrap w:val="0"/>
            <w:vAlign w:val="top"/>
          </w:tcPr>
          <w:p w14:paraId="7E1DA79E">
            <w:pPr>
              <w:spacing w:line="336" w:lineRule="auto"/>
              <w:rPr>
                <w:rFonts w:hint="eastAsia" w:ascii="宋体" w:hAnsi="宋体"/>
                <w:sz w:val="24"/>
                <w:szCs w:val="24"/>
                <w:highlight w:val="none"/>
              </w:rPr>
            </w:pPr>
            <w:r>
              <w:rPr>
                <w:rFonts w:hint="eastAsia" w:ascii="宋体" w:hAnsi="宋体"/>
                <w:sz w:val="24"/>
                <w:szCs w:val="24"/>
                <w:highlight w:val="none"/>
              </w:rPr>
              <w:t>乙方</w:t>
            </w:r>
            <w:r>
              <w:rPr>
                <w:rFonts w:ascii="宋体" w:hAnsi="宋体"/>
                <w:sz w:val="24"/>
                <w:szCs w:val="24"/>
                <w:highlight w:val="none"/>
              </w:rPr>
              <w:t>：</w:t>
            </w:r>
            <w:r>
              <w:rPr>
                <w:rFonts w:ascii="宋体" w:hAnsi="宋体"/>
                <w:kern w:val="0"/>
                <w:sz w:val="24"/>
                <w:szCs w:val="24"/>
                <w:highlight w:val="none"/>
              </w:rPr>
              <w:t xml:space="preserve"> </w:t>
            </w:r>
          </w:p>
        </w:tc>
      </w:tr>
      <w:tr w14:paraId="389546B8">
        <w:tblPrEx>
          <w:tblCellMar>
            <w:top w:w="0" w:type="dxa"/>
            <w:left w:w="108" w:type="dxa"/>
            <w:bottom w:w="0" w:type="dxa"/>
            <w:right w:w="108" w:type="dxa"/>
          </w:tblCellMar>
        </w:tblPrEx>
        <w:trPr>
          <w:cantSplit/>
          <w:trHeight w:val="567" w:hRule="atLeast"/>
        </w:trPr>
        <w:tc>
          <w:tcPr>
            <w:tcW w:w="4785" w:type="dxa"/>
            <w:noWrap w:val="0"/>
            <w:vAlign w:val="top"/>
          </w:tcPr>
          <w:p w14:paraId="090F6822">
            <w:pPr>
              <w:spacing w:line="336" w:lineRule="auto"/>
              <w:rPr>
                <w:rFonts w:hint="eastAsia" w:ascii="宋体" w:hAnsi="宋体"/>
                <w:sz w:val="24"/>
                <w:highlight w:val="none"/>
              </w:rPr>
            </w:pPr>
            <w:r>
              <w:rPr>
                <w:rFonts w:ascii="宋体" w:hAnsi="宋体"/>
                <w:sz w:val="24"/>
                <w:highlight w:val="none"/>
              </w:rPr>
              <w:t>（盖章）</w:t>
            </w:r>
          </w:p>
        </w:tc>
        <w:tc>
          <w:tcPr>
            <w:tcW w:w="4786" w:type="dxa"/>
            <w:noWrap w:val="0"/>
            <w:vAlign w:val="top"/>
          </w:tcPr>
          <w:p w14:paraId="5C6DFC27">
            <w:pPr>
              <w:spacing w:line="336" w:lineRule="auto"/>
              <w:rPr>
                <w:rFonts w:hint="eastAsia" w:ascii="宋体" w:hAnsi="宋体"/>
                <w:sz w:val="24"/>
                <w:szCs w:val="24"/>
                <w:highlight w:val="none"/>
              </w:rPr>
            </w:pPr>
            <w:r>
              <w:rPr>
                <w:rFonts w:hint="eastAsia" w:ascii="宋体" w:hAnsi="宋体"/>
                <w:sz w:val="24"/>
                <w:szCs w:val="24"/>
                <w:highlight w:val="none"/>
              </w:rPr>
              <w:t>（盖章）</w:t>
            </w:r>
          </w:p>
        </w:tc>
      </w:tr>
      <w:tr w14:paraId="5E425A7C">
        <w:tblPrEx>
          <w:tblCellMar>
            <w:top w:w="0" w:type="dxa"/>
            <w:left w:w="108" w:type="dxa"/>
            <w:bottom w:w="0" w:type="dxa"/>
            <w:right w:w="108" w:type="dxa"/>
          </w:tblCellMar>
        </w:tblPrEx>
        <w:trPr>
          <w:cantSplit/>
          <w:trHeight w:val="567" w:hRule="atLeast"/>
        </w:trPr>
        <w:tc>
          <w:tcPr>
            <w:tcW w:w="4785" w:type="dxa"/>
            <w:noWrap w:val="0"/>
            <w:vAlign w:val="top"/>
          </w:tcPr>
          <w:p w14:paraId="77EF58E7">
            <w:pPr>
              <w:spacing w:line="336" w:lineRule="auto"/>
              <w:rPr>
                <w:rFonts w:hint="eastAsia" w:ascii="宋体" w:hAnsi="宋体"/>
                <w:sz w:val="24"/>
                <w:highlight w:val="none"/>
              </w:rPr>
            </w:pPr>
            <w:r>
              <w:rPr>
                <w:rFonts w:ascii="宋体" w:hAnsi="宋体"/>
                <w:sz w:val="24"/>
                <w:highlight w:val="none"/>
              </w:rPr>
              <w:t>法定代表人</w:t>
            </w:r>
            <w:r>
              <w:rPr>
                <w:rFonts w:hint="eastAsia" w:ascii="宋体" w:hAnsi="宋体"/>
                <w:sz w:val="24"/>
                <w:highlight w:val="none"/>
                <w:lang w:eastAsia="zh-CN"/>
              </w:rPr>
              <w:t>或</w:t>
            </w:r>
          </w:p>
        </w:tc>
        <w:tc>
          <w:tcPr>
            <w:tcW w:w="4786" w:type="dxa"/>
            <w:noWrap w:val="0"/>
            <w:vAlign w:val="top"/>
          </w:tcPr>
          <w:p w14:paraId="4856C05D">
            <w:pPr>
              <w:spacing w:line="336" w:lineRule="auto"/>
              <w:rPr>
                <w:rFonts w:hint="eastAsia" w:ascii="宋体" w:hAnsi="宋体"/>
                <w:sz w:val="24"/>
                <w:szCs w:val="24"/>
                <w:highlight w:val="none"/>
              </w:rPr>
            </w:pPr>
            <w:r>
              <w:rPr>
                <w:rFonts w:ascii="宋体" w:hAnsi="宋体"/>
                <w:sz w:val="24"/>
                <w:szCs w:val="24"/>
                <w:highlight w:val="none"/>
              </w:rPr>
              <w:t>法定代表人</w:t>
            </w:r>
            <w:r>
              <w:rPr>
                <w:rFonts w:hint="eastAsia" w:ascii="宋体" w:hAnsi="宋体"/>
                <w:sz w:val="24"/>
                <w:szCs w:val="24"/>
                <w:highlight w:val="none"/>
                <w:lang w:eastAsia="zh-CN"/>
              </w:rPr>
              <w:t>或</w:t>
            </w:r>
          </w:p>
        </w:tc>
      </w:tr>
      <w:tr w14:paraId="3AD2856B">
        <w:tblPrEx>
          <w:tblCellMar>
            <w:top w:w="0" w:type="dxa"/>
            <w:left w:w="108" w:type="dxa"/>
            <w:bottom w:w="0" w:type="dxa"/>
            <w:right w:w="108" w:type="dxa"/>
          </w:tblCellMar>
        </w:tblPrEx>
        <w:trPr>
          <w:cantSplit/>
          <w:trHeight w:val="567" w:hRule="atLeast"/>
        </w:trPr>
        <w:tc>
          <w:tcPr>
            <w:tcW w:w="4785" w:type="dxa"/>
            <w:noWrap w:val="0"/>
            <w:vAlign w:val="top"/>
          </w:tcPr>
          <w:p w14:paraId="6CACD235">
            <w:pPr>
              <w:spacing w:line="336" w:lineRule="auto"/>
              <w:rPr>
                <w:rFonts w:hint="eastAsia" w:ascii="宋体" w:hAnsi="宋体"/>
                <w:sz w:val="24"/>
                <w:highlight w:val="none"/>
              </w:rPr>
            </w:pPr>
            <w:r>
              <w:rPr>
                <w:rFonts w:ascii="宋体" w:hAnsi="宋体"/>
                <w:sz w:val="24"/>
                <w:highlight w:val="none"/>
              </w:rPr>
              <w:t>委托代理人：（签字</w:t>
            </w:r>
            <w:r>
              <w:rPr>
                <w:rFonts w:hint="eastAsia" w:ascii="宋体" w:hAnsi="宋体"/>
                <w:sz w:val="24"/>
                <w:highlight w:val="none"/>
              </w:rPr>
              <w:t>或盖章</w:t>
            </w:r>
            <w:r>
              <w:rPr>
                <w:rFonts w:ascii="宋体" w:hAnsi="宋体"/>
                <w:sz w:val="24"/>
                <w:highlight w:val="none"/>
              </w:rPr>
              <w:t>）</w:t>
            </w:r>
          </w:p>
        </w:tc>
        <w:tc>
          <w:tcPr>
            <w:tcW w:w="4786" w:type="dxa"/>
            <w:noWrap w:val="0"/>
            <w:vAlign w:val="top"/>
          </w:tcPr>
          <w:p w14:paraId="1AFF63CB">
            <w:pPr>
              <w:spacing w:line="336" w:lineRule="auto"/>
              <w:rPr>
                <w:rFonts w:hint="eastAsia" w:ascii="宋体" w:hAnsi="宋体"/>
                <w:sz w:val="24"/>
                <w:szCs w:val="24"/>
                <w:highlight w:val="none"/>
              </w:rPr>
            </w:pPr>
            <w:r>
              <w:rPr>
                <w:rFonts w:ascii="宋体" w:hAnsi="宋体"/>
                <w:sz w:val="24"/>
                <w:szCs w:val="24"/>
                <w:highlight w:val="none"/>
              </w:rPr>
              <w:t>委托代理人：（签字或盖章）</w:t>
            </w:r>
          </w:p>
        </w:tc>
      </w:tr>
      <w:tr w14:paraId="513246D0">
        <w:tblPrEx>
          <w:tblCellMar>
            <w:top w:w="0" w:type="dxa"/>
            <w:left w:w="108" w:type="dxa"/>
            <w:bottom w:w="0" w:type="dxa"/>
            <w:right w:w="108" w:type="dxa"/>
          </w:tblCellMar>
        </w:tblPrEx>
        <w:trPr>
          <w:cantSplit/>
          <w:trHeight w:val="567" w:hRule="atLeast"/>
        </w:trPr>
        <w:tc>
          <w:tcPr>
            <w:tcW w:w="4785" w:type="dxa"/>
            <w:noWrap w:val="0"/>
            <w:vAlign w:val="top"/>
          </w:tcPr>
          <w:p w14:paraId="4F642BB8">
            <w:pPr>
              <w:spacing w:line="336" w:lineRule="auto"/>
              <w:rPr>
                <w:rFonts w:hint="eastAsia" w:ascii="宋体" w:hAnsi="宋体"/>
                <w:sz w:val="24"/>
                <w:highlight w:val="none"/>
              </w:rPr>
            </w:pPr>
            <w:r>
              <w:rPr>
                <w:rFonts w:hint="eastAsia" w:ascii="宋体" w:hAnsi="宋体"/>
                <w:sz w:val="24"/>
                <w:highlight w:val="none"/>
                <w:lang w:eastAsia="zh-CN"/>
              </w:rPr>
              <w:t>地</w:t>
            </w:r>
            <w:r>
              <w:rPr>
                <w:rFonts w:ascii="宋体" w:hAnsi="宋体"/>
                <w:sz w:val="24"/>
                <w:highlight w:val="none"/>
              </w:rPr>
              <w:t>　　</w:t>
            </w:r>
            <w:r>
              <w:rPr>
                <w:rFonts w:hint="eastAsia" w:ascii="宋体" w:hAnsi="宋体"/>
                <w:sz w:val="24"/>
                <w:highlight w:val="none"/>
                <w:lang w:eastAsia="zh-CN"/>
              </w:rPr>
              <w:t>址</w:t>
            </w:r>
            <w:r>
              <w:rPr>
                <w:rFonts w:ascii="宋体" w:hAnsi="宋体"/>
                <w:sz w:val="24"/>
                <w:highlight w:val="none"/>
              </w:rPr>
              <w:t>：</w:t>
            </w:r>
          </w:p>
        </w:tc>
        <w:tc>
          <w:tcPr>
            <w:tcW w:w="4786" w:type="dxa"/>
            <w:noWrap w:val="0"/>
            <w:vAlign w:val="top"/>
          </w:tcPr>
          <w:p w14:paraId="1A255161">
            <w:pPr>
              <w:spacing w:line="336" w:lineRule="auto"/>
              <w:rPr>
                <w:rFonts w:hint="eastAsia" w:ascii="宋体" w:hAnsi="宋体"/>
                <w:sz w:val="24"/>
                <w:szCs w:val="24"/>
                <w:highlight w:val="none"/>
              </w:rPr>
            </w:pPr>
            <w:r>
              <w:rPr>
                <w:rFonts w:hint="eastAsia" w:ascii="宋体" w:hAnsi="宋体"/>
                <w:sz w:val="24"/>
                <w:szCs w:val="24"/>
                <w:highlight w:val="none"/>
                <w:lang w:eastAsia="zh-CN"/>
              </w:rPr>
              <w:t>地</w:t>
            </w:r>
            <w:r>
              <w:rPr>
                <w:rFonts w:ascii="宋体" w:hAnsi="宋体"/>
                <w:sz w:val="24"/>
                <w:szCs w:val="24"/>
                <w:highlight w:val="none"/>
              </w:rPr>
              <w:t>　　</w:t>
            </w:r>
            <w:r>
              <w:rPr>
                <w:rFonts w:hint="eastAsia" w:ascii="宋体" w:hAnsi="宋体"/>
                <w:sz w:val="24"/>
                <w:szCs w:val="24"/>
                <w:highlight w:val="none"/>
                <w:lang w:eastAsia="zh-CN"/>
              </w:rPr>
              <w:t>址</w:t>
            </w:r>
            <w:r>
              <w:rPr>
                <w:rFonts w:ascii="宋体" w:hAnsi="宋体"/>
                <w:sz w:val="24"/>
                <w:szCs w:val="24"/>
                <w:highlight w:val="none"/>
              </w:rPr>
              <w:t xml:space="preserve">： </w:t>
            </w:r>
          </w:p>
        </w:tc>
      </w:tr>
      <w:tr w14:paraId="491B9E76">
        <w:tblPrEx>
          <w:tblCellMar>
            <w:top w:w="0" w:type="dxa"/>
            <w:left w:w="108" w:type="dxa"/>
            <w:bottom w:w="0" w:type="dxa"/>
            <w:right w:w="108" w:type="dxa"/>
          </w:tblCellMar>
        </w:tblPrEx>
        <w:trPr>
          <w:cantSplit/>
          <w:trHeight w:val="567" w:hRule="atLeast"/>
        </w:trPr>
        <w:tc>
          <w:tcPr>
            <w:tcW w:w="4785" w:type="dxa"/>
            <w:noWrap w:val="0"/>
            <w:vAlign w:val="top"/>
          </w:tcPr>
          <w:p w14:paraId="0E96753D">
            <w:pPr>
              <w:spacing w:line="336" w:lineRule="auto"/>
              <w:rPr>
                <w:rFonts w:hint="eastAsia" w:ascii="宋体" w:hAnsi="宋体"/>
                <w:sz w:val="24"/>
                <w:highlight w:val="none"/>
              </w:rPr>
            </w:pPr>
            <w:r>
              <w:rPr>
                <w:rFonts w:ascii="宋体" w:hAnsi="宋体"/>
                <w:sz w:val="24"/>
                <w:highlight w:val="none"/>
              </w:rPr>
              <w:t>邮政编码：</w:t>
            </w:r>
          </w:p>
        </w:tc>
        <w:tc>
          <w:tcPr>
            <w:tcW w:w="4786" w:type="dxa"/>
            <w:noWrap w:val="0"/>
            <w:vAlign w:val="top"/>
          </w:tcPr>
          <w:p w14:paraId="7E0147B1">
            <w:pPr>
              <w:spacing w:line="336" w:lineRule="auto"/>
              <w:rPr>
                <w:rFonts w:hint="eastAsia" w:ascii="宋体" w:hAnsi="宋体"/>
                <w:sz w:val="24"/>
                <w:szCs w:val="24"/>
                <w:highlight w:val="none"/>
              </w:rPr>
            </w:pPr>
            <w:r>
              <w:rPr>
                <w:rFonts w:ascii="宋体" w:hAnsi="宋体"/>
                <w:sz w:val="24"/>
                <w:szCs w:val="24"/>
                <w:highlight w:val="none"/>
              </w:rPr>
              <w:t>邮政编码：</w:t>
            </w:r>
          </w:p>
        </w:tc>
      </w:tr>
      <w:tr w14:paraId="1F10F4EE">
        <w:tblPrEx>
          <w:tblCellMar>
            <w:top w:w="0" w:type="dxa"/>
            <w:left w:w="108" w:type="dxa"/>
            <w:bottom w:w="0" w:type="dxa"/>
            <w:right w:w="108" w:type="dxa"/>
          </w:tblCellMar>
        </w:tblPrEx>
        <w:trPr>
          <w:cantSplit/>
          <w:trHeight w:val="567" w:hRule="atLeast"/>
        </w:trPr>
        <w:tc>
          <w:tcPr>
            <w:tcW w:w="4785" w:type="dxa"/>
            <w:noWrap w:val="0"/>
            <w:vAlign w:val="top"/>
          </w:tcPr>
          <w:p w14:paraId="58ECC7AE">
            <w:pPr>
              <w:spacing w:line="336" w:lineRule="auto"/>
              <w:rPr>
                <w:rFonts w:hint="eastAsia" w:ascii="宋体" w:hAnsi="宋体"/>
                <w:sz w:val="24"/>
                <w:highlight w:val="none"/>
              </w:rPr>
            </w:pPr>
            <w:r>
              <w:rPr>
                <w:rFonts w:ascii="宋体" w:hAnsi="宋体"/>
                <w:sz w:val="24"/>
                <w:highlight w:val="none"/>
              </w:rPr>
              <w:t>电　　话：</w:t>
            </w:r>
          </w:p>
        </w:tc>
        <w:tc>
          <w:tcPr>
            <w:tcW w:w="4786" w:type="dxa"/>
            <w:noWrap w:val="0"/>
            <w:vAlign w:val="top"/>
          </w:tcPr>
          <w:p w14:paraId="2D38E1D5">
            <w:pPr>
              <w:spacing w:line="336" w:lineRule="auto"/>
              <w:rPr>
                <w:rFonts w:hint="eastAsia" w:ascii="宋体" w:hAnsi="宋体"/>
                <w:sz w:val="24"/>
                <w:szCs w:val="24"/>
                <w:highlight w:val="none"/>
              </w:rPr>
            </w:pPr>
            <w:r>
              <w:rPr>
                <w:rFonts w:ascii="宋体" w:hAnsi="宋体"/>
                <w:sz w:val="24"/>
                <w:szCs w:val="24"/>
                <w:highlight w:val="none"/>
              </w:rPr>
              <w:t>电　　话：</w:t>
            </w:r>
          </w:p>
        </w:tc>
      </w:tr>
      <w:tr w14:paraId="571FAB47">
        <w:tblPrEx>
          <w:tblCellMar>
            <w:top w:w="0" w:type="dxa"/>
            <w:left w:w="108" w:type="dxa"/>
            <w:bottom w:w="0" w:type="dxa"/>
            <w:right w:w="108" w:type="dxa"/>
          </w:tblCellMar>
        </w:tblPrEx>
        <w:trPr>
          <w:cantSplit/>
          <w:trHeight w:val="576" w:hRule="atLeast"/>
        </w:trPr>
        <w:tc>
          <w:tcPr>
            <w:tcW w:w="4785" w:type="dxa"/>
            <w:noWrap w:val="0"/>
            <w:vAlign w:val="top"/>
          </w:tcPr>
          <w:p w14:paraId="7D35402C">
            <w:pPr>
              <w:spacing w:line="336" w:lineRule="auto"/>
              <w:rPr>
                <w:rFonts w:hint="eastAsia" w:ascii="宋体" w:hAnsi="宋体"/>
                <w:sz w:val="24"/>
                <w:highlight w:val="none"/>
              </w:rPr>
            </w:pPr>
            <w:r>
              <w:rPr>
                <w:rFonts w:hint="eastAsia" w:ascii="宋体" w:hAnsi="宋体"/>
                <w:sz w:val="24"/>
                <w:highlight w:val="none"/>
              </w:rPr>
              <w:t xml:space="preserve">纳税人识别号： </w:t>
            </w:r>
          </w:p>
        </w:tc>
        <w:tc>
          <w:tcPr>
            <w:tcW w:w="4786" w:type="dxa"/>
            <w:noWrap w:val="0"/>
            <w:vAlign w:val="top"/>
          </w:tcPr>
          <w:p w14:paraId="7A574C6D">
            <w:pPr>
              <w:spacing w:line="336" w:lineRule="auto"/>
              <w:rPr>
                <w:rFonts w:hint="eastAsia" w:ascii="宋体" w:hAnsi="宋体"/>
                <w:sz w:val="24"/>
                <w:szCs w:val="24"/>
                <w:highlight w:val="none"/>
              </w:rPr>
            </w:pPr>
            <w:r>
              <w:rPr>
                <w:rFonts w:ascii="宋体" w:hAnsi="宋体"/>
                <w:sz w:val="24"/>
                <w:szCs w:val="24"/>
                <w:highlight w:val="none"/>
              </w:rPr>
              <w:t>纳税人识别号：</w:t>
            </w:r>
          </w:p>
        </w:tc>
      </w:tr>
      <w:tr w14:paraId="13DFB89F">
        <w:tblPrEx>
          <w:tblCellMar>
            <w:top w:w="0" w:type="dxa"/>
            <w:left w:w="108" w:type="dxa"/>
            <w:bottom w:w="0" w:type="dxa"/>
            <w:right w:w="108" w:type="dxa"/>
          </w:tblCellMar>
        </w:tblPrEx>
        <w:trPr>
          <w:cantSplit/>
          <w:trHeight w:val="567" w:hRule="atLeast"/>
        </w:trPr>
        <w:tc>
          <w:tcPr>
            <w:tcW w:w="4785" w:type="dxa"/>
            <w:noWrap w:val="0"/>
            <w:vAlign w:val="top"/>
          </w:tcPr>
          <w:p w14:paraId="1E411725">
            <w:pPr>
              <w:spacing w:line="336" w:lineRule="auto"/>
              <w:rPr>
                <w:rFonts w:hint="eastAsia" w:ascii="宋体" w:hAnsi="宋体"/>
                <w:sz w:val="24"/>
                <w:highlight w:val="none"/>
              </w:rPr>
            </w:pPr>
            <w:r>
              <w:rPr>
                <w:rFonts w:ascii="宋体" w:hAnsi="宋体"/>
                <w:sz w:val="24"/>
                <w:highlight w:val="none"/>
              </w:rPr>
              <w:t xml:space="preserve">开户银行： </w:t>
            </w:r>
          </w:p>
        </w:tc>
        <w:tc>
          <w:tcPr>
            <w:tcW w:w="4786" w:type="dxa"/>
            <w:noWrap w:val="0"/>
            <w:vAlign w:val="top"/>
          </w:tcPr>
          <w:p w14:paraId="06117805">
            <w:pPr>
              <w:spacing w:line="336" w:lineRule="auto"/>
              <w:rPr>
                <w:rFonts w:hint="eastAsia" w:ascii="宋体" w:hAnsi="宋体"/>
                <w:sz w:val="24"/>
                <w:szCs w:val="24"/>
                <w:highlight w:val="none"/>
              </w:rPr>
            </w:pPr>
            <w:r>
              <w:rPr>
                <w:rFonts w:ascii="宋体" w:hAnsi="宋体"/>
                <w:sz w:val="24"/>
                <w:szCs w:val="24"/>
                <w:highlight w:val="none"/>
              </w:rPr>
              <w:t xml:space="preserve">开户银行： </w:t>
            </w:r>
          </w:p>
        </w:tc>
      </w:tr>
      <w:tr w14:paraId="3236B456">
        <w:tblPrEx>
          <w:tblCellMar>
            <w:top w:w="0" w:type="dxa"/>
            <w:left w:w="108" w:type="dxa"/>
            <w:bottom w:w="0" w:type="dxa"/>
            <w:right w:w="108" w:type="dxa"/>
          </w:tblCellMar>
        </w:tblPrEx>
        <w:trPr>
          <w:cantSplit/>
          <w:trHeight w:val="567" w:hRule="atLeast"/>
        </w:trPr>
        <w:tc>
          <w:tcPr>
            <w:tcW w:w="4785" w:type="dxa"/>
            <w:noWrap w:val="0"/>
            <w:vAlign w:val="top"/>
          </w:tcPr>
          <w:p w14:paraId="097433F1">
            <w:pPr>
              <w:spacing w:line="336" w:lineRule="auto"/>
              <w:rPr>
                <w:rFonts w:hint="eastAsia" w:ascii="宋体" w:hAnsi="宋体"/>
                <w:sz w:val="24"/>
                <w:highlight w:val="none"/>
              </w:rPr>
            </w:pPr>
            <w:r>
              <w:rPr>
                <w:rFonts w:ascii="宋体" w:hAnsi="宋体"/>
                <w:sz w:val="24"/>
                <w:highlight w:val="none"/>
              </w:rPr>
              <w:t>银行</w:t>
            </w:r>
            <w:r>
              <w:rPr>
                <w:rFonts w:hint="eastAsia" w:ascii="宋体" w:hAnsi="宋体"/>
                <w:sz w:val="24"/>
                <w:highlight w:val="none"/>
              </w:rPr>
              <w:t>账</w:t>
            </w:r>
            <w:r>
              <w:rPr>
                <w:rFonts w:ascii="宋体" w:hAnsi="宋体"/>
                <w:sz w:val="24"/>
                <w:highlight w:val="none"/>
              </w:rPr>
              <w:t>号：</w:t>
            </w:r>
            <w:r>
              <w:rPr>
                <w:rFonts w:hint="eastAsia" w:ascii="宋体" w:hAnsi="宋体"/>
                <w:sz w:val="24"/>
                <w:highlight w:val="none"/>
              </w:rPr>
              <w:t xml:space="preserve"> </w:t>
            </w:r>
          </w:p>
        </w:tc>
        <w:tc>
          <w:tcPr>
            <w:tcW w:w="4786" w:type="dxa"/>
            <w:noWrap w:val="0"/>
            <w:vAlign w:val="top"/>
          </w:tcPr>
          <w:p w14:paraId="62B15919">
            <w:pPr>
              <w:spacing w:line="336" w:lineRule="auto"/>
              <w:rPr>
                <w:rFonts w:hint="eastAsia" w:ascii="宋体" w:hAnsi="宋体"/>
                <w:sz w:val="24"/>
                <w:szCs w:val="24"/>
                <w:highlight w:val="none"/>
              </w:rPr>
            </w:pPr>
            <w:r>
              <w:rPr>
                <w:rFonts w:ascii="宋体" w:hAnsi="宋体"/>
                <w:sz w:val="24"/>
                <w:szCs w:val="24"/>
                <w:highlight w:val="none"/>
              </w:rPr>
              <w:t>银行</w:t>
            </w:r>
            <w:r>
              <w:rPr>
                <w:rFonts w:hint="eastAsia" w:ascii="宋体" w:hAnsi="宋体"/>
                <w:sz w:val="24"/>
                <w:szCs w:val="24"/>
                <w:highlight w:val="none"/>
              </w:rPr>
              <w:t>账</w:t>
            </w:r>
            <w:r>
              <w:rPr>
                <w:rFonts w:ascii="宋体" w:hAnsi="宋体"/>
                <w:sz w:val="24"/>
                <w:szCs w:val="24"/>
                <w:highlight w:val="none"/>
              </w:rPr>
              <w:t>号：</w:t>
            </w:r>
          </w:p>
        </w:tc>
      </w:tr>
    </w:tbl>
    <w:p w14:paraId="67DBA1F2">
      <w:pPr>
        <w:spacing w:line="336" w:lineRule="auto"/>
        <w:rPr>
          <w:rFonts w:hint="eastAsia" w:ascii="宋体" w:hAnsi="宋体"/>
          <w:sz w:val="24"/>
          <w:szCs w:val="21"/>
          <w:highlight w:val="none"/>
        </w:rPr>
      </w:pPr>
    </w:p>
    <w:p w14:paraId="23C074F8">
      <w:pPr>
        <w:rPr>
          <w:b/>
          <w:sz w:val="36"/>
          <w:szCs w:val="36"/>
        </w:rPr>
      </w:pPr>
      <w:r>
        <w:rPr>
          <w:b/>
          <w:sz w:val="36"/>
          <w:szCs w:val="36"/>
        </w:rPr>
        <w:br w:type="page"/>
      </w:r>
    </w:p>
    <w:p w14:paraId="08DC0426">
      <w:pPr>
        <w:pStyle w:val="2"/>
      </w:pPr>
    </w:p>
    <w:p w14:paraId="4F503644">
      <w:pPr>
        <w:spacing w:line="360" w:lineRule="auto"/>
        <w:ind w:firstLine="2168" w:firstLineChars="600"/>
        <w:outlineLvl w:val="0"/>
        <w:rPr>
          <w:b/>
          <w:sz w:val="36"/>
          <w:szCs w:val="36"/>
        </w:rPr>
      </w:pPr>
      <w:bookmarkStart w:id="864" w:name="_Toc99301426"/>
      <w:bookmarkStart w:id="865" w:name="_Hlk191494950"/>
      <w:bookmarkStart w:id="960" w:name="_GoBack"/>
      <w:r>
        <w:rPr>
          <w:b/>
          <w:sz w:val="36"/>
          <w:szCs w:val="36"/>
        </w:rPr>
        <w:t>第七章   投标文件格式</w:t>
      </w:r>
      <w:bookmarkEnd w:id="864"/>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5"/>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6"/>
        </w:numPr>
        <w:spacing w:line="360" w:lineRule="auto"/>
        <w:ind w:left="1134"/>
        <w:rPr>
          <w:sz w:val="24"/>
          <w:szCs w:val="22"/>
        </w:rPr>
      </w:pPr>
      <w:r>
        <w:rPr>
          <w:sz w:val="24"/>
          <w:szCs w:val="22"/>
        </w:rPr>
        <w:t>具有良好的商业信誉和健全的财务会计制度；</w:t>
      </w:r>
    </w:p>
    <w:p w14:paraId="53B7724C">
      <w:pPr>
        <w:numPr>
          <w:ilvl w:val="0"/>
          <w:numId w:val="16"/>
        </w:numPr>
        <w:spacing w:line="360" w:lineRule="auto"/>
        <w:ind w:left="1134"/>
        <w:rPr>
          <w:sz w:val="24"/>
          <w:szCs w:val="22"/>
        </w:rPr>
      </w:pPr>
      <w:r>
        <w:rPr>
          <w:sz w:val="24"/>
          <w:szCs w:val="22"/>
        </w:rPr>
        <w:t>具有履行合同所必需的设备和专业技术能力；</w:t>
      </w:r>
    </w:p>
    <w:p w14:paraId="3FA8B35D">
      <w:pPr>
        <w:numPr>
          <w:ilvl w:val="0"/>
          <w:numId w:val="16"/>
        </w:numPr>
        <w:spacing w:line="360" w:lineRule="auto"/>
        <w:ind w:left="1134"/>
        <w:rPr>
          <w:sz w:val="24"/>
          <w:szCs w:val="22"/>
        </w:rPr>
      </w:pPr>
      <w:r>
        <w:rPr>
          <w:sz w:val="24"/>
          <w:szCs w:val="22"/>
        </w:rPr>
        <w:t>有依法缴纳税收和社会保障资金的良好记录；</w:t>
      </w:r>
    </w:p>
    <w:p w14:paraId="45F5C3E3">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51768202">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6" w:name="_Hlk145526067"/>
      <w:r>
        <w:rPr>
          <w:sz w:val="24"/>
        </w:rPr>
        <w:t>如供应商为联合体的，</w:t>
      </w:r>
      <w:bookmarkEnd w:id="86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6"/>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6"/>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5"/>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7"/>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7"/>
        </w:numPr>
        <w:spacing w:line="360" w:lineRule="auto"/>
        <w:rPr>
          <w:bCs/>
          <w:color w:val="000000"/>
          <w:sz w:val="24"/>
        </w:rPr>
      </w:pPr>
      <w:r>
        <w:rPr>
          <w:bCs/>
          <w:color w:val="000000"/>
          <w:sz w:val="24"/>
        </w:rPr>
        <w:t>______负责_____，具体工作范围、内容以投标文件及合同为准。</w:t>
      </w:r>
    </w:p>
    <w:p w14:paraId="07178FE9">
      <w:pPr>
        <w:numPr>
          <w:ilvl w:val="0"/>
          <w:numId w:val="17"/>
        </w:numPr>
        <w:spacing w:line="360" w:lineRule="auto"/>
        <w:rPr>
          <w:bCs/>
          <w:color w:val="000000"/>
          <w:sz w:val="24"/>
        </w:rPr>
      </w:pPr>
      <w:r>
        <w:rPr>
          <w:bCs/>
          <w:color w:val="000000"/>
          <w:sz w:val="24"/>
        </w:rPr>
        <w:t>______负责_____，具体工作范围、内容以投标文件及合同为准。</w:t>
      </w:r>
    </w:p>
    <w:p w14:paraId="2DF8A13B">
      <w:pPr>
        <w:numPr>
          <w:ilvl w:val="0"/>
          <w:numId w:val="17"/>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7"/>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7"/>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18"/>
        </w:numPr>
        <w:tabs>
          <w:tab w:val="left" w:pos="360"/>
        </w:tabs>
        <w:snapToGrid w:val="0"/>
        <w:spacing w:line="360" w:lineRule="auto"/>
        <w:outlineLvl w:val="1"/>
        <w:rPr>
          <w:color w:val="000000"/>
          <w:sz w:val="24"/>
          <w:szCs w:val="20"/>
        </w:rPr>
      </w:pPr>
      <w:bookmarkStart w:id="867" w:name="_Hlt520343000"/>
      <w:bookmarkEnd w:id="867"/>
      <w:bookmarkStart w:id="868" w:name="_Hlt520274065"/>
      <w:bookmarkEnd w:id="868"/>
      <w:bookmarkStart w:id="869" w:name="_Hlt520271212"/>
      <w:bookmarkEnd w:id="869"/>
      <w:bookmarkStart w:id="870" w:name="_Hlt520273711"/>
      <w:bookmarkEnd w:id="870"/>
      <w:bookmarkStart w:id="871" w:name="_Hlt520350918"/>
      <w:bookmarkEnd w:id="871"/>
      <w:bookmarkStart w:id="872" w:name="_Hlt520355504"/>
      <w:bookmarkEnd w:id="872"/>
      <w:bookmarkStart w:id="873" w:name="_Hlt520274407"/>
      <w:bookmarkEnd w:id="873"/>
      <w:bookmarkStart w:id="874" w:name="_Hlt520343392"/>
      <w:bookmarkEnd w:id="874"/>
      <w:bookmarkStart w:id="875" w:name="_Hlt520274121"/>
      <w:bookmarkEnd w:id="875"/>
      <w:bookmarkStart w:id="876" w:name="_Hlt520274393"/>
      <w:bookmarkEnd w:id="876"/>
      <w:bookmarkStart w:id="877" w:name="_Ref467988698"/>
      <w:bookmarkStart w:id="878" w:name="_Toc480942349"/>
      <w:bookmarkStart w:id="879" w:name="_Toc150480794"/>
      <w:bookmarkStart w:id="880" w:name="_Toc226965746"/>
      <w:bookmarkStart w:id="881" w:name="_Toc127151556"/>
      <w:bookmarkStart w:id="882" w:name="_Toc226965829"/>
      <w:bookmarkStart w:id="883" w:name="_Toc195842921"/>
      <w:bookmarkStart w:id="884" w:name="_Toc150774761"/>
      <w:bookmarkStart w:id="885" w:name="_Toc520356217"/>
      <w:bookmarkStart w:id="886" w:name="_Toc226337252"/>
      <w:bookmarkStart w:id="887" w:name="_Toc142311058"/>
      <w:bookmarkStart w:id="888" w:name="_Toc226309800"/>
      <w:r>
        <w:rPr>
          <w:color w:val="000000"/>
          <w:sz w:val="24"/>
        </w:rPr>
        <w:t>投标</w:t>
      </w:r>
      <w:bookmarkEnd w:id="877"/>
      <w:bookmarkEnd w:id="878"/>
      <w:r>
        <w:rPr>
          <w:color w:val="000000"/>
          <w:sz w:val="24"/>
        </w:rPr>
        <w:t>书</w:t>
      </w:r>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89" w:name="_Hlt520355938"/>
      <w:bookmarkEnd w:id="889"/>
      <w:bookmarkStart w:id="890" w:name="_Hlt520356243"/>
      <w:bookmarkEnd w:id="890"/>
      <w:bookmarkStart w:id="891" w:name="_Toc127151557"/>
      <w:bookmarkStart w:id="892" w:name="_Toc305158899"/>
      <w:bookmarkStart w:id="893" w:name="_Toc226965830"/>
      <w:bookmarkStart w:id="894" w:name="_Toc305158825"/>
      <w:bookmarkStart w:id="895" w:name="_Toc520356218"/>
      <w:bookmarkStart w:id="896" w:name="_Ref467988705"/>
      <w:bookmarkStart w:id="897" w:name="_Toc150774762"/>
      <w:bookmarkStart w:id="898" w:name="_Toc226965747"/>
      <w:bookmarkStart w:id="899" w:name="_Toc150480795"/>
      <w:bookmarkStart w:id="900" w:name="_Toc195842922"/>
      <w:bookmarkStart w:id="901" w:name="_Toc264969247"/>
      <w:bookmarkStart w:id="902" w:name="_Toc480942350"/>
      <w:bookmarkStart w:id="903" w:name="_Toc226337253"/>
      <w:bookmarkStart w:id="904" w:name="_Toc265228395"/>
      <w:bookmarkStart w:id="905" w:name="_Toc142311059"/>
      <w:bookmarkStart w:id="906" w:name="_Toc226309801"/>
      <w:r>
        <w:rPr>
          <w:color w:val="000000"/>
          <w:sz w:val="24"/>
        </w:rPr>
        <w:br w:type="page"/>
      </w:r>
    </w:p>
    <w:p w14:paraId="05DC7FD5">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8"/>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8"/>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8"/>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1461B67B">
      <w:pPr>
        <w:spacing w:line="360" w:lineRule="exact"/>
        <w:jc w:val="center"/>
        <w:rPr>
          <w:b/>
          <w:color w:val="000000"/>
          <w:sz w:val="36"/>
          <w:szCs w:val="36"/>
        </w:rPr>
      </w:pPr>
      <w:bookmarkStart w:id="907" w:name="_Toc265228396"/>
      <w:bookmarkStart w:id="908" w:name="_Toc164608827"/>
      <w:bookmarkStart w:id="909" w:name="_Toc226965831"/>
      <w:bookmarkStart w:id="910" w:name="_Toc264969248"/>
      <w:bookmarkStart w:id="911" w:name="_Toc164608672"/>
      <w:bookmarkStart w:id="912" w:name="_Toc305158826"/>
      <w:bookmarkStart w:id="913" w:name="_Toc226965748"/>
      <w:bookmarkStart w:id="914" w:name="_Toc305158900"/>
      <w:bookmarkStart w:id="915" w:name="_Toc195842923"/>
      <w:bookmarkStart w:id="916" w:name="_Toc226309802"/>
      <w:bookmarkStart w:id="917" w:name="_Toc226337254"/>
      <w:r>
        <w:rPr>
          <w:b/>
          <w:color w:val="000000"/>
          <w:sz w:val="36"/>
          <w:szCs w:val="36"/>
        </w:rPr>
        <w:t>开标一览表</w:t>
      </w:r>
      <w:bookmarkEnd w:id="907"/>
      <w:bookmarkEnd w:id="908"/>
      <w:bookmarkEnd w:id="909"/>
      <w:bookmarkEnd w:id="910"/>
      <w:bookmarkEnd w:id="911"/>
      <w:bookmarkEnd w:id="912"/>
      <w:bookmarkEnd w:id="913"/>
      <w:bookmarkEnd w:id="914"/>
      <w:bookmarkEnd w:id="915"/>
      <w:bookmarkEnd w:id="916"/>
      <w:bookmarkEnd w:id="917"/>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18" w:name="_Toc150480796"/>
      <w:bookmarkStart w:id="919" w:name="_Toc226965749"/>
      <w:bookmarkStart w:id="920" w:name="_Toc195842924"/>
      <w:bookmarkStart w:id="921" w:name="_Toc150774763"/>
      <w:bookmarkStart w:id="922" w:name="_Toc305158901"/>
      <w:bookmarkStart w:id="923" w:name="_Toc226309803"/>
      <w:bookmarkStart w:id="924" w:name="_Toc127151558"/>
      <w:bookmarkStart w:id="925" w:name="_Toc226337255"/>
      <w:bookmarkStart w:id="926" w:name="_Toc264969249"/>
      <w:bookmarkStart w:id="927" w:name="_Toc142311060"/>
      <w:bookmarkStart w:id="928" w:name="_Toc226965832"/>
      <w:bookmarkStart w:id="929" w:name="_Toc305158827"/>
      <w:bookmarkStart w:id="930" w:name="_Toc265228397"/>
    </w:p>
    <w:p w14:paraId="41B5A929">
      <w:pPr>
        <w:widowControl/>
        <w:jc w:val="left"/>
        <w:rPr>
          <w:color w:val="000000"/>
          <w:sz w:val="24"/>
          <w:szCs w:val="20"/>
        </w:rPr>
      </w:pPr>
    </w:p>
    <w:p w14:paraId="318961AD">
      <w:pPr>
        <w:numPr>
          <w:ilvl w:val="0"/>
          <w:numId w:val="18"/>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09FA429">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18"/>
        </w:numPr>
        <w:tabs>
          <w:tab w:val="left" w:pos="360"/>
        </w:tabs>
        <w:snapToGrid w:val="0"/>
        <w:spacing w:line="360" w:lineRule="auto"/>
        <w:outlineLvl w:val="1"/>
        <w:rPr>
          <w:color w:val="000000"/>
          <w:sz w:val="24"/>
          <w:szCs w:val="20"/>
        </w:rPr>
      </w:pPr>
      <w:bookmarkStart w:id="931" w:name="_Toc264969252"/>
      <w:bookmarkStart w:id="932" w:name="_Toc305158830"/>
      <w:bookmarkStart w:id="933" w:name="_Toc150774765"/>
      <w:bookmarkStart w:id="934" w:name="_Toc226965752"/>
      <w:bookmarkStart w:id="935" w:name="_Toc226309806"/>
      <w:bookmarkStart w:id="936" w:name="_Toc195842927"/>
      <w:bookmarkStart w:id="937" w:name="_Toc127151562"/>
      <w:bookmarkStart w:id="938" w:name="_Toc265228400"/>
      <w:bookmarkStart w:id="939" w:name="_Toc226337258"/>
      <w:bookmarkStart w:id="940" w:name="_Toc142311062"/>
      <w:bookmarkStart w:id="941" w:name="_Toc305158904"/>
      <w:bookmarkStart w:id="942" w:name="_Toc150480798"/>
      <w:bookmarkStart w:id="943" w:name="_Toc226965835"/>
      <w:bookmarkStart w:id="944" w:name="_Toc150480797"/>
      <w:bookmarkStart w:id="945" w:name="_Toc226965834"/>
      <w:bookmarkStart w:id="946" w:name="_Toc127151561"/>
      <w:bookmarkStart w:id="947" w:name="_Toc226965751"/>
      <w:bookmarkStart w:id="948" w:name="_Toc265228399"/>
      <w:bookmarkStart w:id="949" w:name="_Toc305158903"/>
      <w:bookmarkStart w:id="950" w:name="_Toc305158829"/>
      <w:bookmarkStart w:id="951" w:name="_Toc264969251"/>
      <w:bookmarkStart w:id="952" w:name="_Toc195842926"/>
      <w:bookmarkStart w:id="953" w:name="_Toc142311061"/>
      <w:bookmarkStart w:id="954" w:name="_Toc226337257"/>
      <w:bookmarkStart w:id="955" w:name="_Toc150774764"/>
      <w:bookmarkStart w:id="956" w:name="_Toc226309805"/>
      <w:r>
        <w:rPr>
          <w:color w:val="000000"/>
          <w:sz w:val="24"/>
          <w:szCs w:val="20"/>
        </w:rPr>
        <w:br w:type="page"/>
      </w:r>
      <w:r>
        <w:rPr>
          <w:color w:val="000000"/>
          <w:sz w:val="24"/>
          <w:szCs w:val="20"/>
        </w:rPr>
        <w:t>合同条款偏离表</w:t>
      </w:r>
      <w:bookmarkEnd w:id="931"/>
      <w:bookmarkEnd w:id="932"/>
      <w:bookmarkEnd w:id="933"/>
      <w:bookmarkEnd w:id="934"/>
      <w:bookmarkEnd w:id="935"/>
      <w:bookmarkEnd w:id="936"/>
      <w:bookmarkEnd w:id="937"/>
      <w:bookmarkEnd w:id="938"/>
      <w:bookmarkEnd w:id="939"/>
      <w:bookmarkEnd w:id="940"/>
      <w:bookmarkEnd w:id="941"/>
      <w:bookmarkEnd w:id="942"/>
      <w:bookmarkEnd w:id="943"/>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7"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7"/>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44"/>
      <w:bookmarkEnd w:id="945"/>
      <w:bookmarkEnd w:id="946"/>
      <w:bookmarkEnd w:id="947"/>
      <w:bookmarkEnd w:id="948"/>
      <w:bookmarkEnd w:id="949"/>
      <w:bookmarkEnd w:id="950"/>
      <w:bookmarkEnd w:id="951"/>
      <w:bookmarkEnd w:id="952"/>
      <w:bookmarkEnd w:id="953"/>
      <w:bookmarkEnd w:id="954"/>
      <w:bookmarkEnd w:id="955"/>
      <w:bookmarkEnd w:id="956"/>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58"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59"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9"/>
    </w:p>
    <w:bookmarkEnd w:id="958"/>
    <w:p w14:paraId="4DED4BD9">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5"/>
    <w:p w14:paraId="3498E7AC">
      <w:pPr>
        <w:widowControl/>
        <w:jc w:val="left"/>
        <w:rPr>
          <w:b/>
          <w:sz w:val="36"/>
          <w:szCs w:val="36"/>
        </w:rPr>
      </w:pPr>
    </w:p>
    <w:bookmarkEnd w:id="960"/>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标宋体">
    <w:altName w:val="宋体"/>
    <w:panose1 w:val="00000000000000000000"/>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29"/>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29"/>
      <w:rPr>
        <w:rStyle w:val="4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E7CC6B7">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29"/>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021F6D">
    <w:pPr>
      <w:pStyle w:val="29"/>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0"/>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0"/>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multilevel"/>
    <w:tmpl w:val="0000000B"/>
    <w:lvl w:ilvl="0" w:tentative="0">
      <w:start w:val="1"/>
      <w:numFmt w:val="decimal"/>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5"/>
  </w:num>
  <w:num w:numId="3">
    <w:abstractNumId w:val="8"/>
  </w:num>
  <w:num w:numId="4">
    <w:abstractNumId w:val="1"/>
  </w:num>
  <w:num w:numId="5">
    <w:abstractNumId w:val="6"/>
  </w:num>
  <w:num w:numId="6">
    <w:abstractNumId w:val="4"/>
  </w:num>
  <w:num w:numId="7">
    <w:abstractNumId w:val="3"/>
  </w:num>
  <w:num w:numId="8">
    <w:abstractNumId w:val="10"/>
  </w:num>
  <w:num w:numId="9">
    <w:abstractNumId w:val="7"/>
  </w:num>
  <w:num w:numId="10">
    <w:abstractNumId w:val="0"/>
  </w:num>
  <w:num w:numId="11">
    <w:abstractNumId w:val="15"/>
  </w:num>
  <w:num w:numId="12">
    <w:abstractNumId w:val="11"/>
  </w:num>
  <w:num w:numId="13">
    <w:abstractNumId w:val="18"/>
  </w:num>
  <w:num w:numId="14">
    <w:abstractNumId w:val="2"/>
  </w:num>
  <w:num w:numId="15">
    <w:abstractNumId w:val="17"/>
  </w:num>
  <w:num w:numId="16">
    <w:abstractNumId w:val="13"/>
  </w:num>
  <w:num w:numId="17">
    <w:abstractNumId w:val="16"/>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711A6B"/>
    <w:rsid w:val="06D00D11"/>
    <w:rsid w:val="06EB2968"/>
    <w:rsid w:val="0A405716"/>
    <w:rsid w:val="0B660C1A"/>
    <w:rsid w:val="0C741FD0"/>
    <w:rsid w:val="12312CB0"/>
    <w:rsid w:val="1439303A"/>
    <w:rsid w:val="17F93E0B"/>
    <w:rsid w:val="19BA47F3"/>
    <w:rsid w:val="1C455CA5"/>
    <w:rsid w:val="1C680CE5"/>
    <w:rsid w:val="1D2C69D2"/>
    <w:rsid w:val="20666F55"/>
    <w:rsid w:val="20A175A1"/>
    <w:rsid w:val="22E41FB7"/>
    <w:rsid w:val="239E00B4"/>
    <w:rsid w:val="251E74A4"/>
    <w:rsid w:val="27843CE5"/>
    <w:rsid w:val="28626E0F"/>
    <w:rsid w:val="2B754ED7"/>
    <w:rsid w:val="2CF61B50"/>
    <w:rsid w:val="2D617A8E"/>
    <w:rsid w:val="2DAC3576"/>
    <w:rsid w:val="2F8352FD"/>
    <w:rsid w:val="32EB653A"/>
    <w:rsid w:val="36AF2A94"/>
    <w:rsid w:val="399D4513"/>
    <w:rsid w:val="3BCB6780"/>
    <w:rsid w:val="3C4D7E6F"/>
    <w:rsid w:val="3F9D0A10"/>
    <w:rsid w:val="42CD0A98"/>
    <w:rsid w:val="42D938CD"/>
    <w:rsid w:val="42DA58CB"/>
    <w:rsid w:val="431A0C09"/>
    <w:rsid w:val="46470CE6"/>
    <w:rsid w:val="466E26B2"/>
    <w:rsid w:val="47547880"/>
    <w:rsid w:val="480E2158"/>
    <w:rsid w:val="4B65373A"/>
    <w:rsid w:val="4C2B408B"/>
    <w:rsid w:val="4CD2771C"/>
    <w:rsid w:val="4D00163A"/>
    <w:rsid w:val="4F0F5BE3"/>
    <w:rsid w:val="4F162D2E"/>
    <w:rsid w:val="517411D3"/>
    <w:rsid w:val="52422029"/>
    <w:rsid w:val="55040901"/>
    <w:rsid w:val="551E317D"/>
    <w:rsid w:val="553C7166"/>
    <w:rsid w:val="55D02974"/>
    <w:rsid w:val="56A47A0A"/>
    <w:rsid w:val="56DF05DE"/>
    <w:rsid w:val="56F84D67"/>
    <w:rsid w:val="57FC6189"/>
    <w:rsid w:val="5F073306"/>
    <w:rsid w:val="5F5F73B9"/>
    <w:rsid w:val="63590322"/>
    <w:rsid w:val="636D6877"/>
    <w:rsid w:val="645233B1"/>
    <w:rsid w:val="6838144E"/>
    <w:rsid w:val="68AA7398"/>
    <w:rsid w:val="730154CA"/>
    <w:rsid w:val="742C597A"/>
    <w:rsid w:val="743743BE"/>
    <w:rsid w:val="75323412"/>
    <w:rsid w:val="762C5147"/>
    <w:rsid w:val="773C2FE4"/>
    <w:rsid w:val="77C504CC"/>
    <w:rsid w:val="796706F8"/>
    <w:rsid w:val="7E3C5AFA"/>
    <w:rsid w:val="7F50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240"/>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5"/>
    <w:next w:val="15"/>
    <w:link w:val="246"/>
    <w:qFormat/>
    <w:uiPriority w:val="0"/>
    <w:rPr>
      <w:b/>
      <w:bCs/>
    </w:rPr>
  </w:style>
  <w:style w:type="paragraph" w:styleId="42">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247"/>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2"/>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99"/>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2"/>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2"/>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3"/>
    <w:qFormat/>
    <w:uiPriority w:val="0"/>
    <w:rPr>
      <w:rFonts w:ascii="宋体"/>
      <w:b/>
      <w:kern w:val="44"/>
      <w:sz w:val="32"/>
    </w:rPr>
  </w:style>
  <w:style w:type="character" w:customStyle="1" w:styleId="232">
    <w:name w:val="标题 4 字符"/>
    <w:basedOn w:val="47"/>
    <w:link w:val="6"/>
    <w:qFormat/>
    <w:uiPriority w:val="0"/>
    <w:rPr>
      <w:sz w:val="24"/>
    </w:rPr>
  </w:style>
  <w:style w:type="character" w:customStyle="1" w:styleId="233">
    <w:name w:val="标题 5 字符"/>
    <w:basedOn w:val="47"/>
    <w:link w:val="7"/>
    <w:qFormat/>
    <w:uiPriority w:val="0"/>
    <w:rPr>
      <w:b/>
      <w:sz w:val="28"/>
    </w:rPr>
  </w:style>
  <w:style w:type="character" w:customStyle="1" w:styleId="234">
    <w:name w:val="标题 6 字符"/>
    <w:basedOn w:val="47"/>
    <w:link w:val="8"/>
    <w:qFormat/>
    <w:uiPriority w:val="0"/>
    <w:rPr>
      <w:rFonts w:ascii="Arial" w:hAnsi="Arial" w:eastAsia="黑体"/>
      <w:b/>
      <w:sz w:val="24"/>
    </w:rPr>
  </w:style>
  <w:style w:type="character" w:customStyle="1" w:styleId="235">
    <w:name w:val="标题 7 字符"/>
    <w:basedOn w:val="47"/>
    <w:link w:val="9"/>
    <w:qFormat/>
    <w:uiPriority w:val="0"/>
    <w:rPr>
      <w:b/>
      <w:sz w:val="24"/>
    </w:rPr>
  </w:style>
  <w:style w:type="character" w:customStyle="1" w:styleId="236">
    <w:name w:val="标题 8 字符"/>
    <w:basedOn w:val="47"/>
    <w:link w:val="10"/>
    <w:qFormat/>
    <w:uiPriority w:val="0"/>
    <w:rPr>
      <w:rFonts w:ascii="Arial" w:hAnsi="Arial" w:eastAsia="黑体"/>
      <w:sz w:val="24"/>
    </w:rPr>
  </w:style>
  <w:style w:type="character" w:customStyle="1" w:styleId="237">
    <w:name w:val="标题 9 字符"/>
    <w:basedOn w:val="47"/>
    <w:link w:val="11"/>
    <w:qFormat/>
    <w:uiPriority w:val="0"/>
    <w:rPr>
      <w:rFonts w:ascii="Arial" w:hAnsi="Arial" w:eastAsia="黑体"/>
      <w:sz w:val="21"/>
    </w:rPr>
  </w:style>
  <w:style w:type="character" w:customStyle="1" w:styleId="238">
    <w:name w:val="文档结构图 字符"/>
    <w:basedOn w:val="47"/>
    <w:link w:val="14"/>
    <w:qFormat/>
    <w:uiPriority w:val="0"/>
    <w:rPr>
      <w:kern w:val="2"/>
      <w:sz w:val="21"/>
      <w:szCs w:val="24"/>
      <w:shd w:val="clear" w:color="auto" w:fill="000080"/>
    </w:rPr>
  </w:style>
  <w:style w:type="character" w:customStyle="1" w:styleId="239">
    <w:name w:val="正文文本 3 字符"/>
    <w:basedOn w:val="47"/>
    <w:link w:val="16"/>
    <w:qFormat/>
    <w:uiPriority w:val="0"/>
    <w:rPr>
      <w:kern w:val="2"/>
      <w:sz w:val="16"/>
      <w:szCs w:val="16"/>
    </w:rPr>
  </w:style>
  <w:style w:type="character" w:customStyle="1" w:styleId="240">
    <w:name w:val="正文文本 字符"/>
    <w:basedOn w:val="47"/>
    <w:link w:val="18"/>
    <w:qFormat/>
    <w:uiPriority w:val="0"/>
    <w:rPr>
      <w:rFonts w:ascii="宋体" w:hAnsi="宋体"/>
      <w:kern w:val="2"/>
      <w:sz w:val="24"/>
      <w:szCs w:val="24"/>
    </w:rPr>
  </w:style>
  <w:style w:type="character" w:customStyle="1" w:styleId="241">
    <w:name w:val="日期 字符"/>
    <w:basedOn w:val="47"/>
    <w:link w:val="26"/>
    <w:qFormat/>
    <w:uiPriority w:val="0"/>
    <w:rPr>
      <w:rFonts w:ascii="仿宋_GB2312" w:hAnsi="宋体" w:eastAsia="仿宋_GB2312"/>
      <w:color w:val="000000"/>
      <w:kern w:val="2"/>
      <w:sz w:val="24"/>
      <w:szCs w:val="24"/>
    </w:rPr>
  </w:style>
  <w:style w:type="character" w:customStyle="1" w:styleId="242">
    <w:name w:val="正文文本缩进 2 字符"/>
    <w:basedOn w:val="47"/>
    <w:link w:val="27"/>
    <w:qFormat/>
    <w:uiPriority w:val="0"/>
    <w:rPr>
      <w:rFonts w:ascii="仿宋_GB2312" w:eastAsia="仿宋_GB2312"/>
      <w:kern w:val="2"/>
      <w:sz w:val="24"/>
      <w:szCs w:val="24"/>
    </w:rPr>
  </w:style>
  <w:style w:type="character" w:customStyle="1" w:styleId="243">
    <w:name w:val="批注框文本 字符"/>
    <w:basedOn w:val="47"/>
    <w:link w:val="28"/>
    <w:qFormat/>
    <w:uiPriority w:val="0"/>
    <w:rPr>
      <w:kern w:val="2"/>
      <w:sz w:val="18"/>
      <w:szCs w:val="18"/>
    </w:rPr>
  </w:style>
  <w:style w:type="character" w:customStyle="1" w:styleId="244">
    <w:name w:val="正文文本缩进 3 字符"/>
    <w:basedOn w:val="47"/>
    <w:link w:val="34"/>
    <w:qFormat/>
    <w:uiPriority w:val="0"/>
    <w:rPr>
      <w:rFonts w:ascii="宋体"/>
      <w:sz w:val="24"/>
    </w:rPr>
  </w:style>
  <w:style w:type="character" w:customStyle="1" w:styleId="245">
    <w:name w:val="HTML 预设格式 字符"/>
    <w:basedOn w:val="47"/>
    <w:link w:val="37"/>
    <w:qFormat/>
    <w:uiPriority w:val="0"/>
    <w:rPr>
      <w:rFonts w:ascii="宋体" w:hAnsi="宋体" w:cs="宋体"/>
      <w:sz w:val="24"/>
      <w:szCs w:val="24"/>
    </w:rPr>
  </w:style>
  <w:style w:type="character" w:customStyle="1" w:styleId="246">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4"/>
    <w:qFormat/>
    <w:uiPriority w:val="0"/>
    <w:pPr>
      <w:spacing w:line="288" w:lineRule="auto"/>
      <w:jc w:val="left"/>
    </w:pPr>
    <w:rPr>
      <w:rFonts w:hAnsi="宋体"/>
      <w:szCs w:val="21"/>
    </w:rPr>
  </w:style>
  <w:style w:type="paragraph" w:styleId="259">
    <w:name w:val="List Paragraph"/>
    <w:basedOn w:val="1"/>
    <w:unhideWhenUsed/>
    <w:qFormat/>
    <w:uiPriority w:val="99"/>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7"/>
    <w:qFormat/>
    <w:uiPriority w:val="0"/>
    <w:rPr>
      <w:rFonts w:hint="eastAsia" w:ascii="宋体" w:hAnsi="宋体" w:eastAsia="宋体" w:cs="宋体"/>
      <w:color w:val="000000"/>
      <w:sz w:val="22"/>
      <w:szCs w:val="22"/>
      <w:u w:val="none"/>
    </w:rPr>
  </w:style>
  <w:style w:type="character" w:customStyle="1" w:styleId="263">
    <w:name w:val="Unresolved Mention"/>
    <w:basedOn w:val="47"/>
    <w:semiHidden/>
    <w:unhideWhenUsed/>
    <w:qFormat/>
    <w:uiPriority w:val="99"/>
    <w:rPr>
      <w:color w:val="605E5C"/>
      <w:shd w:val="clear" w:color="auto" w:fill="E1DFDD"/>
    </w:rPr>
  </w:style>
  <w:style w:type="table" w:customStyle="1" w:styleId="264">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正文 缩进2字符"/>
    <w:basedOn w:val="1"/>
    <w:qFormat/>
    <w:uiPriority w:val="0"/>
    <w:pPr>
      <w:spacing w:after="160" w:line="288" w:lineRule="auto"/>
    </w:pPr>
    <w:rPr>
      <w:rFonts w:ascii="宋体" w:hAnsi="宋体"/>
      <w:sz w:val="28"/>
      <w:szCs w:val="28"/>
    </w:rPr>
  </w:style>
  <w:style w:type="paragraph" w:customStyle="1" w:styleId="266">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7">
    <w:name w:val="font11"/>
    <w:basedOn w:val="47"/>
    <w:qFormat/>
    <w:uiPriority w:val="0"/>
    <w:rPr>
      <w:rFonts w:hint="default" w:ascii="仿宋_GB2312" w:eastAsia="仿宋_GB2312" w:cs="仿宋_GB2312"/>
      <w:color w:val="000000"/>
      <w:sz w:val="22"/>
      <w:szCs w:val="22"/>
      <w:u w:val="none"/>
    </w:rPr>
  </w:style>
  <w:style w:type="paragraph" w:customStyle="1" w:styleId="268">
    <w:name w:val="NormalIndentation"/>
    <w:basedOn w:val="2"/>
    <w:next w:val="2"/>
    <w:qFormat/>
    <w:uiPriority w:val="0"/>
    <w:pPr>
      <w:spacing w:line="360" w:lineRule="auto"/>
      <w:ind w:firstLine="200"/>
    </w:pPr>
    <w:rPr>
      <w:rFonts w:eastAsia="仿宋"/>
      <w:sz w:val="28"/>
    </w:rPr>
  </w:style>
  <w:style w:type="paragraph" w:customStyle="1" w:styleId="26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4594</Words>
  <Characters>5246</Characters>
  <Lines>368</Lines>
  <Paragraphs>103</Paragraphs>
  <TotalTime>5</TotalTime>
  <ScaleCrop>false</ScaleCrop>
  <LinksUpToDate>false</LinksUpToDate>
  <CharactersWithSpaces>5352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略略略。</cp:lastModifiedBy>
  <cp:lastPrinted>2020-04-01T03:13:00Z</cp:lastPrinted>
  <dcterms:modified xsi:type="dcterms:W3CDTF">2026-03-06T03:08:57Z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