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E9ADE">
      <w:pPr>
        <w:pStyle w:val="2"/>
        <w:tabs>
          <w:tab w:val="left" w:pos="0"/>
        </w:tabs>
        <w:autoSpaceDE w:val="0"/>
        <w:autoSpaceDN w:val="0"/>
        <w:adjustRightInd w:val="0"/>
        <w:spacing w:before="0" w:after="0" w:line="360" w:lineRule="auto"/>
        <w:jc w:val="center"/>
        <w:rPr>
          <w:rFonts w:hint="eastAsia" w:ascii="华文中宋" w:hAnsi="华文中宋" w:eastAsia="华文中宋"/>
          <w:highlight w:val="none"/>
        </w:rPr>
      </w:pPr>
      <w:bookmarkStart w:id="0" w:name="_Toc35393809"/>
      <w:bookmarkStart w:id="1" w:name="_Toc28359022"/>
      <w:r>
        <w:rPr>
          <w:rFonts w:hint="eastAsia" w:ascii="华文中宋" w:hAnsi="华文中宋" w:eastAsia="华文中宋"/>
          <w:highlight w:val="none"/>
        </w:rPr>
        <w:t>中标公告</w:t>
      </w:r>
      <w:bookmarkEnd w:id="0"/>
      <w:bookmarkEnd w:id="1"/>
    </w:p>
    <w:p w14:paraId="1927E3C2">
      <w:pPr>
        <w:rPr>
          <w:rFonts w:hint="eastAsia" w:ascii="黑体" w:hAnsi="黑体" w:eastAsia="黑体"/>
          <w:sz w:val="28"/>
          <w:szCs w:val="28"/>
          <w:highlight w:val="none"/>
          <w:lang w:val="en-US" w:eastAsia="zh-CN"/>
        </w:rPr>
      </w:pPr>
      <w:r>
        <w:rPr>
          <w:rFonts w:hint="eastAsia" w:ascii="黑体" w:hAnsi="黑体" w:eastAsia="黑体"/>
          <w:sz w:val="28"/>
          <w:szCs w:val="28"/>
          <w:highlight w:val="none"/>
        </w:rPr>
        <w:t>一、项目代理编号：</w:t>
      </w:r>
      <w:r>
        <w:rPr>
          <w:rFonts w:hint="eastAsia" w:ascii="黑体" w:hAnsi="黑体" w:eastAsia="黑体"/>
          <w:sz w:val="28"/>
          <w:szCs w:val="28"/>
          <w:highlight w:val="none"/>
          <w:lang w:eastAsia="zh-CN"/>
        </w:rPr>
        <w:t>HCZB-2026-ZB0237</w:t>
      </w:r>
    </w:p>
    <w:p w14:paraId="2A594A4B">
      <w:pPr>
        <w:rPr>
          <w:rFonts w:hint="eastAsia" w:ascii="仿宋" w:hAnsi="仿宋" w:eastAsia="黑体"/>
          <w:sz w:val="28"/>
          <w:szCs w:val="28"/>
          <w:highlight w:val="none"/>
          <w:lang w:eastAsia="zh-CN"/>
        </w:rPr>
      </w:pPr>
      <w:r>
        <w:rPr>
          <w:rFonts w:hint="eastAsia" w:ascii="黑体" w:hAnsi="黑体" w:eastAsia="黑体"/>
          <w:sz w:val="28"/>
          <w:szCs w:val="28"/>
          <w:highlight w:val="none"/>
        </w:rPr>
        <w:t>二、项目名称：</w:t>
      </w:r>
      <w:r>
        <w:rPr>
          <w:rFonts w:hint="eastAsia" w:ascii="黑体" w:hAnsi="黑体" w:eastAsia="黑体"/>
          <w:sz w:val="28"/>
          <w:szCs w:val="28"/>
          <w:highlight w:val="none"/>
          <w:lang w:eastAsia="zh-CN"/>
        </w:rPr>
        <w:t>北京工业大学服务新质生产力发展推动交叉融合研究仪器设备更新项目-标段一</w:t>
      </w:r>
    </w:p>
    <w:p w14:paraId="3E83D74B">
      <w:pPr>
        <w:rPr>
          <w:rFonts w:hint="eastAsia" w:ascii="黑体" w:hAnsi="黑体" w:eastAsia="黑体"/>
          <w:sz w:val="28"/>
          <w:szCs w:val="28"/>
          <w:highlight w:val="none"/>
        </w:rPr>
      </w:pPr>
      <w:r>
        <w:rPr>
          <w:rFonts w:hint="eastAsia" w:ascii="黑体" w:hAnsi="黑体" w:eastAsia="黑体"/>
          <w:sz w:val="28"/>
          <w:szCs w:val="28"/>
          <w:highlight w:val="none"/>
        </w:rPr>
        <w:t>三、中标信息</w:t>
      </w:r>
    </w:p>
    <w:p w14:paraId="70CACC17">
      <w:pPr>
        <w:ind w:firstLine="560" w:firstLineChars="200"/>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06包</w:t>
      </w:r>
    </w:p>
    <w:p w14:paraId="3C9960A8">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供应商名称：</w:t>
      </w:r>
      <w:r>
        <w:rPr>
          <w:rFonts w:hint="eastAsia" w:ascii="仿宋" w:hAnsi="仿宋" w:eastAsia="仿宋"/>
          <w:sz w:val="28"/>
          <w:szCs w:val="28"/>
          <w:highlight w:val="none"/>
          <w:lang w:val="en-US" w:eastAsia="zh-CN"/>
        </w:rPr>
        <w:t>西安风华能远电力科技有限责任公司</w:t>
      </w:r>
    </w:p>
    <w:p w14:paraId="2C7DC881">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 xml:space="preserve">供应商地址：陕西省西咸新区空港新城底张街道办绿地国宝21城C9-106 </w:t>
      </w:r>
    </w:p>
    <w:p w14:paraId="4AF7014C">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中标金额：￥</w:t>
      </w:r>
      <w:r>
        <w:rPr>
          <w:rFonts w:hint="eastAsia" w:ascii="仿宋" w:hAnsi="仿宋" w:eastAsia="仿宋"/>
          <w:sz w:val="28"/>
          <w:szCs w:val="28"/>
          <w:highlight w:val="none"/>
          <w:lang w:val="en-US" w:eastAsia="zh-CN"/>
        </w:rPr>
        <w:t>871</w:t>
      </w:r>
      <w:r>
        <w:rPr>
          <w:rFonts w:hint="eastAsia" w:ascii="仿宋" w:hAnsi="仿宋" w:eastAsia="仿宋"/>
          <w:sz w:val="28"/>
          <w:szCs w:val="28"/>
          <w:highlight w:val="none"/>
        </w:rPr>
        <w:t>000.00元</w:t>
      </w:r>
    </w:p>
    <w:p w14:paraId="273ADED6">
      <w:pPr>
        <w:ind w:firstLine="560" w:firstLineChars="200"/>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07包</w:t>
      </w:r>
    </w:p>
    <w:p w14:paraId="4B8F13C1">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供应商名称：</w:t>
      </w:r>
      <w:r>
        <w:rPr>
          <w:rFonts w:hint="eastAsia" w:ascii="仿宋" w:hAnsi="仿宋" w:eastAsia="仿宋"/>
          <w:sz w:val="28"/>
          <w:szCs w:val="28"/>
          <w:highlight w:val="none"/>
          <w:lang w:val="en-US" w:eastAsia="zh-CN"/>
        </w:rPr>
        <w:t>南京诺亿中科技有限公司</w:t>
      </w:r>
    </w:p>
    <w:p w14:paraId="54006897">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供应商地址</w:t>
      </w:r>
      <w:r>
        <w:rPr>
          <w:rFonts w:hint="eastAsia" w:ascii="仿宋" w:hAnsi="仿宋" w:eastAsia="仿宋"/>
          <w:sz w:val="28"/>
          <w:szCs w:val="28"/>
          <w:highlight w:val="none"/>
        </w:rPr>
        <w:t>：南京市江宁区东山街道上元大街155号东山国际滨河街区9幢118室</w:t>
      </w:r>
    </w:p>
    <w:p w14:paraId="1B71B0C0">
      <w:pPr>
        <w:ind w:firstLine="560" w:firstLineChars="200"/>
        <w:rPr>
          <w:rFonts w:hint="eastAsia" w:ascii="仿宋" w:hAnsi="仿宋" w:eastAsia="仿宋"/>
          <w:sz w:val="28"/>
          <w:szCs w:val="28"/>
          <w:highlight w:val="none"/>
          <w:u w:val="single"/>
        </w:rPr>
      </w:pPr>
      <w:r>
        <w:rPr>
          <w:rFonts w:hint="eastAsia" w:ascii="仿宋" w:hAnsi="仿宋" w:eastAsia="仿宋"/>
          <w:sz w:val="28"/>
          <w:szCs w:val="28"/>
          <w:highlight w:val="none"/>
        </w:rPr>
        <w:t>中标金额：￥</w:t>
      </w:r>
      <w:r>
        <w:rPr>
          <w:rFonts w:hint="eastAsia" w:ascii="仿宋" w:hAnsi="仿宋" w:eastAsia="仿宋"/>
          <w:sz w:val="28"/>
          <w:szCs w:val="28"/>
          <w:highlight w:val="none"/>
          <w:lang w:val="en-US" w:eastAsia="zh-CN"/>
        </w:rPr>
        <w:t>1488000</w:t>
      </w:r>
      <w:r>
        <w:rPr>
          <w:rFonts w:hint="eastAsia" w:ascii="仿宋" w:hAnsi="仿宋" w:eastAsia="仿宋"/>
          <w:sz w:val="28"/>
          <w:szCs w:val="28"/>
          <w:highlight w:val="none"/>
        </w:rPr>
        <w:t>.00元</w:t>
      </w:r>
    </w:p>
    <w:p w14:paraId="0FE6BB63">
      <w:pPr>
        <w:ind w:firstLine="560" w:firstLineChars="200"/>
        <w:rPr>
          <w:rFonts w:hint="eastAsia" w:ascii="仿宋" w:hAnsi="仿宋" w:eastAsia="仿宋"/>
          <w:sz w:val="28"/>
          <w:szCs w:val="28"/>
          <w:highlight w:val="none"/>
          <w:lang w:val="en-US" w:eastAsia="zh-CN"/>
        </w:rPr>
      </w:pPr>
      <w:r>
        <w:rPr>
          <w:rFonts w:hint="eastAsia" w:ascii="仿宋" w:hAnsi="仿宋" w:eastAsia="仿宋"/>
          <w:sz w:val="28"/>
          <w:szCs w:val="28"/>
          <w:highlight w:val="none"/>
          <w:lang w:val="en-US" w:eastAsia="zh-CN"/>
        </w:rPr>
        <w:t>08包</w:t>
      </w:r>
    </w:p>
    <w:p w14:paraId="637547F9">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供应商名称：</w:t>
      </w:r>
      <w:r>
        <w:rPr>
          <w:rFonts w:hint="eastAsia" w:ascii="仿宋" w:hAnsi="仿宋" w:eastAsia="仿宋"/>
          <w:sz w:val="28"/>
          <w:szCs w:val="28"/>
          <w:highlight w:val="none"/>
          <w:lang w:val="en-US" w:eastAsia="zh-CN"/>
        </w:rPr>
        <w:t>北京智创展鸿科技有限公司</w:t>
      </w:r>
    </w:p>
    <w:p w14:paraId="78C54B14">
      <w:pPr>
        <w:ind w:firstLine="560" w:firstLineChars="200"/>
        <w:rPr>
          <w:rFonts w:hint="eastAsia" w:ascii="仿宋" w:hAnsi="仿宋" w:eastAsia="仿宋"/>
          <w:sz w:val="28"/>
          <w:szCs w:val="28"/>
          <w:highlight w:val="none"/>
        </w:rPr>
      </w:pPr>
      <w:r>
        <w:rPr>
          <w:rFonts w:hint="eastAsia" w:ascii="仿宋" w:hAnsi="仿宋" w:eastAsia="仿宋"/>
          <w:sz w:val="28"/>
          <w:szCs w:val="28"/>
          <w:highlight w:val="none"/>
        </w:rPr>
        <w:t>供应商地</w:t>
      </w:r>
      <w:r>
        <w:rPr>
          <w:rFonts w:hint="eastAsia" w:ascii="仿宋" w:hAnsi="仿宋" w:eastAsia="仿宋"/>
          <w:sz w:val="28"/>
          <w:szCs w:val="28"/>
          <w:highlight w:val="none"/>
        </w:rPr>
        <w:t xml:space="preserve">址：北京市平谷区平谷镇府前西街40号205室-20235（集群注册） </w:t>
      </w:r>
    </w:p>
    <w:p w14:paraId="7AAC607E">
      <w:pPr>
        <w:ind w:firstLine="560" w:firstLineChars="200"/>
        <w:rPr>
          <w:rFonts w:hint="eastAsia"/>
          <w:highlight w:val="none"/>
        </w:rPr>
      </w:pPr>
      <w:r>
        <w:rPr>
          <w:rFonts w:hint="eastAsia" w:ascii="仿宋" w:hAnsi="仿宋" w:eastAsia="仿宋"/>
          <w:sz w:val="28"/>
          <w:szCs w:val="28"/>
          <w:highlight w:val="none"/>
        </w:rPr>
        <w:t>中标金额：￥</w:t>
      </w:r>
      <w:r>
        <w:rPr>
          <w:rFonts w:hint="eastAsia" w:ascii="仿宋" w:hAnsi="仿宋" w:eastAsia="仿宋"/>
          <w:sz w:val="28"/>
          <w:szCs w:val="28"/>
          <w:highlight w:val="none"/>
          <w:lang w:val="en-US" w:eastAsia="zh-CN"/>
        </w:rPr>
        <w:t>1497200</w:t>
      </w:r>
      <w:r>
        <w:rPr>
          <w:rFonts w:hint="eastAsia" w:ascii="仿宋" w:hAnsi="仿宋" w:eastAsia="仿宋"/>
          <w:sz w:val="28"/>
          <w:szCs w:val="28"/>
          <w:highlight w:val="none"/>
        </w:rPr>
        <w:t>.00元</w:t>
      </w:r>
    </w:p>
    <w:p w14:paraId="53AF183E">
      <w:pPr>
        <w:pStyle w:val="13"/>
        <w:ind w:left="0" w:leftChars="0" w:firstLine="0" w:firstLineChars="0"/>
        <w:rPr>
          <w:rFonts w:hint="eastAsia" w:ascii="黑体" w:hAnsi="黑体" w:eastAsia="黑体"/>
          <w:sz w:val="28"/>
          <w:szCs w:val="28"/>
          <w:highlight w:val="none"/>
        </w:rPr>
      </w:pPr>
      <w:r>
        <w:rPr>
          <w:rFonts w:hint="eastAsia" w:ascii="黑体" w:hAnsi="黑体" w:eastAsia="黑体"/>
          <w:sz w:val="28"/>
          <w:szCs w:val="28"/>
          <w:highlight w:val="none"/>
        </w:rPr>
        <w:t>四、主要标的信息：</w:t>
      </w:r>
    </w:p>
    <w:p w14:paraId="3F4E690F">
      <w:pPr>
        <w:pStyle w:val="13"/>
        <w:spacing w:line="240" w:lineRule="auto"/>
        <w:ind w:left="0" w:leftChars="0" w:firstLine="0" w:firstLineChars="0"/>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06包</w:t>
      </w:r>
    </w:p>
    <w:p w14:paraId="6C6E58D5">
      <w:pPr>
        <w:rPr>
          <w:rFonts w:hint="eastAsia"/>
          <w:highlight w:val="none"/>
          <w:lang w:val="en-US" w:eastAsia="zh-CN"/>
        </w:rPr>
      </w:pPr>
      <w:r>
        <w:rPr>
          <w:rFonts w:hint="eastAsia"/>
          <w:highlight w:val="none"/>
          <w:lang w:val="en-US" w:eastAsia="zh-CN"/>
        </w:rPr>
        <w:drawing>
          <wp:inline distT="0" distB="0" distL="114300" distR="114300">
            <wp:extent cx="5266690" cy="1818005"/>
            <wp:effectExtent l="0" t="0" r="1016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6690" cy="1818005"/>
                    </a:xfrm>
                    <a:prstGeom prst="rect">
                      <a:avLst/>
                    </a:prstGeom>
                    <a:noFill/>
                    <a:ln>
                      <a:noFill/>
                    </a:ln>
                  </pic:spPr>
                </pic:pic>
              </a:graphicData>
            </a:graphic>
          </wp:inline>
        </w:drawing>
      </w:r>
      <w:r>
        <w:rPr>
          <w:rFonts w:hint="eastAsia"/>
          <w:highlight w:val="none"/>
          <w:lang w:val="en-US" w:eastAsia="zh-CN"/>
        </w:rPr>
        <w:drawing>
          <wp:inline distT="0" distB="0" distL="114300" distR="114300">
            <wp:extent cx="5267960" cy="132969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7960" cy="1329690"/>
                    </a:xfrm>
                    <a:prstGeom prst="rect">
                      <a:avLst/>
                    </a:prstGeom>
                    <a:noFill/>
                    <a:ln>
                      <a:noFill/>
                    </a:ln>
                  </pic:spPr>
                </pic:pic>
              </a:graphicData>
            </a:graphic>
          </wp:inline>
        </w:drawing>
      </w:r>
    </w:p>
    <w:p w14:paraId="1ABE413A">
      <w:pPr>
        <w:pStyle w:val="13"/>
        <w:ind w:left="0" w:leftChars="0" w:firstLine="0" w:firstLineChars="0"/>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07包</w:t>
      </w:r>
    </w:p>
    <w:p w14:paraId="58C3F1B7">
      <w:pPr>
        <w:rPr>
          <w:rFonts w:hint="eastAsia"/>
          <w:highlight w:val="none"/>
          <w:lang w:val="en-US" w:eastAsia="zh-CN"/>
        </w:rPr>
      </w:pPr>
      <w:r>
        <w:rPr>
          <w:rFonts w:hint="eastAsia"/>
          <w:highlight w:val="none"/>
          <w:lang w:val="en-US" w:eastAsia="zh-CN"/>
        </w:rPr>
        <w:drawing>
          <wp:inline distT="0" distB="0" distL="114300" distR="114300">
            <wp:extent cx="5272405" cy="19431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2405" cy="1943100"/>
                    </a:xfrm>
                    <a:prstGeom prst="rect">
                      <a:avLst/>
                    </a:prstGeom>
                    <a:noFill/>
                    <a:ln>
                      <a:noFill/>
                    </a:ln>
                  </pic:spPr>
                </pic:pic>
              </a:graphicData>
            </a:graphic>
          </wp:inline>
        </w:drawing>
      </w:r>
    </w:p>
    <w:p w14:paraId="73FD0F55">
      <w:pPr>
        <w:pStyle w:val="13"/>
        <w:ind w:left="0" w:leftChars="0" w:firstLine="0" w:firstLineChars="0"/>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08包</w:t>
      </w:r>
    </w:p>
    <w:p w14:paraId="30C3AC81">
      <w:pPr>
        <w:rPr>
          <w:rFonts w:hint="eastAsia"/>
          <w:highlight w:val="none"/>
          <w:lang w:val="en-US" w:eastAsia="zh-CN"/>
        </w:rPr>
      </w:pPr>
      <w:r>
        <w:rPr>
          <w:rFonts w:hint="eastAsia"/>
          <w:highlight w:val="none"/>
          <w:lang w:val="en-US" w:eastAsia="zh-CN"/>
        </w:rPr>
        <w:drawing>
          <wp:inline distT="0" distB="0" distL="114300" distR="114300">
            <wp:extent cx="5271770" cy="1339850"/>
            <wp:effectExtent l="0" t="0" r="508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1770" cy="1339850"/>
                    </a:xfrm>
                    <a:prstGeom prst="rect">
                      <a:avLst/>
                    </a:prstGeom>
                    <a:noFill/>
                    <a:ln>
                      <a:noFill/>
                    </a:ln>
                  </pic:spPr>
                </pic:pic>
              </a:graphicData>
            </a:graphic>
          </wp:inline>
        </w:drawing>
      </w:r>
    </w:p>
    <w:p w14:paraId="6777BA2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sz w:val="28"/>
          <w:szCs w:val="28"/>
          <w:highlight w:val="none"/>
          <w:lang w:val="en-US" w:eastAsia="zh-CN"/>
        </w:rPr>
      </w:pPr>
      <w:r>
        <w:rPr>
          <w:rFonts w:hint="eastAsia" w:ascii="黑体" w:hAnsi="黑体" w:eastAsia="黑体"/>
          <w:sz w:val="28"/>
          <w:szCs w:val="28"/>
          <w:highlight w:val="none"/>
        </w:rPr>
        <w:t>五、评审专家名单：</w:t>
      </w:r>
      <w:r>
        <w:rPr>
          <w:rFonts w:hint="eastAsia" w:ascii="黑体" w:hAnsi="黑体" w:eastAsia="黑体"/>
          <w:sz w:val="28"/>
          <w:szCs w:val="28"/>
          <w:highlight w:val="none"/>
          <w:lang w:val="en-US" w:eastAsia="zh-CN"/>
        </w:rPr>
        <w:t xml:space="preserve">张连清、王栋臣、李跃、赵兴华、郝艾芳、雷 </w:t>
      </w:r>
    </w:p>
    <w:p w14:paraId="2179ED5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sz w:val="28"/>
          <w:szCs w:val="28"/>
          <w:highlight w:val="none"/>
          <w:lang w:val="en-US" w:eastAsia="zh-CN"/>
        </w:rPr>
      </w:pPr>
      <w:r>
        <w:rPr>
          <w:rFonts w:hint="eastAsia" w:ascii="黑体" w:hAnsi="黑体" w:eastAsia="黑体"/>
          <w:sz w:val="28"/>
          <w:szCs w:val="28"/>
          <w:highlight w:val="none"/>
          <w:lang w:val="en-US" w:eastAsia="zh-CN"/>
        </w:rPr>
        <w:t>艳（6包采购人代表）、田锐（6包采购人代</w:t>
      </w:r>
      <w:bookmarkStart w:id="14" w:name="_GoBack"/>
      <w:bookmarkEnd w:id="14"/>
      <w:r>
        <w:rPr>
          <w:rFonts w:hint="eastAsia" w:ascii="黑体" w:hAnsi="黑体" w:eastAsia="黑体"/>
          <w:sz w:val="28"/>
          <w:szCs w:val="28"/>
          <w:highlight w:val="none"/>
          <w:lang w:val="en-US" w:eastAsia="zh-CN"/>
        </w:rPr>
        <w:t>表）、张宏刚（7包、8包采购人代表）、张国凯（7包、8包采购人代表）</w:t>
      </w:r>
    </w:p>
    <w:p w14:paraId="49F63070">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sz w:val="28"/>
          <w:szCs w:val="28"/>
          <w:highlight w:val="none"/>
          <w:lang w:eastAsia="zh-CN"/>
        </w:rPr>
      </w:pPr>
      <w:r>
        <w:rPr>
          <w:rFonts w:hint="eastAsia" w:ascii="黑体" w:hAnsi="黑体" w:eastAsia="黑体"/>
          <w:sz w:val="28"/>
          <w:szCs w:val="28"/>
          <w:highlight w:val="none"/>
        </w:rPr>
        <w:t>六、代理服务收费标准及金额：</w:t>
      </w:r>
      <w:r>
        <w:rPr>
          <w:rFonts w:hint="eastAsia" w:ascii="黑体" w:hAnsi="黑体" w:eastAsia="黑体"/>
          <w:sz w:val="28"/>
          <w:szCs w:val="28"/>
          <w:highlight w:val="none"/>
          <w:lang w:val="en-US" w:eastAsia="zh-CN"/>
        </w:rPr>
        <w:t>5.2652万</w:t>
      </w:r>
      <w:r>
        <w:rPr>
          <w:rFonts w:hint="eastAsia" w:ascii="黑体" w:hAnsi="黑体" w:eastAsia="黑体"/>
          <w:sz w:val="28"/>
          <w:szCs w:val="28"/>
          <w:highlight w:val="none"/>
        </w:rPr>
        <w:t>元</w:t>
      </w:r>
      <w:r>
        <w:rPr>
          <w:rFonts w:hint="eastAsia" w:ascii="黑体" w:hAnsi="黑体" w:eastAsia="黑体"/>
          <w:sz w:val="28"/>
          <w:szCs w:val="28"/>
          <w:highlight w:val="none"/>
          <w:lang w:eastAsia="zh-CN"/>
        </w:rPr>
        <w:t>（</w:t>
      </w:r>
      <w:r>
        <w:rPr>
          <w:rFonts w:hint="eastAsia" w:ascii="黑体" w:hAnsi="黑体" w:eastAsia="黑体"/>
          <w:sz w:val="28"/>
          <w:szCs w:val="28"/>
          <w:highlight w:val="none"/>
          <w:lang w:val="en-US" w:eastAsia="zh-CN"/>
        </w:rPr>
        <w:t>6包：1.2255万元；7包：1.9928万元；8包：2.0469万元</w:t>
      </w:r>
      <w:r>
        <w:rPr>
          <w:rFonts w:hint="eastAsia" w:ascii="黑体" w:hAnsi="黑体" w:eastAsia="黑体"/>
          <w:sz w:val="28"/>
          <w:szCs w:val="28"/>
          <w:highlight w:val="none"/>
          <w:lang w:eastAsia="zh-CN"/>
        </w:rPr>
        <w:t>）</w:t>
      </w:r>
    </w:p>
    <w:p w14:paraId="04AD18D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kern w:val="0"/>
          <w:sz w:val="28"/>
          <w:szCs w:val="28"/>
          <w:highlight w:val="none"/>
        </w:rPr>
      </w:pPr>
      <w:r>
        <w:rPr>
          <w:rFonts w:hint="eastAsia" w:ascii="仿宋" w:hAnsi="仿宋" w:eastAsia="仿宋"/>
          <w:kern w:val="0"/>
          <w:sz w:val="28"/>
          <w:szCs w:val="28"/>
          <w:highlight w:val="none"/>
        </w:rPr>
        <w:t>收费标准详见招标文件</w:t>
      </w:r>
    </w:p>
    <w:p w14:paraId="7F9E0BD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sz w:val="28"/>
          <w:szCs w:val="28"/>
          <w:highlight w:val="none"/>
        </w:rPr>
      </w:pPr>
      <w:r>
        <w:rPr>
          <w:rFonts w:hint="eastAsia" w:ascii="黑体" w:hAnsi="黑体" w:eastAsia="黑体"/>
          <w:sz w:val="28"/>
          <w:szCs w:val="28"/>
          <w:highlight w:val="none"/>
        </w:rPr>
        <w:t>七、公告期限</w:t>
      </w:r>
    </w:p>
    <w:p w14:paraId="6D3982A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自本公告发布之日起1个工作日。</w:t>
      </w:r>
    </w:p>
    <w:p w14:paraId="52576158">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仿宋"/>
          <w:sz w:val="28"/>
          <w:szCs w:val="28"/>
          <w:highlight w:val="none"/>
        </w:rPr>
      </w:pPr>
      <w:r>
        <w:rPr>
          <w:rFonts w:hint="eastAsia" w:ascii="黑体" w:hAnsi="黑体" w:eastAsia="黑体" w:cs="仿宋"/>
          <w:sz w:val="28"/>
          <w:szCs w:val="28"/>
          <w:highlight w:val="none"/>
        </w:rPr>
        <w:t>八、其他补充事宜</w:t>
      </w:r>
    </w:p>
    <w:p w14:paraId="7D3E4AD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本项目采用综合评分法。</w:t>
      </w:r>
    </w:p>
    <w:p w14:paraId="59CA7DE3">
      <w:pPr>
        <w:pStyle w:val="5"/>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lang w:eastAsia="zh-CN"/>
        </w:rPr>
      </w:pPr>
      <w:r>
        <w:rPr>
          <w:rFonts w:hint="eastAsia" w:ascii="仿宋" w:hAnsi="仿宋" w:eastAsia="仿宋" w:cs="宋体"/>
          <w:kern w:val="0"/>
          <w:sz w:val="28"/>
          <w:szCs w:val="28"/>
          <w:highlight w:val="none"/>
          <w:lang w:val="en-US" w:eastAsia="zh-CN"/>
        </w:rPr>
        <w:t>06包</w:t>
      </w:r>
      <w:r>
        <w:rPr>
          <w:rFonts w:hint="eastAsia" w:ascii="仿宋" w:hAnsi="仿宋" w:eastAsia="仿宋" w:cs="宋体"/>
          <w:kern w:val="0"/>
          <w:sz w:val="28"/>
          <w:szCs w:val="28"/>
          <w:highlight w:val="none"/>
        </w:rPr>
        <w:t>第一名</w:t>
      </w:r>
      <w:r>
        <w:rPr>
          <w:rFonts w:hint="eastAsia" w:ascii="仿宋" w:hAnsi="仿宋" w:eastAsia="仿宋" w:cs="宋体"/>
          <w:kern w:val="0"/>
          <w:sz w:val="28"/>
          <w:szCs w:val="28"/>
          <w:highlight w:val="none"/>
          <w:lang w:val="en-US" w:eastAsia="zh-CN"/>
        </w:rPr>
        <w:t>西安风华能远电力科技有限责任公司</w:t>
      </w:r>
      <w:r>
        <w:rPr>
          <w:rFonts w:hint="eastAsia" w:ascii="仿宋" w:hAnsi="仿宋" w:eastAsia="仿宋" w:cs="宋体"/>
          <w:kern w:val="0"/>
          <w:sz w:val="28"/>
          <w:szCs w:val="28"/>
          <w:highlight w:val="none"/>
        </w:rPr>
        <w:t>，得分：</w:t>
      </w:r>
      <w:r>
        <w:rPr>
          <w:rFonts w:hint="eastAsia" w:ascii="仿宋" w:hAnsi="仿宋" w:eastAsia="仿宋" w:cs="宋体"/>
          <w:kern w:val="0"/>
          <w:sz w:val="28"/>
          <w:szCs w:val="28"/>
          <w:highlight w:val="none"/>
          <w:lang w:val="en-US" w:eastAsia="zh-CN"/>
        </w:rPr>
        <w:t>95.57</w:t>
      </w:r>
      <w:r>
        <w:rPr>
          <w:rFonts w:hint="eastAsia" w:ascii="仿宋" w:hAnsi="仿宋" w:eastAsia="仿宋" w:cs="宋体"/>
          <w:kern w:val="0"/>
          <w:sz w:val="28"/>
          <w:szCs w:val="28"/>
          <w:highlight w:val="none"/>
          <w:lang w:eastAsia="zh-CN"/>
        </w:rPr>
        <w:t>；</w:t>
      </w:r>
    </w:p>
    <w:p w14:paraId="7C1A908C">
      <w:pPr>
        <w:pStyle w:val="5"/>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lang w:eastAsia="zh-CN"/>
        </w:rPr>
      </w:pPr>
      <w:r>
        <w:rPr>
          <w:rFonts w:hint="eastAsia" w:ascii="仿宋" w:hAnsi="仿宋" w:eastAsia="仿宋" w:cs="宋体"/>
          <w:kern w:val="0"/>
          <w:sz w:val="28"/>
          <w:szCs w:val="28"/>
          <w:highlight w:val="none"/>
          <w:lang w:val="en-US" w:eastAsia="zh-CN"/>
        </w:rPr>
        <w:t>07包</w:t>
      </w:r>
      <w:r>
        <w:rPr>
          <w:rFonts w:hint="eastAsia" w:ascii="仿宋" w:hAnsi="仿宋" w:eastAsia="仿宋" w:cs="宋体"/>
          <w:kern w:val="0"/>
          <w:sz w:val="28"/>
          <w:szCs w:val="28"/>
          <w:highlight w:val="none"/>
        </w:rPr>
        <w:t>第一名</w:t>
      </w:r>
      <w:r>
        <w:rPr>
          <w:rFonts w:hint="eastAsia" w:ascii="仿宋" w:hAnsi="仿宋" w:eastAsia="仿宋" w:cs="宋体"/>
          <w:kern w:val="0"/>
          <w:sz w:val="28"/>
          <w:szCs w:val="28"/>
          <w:highlight w:val="none"/>
          <w:lang w:val="en-US" w:eastAsia="zh-CN"/>
        </w:rPr>
        <w:t>南京诺亿中科技有限公司</w:t>
      </w:r>
      <w:r>
        <w:rPr>
          <w:rFonts w:hint="eastAsia" w:ascii="仿宋" w:hAnsi="仿宋" w:eastAsia="仿宋" w:cs="宋体"/>
          <w:kern w:val="0"/>
          <w:sz w:val="28"/>
          <w:szCs w:val="28"/>
          <w:highlight w:val="none"/>
        </w:rPr>
        <w:t>，得分：</w:t>
      </w:r>
      <w:r>
        <w:rPr>
          <w:rFonts w:hint="eastAsia" w:ascii="仿宋" w:hAnsi="仿宋" w:eastAsia="仿宋" w:cs="宋体"/>
          <w:kern w:val="0"/>
          <w:sz w:val="28"/>
          <w:szCs w:val="28"/>
          <w:highlight w:val="none"/>
          <w:lang w:val="en-US" w:eastAsia="zh-CN"/>
        </w:rPr>
        <w:t>95.86</w:t>
      </w:r>
      <w:r>
        <w:rPr>
          <w:rFonts w:hint="eastAsia" w:ascii="仿宋" w:hAnsi="仿宋" w:eastAsia="仿宋" w:cs="宋体"/>
          <w:kern w:val="0"/>
          <w:sz w:val="28"/>
          <w:szCs w:val="28"/>
          <w:highlight w:val="none"/>
          <w:lang w:eastAsia="zh-CN"/>
        </w:rPr>
        <w:t>；</w:t>
      </w:r>
    </w:p>
    <w:p w14:paraId="208D3E2C">
      <w:pPr>
        <w:pStyle w:val="5"/>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08包</w:t>
      </w:r>
      <w:r>
        <w:rPr>
          <w:rFonts w:hint="eastAsia" w:ascii="仿宋" w:hAnsi="仿宋" w:eastAsia="仿宋" w:cs="宋体"/>
          <w:kern w:val="0"/>
          <w:sz w:val="28"/>
          <w:szCs w:val="28"/>
          <w:highlight w:val="none"/>
        </w:rPr>
        <w:t>第一名</w:t>
      </w:r>
      <w:r>
        <w:rPr>
          <w:rFonts w:hint="eastAsia" w:ascii="仿宋" w:hAnsi="仿宋" w:eastAsia="仿宋" w:cs="宋体"/>
          <w:kern w:val="0"/>
          <w:sz w:val="28"/>
          <w:szCs w:val="28"/>
          <w:highlight w:val="none"/>
          <w:lang w:val="en-US" w:eastAsia="zh-CN"/>
        </w:rPr>
        <w:t>北京智创展鸿科技有限公司</w:t>
      </w:r>
      <w:r>
        <w:rPr>
          <w:rFonts w:hint="eastAsia" w:ascii="仿宋" w:hAnsi="仿宋" w:eastAsia="仿宋" w:cs="宋体"/>
          <w:kern w:val="0"/>
          <w:sz w:val="28"/>
          <w:szCs w:val="28"/>
          <w:highlight w:val="none"/>
        </w:rPr>
        <w:t>，得分：</w:t>
      </w:r>
      <w:r>
        <w:rPr>
          <w:rFonts w:hint="eastAsia" w:ascii="仿宋" w:hAnsi="仿宋" w:eastAsia="仿宋" w:cs="宋体"/>
          <w:kern w:val="0"/>
          <w:sz w:val="28"/>
          <w:szCs w:val="28"/>
          <w:highlight w:val="none"/>
          <w:lang w:val="en-US" w:eastAsia="zh-CN"/>
        </w:rPr>
        <w:t>95.00。</w:t>
      </w:r>
    </w:p>
    <w:p w14:paraId="484C4E7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宋体"/>
          <w:kern w:val="0"/>
          <w:sz w:val="28"/>
          <w:szCs w:val="28"/>
          <w:highlight w:val="none"/>
        </w:rPr>
      </w:pPr>
      <w:r>
        <w:rPr>
          <w:rFonts w:hint="eastAsia" w:ascii="黑体" w:hAnsi="黑体" w:eastAsia="黑体" w:cs="宋体"/>
          <w:kern w:val="0"/>
          <w:sz w:val="28"/>
          <w:szCs w:val="28"/>
          <w:highlight w:val="none"/>
        </w:rPr>
        <w:t>九、凡对本次公告内容提出询问，请按以下方式联系。</w:t>
      </w:r>
    </w:p>
    <w:p w14:paraId="326C409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bookmarkStart w:id="2" w:name="_Toc35393641"/>
      <w:bookmarkStart w:id="3" w:name="_Toc35393810"/>
      <w:bookmarkStart w:id="4" w:name="_Toc28359023"/>
      <w:bookmarkStart w:id="5" w:name="_Toc28359100"/>
      <w:r>
        <w:rPr>
          <w:rFonts w:hint="eastAsia" w:ascii="仿宋" w:hAnsi="仿宋" w:eastAsia="仿宋" w:cs="宋体"/>
          <w:kern w:val="0"/>
          <w:sz w:val="28"/>
          <w:szCs w:val="28"/>
          <w:highlight w:val="none"/>
        </w:rPr>
        <w:t>1.采购人信息</w:t>
      </w:r>
      <w:bookmarkEnd w:id="2"/>
      <w:bookmarkEnd w:id="3"/>
      <w:bookmarkEnd w:id="4"/>
      <w:bookmarkEnd w:id="5"/>
    </w:p>
    <w:p w14:paraId="7DF6D49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名称</w:t>
      </w:r>
      <w:r>
        <w:rPr>
          <w:rFonts w:hint="eastAsia" w:ascii="仿宋" w:hAnsi="仿宋" w:eastAsia="仿宋" w:cs="宋体"/>
          <w:kern w:val="0"/>
          <w:sz w:val="28"/>
          <w:szCs w:val="28"/>
          <w:highlight w:val="none"/>
        </w:rPr>
        <w:t>：北京工业大学</w:t>
      </w:r>
    </w:p>
    <w:p w14:paraId="0147A39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地址：北京市朝阳区平乐园100号</w:t>
      </w:r>
    </w:p>
    <w:p w14:paraId="345BAAC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联系方式：李老师</w:t>
      </w:r>
      <w:r>
        <w:rPr>
          <w:rFonts w:hint="eastAsia" w:ascii="仿宋" w:hAnsi="仿宋" w:eastAsia="仿宋" w:cs="宋体"/>
          <w:kern w:val="0"/>
          <w:sz w:val="28"/>
          <w:szCs w:val="28"/>
          <w:highlight w:val="none"/>
          <w:lang w:val="en-US" w:eastAsia="zh-CN"/>
        </w:rPr>
        <w:t xml:space="preserve"> </w:t>
      </w:r>
      <w:r>
        <w:rPr>
          <w:rFonts w:hint="eastAsia" w:ascii="仿宋" w:hAnsi="仿宋" w:eastAsia="仿宋" w:cs="宋体"/>
          <w:kern w:val="0"/>
          <w:sz w:val="28"/>
          <w:szCs w:val="28"/>
          <w:highlight w:val="none"/>
        </w:rPr>
        <w:t>(010) 6739 2339</w:t>
      </w:r>
    </w:p>
    <w:p w14:paraId="3BB4573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bookmarkStart w:id="6" w:name="_Toc35393811"/>
      <w:bookmarkStart w:id="7" w:name="_Toc35393642"/>
      <w:bookmarkStart w:id="8" w:name="_Toc28359024"/>
      <w:bookmarkStart w:id="9" w:name="_Toc28359101"/>
      <w:r>
        <w:rPr>
          <w:rFonts w:hint="eastAsia" w:ascii="仿宋" w:hAnsi="仿宋" w:eastAsia="仿宋" w:cs="宋体"/>
          <w:kern w:val="0"/>
          <w:sz w:val="28"/>
          <w:szCs w:val="28"/>
          <w:highlight w:val="none"/>
        </w:rPr>
        <w:t>2.采购代理机构信息</w:t>
      </w:r>
      <w:bookmarkEnd w:id="6"/>
      <w:bookmarkEnd w:id="7"/>
      <w:bookmarkEnd w:id="8"/>
      <w:bookmarkEnd w:id="9"/>
    </w:p>
    <w:p w14:paraId="1083793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名称：华采招标集团有限公司</w:t>
      </w:r>
    </w:p>
    <w:p w14:paraId="1ECD2D9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地址：北京市丰台区广安路9号国投财富广场6号楼1601室</w:t>
      </w:r>
    </w:p>
    <w:p w14:paraId="3068EA3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联系方式：</w:t>
      </w:r>
      <w:bookmarkStart w:id="10" w:name="_Toc28359102"/>
      <w:bookmarkStart w:id="11" w:name="_Toc35393812"/>
      <w:bookmarkStart w:id="12" w:name="_Toc28359025"/>
      <w:bookmarkStart w:id="13" w:name="_Toc35393643"/>
      <w:r>
        <w:rPr>
          <w:rFonts w:hint="eastAsia" w:ascii="仿宋" w:hAnsi="仿宋" w:eastAsia="仿宋" w:cs="宋体"/>
          <w:kern w:val="0"/>
          <w:sz w:val="28"/>
          <w:szCs w:val="28"/>
          <w:highlight w:val="none"/>
        </w:rPr>
        <w:t>010-63509799-8038/8078</w:t>
      </w:r>
    </w:p>
    <w:p w14:paraId="125F6F7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3.项目</w:t>
      </w:r>
      <w:r>
        <w:rPr>
          <w:rFonts w:ascii="仿宋" w:hAnsi="仿宋" w:eastAsia="仿宋" w:cs="宋体"/>
          <w:kern w:val="0"/>
          <w:sz w:val="28"/>
          <w:szCs w:val="28"/>
          <w:highlight w:val="none"/>
        </w:rPr>
        <w:t>联系方式</w:t>
      </w:r>
      <w:bookmarkEnd w:id="10"/>
      <w:bookmarkEnd w:id="11"/>
      <w:bookmarkEnd w:id="12"/>
      <w:bookmarkEnd w:id="13"/>
    </w:p>
    <w:p w14:paraId="72443FA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项目联系人：崔丽洁、赵娜、刘金秀、金珊</w:t>
      </w:r>
    </w:p>
    <w:p w14:paraId="29F6016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宋体"/>
          <w:kern w:val="0"/>
          <w:sz w:val="28"/>
          <w:szCs w:val="28"/>
          <w:highlight w:val="none"/>
        </w:rPr>
      </w:pPr>
      <w:r>
        <w:rPr>
          <w:rFonts w:hint="eastAsia" w:ascii="仿宋" w:hAnsi="仿宋" w:eastAsia="仿宋" w:cs="宋体"/>
          <w:kern w:val="0"/>
          <w:sz w:val="28"/>
          <w:szCs w:val="28"/>
          <w:highlight w:val="none"/>
        </w:rPr>
        <w:t>电　    话：010-63509799-8038/8078</w:t>
      </w:r>
    </w:p>
    <w:p w14:paraId="56A7FBD7">
      <w:pPr>
        <w:rPr>
          <w:rFonts w:hint="eastAsia" w:ascii="黑体" w:hAnsi="黑体" w:eastAsia="黑体" w:cs="宋体"/>
          <w:kern w:val="0"/>
          <w:sz w:val="28"/>
          <w:szCs w:val="28"/>
          <w:highlight w:val="none"/>
        </w:rPr>
      </w:pPr>
      <w:r>
        <w:rPr>
          <w:rFonts w:hint="eastAsia" w:ascii="黑体" w:hAnsi="黑体" w:eastAsia="黑体" w:cs="宋体"/>
          <w:kern w:val="0"/>
          <w:sz w:val="28"/>
          <w:szCs w:val="28"/>
          <w:highlight w:val="none"/>
        </w:rPr>
        <w:br w:type="page"/>
      </w:r>
    </w:p>
    <w:p w14:paraId="4D51BEFE">
      <w:pPr>
        <w:numPr>
          <w:ilvl w:val="0"/>
          <w:numId w:val="1"/>
        </w:numPr>
        <w:rPr>
          <w:rFonts w:hint="eastAsia" w:ascii="黑体" w:hAnsi="黑体" w:eastAsia="黑体" w:cs="宋体"/>
          <w:kern w:val="0"/>
          <w:sz w:val="28"/>
          <w:szCs w:val="28"/>
          <w:highlight w:val="none"/>
        </w:rPr>
      </w:pPr>
      <w:r>
        <w:rPr>
          <w:rFonts w:hint="eastAsia" w:ascii="黑体" w:hAnsi="黑体" w:eastAsia="黑体" w:cs="宋体"/>
          <w:kern w:val="0"/>
          <w:sz w:val="28"/>
          <w:szCs w:val="28"/>
          <w:highlight w:val="none"/>
        </w:rPr>
        <w:t>中小企业声明函</w:t>
      </w:r>
    </w:p>
    <w:p w14:paraId="1E66523B">
      <w:pPr>
        <w:widowControl w:val="0"/>
        <w:numPr>
          <w:ilvl w:val="0"/>
          <w:numId w:val="0"/>
        </w:numPr>
        <w:jc w:val="both"/>
        <w:rPr>
          <w:rFonts w:hint="default" w:ascii="黑体" w:hAnsi="黑体" w:eastAsia="黑体" w:cs="宋体"/>
          <w:kern w:val="0"/>
          <w:sz w:val="28"/>
          <w:szCs w:val="28"/>
          <w:highlight w:val="none"/>
          <w:lang w:val="en-US" w:eastAsia="zh-CN"/>
        </w:rPr>
      </w:pPr>
      <w:r>
        <w:rPr>
          <w:rFonts w:hint="eastAsia" w:ascii="黑体" w:hAnsi="黑体" w:eastAsia="黑体" w:cs="宋体"/>
          <w:kern w:val="0"/>
          <w:sz w:val="28"/>
          <w:szCs w:val="28"/>
          <w:highlight w:val="none"/>
          <w:lang w:val="en-US" w:eastAsia="zh-CN"/>
        </w:rPr>
        <w:t>6包</w:t>
      </w:r>
    </w:p>
    <w:p w14:paraId="04F2650B">
      <w:pPr>
        <w:widowControl w:val="0"/>
        <w:numPr>
          <w:ilvl w:val="0"/>
          <w:numId w:val="0"/>
        </w:numPr>
        <w:jc w:val="both"/>
        <w:rPr>
          <w:rFonts w:hint="eastAsia" w:ascii="黑体" w:hAnsi="黑体" w:eastAsia="黑体" w:cs="宋体"/>
          <w:kern w:val="0"/>
          <w:sz w:val="28"/>
          <w:szCs w:val="28"/>
          <w:highlight w:val="none"/>
          <w:lang w:eastAsia="zh-CN"/>
        </w:rPr>
      </w:pPr>
      <w:r>
        <w:rPr>
          <w:rFonts w:hint="eastAsia" w:ascii="黑体" w:hAnsi="黑体" w:eastAsia="黑体" w:cs="宋体"/>
          <w:kern w:val="0"/>
          <w:sz w:val="28"/>
          <w:szCs w:val="28"/>
          <w:highlight w:val="none"/>
          <w:lang w:eastAsia="zh-CN"/>
        </w:rPr>
        <w:drawing>
          <wp:inline distT="0" distB="0" distL="114300" distR="114300">
            <wp:extent cx="5269230" cy="709866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230" cy="7098665"/>
                    </a:xfrm>
                    <a:prstGeom prst="rect">
                      <a:avLst/>
                    </a:prstGeom>
                    <a:noFill/>
                    <a:ln>
                      <a:noFill/>
                    </a:ln>
                  </pic:spPr>
                </pic:pic>
              </a:graphicData>
            </a:graphic>
          </wp:inline>
        </w:drawing>
      </w:r>
    </w:p>
    <w:p w14:paraId="0CD4234C">
      <w:pPr>
        <w:rPr>
          <w:rFonts w:hint="eastAsia" w:ascii="黑体" w:hAnsi="黑体" w:eastAsia="黑体" w:cs="宋体"/>
          <w:kern w:val="0"/>
          <w:sz w:val="28"/>
          <w:szCs w:val="28"/>
          <w:highlight w:val="none"/>
          <w:lang w:val="en-US" w:eastAsia="zh-CN"/>
        </w:rPr>
      </w:pPr>
      <w:r>
        <w:rPr>
          <w:rFonts w:hint="eastAsia" w:ascii="黑体" w:hAnsi="黑体" w:eastAsia="黑体" w:cs="宋体"/>
          <w:kern w:val="0"/>
          <w:sz w:val="28"/>
          <w:szCs w:val="28"/>
          <w:highlight w:val="none"/>
          <w:lang w:val="en-US" w:eastAsia="zh-CN"/>
        </w:rPr>
        <w:br w:type="page"/>
      </w:r>
    </w:p>
    <w:p w14:paraId="49550971">
      <w:pPr>
        <w:widowControl w:val="0"/>
        <w:numPr>
          <w:ilvl w:val="0"/>
          <w:numId w:val="0"/>
        </w:numPr>
        <w:jc w:val="both"/>
        <w:rPr>
          <w:rFonts w:hint="eastAsia" w:ascii="黑体" w:hAnsi="黑体" w:eastAsia="黑体" w:cs="宋体"/>
          <w:kern w:val="0"/>
          <w:sz w:val="28"/>
          <w:szCs w:val="28"/>
          <w:highlight w:val="none"/>
          <w:lang w:val="en-US" w:eastAsia="zh-CN"/>
        </w:rPr>
      </w:pPr>
      <w:r>
        <w:rPr>
          <w:rFonts w:hint="eastAsia" w:ascii="黑体" w:hAnsi="黑体" w:eastAsia="黑体" w:cs="宋体"/>
          <w:kern w:val="0"/>
          <w:sz w:val="28"/>
          <w:szCs w:val="28"/>
          <w:highlight w:val="none"/>
          <w:lang w:val="en-US" w:eastAsia="zh-CN"/>
        </w:rPr>
        <w:t>7包</w:t>
      </w:r>
    </w:p>
    <w:p w14:paraId="10998437">
      <w:pPr>
        <w:widowControl w:val="0"/>
        <w:numPr>
          <w:ilvl w:val="0"/>
          <w:numId w:val="0"/>
        </w:numPr>
        <w:jc w:val="both"/>
        <w:rPr>
          <w:rFonts w:hint="eastAsia" w:ascii="黑体" w:hAnsi="黑体" w:eastAsia="黑体" w:cs="宋体"/>
          <w:kern w:val="0"/>
          <w:sz w:val="28"/>
          <w:szCs w:val="28"/>
          <w:highlight w:val="none"/>
          <w:lang w:val="en-US" w:eastAsia="zh-CN"/>
        </w:rPr>
      </w:pPr>
    </w:p>
    <w:p w14:paraId="336CC255">
      <w:pPr>
        <w:widowControl w:val="0"/>
        <w:numPr>
          <w:ilvl w:val="0"/>
          <w:numId w:val="0"/>
        </w:numPr>
        <w:jc w:val="both"/>
        <w:rPr>
          <w:rFonts w:hint="default" w:ascii="黑体" w:hAnsi="黑体" w:eastAsia="黑体" w:cs="宋体"/>
          <w:kern w:val="0"/>
          <w:sz w:val="28"/>
          <w:szCs w:val="28"/>
          <w:highlight w:val="none"/>
          <w:lang w:val="en-US" w:eastAsia="zh-CN"/>
        </w:rPr>
        <w:sectPr>
          <w:pgSz w:w="11906" w:h="16838"/>
          <w:pgMar w:top="1440" w:right="1800" w:bottom="1440" w:left="1800" w:header="851" w:footer="992" w:gutter="0"/>
          <w:cols w:space="425" w:num="1"/>
          <w:docGrid w:type="lines" w:linePitch="312" w:charSpace="0"/>
        </w:sectPr>
      </w:pPr>
      <w:r>
        <w:rPr>
          <w:rFonts w:hint="default" w:ascii="黑体" w:hAnsi="黑体" w:eastAsia="黑体" w:cs="宋体"/>
          <w:kern w:val="0"/>
          <w:sz w:val="28"/>
          <w:szCs w:val="28"/>
          <w:highlight w:val="none"/>
          <w:lang w:val="en-US" w:eastAsia="zh-CN"/>
        </w:rPr>
        <w:drawing>
          <wp:inline distT="0" distB="0" distL="114300" distR="114300">
            <wp:extent cx="5273675" cy="5619115"/>
            <wp:effectExtent l="0" t="0" r="317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675" cy="5619115"/>
                    </a:xfrm>
                    <a:prstGeom prst="rect">
                      <a:avLst/>
                    </a:prstGeom>
                    <a:noFill/>
                    <a:ln>
                      <a:noFill/>
                    </a:ln>
                  </pic:spPr>
                </pic:pic>
              </a:graphicData>
            </a:graphic>
          </wp:inline>
        </w:drawing>
      </w:r>
    </w:p>
    <w:p w14:paraId="0A6DECC4">
      <w:pPr>
        <w:pStyle w:val="6"/>
        <w:spacing w:after="0"/>
        <w:rPr>
          <w:rFonts w:hint="eastAsia"/>
          <w:highlight w:val="none"/>
          <w:lang w:val="en-US" w:eastAsia="zh-CN"/>
        </w:rPr>
      </w:pPr>
      <w:r>
        <w:rPr>
          <w:rFonts w:hint="eastAsia" w:ascii="黑体" w:hAnsi="黑体" w:eastAsia="黑体" w:cs="宋体"/>
          <w:kern w:val="0"/>
          <w:sz w:val="28"/>
          <w:szCs w:val="28"/>
          <w:highlight w:val="none"/>
          <w:lang w:val="en-US" w:eastAsia="zh-CN"/>
        </w:rPr>
        <w:t>8包</w:t>
      </w:r>
    </w:p>
    <w:p w14:paraId="5ADF17C4">
      <w:pPr>
        <w:rPr>
          <w:rFonts w:hint="default"/>
          <w:highlight w:val="none"/>
          <w:lang w:val="en-US" w:eastAsia="zh-CN"/>
        </w:rPr>
      </w:pPr>
      <w:r>
        <w:rPr>
          <w:rFonts w:hint="default"/>
          <w:highlight w:val="none"/>
          <w:lang w:val="en-US" w:eastAsia="zh-CN"/>
        </w:rPr>
        <w:drawing>
          <wp:inline distT="0" distB="0" distL="114300" distR="114300">
            <wp:extent cx="5274310" cy="62788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62788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26AB1C-C0C1-4175-866C-47F2951CFE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embedRegular r:id="rId2" w:fontKey="{1946C32D-A636-48A3-AFE0-754B564A80D6}"/>
  </w:font>
  <w:font w:name="仿宋">
    <w:panose1 w:val="02010609060101010101"/>
    <w:charset w:val="86"/>
    <w:family w:val="modern"/>
    <w:pitch w:val="default"/>
    <w:sig w:usb0="800002BF" w:usb1="38CF7CFA" w:usb2="00000016" w:usb3="00000000" w:csb0="00040001" w:csb1="00000000"/>
    <w:embedRegular r:id="rId3" w:fontKey="{76C4F8A8-1C1C-45A9-997C-36CA84055E12}"/>
  </w:font>
  <w:font w:name="华文楷体">
    <w:panose1 w:val="02010600040101010101"/>
    <w:charset w:val="86"/>
    <w:family w:val="auto"/>
    <w:pitch w:val="default"/>
    <w:sig w:usb0="A00002BF" w:usb1="78CF7CFB" w:usb2="00000016" w:usb3="00000000" w:csb0="6006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D93AB"/>
    <w:multiLevelType w:val="singleLevel"/>
    <w:tmpl w:val="CADD93AB"/>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wNTgwYjZjODA3ZDM4YmE5OThkNTYwYjNlZWI3ZjcifQ=="/>
  </w:docVars>
  <w:rsids>
    <w:rsidRoot w:val="004826CC"/>
    <w:rsid w:val="000661CF"/>
    <w:rsid w:val="000B477A"/>
    <w:rsid w:val="000C6FDA"/>
    <w:rsid w:val="00195A62"/>
    <w:rsid w:val="001A275D"/>
    <w:rsid w:val="001B7382"/>
    <w:rsid w:val="001C1B72"/>
    <w:rsid w:val="00202E66"/>
    <w:rsid w:val="0024428D"/>
    <w:rsid w:val="00253EAA"/>
    <w:rsid w:val="00286C39"/>
    <w:rsid w:val="002C2720"/>
    <w:rsid w:val="002E4E61"/>
    <w:rsid w:val="002F459C"/>
    <w:rsid w:val="00346C24"/>
    <w:rsid w:val="00376CD0"/>
    <w:rsid w:val="004068FE"/>
    <w:rsid w:val="004159B1"/>
    <w:rsid w:val="00416439"/>
    <w:rsid w:val="00456C07"/>
    <w:rsid w:val="004826CC"/>
    <w:rsid w:val="00483ECD"/>
    <w:rsid w:val="004A1095"/>
    <w:rsid w:val="004A1A2B"/>
    <w:rsid w:val="004B4064"/>
    <w:rsid w:val="005418BB"/>
    <w:rsid w:val="00593007"/>
    <w:rsid w:val="005F4479"/>
    <w:rsid w:val="006145B2"/>
    <w:rsid w:val="006449CC"/>
    <w:rsid w:val="00646852"/>
    <w:rsid w:val="006B24F7"/>
    <w:rsid w:val="006D2E88"/>
    <w:rsid w:val="00710CA2"/>
    <w:rsid w:val="007143C2"/>
    <w:rsid w:val="00727EA2"/>
    <w:rsid w:val="0073110E"/>
    <w:rsid w:val="00745397"/>
    <w:rsid w:val="00750B61"/>
    <w:rsid w:val="007528D6"/>
    <w:rsid w:val="007632D6"/>
    <w:rsid w:val="008067A5"/>
    <w:rsid w:val="00807BBE"/>
    <w:rsid w:val="00841660"/>
    <w:rsid w:val="008A7722"/>
    <w:rsid w:val="008F5B8B"/>
    <w:rsid w:val="009052E2"/>
    <w:rsid w:val="009427D5"/>
    <w:rsid w:val="009449DC"/>
    <w:rsid w:val="009456AB"/>
    <w:rsid w:val="00A52030"/>
    <w:rsid w:val="00A87C49"/>
    <w:rsid w:val="00B87EAD"/>
    <w:rsid w:val="00B91935"/>
    <w:rsid w:val="00C0426C"/>
    <w:rsid w:val="00C6722D"/>
    <w:rsid w:val="00CA5A81"/>
    <w:rsid w:val="00D2455F"/>
    <w:rsid w:val="00D265A0"/>
    <w:rsid w:val="00D333A6"/>
    <w:rsid w:val="00D92F84"/>
    <w:rsid w:val="00DB4114"/>
    <w:rsid w:val="00E6784A"/>
    <w:rsid w:val="00EF04AD"/>
    <w:rsid w:val="00F076AA"/>
    <w:rsid w:val="047963C4"/>
    <w:rsid w:val="04A2770C"/>
    <w:rsid w:val="052C6F6B"/>
    <w:rsid w:val="05307841"/>
    <w:rsid w:val="05B60748"/>
    <w:rsid w:val="062260D2"/>
    <w:rsid w:val="0A2D3192"/>
    <w:rsid w:val="0E3A54CF"/>
    <w:rsid w:val="0E6D083F"/>
    <w:rsid w:val="0F2E33E2"/>
    <w:rsid w:val="12452032"/>
    <w:rsid w:val="15251884"/>
    <w:rsid w:val="154C6414"/>
    <w:rsid w:val="15F6415A"/>
    <w:rsid w:val="165C4031"/>
    <w:rsid w:val="1675224E"/>
    <w:rsid w:val="18C94647"/>
    <w:rsid w:val="198539A6"/>
    <w:rsid w:val="1DD85FFB"/>
    <w:rsid w:val="1EBB25E9"/>
    <w:rsid w:val="1FB10F53"/>
    <w:rsid w:val="21C01625"/>
    <w:rsid w:val="28AD43F2"/>
    <w:rsid w:val="2AA9723B"/>
    <w:rsid w:val="2B3002E1"/>
    <w:rsid w:val="300761B5"/>
    <w:rsid w:val="305A45A2"/>
    <w:rsid w:val="30835B51"/>
    <w:rsid w:val="32622615"/>
    <w:rsid w:val="34BD595D"/>
    <w:rsid w:val="36794278"/>
    <w:rsid w:val="36F97234"/>
    <w:rsid w:val="38051790"/>
    <w:rsid w:val="405109D6"/>
    <w:rsid w:val="40BB317A"/>
    <w:rsid w:val="40EB3260"/>
    <w:rsid w:val="41CB2DDD"/>
    <w:rsid w:val="424A4FC5"/>
    <w:rsid w:val="42761BE1"/>
    <w:rsid w:val="42905B96"/>
    <w:rsid w:val="490103F7"/>
    <w:rsid w:val="4C942727"/>
    <w:rsid w:val="4F525755"/>
    <w:rsid w:val="50CB0952"/>
    <w:rsid w:val="52362B4F"/>
    <w:rsid w:val="52972F71"/>
    <w:rsid w:val="541479EE"/>
    <w:rsid w:val="57AE064A"/>
    <w:rsid w:val="590034D9"/>
    <w:rsid w:val="59B46452"/>
    <w:rsid w:val="5A350D04"/>
    <w:rsid w:val="5A9C7F93"/>
    <w:rsid w:val="5B416B24"/>
    <w:rsid w:val="5B6643C2"/>
    <w:rsid w:val="5C212825"/>
    <w:rsid w:val="5CDF06A9"/>
    <w:rsid w:val="5DEA4819"/>
    <w:rsid w:val="5E947582"/>
    <w:rsid w:val="5EE6622C"/>
    <w:rsid w:val="605D2255"/>
    <w:rsid w:val="61A25824"/>
    <w:rsid w:val="63631BBE"/>
    <w:rsid w:val="667558B4"/>
    <w:rsid w:val="694718F2"/>
    <w:rsid w:val="6AA04515"/>
    <w:rsid w:val="6B4B6C9F"/>
    <w:rsid w:val="6C8979A5"/>
    <w:rsid w:val="70285372"/>
    <w:rsid w:val="70C263F3"/>
    <w:rsid w:val="71733112"/>
    <w:rsid w:val="722A6763"/>
    <w:rsid w:val="731C4194"/>
    <w:rsid w:val="761B2709"/>
    <w:rsid w:val="76BA690C"/>
    <w:rsid w:val="773944FF"/>
    <w:rsid w:val="786F0AC7"/>
    <w:rsid w:val="7AD247FB"/>
    <w:rsid w:val="7B1F0964"/>
    <w:rsid w:val="7BE603BC"/>
    <w:rsid w:val="7E0150C3"/>
    <w:rsid w:val="7E750788"/>
    <w:rsid w:val="7EAC4004"/>
    <w:rsid w:val="7F8F4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26"/>
    <w:autoRedefine/>
    <w:unhideWhenUsed/>
    <w:qFormat/>
    <w:uiPriority w:val="0"/>
    <w:pPr>
      <w:keepNext/>
      <w:keepLines/>
      <w:spacing w:before="260" w:after="260" w:line="412"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hint="eastAsia" w:ascii="宋体" w:hAnsi="宋体"/>
      <w:kern w:val="0"/>
      <w:sz w:val="20"/>
      <w:szCs w:val="20"/>
      <w:lang w:val="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qFormat/>
    <w:uiPriority w:val="99"/>
    <w:rPr>
      <w:rFonts w:ascii="黑体" w:hAnsi="宋体"/>
      <w:szCs w:val="20"/>
    </w:rPr>
  </w:style>
  <w:style w:type="paragraph" w:styleId="6">
    <w:name w:val="Body Text"/>
    <w:basedOn w:val="1"/>
    <w:next w:val="1"/>
    <w:autoRedefine/>
    <w:unhideWhenUsed/>
    <w:qFormat/>
    <w:uiPriority w:val="99"/>
    <w:pPr>
      <w:spacing w:after="120"/>
    </w:pPr>
  </w:style>
  <w:style w:type="paragraph" w:styleId="7">
    <w:name w:val="Body Text Indent"/>
    <w:basedOn w:val="1"/>
    <w:autoRedefine/>
    <w:semiHidden/>
    <w:unhideWhenUsed/>
    <w:qFormat/>
    <w:uiPriority w:val="99"/>
    <w:pPr>
      <w:spacing w:after="120"/>
      <w:ind w:left="420" w:leftChars="200"/>
    </w:pPr>
  </w:style>
  <w:style w:type="paragraph" w:styleId="8">
    <w:name w:val="Plain Text"/>
    <w:basedOn w:val="1"/>
    <w:link w:val="29"/>
    <w:autoRedefine/>
    <w:unhideWhenUsed/>
    <w:qFormat/>
    <w:uiPriority w:val="0"/>
    <w:rPr>
      <w:rFonts w:ascii="宋体" w:hAnsi="Courier New" w:eastAsiaTheme="minorEastAsia" w:cstheme="minorBidi"/>
      <w:szCs w:val="22"/>
    </w:rPr>
  </w:style>
  <w:style w:type="paragraph" w:styleId="9">
    <w:name w:val="footer"/>
    <w:basedOn w:val="1"/>
    <w:link w:val="31"/>
    <w:autoRedefine/>
    <w:unhideWhenUsed/>
    <w:qFormat/>
    <w:uiPriority w:val="99"/>
    <w:pPr>
      <w:tabs>
        <w:tab w:val="center" w:pos="4153"/>
        <w:tab w:val="right" w:pos="8306"/>
      </w:tabs>
      <w:snapToGrid w:val="0"/>
      <w:jc w:val="left"/>
    </w:pPr>
    <w:rPr>
      <w:sz w:val="18"/>
      <w:szCs w:val="18"/>
    </w:rPr>
  </w:style>
  <w:style w:type="paragraph" w:styleId="10">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jc w:val="left"/>
    </w:pPr>
    <w:rPr>
      <w:rFonts w:ascii="Calibri" w:hAnsi="Calibri"/>
      <w:b/>
      <w:bCs/>
      <w:szCs w:val="22"/>
    </w:rPr>
  </w:style>
  <w:style w:type="paragraph" w:styleId="12">
    <w:name w:val="Body Text First Indent"/>
    <w:basedOn w:val="6"/>
    <w:next w:val="1"/>
    <w:qFormat/>
    <w:uiPriority w:val="0"/>
    <w:pPr>
      <w:tabs>
        <w:tab w:val="left" w:pos="567"/>
      </w:tabs>
      <w:spacing w:line="360" w:lineRule="auto"/>
      <w:ind w:firstLine="0" w:firstLineChars="0"/>
      <w:jc w:val="both"/>
    </w:pPr>
    <w:rPr>
      <w:rFonts w:ascii="宋体" w:hAnsi="宋体" w:eastAsia="宋体"/>
      <w:color w:val="000000"/>
      <w:spacing w:val="0"/>
      <w:kern w:val="1"/>
      <w:szCs w:val="24"/>
      <w:lang w:bidi="ar-SA"/>
    </w:rPr>
  </w:style>
  <w:style w:type="paragraph" w:styleId="13">
    <w:name w:val="Body Text First Indent 2"/>
    <w:basedOn w:val="7"/>
    <w:next w:val="1"/>
    <w:autoRedefine/>
    <w:unhideWhenUsed/>
    <w:qFormat/>
    <w:uiPriority w:val="99"/>
    <w:pPr>
      <w:ind w:firstLine="420" w:firstLineChars="200"/>
    </w:pPr>
  </w:style>
  <w:style w:type="table" w:styleId="15">
    <w:name w:val="Table Grid"/>
    <w:basedOn w:val="14"/>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style>
  <w:style w:type="character" w:styleId="18">
    <w:name w:val="FollowedHyperlink"/>
    <w:basedOn w:val="16"/>
    <w:semiHidden/>
    <w:unhideWhenUsed/>
    <w:qFormat/>
    <w:uiPriority w:val="99"/>
    <w:rPr>
      <w:color w:val="333333"/>
      <w:u w:val="none"/>
    </w:rPr>
  </w:style>
  <w:style w:type="character" w:styleId="19">
    <w:name w:val="Emphasis"/>
    <w:basedOn w:val="16"/>
    <w:autoRedefine/>
    <w:qFormat/>
    <w:uiPriority w:val="20"/>
  </w:style>
  <w:style w:type="character" w:styleId="20">
    <w:name w:val="HTML Definition"/>
    <w:basedOn w:val="16"/>
    <w:semiHidden/>
    <w:unhideWhenUsed/>
    <w:qFormat/>
    <w:uiPriority w:val="99"/>
  </w:style>
  <w:style w:type="character" w:styleId="21">
    <w:name w:val="HTML Acronym"/>
    <w:basedOn w:val="16"/>
    <w:semiHidden/>
    <w:unhideWhenUsed/>
    <w:qFormat/>
    <w:uiPriority w:val="99"/>
  </w:style>
  <w:style w:type="character" w:styleId="22">
    <w:name w:val="HTML Variable"/>
    <w:basedOn w:val="16"/>
    <w:semiHidden/>
    <w:unhideWhenUsed/>
    <w:qFormat/>
    <w:uiPriority w:val="99"/>
  </w:style>
  <w:style w:type="character" w:styleId="23">
    <w:name w:val="Hyperlink"/>
    <w:basedOn w:val="16"/>
    <w:semiHidden/>
    <w:unhideWhenUsed/>
    <w:qFormat/>
    <w:uiPriority w:val="99"/>
    <w:rPr>
      <w:color w:val="333333"/>
      <w:u w:val="none"/>
    </w:rPr>
  </w:style>
  <w:style w:type="character" w:styleId="24">
    <w:name w:val="HTML Code"/>
    <w:basedOn w:val="16"/>
    <w:semiHidden/>
    <w:unhideWhenUsed/>
    <w:qFormat/>
    <w:uiPriority w:val="99"/>
    <w:rPr>
      <w:rFonts w:ascii="Courier New" w:hAnsi="Courier New"/>
      <w:sz w:val="20"/>
    </w:rPr>
  </w:style>
  <w:style w:type="character" w:styleId="25">
    <w:name w:val="HTML Cite"/>
    <w:basedOn w:val="16"/>
    <w:semiHidden/>
    <w:unhideWhenUsed/>
    <w:qFormat/>
    <w:uiPriority w:val="99"/>
  </w:style>
  <w:style w:type="character" w:customStyle="1" w:styleId="26">
    <w:name w:val="标题 2 字符"/>
    <w:basedOn w:val="16"/>
    <w:link w:val="3"/>
    <w:autoRedefine/>
    <w:qFormat/>
    <w:uiPriority w:val="0"/>
    <w:rPr>
      <w:rFonts w:ascii="Arial" w:hAnsi="Arial" w:eastAsia="黑体" w:cs="Arial"/>
      <w:b/>
      <w:bCs/>
      <w:sz w:val="32"/>
      <w:szCs w:val="32"/>
    </w:rPr>
  </w:style>
  <w:style w:type="character" w:customStyle="1" w:styleId="27">
    <w:name w:val="标题 1 字符"/>
    <w:basedOn w:val="16"/>
    <w:link w:val="2"/>
    <w:autoRedefine/>
    <w:qFormat/>
    <w:uiPriority w:val="9"/>
    <w:rPr>
      <w:rFonts w:ascii="Times New Roman" w:hAnsi="Times New Roman" w:eastAsia="宋体" w:cs="Times New Roman"/>
      <w:b/>
      <w:bCs/>
      <w:kern w:val="44"/>
      <w:sz w:val="44"/>
      <w:szCs w:val="44"/>
    </w:rPr>
  </w:style>
  <w:style w:type="character" w:customStyle="1" w:styleId="28">
    <w:name w:val="纯文本 字符"/>
    <w:basedOn w:val="16"/>
    <w:autoRedefine/>
    <w:qFormat/>
    <w:uiPriority w:val="99"/>
    <w:rPr>
      <w:rFonts w:hAnsi="Courier New" w:cs="Courier New" w:asciiTheme="minorEastAsia"/>
      <w:szCs w:val="21"/>
    </w:rPr>
  </w:style>
  <w:style w:type="character" w:customStyle="1" w:styleId="29">
    <w:name w:val="纯文本 字符1"/>
    <w:basedOn w:val="16"/>
    <w:link w:val="8"/>
    <w:autoRedefine/>
    <w:qFormat/>
    <w:locked/>
    <w:uiPriority w:val="0"/>
    <w:rPr>
      <w:rFonts w:ascii="宋体" w:hAnsi="Courier New"/>
    </w:rPr>
  </w:style>
  <w:style w:type="character" w:customStyle="1" w:styleId="30">
    <w:name w:val="页眉 字符"/>
    <w:basedOn w:val="16"/>
    <w:link w:val="10"/>
    <w:autoRedefine/>
    <w:qFormat/>
    <w:uiPriority w:val="99"/>
    <w:rPr>
      <w:rFonts w:ascii="Times New Roman" w:hAnsi="Times New Roman" w:eastAsia="宋体" w:cs="Times New Roman"/>
      <w:sz w:val="18"/>
      <w:szCs w:val="18"/>
    </w:rPr>
  </w:style>
  <w:style w:type="character" w:customStyle="1" w:styleId="31">
    <w:name w:val="页脚 字符"/>
    <w:basedOn w:val="16"/>
    <w:link w:val="9"/>
    <w:autoRedefine/>
    <w:qFormat/>
    <w:uiPriority w:val="99"/>
    <w:rPr>
      <w:rFonts w:ascii="Times New Roman" w:hAnsi="Times New Roman" w:eastAsia="宋体" w:cs="Times New Roman"/>
      <w:sz w:val="18"/>
      <w:szCs w:val="18"/>
    </w:rPr>
  </w:style>
  <w:style w:type="character" w:customStyle="1" w:styleId="32">
    <w:name w:val="纯文本 Char1"/>
    <w:autoRedefine/>
    <w:qFormat/>
    <w:uiPriority w:val="0"/>
    <w:rPr>
      <w:rFonts w:ascii="宋体" w:hAnsi="Courier New" w:eastAsia="宋体" w:cs="Times New Roman"/>
      <w:szCs w:val="21"/>
      <w:lang w:val="zh-CN"/>
    </w:rPr>
  </w:style>
  <w:style w:type="character" w:customStyle="1" w:styleId="33">
    <w:name w:val="margin_right20"/>
    <w:basedOn w:val="16"/>
    <w:qFormat/>
    <w:uiPriority w:val="0"/>
  </w:style>
  <w:style w:type="character" w:customStyle="1" w:styleId="34">
    <w:name w:val="hover5"/>
    <w:basedOn w:val="16"/>
    <w:qFormat/>
    <w:uiPriority w:val="0"/>
    <w:rPr>
      <w:color w:val="0063BA"/>
    </w:rPr>
  </w:style>
  <w:style w:type="character" w:customStyle="1" w:styleId="35">
    <w:name w:val="active6"/>
    <w:basedOn w:val="16"/>
    <w:qFormat/>
    <w:uiPriority w:val="0"/>
    <w:rPr>
      <w:color w:val="FFFFFF"/>
      <w:shd w:val="clear" w:fill="E22323"/>
    </w:rPr>
  </w:style>
  <w:style w:type="character" w:customStyle="1" w:styleId="36">
    <w:name w:val="cur"/>
    <w:basedOn w:val="16"/>
    <w:qFormat/>
    <w:uiPriority w:val="0"/>
    <w:rPr>
      <w:color w:val="BE1B2F"/>
    </w:rPr>
  </w:style>
  <w:style w:type="character" w:customStyle="1" w:styleId="37">
    <w:name w:val="margin_right202"/>
    <w:basedOn w:val="16"/>
    <w:qFormat/>
    <w:uiPriority w:val="0"/>
  </w:style>
  <w:style w:type="character" w:customStyle="1" w:styleId="38">
    <w:name w:val="active5"/>
    <w:basedOn w:val="16"/>
    <w:qFormat/>
    <w:uiPriority w:val="0"/>
    <w:rPr>
      <w:color w:val="FFFFFF"/>
      <w:shd w:val="clear" w:fill="E22323"/>
    </w:rPr>
  </w:style>
  <w:style w:type="character" w:customStyle="1" w:styleId="39">
    <w:name w:val="active"/>
    <w:basedOn w:val="16"/>
    <w:qFormat/>
    <w:uiPriority w:val="0"/>
    <w:rPr>
      <w:color w:val="FFFFFF"/>
      <w:shd w:val="clear" w:fill="E22323"/>
    </w:rPr>
  </w:style>
  <w:style w:type="character" w:customStyle="1" w:styleId="40">
    <w:name w:val="hover"/>
    <w:basedOn w:val="16"/>
    <w:qFormat/>
    <w:uiPriority w:val="0"/>
    <w:rPr>
      <w:color w:val="0063BA"/>
    </w:rPr>
  </w:style>
  <w:style w:type="character" w:customStyle="1" w:styleId="41">
    <w:name w:val="active2"/>
    <w:basedOn w:val="16"/>
    <w:qFormat/>
    <w:uiPriority w:val="0"/>
    <w:rPr>
      <w:color w:val="FFFFFF"/>
      <w:shd w:val="clear" w:fill="E22323"/>
    </w:rPr>
  </w:style>
  <w:style w:type="paragraph" w:customStyle="1" w:styleId="42">
    <w:name w:val="Table Text"/>
    <w:basedOn w:val="1"/>
    <w:semiHidden/>
    <w:qFormat/>
    <w:uiPriority w:val="0"/>
    <w:rPr>
      <w:rFonts w:ascii="宋体" w:hAnsi="宋体" w:eastAsia="宋体" w:cs="宋体"/>
      <w:sz w:val="21"/>
      <w:szCs w:val="21"/>
      <w:lang w:val="en-US" w:eastAsia="en-US" w:bidi="ar-SA"/>
    </w:rPr>
  </w:style>
  <w:style w:type="table" w:customStyle="1" w:styleId="4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9E25D-D354-4CCC-A631-BD30C81E9C1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1338</Words>
  <Characters>1894</Characters>
  <Lines>6</Lines>
  <Paragraphs>1</Paragraphs>
  <TotalTime>3</TotalTime>
  <ScaleCrop>false</ScaleCrop>
  <LinksUpToDate>false</LinksUpToDate>
  <CharactersWithSpaces>1923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2020-05-06T05:06:00Z</dcterms:created>
  <dc:creator>111111</dc:creator>
  <cp:lastModifiedBy>Alger</cp:lastModifiedBy>
  <cp:lastPrinted>2023-02-06T02:09:00Z</cp:lastPrinted>
  <dcterms:modified xsi:type="dcterms:W3CDTF">2026-04-21T08:41:29Z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8BDC24B1D6BC41BEB3EA61E2CEF53449</vt:lpwstr>
  </property>
  <property fmtid="{D5CDD505-2E9C-101B-9397-08002B2CF9AE}" pid="4" name="KSOTemplateDocerSaveRecord">
    <vt:lpwstr>eyJoZGlkIjoiMDE4YWJlZGJkYjhlYjgwYTY0N2YxMjI0ZTU3MGQxOGUiLCJ1c2VySWQiOiI1ODg0MTU2MDcifQ==</vt:lpwstr>
  </property>
</Properties>
</file>