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290" w:firstLineChars="50"/>
        <w:rPr>
          <w:rFonts w:hint="eastAsia" w:ascii="宋体" w:hAnsi="宋体" w:eastAsia="宋体" w:cs="宋体"/>
          <w:color w:val="auto"/>
          <w:sz w:val="58"/>
          <w:szCs w:val="58"/>
          <w:highlight w:val="none"/>
        </w:rPr>
      </w:pP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北京市政府采购项目</w:t>
      </w: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公开招标文件</w:t>
      </w:r>
    </w:p>
    <w:p>
      <w:pPr>
        <w:tabs>
          <w:tab w:val="left" w:pos="3240"/>
          <w:tab w:val="left" w:pos="3420"/>
        </w:tabs>
        <w:spacing w:line="360" w:lineRule="auto"/>
        <w:jc w:val="left"/>
        <w:rPr>
          <w:rFonts w:hint="eastAsia" w:ascii="宋体" w:hAnsi="宋体" w:eastAsia="宋体" w:cs="宋体"/>
          <w:b/>
          <w:bCs/>
          <w:color w:val="auto"/>
          <w:sz w:val="60"/>
          <w:szCs w:val="60"/>
          <w:highlight w:val="none"/>
        </w:rPr>
      </w:pP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lang w:eastAsia="zh-CN"/>
        </w:rPr>
      </w:pPr>
      <w:r>
        <w:rPr>
          <w:rFonts w:hint="eastAsia" w:ascii="宋体" w:hAnsi="宋体" w:eastAsia="宋体" w:cs="宋体"/>
          <w:bCs/>
          <w:color w:val="auto"/>
          <w:sz w:val="36"/>
          <w:szCs w:val="36"/>
          <w:highlight w:val="none"/>
        </w:rPr>
        <w:t>项目名称：</w:t>
      </w:r>
      <w:r>
        <w:rPr>
          <w:rFonts w:hint="eastAsia" w:ascii="宋体" w:hAnsi="宋体" w:eastAsia="宋体" w:cs="宋体"/>
          <w:bCs/>
          <w:color w:val="auto"/>
          <w:sz w:val="36"/>
          <w:szCs w:val="36"/>
          <w:highlight w:val="none"/>
          <w:u w:val="single"/>
          <w:lang w:eastAsia="zh-CN"/>
        </w:rPr>
        <w:t>中央转移支付项目（强制免疫）兽用疫苗采购项目</w:t>
      </w: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rPr>
      </w:pPr>
      <w:r>
        <w:rPr>
          <w:rFonts w:hint="eastAsia" w:ascii="宋体" w:hAnsi="宋体" w:eastAsia="宋体" w:cs="宋体"/>
          <w:bCs/>
          <w:color w:val="auto"/>
          <w:sz w:val="36"/>
          <w:szCs w:val="36"/>
          <w:highlight w:val="none"/>
        </w:rPr>
        <w:t>项目编号：</w:t>
      </w:r>
      <w:r>
        <w:rPr>
          <w:rFonts w:hint="eastAsia" w:ascii="宋体" w:hAnsi="宋体" w:eastAsia="宋体" w:cs="宋体"/>
          <w:bCs/>
          <w:color w:val="auto"/>
          <w:sz w:val="36"/>
          <w:szCs w:val="36"/>
          <w:highlight w:val="none"/>
          <w:u w:val="single"/>
        </w:rPr>
        <w:t xml:space="preserve"> 11000026210200168189-XM001 </w:t>
      </w: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rPr>
      </w:pPr>
      <w:r>
        <w:rPr>
          <w:rFonts w:hint="eastAsia" w:ascii="宋体" w:hAnsi="宋体" w:eastAsia="宋体" w:cs="宋体"/>
          <w:bCs/>
          <w:color w:val="auto"/>
          <w:sz w:val="36"/>
          <w:szCs w:val="36"/>
          <w:highlight w:val="none"/>
        </w:rPr>
        <w:t>采购人：</w:t>
      </w:r>
      <w:r>
        <w:rPr>
          <w:rFonts w:hint="eastAsia" w:ascii="宋体" w:hAnsi="宋体" w:eastAsia="宋体" w:cs="宋体"/>
          <w:bCs/>
          <w:color w:val="auto"/>
          <w:sz w:val="36"/>
          <w:szCs w:val="36"/>
          <w:highlight w:val="none"/>
          <w:u w:val="single"/>
        </w:rPr>
        <w:t xml:space="preserve">北京市动物疫病预防控制中心 </w:t>
      </w: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r>
        <w:rPr>
          <w:rFonts w:hint="eastAsia" w:ascii="宋体" w:hAnsi="宋体" w:eastAsia="宋体" w:cs="宋体"/>
          <w:bCs/>
          <w:color w:val="auto"/>
          <w:sz w:val="36"/>
          <w:szCs w:val="36"/>
          <w:highlight w:val="none"/>
        </w:rPr>
        <w:t>采购代理机构：</w:t>
      </w:r>
      <w:r>
        <w:rPr>
          <w:rFonts w:hint="eastAsia" w:ascii="宋体" w:hAnsi="宋体" w:eastAsia="宋体" w:cs="宋体"/>
          <w:color w:val="auto"/>
          <w:sz w:val="36"/>
          <w:szCs w:val="36"/>
          <w:highlight w:val="none"/>
          <w:u w:val="single"/>
        </w:rPr>
        <w:t>北京国泰建中管理咨询有限公司</w:t>
      </w:r>
    </w:p>
    <w:p>
      <w:pPr>
        <w:spacing w:line="240" w:lineRule="auto"/>
        <w:jc w:val="left"/>
        <w:rPr>
          <w:rFonts w:hint="eastAsia" w:ascii="宋体" w:hAnsi="宋体" w:eastAsia="宋体" w:cs="宋体"/>
          <w:color w:val="auto"/>
          <w:sz w:val="36"/>
          <w:szCs w:val="36"/>
          <w:highlight w:val="none"/>
          <w:u w:val="single"/>
        </w:rPr>
      </w:pPr>
    </w:p>
    <w:p>
      <w:pPr>
        <w:spacing w:line="240" w:lineRule="auto"/>
        <w:jc w:val="left"/>
        <w:rPr>
          <w:rFonts w:hint="eastAsia" w:ascii="宋体" w:hAnsi="宋体" w:eastAsia="宋体" w:cs="宋体"/>
          <w:color w:val="auto"/>
          <w:sz w:val="36"/>
          <w:szCs w:val="36"/>
          <w:highlight w:val="none"/>
          <w:u w:val="single"/>
        </w:rPr>
      </w:pPr>
    </w:p>
    <w:p>
      <w:pPr>
        <w:spacing w:line="240" w:lineRule="auto"/>
        <w:jc w:val="left"/>
        <w:rPr>
          <w:rFonts w:hint="eastAsia" w:ascii="宋体" w:hAnsi="宋体" w:eastAsia="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p>
    <w:p>
      <w:pPr>
        <w:widowControl/>
        <w:jc w:val="left"/>
        <w:rPr>
          <w:rFonts w:hint="eastAsia" w:ascii="宋体" w:hAnsi="宋体" w:eastAsia="宋体" w:cs="宋体"/>
          <w:b/>
          <w:bCs/>
          <w:color w:val="auto"/>
          <w:sz w:val="44"/>
          <w:highlight w:val="none"/>
        </w:rPr>
      </w:pPr>
    </w:p>
    <w:p>
      <w:pPr>
        <w:spacing w:line="360" w:lineRule="auto"/>
        <w:jc w:val="center"/>
        <w:outlineLvl w:val="0"/>
        <w:rPr>
          <w:rFonts w:hint="eastAsia" w:ascii="宋体" w:hAnsi="宋体" w:eastAsia="宋体" w:cs="宋体"/>
          <w:b/>
          <w:color w:val="auto"/>
          <w:sz w:val="36"/>
          <w:szCs w:val="36"/>
          <w:highlight w:val="none"/>
        </w:rPr>
      </w:pPr>
      <w:bookmarkStart w:id="0" w:name="_Toc99301418"/>
      <w:bookmarkStart w:id="1" w:name="_Toc192872474"/>
      <w:r>
        <w:rPr>
          <w:rFonts w:hint="eastAsia" w:ascii="宋体" w:hAnsi="宋体" w:eastAsia="宋体" w:cs="宋体"/>
          <w:b/>
          <w:color w:val="auto"/>
          <w:sz w:val="36"/>
          <w:szCs w:val="36"/>
          <w:highlight w:val="none"/>
        </w:rPr>
        <w:t>目      录</w:t>
      </w:r>
      <w:bookmarkEnd w:id="0"/>
      <w:bookmarkEnd w:id="1"/>
    </w:p>
    <w:p>
      <w:pPr>
        <w:rPr>
          <w:rFonts w:hint="eastAsia" w:ascii="宋体" w:hAnsi="宋体" w:eastAsia="宋体" w:cs="宋体"/>
          <w:color w:val="auto"/>
          <w:highlight w:val="none"/>
        </w:rPr>
      </w:pP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b w:val="0"/>
          <w:color w:val="auto"/>
          <w:highlight w:val="none"/>
        </w:rPr>
        <w:fldChar w:fldCharType="begin"/>
      </w:r>
      <w:r>
        <w:rPr>
          <w:rFonts w:hint="eastAsia" w:ascii="宋体" w:hAnsi="宋体" w:eastAsia="宋体" w:cs="宋体"/>
          <w:b w:val="0"/>
          <w:color w:val="auto"/>
          <w:highlight w:val="none"/>
        </w:rPr>
        <w:instrText xml:space="preserve"> TOC \o "1-1" \h \z \u </w:instrText>
      </w:r>
      <w:r>
        <w:rPr>
          <w:rFonts w:hint="eastAsia" w:ascii="宋体" w:hAnsi="宋体" w:eastAsia="宋体" w:cs="宋体"/>
          <w:b w:val="0"/>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"_Toc192872474"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目      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"_Toc192872475"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"_Toc192872476"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"_Toc192872477"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第三章   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"_Toc192872478"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第四章   评标方法和评标标准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"_Toc192872479"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第五章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"_Toc192872480"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第六章   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"_Toc192872481"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第七章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fldChar w:fldCharType="end"/>
      </w: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bookmarkStart w:id="2" w:name="_Toc192872475"/>
      <w:r>
        <w:rPr>
          <w:rFonts w:hint="eastAsia" w:ascii="宋体" w:hAnsi="宋体" w:eastAsia="宋体" w:cs="宋体"/>
          <w:b/>
          <w:color w:val="auto"/>
          <w:sz w:val="36"/>
          <w:szCs w:val="36"/>
          <w:highlight w:val="none"/>
        </w:rPr>
        <w:t>第一章   投标邀请</w:t>
      </w:r>
      <w:bookmarkEnd w:id="2"/>
    </w:p>
    <w:p>
      <w:pPr>
        <w:pStyle w:val="4"/>
        <w:spacing w:before="0" w:line="360" w:lineRule="auto"/>
        <w:jc w:val="left"/>
        <w:rPr>
          <w:rFonts w:hint="eastAsia" w:ascii="宋体" w:hAnsi="宋体" w:eastAsia="宋体" w:cs="宋体"/>
          <w:color w:val="auto"/>
          <w:sz w:val="24"/>
          <w:szCs w:val="24"/>
          <w:highlight w:val="none"/>
        </w:rPr>
      </w:pPr>
      <w:bookmarkStart w:id="3" w:name="_Toc35393790"/>
      <w:bookmarkStart w:id="4" w:name="_Toc28359002"/>
      <w:bookmarkStart w:id="5" w:name="_Toc28359079"/>
      <w:bookmarkStart w:id="6" w:name="_Toc35393621"/>
      <w:bookmarkStart w:id="7" w:name="_Hlk24379207"/>
      <w:r>
        <w:rPr>
          <w:rFonts w:hint="eastAsia" w:ascii="宋体" w:hAnsi="宋体" w:eastAsia="宋体" w:cs="宋体"/>
          <w:color w:val="auto"/>
          <w:sz w:val="24"/>
          <w:szCs w:val="24"/>
          <w:highlight w:val="none"/>
        </w:rPr>
        <w:t>一、项目基本情况</w:t>
      </w:r>
      <w:bookmarkEnd w:id="3"/>
      <w:bookmarkEnd w:id="4"/>
      <w:bookmarkEnd w:id="5"/>
      <w:bookmarkEnd w:id="6"/>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 项目名称：</w:t>
      </w:r>
      <w:r>
        <w:rPr>
          <w:rFonts w:hint="eastAsia" w:ascii="宋体" w:hAnsi="宋体" w:eastAsia="宋体" w:cs="宋体"/>
          <w:color w:val="auto"/>
          <w:sz w:val="24"/>
          <w:highlight w:val="none"/>
          <w:u w:val="single"/>
          <w:lang w:eastAsia="zh-CN"/>
        </w:rPr>
        <w:t>中央转移支付项目（强制免疫）兽用疫苗采购项目</w:t>
      </w:r>
      <w:r>
        <w:rPr>
          <w:rFonts w:hint="eastAsia" w:ascii="宋体" w:hAnsi="宋体" w:eastAsia="宋体" w:cs="宋体"/>
          <w:color w:val="auto"/>
          <w:sz w:val="24"/>
          <w:highlight w:val="none"/>
          <w:u w:val="single"/>
        </w:rPr>
        <w:t xml:space="preserve"> </w:t>
      </w:r>
    </w:p>
    <w:p>
      <w:pPr>
        <w:spacing w:line="360" w:lineRule="auto"/>
        <w:ind w:firstLine="960" w:firstLineChars="4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u w:val="none"/>
          <w:lang w:val="en-US" w:eastAsia="zh-CN"/>
        </w:rPr>
        <w:t>分包</w:t>
      </w:r>
      <w:r>
        <w:rPr>
          <w:rFonts w:hint="eastAsia" w:ascii="宋体" w:hAnsi="宋体" w:eastAsia="宋体" w:cs="宋体"/>
          <w:color w:val="auto"/>
          <w:sz w:val="24"/>
          <w:highlight w:val="none"/>
          <w:u w:val="none"/>
          <w:lang w:val="en-US" w:eastAsia="zh-CN"/>
        </w:rPr>
        <w:t>名称：</w:t>
      </w:r>
      <w:r>
        <w:rPr>
          <w:rFonts w:hint="eastAsia" w:ascii="宋体" w:hAnsi="宋体" w:eastAsia="宋体" w:cs="宋体"/>
          <w:color w:val="auto"/>
          <w:sz w:val="24"/>
          <w:highlight w:val="none"/>
          <w:u w:val="single"/>
          <w:lang w:val="en-US" w:eastAsia="zh-CN"/>
        </w:rPr>
        <w:t>第一包</w:t>
      </w:r>
    </w:p>
    <w:bookmarkEnd w:id="7"/>
    <w:p>
      <w:pPr>
        <w:numPr>
          <w:ilvl w:val="0"/>
          <w:numId w:val="1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项目编号：11000026210200168189-XM001</w:t>
      </w:r>
      <w:r>
        <w:rPr>
          <w:rFonts w:hint="eastAsia" w:ascii="宋体" w:hAnsi="宋体" w:eastAsia="宋体" w:cs="宋体"/>
          <w:color w:val="auto"/>
          <w:sz w:val="24"/>
          <w:highlight w:val="none"/>
          <w:lang w:val="en-US" w:eastAsia="zh-CN"/>
        </w:rPr>
        <w:t xml:space="preserve"> </w:t>
      </w:r>
    </w:p>
    <w:p>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包号：01</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 项目总预算金额：</w:t>
      </w:r>
      <w:r>
        <w:rPr>
          <w:rFonts w:hint="eastAsia" w:ascii="宋体" w:hAnsi="宋体" w:eastAsia="宋体" w:cs="宋体"/>
          <w:color w:val="auto"/>
          <w:sz w:val="24"/>
          <w:highlight w:val="none"/>
          <w:u w:val="single"/>
          <w:lang w:val="en-US" w:eastAsia="zh-CN"/>
        </w:rPr>
        <w:t>155</w:t>
      </w:r>
      <w:r>
        <w:rPr>
          <w:rFonts w:hint="eastAsia" w:ascii="宋体" w:hAnsi="宋体" w:eastAsia="宋体" w:cs="宋体"/>
          <w:color w:val="auto"/>
          <w:sz w:val="24"/>
          <w:highlight w:val="none"/>
        </w:rPr>
        <w:t xml:space="preserve">万元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本包次采购预算：</w:t>
      </w:r>
      <w:r>
        <w:rPr>
          <w:rFonts w:hint="eastAsia" w:ascii="宋体" w:hAnsi="宋体" w:eastAsia="宋体" w:cs="宋体"/>
          <w:color w:val="auto"/>
          <w:sz w:val="24"/>
          <w:highlight w:val="none"/>
          <w:u w:val="single"/>
          <w:lang w:val="en-US" w:eastAsia="zh-CN"/>
        </w:rPr>
        <w:t>37.26</w:t>
      </w:r>
      <w:r>
        <w:rPr>
          <w:rFonts w:hint="eastAsia" w:ascii="宋体" w:hAnsi="宋体" w:eastAsia="宋体" w:cs="宋体"/>
          <w:color w:val="auto"/>
          <w:sz w:val="24"/>
          <w:highlight w:val="none"/>
        </w:rPr>
        <w:t>万元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采购需求简述： </w:t>
      </w:r>
    </w:p>
    <w:tbl>
      <w:tblPr>
        <w:tblStyle w:val="47"/>
        <w:tblW w:w="8634" w:type="dxa"/>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400"/>
        <w:gridCol w:w="2283"/>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包号</w:t>
            </w:r>
          </w:p>
        </w:tc>
        <w:tc>
          <w:tcPr>
            <w:tcW w:w="44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标的名称</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采购数量（万毫升）</w:t>
            </w:r>
          </w:p>
        </w:tc>
        <w:tc>
          <w:tcPr>
            <w:tcW w:w="123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01</w:t>
            </w:r>
          </w:p>
        </w:tc>
        <w:tc>
          <w:tcPr>
            <w:tcW w:w="44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重组禽流感病毒（H5+H7）四价灭活疫苗</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123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0ml/瓶</w:t>
            </w:r>
          </w:p>
        </w:tc>
      </w:tr>
    </w:tbl>
    <w:p>
      <w:pPr>
        <w:tabs>
          <w:tab w:val="left" w:pos="312"/>
        </w:tabs>
        <w:spacing w:line="360" w:lineRule="auto"/>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注：本项目不接受进口产品投标</w:t>
      </w:r>
      <w:r>
        <w:rPr>
          <w:rFonts w:hint="eastAsia" w:ascii="宋体" w:hAnsi="宋体" w:eastAsia="宋体" w:cs="宋体"/>
          <w:color w:val="auto"/>
          <w:sz w:val="24"/>
          <w:highlight w:val="none"/>
          <w:lang w:eastAsia="zh-CN"/>
        </w:rPr>
        <w:t>，如果年内农业农村部统一要求更换毒株，则新毒株的疫苗等效</w:t>
      </w:r>
      <w:r>
        <w:rPr>
          <w:rFonts w:hint="eastAsia" w:ascii="宋体" w:hAnsi="宋体" w:eastAsia="宋体" w:cs="宋体"/>
          <w:color w:val="auto"/>
          <w:sz w:val="24"/>
          <w:highlight w:val="none"/>
        </w:rPr>
        <w:t>。</w:t>
      </w:r>
    </w:p>
    <w:p>
      <w:pPr>
        <w:numPr>
          <w:ilvl w:val="0"/>
          <w:numId w:val="1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合同履行期限：2027年4月底前完成。供应商接到供货通知2日内或按要求时限，将货物运达采购人库房并将货物卸到指定位置。</w:t>
      </w:r>
    </w:p>
    <w:p>
      <w:pPr>
        <w:numPr>
          <w:ilvl w:val="0"/>
          <w:numId w:val="1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本项目是否接受联合体投标：□是  ■否。</w:t>
      </w:r>
    </w:p>
    <w:p>
      <w:pPr>
        <w:pStyle w:val="4"/>
        <w:spacing w:before="0" w:line="360" w:lineRule="auto"/>
        <w:jc w:val="left"/>
        <w:rPr>
          <w:rFonts w:hint="eastAsia" w:ascii="宋体" w:hAnsi="宋体" w:eastAsia="宋体" w:cs="宋体"/>
          <w:color w:val="auto"/>
          <w:sz w:val="24"/>
          <w:szCs w:val="24"/>
          <w:highlight w:val="none"/>
        </w:rPr>
      </w:pPr>
      <w:bookmarkStart w:id="8" w:name="_Toc35393791"/>
      <w:bookmarkStart w:id="9" w:name="_Toc28359080"/>
      <w:bookmarkStart w:id="10" w:name="_Toc35393622"/>
      <w:bookmarkStart w:id="11" w:name="_Toc28359003"/>
      <w:r>
        <w:rPr>
          <w:rFonts w:hint="eastAsia" w:ascii="宋体" w:hAnsi="宋体" w:eastAsia="宋体" w:cs="宋体"/>
          <w:color w:val="auto"/>
          <w:sz w:val="24"/>
          <w:szCs w:val="24"/>
          <w:highlight w:val="none"/>
        </w:rPr>
        <w:t>二、申请人的资格要求（须同时满足）</w:t>
      </w:r>
      <w:bookmarkEnd w:id="8"/>
      <w:bookmarkEnd w:id="9"/>
      <w:bookmarkEnd w:id="10"/>
      <w:bookmarkEnd w:id="11"/>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spacing w:line="360" w:lineRule="auto"/>
        <w:ind w:firstLine="480" w:firstLineChars="200"/>
        <w:rPr>
          <w:rFonts w:hint="eastAsia" w:ascii="宋体" w:hAnsi="宋体" w:eastAsia="宋体" w:cs="宋体"/>
          <w:color w:val="auto"/>
          <w:sz w:val="24"/>
          <w:highlight w:val="none"/>
        </w:rPr>
      </w:pPr>
      <w:bookmarkStart w:id="12" w:name="_Toc28359004"/>
      <w:bookmarkStart w:id="13" w:name="_Toc28359081"/>
      <w:r>
        <w:rPr>
          <w:rFonts w:hint="eastAsia" w:ascii="宋体" w:hAnsi="宋体" w:eastAsia="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本项目不专门面向中小企业预留采购份额。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本项目专门面向</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中小□小微企业采购</w:t>
      </w:r>
      <w:r>
        <w:rPr>
          <w:rFonts w:hint="eastAsia" w:ascii="宋体" w:hAnsi="宋体" w:eastAsia="宋体" w:cs="宋体"/>
          <w:color w:val="auto"/>
          <w:sz w:val="24"/>
          <w:highlight w:val="none"/>
        </w:rPr>
        <w:t>。即：提供的货物全部由符合政策要求的中小企业制造。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_。</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2)未被信用中国网站（www.creditchina.gov.cn）、中国政府采购网（www.ccgp.gov.cn）列入失信被执行人、重大税收违法案件当事人名单、政府采购严重违法失信行为记录名单（处罚执行有效期失效的除外）。</w:t>
      </w:r>
    </w:p>
    <w:p>
      <w:pPr>
        <w:spacing w:line="360" w:lineRule="auto"/>
        <w:ind w:left="1080" w:leftChars="40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3）采购人在政府采购活动中根据项目类别和性质执行相应的节约能源、保护环境、扶持不发达地区和少数民族地区等政府采购政策。</w:t>
      </w:r>
    </w:p>
    <w:p>
      <w:pPr>
        <w:spacing w:line="360" w:lineRule="auto"/>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pPr>
        <w:tabs>
          <w:tab w:val="left" w:pos="900"/>
          <w:tab w:val="left" w:pos="1134"/>
          <w:tab w:val="left" w:pos="1589"/>
          <w:tab w:val="left" w:pos="5521"/>
        </w:tabs>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1）单位负责人为同一人或者存在控股、管理关系的不同单位，不得同时参加</w:t>
      </w:r>
      <w:r>
        <w:rPr>
          <w:rFonts w:hint="eastAsia" w:ascii="宋体" w:hAnsi="宋体" w:eastAsia="宋体" w:cs="宋体"/>
          <w:color w:val="auto"/>
          <w:sz w:val="24"/>
          <w:highlight w:val="none"/>
          <w:lang w:val="en-US" w:eastAsia="zh-CN"/>
        </w:rPr>
        <w:t>同一标段</w:t>
      </w:r>
      <w:r>
        <w:rPr>
          <w:rFonts w:hint="eastAsia" w:ascii="宋体" w:hAnsi="宋体" w:eastAsia="宋体" w:cs="宋体"/>
          <w:color w:val="auto"/>
          <w:sz w:val="24"/>
          <w:highlight w:val="none"/>
        </w:rPr>
        <w:t>的投标。为本项目提供整体设计、规范编制或者项目管理、监理、检测等服务的投标人，不得再参加本项目投标。</w:t>
      </w:r>
    </w:p>
    <w:p>
      <w:pPr>
        <w:spacing w:line="360" w:lineRule="auto"/>
        <w:ind w:left="1078" w:leftChars="399" w:hanging="240" w:hangingChars="100"/>
        <w:rPr>
          <w:rFonts w:hint="eastAsia" w:ascii="宋体" w:hAnsi="宋体" w:eastAsia="宋体" w:cs="宋体"/>
          <w:color w:val="auto"/>
          <w:sz w:val="24"/>
          <w:highlight w:val="none"/>
        </w:rPr>
      </w:pPr>
      <w:bookmarkStart w:id="14" w:name="_Hlk192493146"/>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①</w:t>
      </w:r>
      <w:r>
        <w:rPr>
          <w:rFonts w:hint="eastAsia" w:ascii="宋体" w:hAnsi="宋体" w:cs="宋体"/>
          <w:color w:val="auto"/>
          <w:sz w:val="24"/>
          <w:highlight w:val="none"/>
          <w:lang w:val="en-US" w:eastAsia="zh-CN"/>
        </w:rPr>
        <w:t>投标人需</w:t>
      </w:r>
      <w:r>
        <w:rPr>
          <w:rFonts w:hint="eastAsia" w:ascii="宋体" w:hAnsi="宋体" w:eastAsia="宋体" w:cs="宋体"/>
          <w:color w:val="auto"/>
          <w:sz w:val="24"/>
          <w:highlight w:val="none"/>
        </w:rPr>
        <w:t>具有农业农村部门颁发的兽药生产许可证。</w:t>
      </w:r>
    </w:p>
    <w:p>
      <w:pPr>
        <w:spacing w:line="360" w:lineRule="auto"/>
        <w:ind w:left="1077" w:leftChars="513"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②投标人须具备所投各疫苗品种(毒株)的有效兽药产品批准文号（涉及农业农村部统一变更某产品名称和毒株的，变更后的产品批准文号文件同样有效）。</w:t>
      </w:r>
    </w:p>
    <w:p>
      <w:pPr>
        <w:spacing w:line="360" w:lineRule="auto"/>
        <w:ind w:left="1048" w:leftChars="499"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③</w:t>
      </w:r>
      <w:r>
        <w:rPr>
          <w:rFonts w:hint="eastAsia" w:ascii="宋体" w:hAnsi="宋体" w:cs="宋体"/>
          <w:color w:val="auto"/>
          <w:sz w:val="24"/>
          <w:highlight w:val="none"/>
          <w:lang w:val="en-US" w:eastAsia="zh-CN"/>
        </w:rPr>
        <w:t>投标人需</w:t>
      </w:r>
      <w:r>
        <w:rPr>
          <w:rFonts w:hint="eastAsia" w:ascii="宋体" w:hAnsi="宋体" w:eastAsia="宋体" w:cs="宋体"/>
          <w:color w:val="auto"/>
          <w:sz w:val="24"/>
          <w:highlight w:val="none"/>
        </w:rPr>
        <w:t>具有农业农村部门颁发的中华人民共和国兽药GMP证书。</w:t>
      </w:r>
    </w:p>
    <w:bookmarkEnd w:id="12"/>
    <w:bookmarkEnd w:id="13"/>
    <w:bookmarkEnd w:id="14"/>
    <w:p>
      <w:pPr>
        <w:pStyle w:val="4"/>
        <w:widowControl/>
        <w:spacing w:before="0" w:line="360" w:lineRule="auto"/>
        <w:jc w:val="left"/>
        <w:rPr>
          <w:rFonts w:hint="eastAsia" w:ascii="宋体" w:hAnsi="宋体" w:eastAsia="宋体" w:cs="宋体"/>
          <w:color w:val="auto"/>
          <w:sz w:val="24"/>
          <w:szCs w:val="24"/>
          <w:highlight w:val="none"/>
        </w:rPr>
      </w:pPr>
      <w:bookmarkStart w:id="15" w:name="_Toc35393623"/>
      <w:bookmarkStart w:id="16" w:name="_Toc35393792"/>
      <w:r>
        <w:rPr>
          <w:rFonts w:hint="eastAsia" w:ascii="宋体" w:hAnsi="宋体" w:eastAsia="宋体" w:cs="宋体"/>
          <w:color w:val="auto"/>
          <w:sz w:val="24"/>
          <w:szCs w:val="24"/>
          <w:highlight w:val="none"/>
        </w:rPr>
        <w:t>三、获取招标文件</w:t>
      </w:r>
      <w:bookmarkEnd w:id="15"/>
      <w:bookmarkEnd w:id="16"/>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日8：</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0至202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16</w:t>
      </w:r>
      <w:r>
        <w:rPr>
          <w:rFonts w:hint="eastAsia" w:ascii="宋体" w:hAnsi="宋体" w:eastAsia="宋体" w:cs="宋体"/>
          <w:color w:val="auto"/>
          <w:sz w:val="24"/>
          <w:highlight w:val="none"/>
          <w:u w:val="single"/>
        </w:rPr>
        <w:t>：00_</w:t>
      </w:r>
      <w:r>
        <w:rPr>
          <w:rFonts w:hint="eastAsia" w:ascii="宋体" w:hAnsi="宋体" w:eastAsia="宋体" w:cs="宋体"/>
          <w:color w:val="auto"/>
          <w:sz w:val="24"/>
          <w:highlight w:val="none"/>
        </w:rPr>
        <w:t>（北京时间，法定节假日除外）。</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2.地点：北京市政府采购电子交易平台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3.方式：投标人持CA数字认证证书或电子营业执照登录北京市政府采购电子交易平台（http://zbcg-bjzc.zhongcy.com/bjczj-portal-site/index.htmL#/home）获取电子版招标文件。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4.售价：0元。</w:t>
      </w:r>
    </w:p>
    <w:p>
      <w:pPr>
        <w:pStyle w:val="4"/>
        <w:widowControl/>
        <w:spacing w:before="0" w:line="360" w:lineRule="auto"/>
        <w:jc w:val="left"/>
        <w:rPr>
          <w:rFonts w:hint="eastAsia" w:ascii="宋体" w:hAnsi="宋体" w:eastAsia="宋体" w:cs="宋体"/>
          <w:color w:val="auto"/>
          <w:sz w:val="24"/>
          <w:szCs w:val="24"/>
          <w:highlight w:val="none"/>
        </w:rPr>
      </w:pPr>
      <w:bookmarkStart w:id="17" w:name="_Toc28359005"/>
      <w:bookmarkStart w:id="18" w:name="_Toc28359082"/>
      <w:bookmarkStart w:id="19" w:name="_Toc35393793"/>
      <w:bookmarkStart w:id="20" w:name="_Toc35393624"/>
      <w:r>
        <w:rPr>
          <w:rFonts w:hint="eastAsia" w:ascii="宋体" w:hAnsi="宋体" w:eastAsia="宋体" w:cs="宋体"/>
          <w:color w:val="auto"/>
          <w:sz w:val="24"/>
          <w:szCs w:val="24"/>
          <w:highlight w:val="none"/>
        </w:rPr>
        <w:t>四、提交投标文件</w:t>
      </w:r>
      <w:bookmarkEnd w:id="17"/>
      <w:bookmarkEnd w:id="18"/>
      <w:r>
        <w:rPr>
          <w:rFonts w:hint="eastAsia" w:ascii="宋体" w:hAnsi="宋体" w:eastAsia="宋体" w:cs="宋体"/>
          <w:color w:val="auto"/>
          <w:sz w:val="24"/>
          <w:szCs w:val="24"/>
          <w:highlight w:val="none"/>
        </w:rPr>
        <w:t>截止时间、开标时间和地点</w:t>
      </w:r>
      <w:bookmarkEnd w:id="19"/>
      <w:bookmarkEnd w:id="20"/>
    </w:p>
    <w:p>
      <w:pPr>
        <w:spacing w:line="360" w:lineRule="auto"/>
        <w:ind w:firstLine="482" w:firstLineChars="2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投标截止时间、开标时间：</w:t>
      </w:r>
      <w:r>
        <w:rPr>
          <w:rFonts w:hint="eastAsia" w:ascii="宋体" w:hAnsi="宋体" w:eastAsia="宋体" w:cs="宋体"/>
          <w:b/>
          <w:bCs/>
          <w:color w:val="auto"/>
          <w:sz w:val="24"/>
          <w:highlight w:val="none"/>
          <w:u w:val="single"/>
        </w:rPr>
        <w:t>202</w:t>
      </w:r>
      <w:r>
        <w:rPr>
          <w:rFonts w:hint="eastAsia" w:ascii="宋体" w:hAnsi="宋体" w:eastAsia="宋体" w:cs="宋体"/>
          <w:b/>
          <w:bCs/>
          <w:color w:val="auto"/>
          <w:sz w:val="24"/>
          <w:highlight w:val="none"/>
          <w:u w:val="single"/>
          <w:lang w:val="en-US" w:eastAsia="zh-CN"/>
        </w:rPr>
        <w:t>6</w:t>
      </w:r>
      <w:r>
        <w:rPr>
          <w:rFonts w:hint="eastAsia" w:ascii="宋体" w:hAnsi="宋体" w:eastAsia="宋体" w:cs="宋体"/>
          <w:b/>
          <w:bCs/>
          <w:color w:val="auto"/>
          <w:sz w:val="24"/>
          <w:highlight w:val="none"/>
          <w:u w:val="single"/>
        </w:rPr>
        <w:t>年</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月</w:t>
      </w:r>
      <w:r>
        <w:rPr>
          <w:rFonts w:hint="eastAsia" w:ascii="宋体" w:hAnsi="宋体" w:cs="宋体"/>
          <w:b/>
          <w:bCs/>
          <w:color w:val="auto"/>
          <w:sz w:val="24"/>
          <w:highlight w:val="none"/>
          <w:u w:val="single"/>
          <w:lang w:val="en-US" w:eastAsia="zh-CN"/>
        </w:rPr>
        <w:t>7</w:t>
      </w:r>
      <w:r>
        <w:rPr>
          <w:rFonts w:hint="eastAsia" w:ascii="宋体" w:hAnsi="宋体" w:eastAsia="宋体" w:cs="宋体"/>
          <w:b/>
          <w:bCs/>
          <w:color w:val="auto"/>
          <w:sz w:val="24"/>
          <w:highlight w:val="none"/>
          <w:u w:val="single"/>
        </w:rPr>
        <w:t>日09点30分</w:t>
      </w:r>
      <w:r>
        <w:rPr>
          <w:rFonts w:hint="eastAsia" w:ascii="宋体" w:hAnsi="宋体" w:eastAsia="宋体" w:cs="宋体"/>
          <w:b/>
          <w:bCs/>
          <w:color w:val="auto"/>
          <w:sz w:val="24"/>
          <w:highlight w:val="none"/>
        </w:rPr>
        <w:t>（北京时间）</w:t>
      </w:r>
      <w:r>
        <w:rPr>
          <w:rFonts w:hint="eastAsia" w:ascii="宋体" w:hAnsi="宋体" w:eastAsia="宋体" w:cs="宋体"/>
          <w:b/>
          <w:bCs/>
          <w:iCs/>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地点：北京市政府采购电子交易平台</w:t>
      </w:r>
    </w:p>
    <w:p>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方式：供应商持CA数字认证证书或电子营业执照登录北京市政府采购电子交易平台（http://zbcg-bjzc.zhongcy.com/bjczj-portal-site/index.htmL#/home）参与电子开标。</w:t>
      </w:r>
    </w:p>
    <w:p>
      <w:pPr>
        <w:pStyle w:val="4"/>
        <w:spacing w:before="0" w:line="360" w:lineRule="auto"/>
        <w:jc w:val="left"/>
        <w:rPr>
          <w:rFonts w:hint="eastAsia" w:ascii="宋体" w:hAnsi="宋体" w:eastAsia="宋体" w:cs="宋体"/>
          <w:color w:val="auto"/>
          <w:sz w:val="24"/>
          <w:szCs w:val="24"/>
          <w:highlight w:val="none"/>
        </w:rPr>
      </w:pPr>
      <w:bookmarkStart w:id="21" w:name="_Toc35393625"/>
      <w:bookmarkStart w:id="22" w:name="_Toc28359084"/>
      <w:bookmarkStart w:id="23" w:name="_Toc28359007"/>
      <w:bookmarkStart w:id="24" w:name="_Toc35393794"/>
      <w:r>
        <w:rPr>
          <w:rFonts w:hint="eastAsia" w:ascii="宋体" w:hAnsi="宋体" w:eastAsia="宋体" w:cs="宋体"/>
          <w:color w:val="auto"/>
          <w:sz w:val="24"/>
          <w:szCs w:val="24"/>
          <w:highlight w:val="none"/>
        </w:rPr>
        <w:t>五、公告期限</w:t>
      </w:r>
      <w:bookmarkEnd w:id="21"/>
      <w:bookmarkEnd w:id="22"/>
      <w:bookmarkEnd w:id="23"/>
      <w:bookmarkEnd w:id="24"/>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pPr>
        <w:pStyle w:val="4"/>
        <w:spacing w:before="0" w:line="360" w:lineRule="auto"/>
        <w:jc w:val="left"/>
        <w:rPr>
          <w:rFonts w:hint="eastAsia" w:ascii="宋体" w:hAnsi="宋体" w:eastAsia="宋体" w:cs="宋体"/>
          <w:color w:val="auto"/>
          <w:sz w:val="24"/>
          <w:szCs w:val="24"/>
          <w:highlight w:val="none"/>
        </w:rPr>
      </w:pPr>
      <w:bookmarkStart w:id="25" w:name="_Toc35393626"/>
      <w:bookmarkStart w:id="26" w:name="_Toc35393795"/>
      <w:r>
        <w:rPr>
          <w:rFonts w:hint="eastAsia" w:ascii="宋体" w:hAnsi="宋体" w:eastAsia="宋体" w:cs="宋体"/>
          <w:color w:val="auto"/>
          <w:sz w:val="24"/>
          <w:szCs w:val="24"/>
          <w:highlight w:val="none"/>
        </w:rPr>
        <w:t>六、其他补充事宜</w:t>
      </w:r>
      <w:bookmarkEnd w:id="25"/>
      <w:bookmarkEnd w:id="26"/>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根据本项目采购内容和性质，如果需要将执行强制、优先采购节能、环境标志产品，促进中小企业发展、支持监狱企业及残疾人福利性单位发展，推广政府采购信用担保工作等政府采购政策。</w:t>
      </w:r>
    </w:p>
    <w:p>
      <w:pPr>
        <w:widowControl/>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2.本项目采用</w:t>
      </w:r>
      <w:r>
        <w:rPr>
          <w:rFonts w:hint="eastAsia" w:ascii="宋体" w:hAnsi="宋体" w:eastAsia="宋体" w:cs="宋体"/>
          <w:b/>
          <w:bCs/>
          <w:color w:val="auto"/>
          <w:sz w:val="24"/>
          <w:highlight w:val="none"/>
        </w:rPr>
        <w:t>全流程电子化采购方式</w:t>
      </w:r>
      <w:r>
        <w:rPr>
          <w:rFonts w:hint="eastAsia" w:ascii="宋体" w:hAnsi="宋体" w:eastAsia="宋体" w:cs="宋体"/>
          <w:color w:val="auto"/>
          <w:sz w:val="24"/>
          <w:highlight w:val="none"/>
        </w:rPr>
        <w:t>，请投标人认真学习北京市政府采购电子交易平台发布的相关操作手册，(投标人可在交易平台下载相关手册)，办理 CA 数字证书或电子营业执照，进行北京市政府采购电子交易平台注册绑定，并认真核实</w:t>
      </w:r>
      <w:r>
        <w:rPr>
          <w:rFonts w:hint="eastAsia" w:ascii="宋体" w:hAnsi="宋体" w:eastAsia="宋体" w:cs="宋体"/>
          <w:bCs/>
          <w:color w:val="auto"/>
          <w:sz w:val="24"/>
          <w:highlight w:val="none"/>
        </w:rPr>
        <w:t>CA 数字证书或电子营业执照情况确认是否符合本项目电子化采购流程要求。</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CA认证证书服务热线 010-58511086</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电子营业执照服务热线 400-699-7000</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技术支持服务热线    010-86483801</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3.1办理CA认证证书或电子营业执照</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投标人登录北京市政府采购电子交易平台查阅 “用户指南”—“操作指南”—“市场主体CA办理操作流程指引”/“ 电子营业执照使用指南”，按照程序要求办理。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3.2注册</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3.3驱动、客户端下载</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投标人登录北京市政府采购电子交易平台“用户指南”—“工具下载”—“招标采购系统文件驱动安装包”下载相关驱动。</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投标人登录北京市政府采购电子交易平台“用户指南”—“工具下载”—“投标文件编制工具”下载相关客户端。</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 获取电子招标文件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投标人持CA数字认证证书或电子营业执照登录北京市政府采购电子交易平台获取电子招标文件。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投标人无法提交相应包的电子投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3.5编制电子投标文件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投标人应使用电子投标客户端编制电子投标文件并进行线上投标，投标人电子投标文件需要加密并加盖电子签章</w:t>
      </w:r>
      <w:r>
        <w:rPr>
          <w:rFonts w:hint="eastAsia" w:ascii="宋体" w:hAnsi="宋体" w:eastAsia="宋体" w:cs="宋体"/>
          <w:bCs/>
          <w:color w:val="auto"/>
          <w:sz w:val="24"/>
          <w:highlight w:val="none"/>
        </w:rPr>
        <w:t>，如无法按照要求在电子投标文件中加盖电子签章和加密，请及时通过技术支持服务热线联系技术人员</w:t>
      </w:r>
      <w:r>
        <w:rPr>
          <w:rFonts w:hint="eastAsia" w:ascii="宋体" w:hAnsi="宋体" w:eastAsia="宋体" w:cs="宋体"/>
          <w:color w:val="auto"/>
          <w:sz w:val="24"/>
          <w:highlight w:val="none"/>
        </w:rPr>
        <w:t>。</w:t>
      </w:r>
    </w:p>
    <w:p>
      <w:pPr>
        <w:widowControl/>
        <w:spacing w:line="360" w:lineRule="auto"/>
        <w:ind w:firstLine="480" w:firstLineChars="200"/>
        <w:jc w:val="left"/>
        <w:rPr>
          <w:rFonts w:hint="eastAsia" w:ascii="宋体" w:hAnsi="宋体" w:eastAsia="宋体" w:cs="宋体"/>
          <w:color w:val="auto"/>
          <w:sz w:val="24"/>
          <w:highlight w:val="none"/>
          <w:lang w:val="zh-TW"/>
        </w:rPr>
      </w:pPr>
      <w:r>
        <w:rPr>
          <w:rFonts w:hint="eastAsia" w:ascii="宋体" w:hAnsi="宋体" w:eastAsia="宋体" w:cs="宋体"/>
          <w:color w:val="auto"/>
          <w:sz w:val="24"/>
          <w:highlight w:val="none"/>
          <w:lang w:val="zh-TW" w:eastAsia="zh-TW"/>
        </w:rPr>
        <w:t>3.6</w:t>
      </w:r>
      <w:r>
        <w:rPr>
          <w:rFonts w:hint="eastAsia" w:ascii="宋体" w:hAnsi="宋体" w:eastAsia="宋体" w:cs="宋体"/>
          <w:color w:val="auto"/>
          <w:sz w:val="24"/>
          <w:highlight w:val="none"/>
          <w:lang w:val="zh-TW"/>
        </w:rPr>
        <w:t>提交电子投标文件</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投标人应于</w:t>
      </w:r>
      <w:r>
        <w:rPr>
          <w:rFonts w:hint="eastAsia" w:ascii="宋体" w:hAnsi="宋体" w:eastAsia="宋体" w:cs="宋体"/>
          <w:b/>
          <w:bCs/>
          <w:color w:val="auto"/>
          <w:sz w:val="24"/>
          <w:highlight w:val="none"/>
        </w:rPr>
        <w:t>投标截止时间前</w:t>
      </w:r>
      <w:r>
        <w:rPr>
          <w:rFonts w:hint="eastAsia" w:ascii="宋体" w:hAnsi="宋体" w:eastAsia="宋体" w:cs="宋体"/>
          <w:color w:val="auto"/>
          <w:sz w:val="24"/>
          <w:highlight w:val="none"/>
        </w:rPr>
        <w:t>在北京市政府采购电子交易平台提交电子投标文件，上传电子投标文件过程中请保持与互联网的连接畅通。</w:t>
      </w:r>
    </w:p>
    <w:p>
      <w:pPr>
        <w:widowControl/>
        <w:spacing w:line="360" w:lineRule="auto"/>
        <w:ind w:firstLine="482" w:firstLineChars="200"/>
        <w:jc w:val="left"/>
        <w:rPr>
          <w:rFonts w:hint="eastAsia" w:ascii="宋体" w:hAnsi="宋体" w:eastAsia="宋体" w:cs="宋体"/>
          <w:b/>
          <w:color w:val="auto"/>
          <w:sz w:val="24"/>
          <w:highlight w:val="none"/>
          <w:lang w:eastAsia="zh-TW"/>
        </w:rPr>
      </w:pPr>
      <w:r>
        <w:rPr>
          <w:rFonts w:hint="eastAsia" w:ascii="宋体" w:hAnsi="宋体" w:eastAsia="宋体" w:cs="宋体"/>
          <w:b/>
          <w:color w:val="auto"/>
          <w:sz w:val="24"/>
          <w:highlight w:val="none"/>
          <w:lang w:val="zh-TW"/>
        </w:rPr>
        <w:t>3.</w:t>
      </w:r>
      <w:r>
        <w:rPr>
          <w:rFonts w:hint="eastAsia" w:ascii="宋体" w:hAnsi="宋体" w:eastAsia="宋体" w:cs="宋体"/>
          <w:b/>
          <w:color w:val="auto"/>
          <w:sz w:val="24"/>
          <w:highlight w:val="none"/>
          <w:lang w:val="zh-TW" w:eastAsia="zh-TW"/>
        </w:rPr>
        <w:t>7</w:t>
      </w:r>
      <w:r>
        <w:rPr>
          <w:rFonts w:hint="eastAsia" w:ascii="宋体" w:hAnsi="宋体" w:eastAsia="宋体" w:cs="宋体"/>
          <w:b/>
          <w:color w:val="auto"/>
          <w:sz w:val="24"/>
          <w:highlight w:val="none"/>
          <w:lang w:val="zh-TW"/>
        </w:rPr>
        <w:t>电子开标</w:t>
      </w:r>
    </w:p>
    <w:p>
      <w:pPr>
        <w:widowControl/>
        <w:adjustRightInd w:val="0"/>
        <w:snapToGrid w:val="0"/>
        <w:spacing w:line="360" w:lineRule="auto"/>
        <w:ind w:firstLine="482" w:firstLineChars="200"/>
        <w:jc w:val="left"/>
        <w:rPr>
          <w:rFonts w:hint="eastAsia" w:ascii="宋体" w:hAnsi="宋体" w:eastAsia="宋体" w:cs="宋体"/>
          <w:b/>
          <w:bCs/>
          <w:color w:val="auto"/>
          <w:sz w:val="24"/>
          <w:highlight w:val="none"/>
          <w:lang w:val="zh-TW" w:eastAsia="zh-TW" w:bidi="ar"/>
        </w:rPr>
      </w:pPr>
      <w:r>
        <w:rPr>
          <w:rFonts w:hint="eastAsia" w:ascii="宋体" w:hAnsi="宋体" w:eastAsia="宋体" w:cs="宋体"/>
          <w:b/>
          <w:bCs/>
          <w:color w:val="auto"/>
          <w:sz w:val="24"/>
          <w:highlight w:val="none"/>
          <w:lang w:val="zh-TW" w:eastAsia="zh-TW" w:bidi="ar"/>
        </w:rPr>
        <w:t>3.7.1</w:t>
      </w:r>
      <w:r>
        <w:rPr>
          <w:rFonts w:hint="eastAsia" w:ascii="宋体" w:hAnsi="宋体" w:eastAsia="宋体" w:cs="宋体"/>
          <w:b/>
          <w:bCs/>
          <w:color w:val="auto"/>
          <w:sz w:val="24"/>
          <w:highlight w:val="none"/>
          <w:lang w:val="zh-TW" w:bidi="ar"/>
        </w:rPr>
        <w:t>投标人可以远程使用</w:t>
      </w:r>
      <w:r>
        <w:rPr>
          <w:rFonts w:hint="eastAsia" w:ascii="宋体" w:hAnsi="宋体" w:eastAsia="宋体" w:cs="宋体"/>
          <w:b/>
          <w:bCs/>
          <w:color w:val="auto"/>
          <w:sz w:val="24"/>
          <w:highlight w:val="none"/>
          <w:lang w:val="zh-TW" w:eastAsia="zh-TW" w:bidi="ar"/>
        </w:rPr>
        <w:t>CA</w:t>
      </w:r>
      <w:r>
        <w:rPr>
          <w:rFonts w:hint="eastAsia" w:ascii="宋体" w:hAnsi="宋体" w:eastAsia="宋体" w:cs="宋体"/>
          <w:b/>
          <w:bCs/>
          <w:color w:val="auto"/>
          <w:sz w:val="24"/>
          <w:highlight w:val="none"/>
          <w:lang w:val="zh-TW" w:bidi="ar"/>
        </w:rPr>
        <w:t>认证证书或电子营业执照登录北京市政府采购电子交易平台进行电子开标，按照流程完成签到、解密、开标确认等步骤。</w:t>
      </w:r>
    </w:p>
    <w:p>
      <w:pPr>
        <w:widowControl/>
        <w:adjustRightInd w:val="0"/>
        <w:snapToGrid w:val="0"/>
        <w:spacing w:line="360" w:lineRule="auto"/>
        <w:ind w:firstLine="482" w:firstLineChars="200"/>
        <w:jc w:val="left"/>
        <w:rPr>
          <w:rFonts w:hint="eastAsia" w:ascii="宋体" w:hAnsi="宋体" w:eastAsia="宋体" w:cs="宋体"/>
          <w:b/>
          <w:bCs/>
          <w:color w:val="auto"/>
          <w:sz w:val="24"/>
          <w:highlight w:val="none"/>
          <w:lang w:val="zh-TW" w:bidi="ar"/>
        </w:rPr>
      </w:pPr>
      <w:r>
        <w:rPr>
          <w:rFonts w:hint="eastAsia" w:ascii="宋体" w:hAnsi="宋体" w:eastAsia="宋体" w:cs="宋体"/>
          <w:b/>
          <w:bCs/>
          <w:color w:val="auto"/>
          <w:sz w:val="24"/>
          <w:highlight w:val="none"/>
          <w:lang w:val="zh-TW" w:bidi="ar"/>
        </w:rPr>
        <w:t>3</w:t>
      </w:r>
      <w:r>
        <w:rPr>
          <w:rFonts w:hint="eastAsia" w:ascii="宋体" w:hAnsi="宋体" w:eastAsia="宋体" w:cs="宋体"/>
          <w:b/>
          <w:bCs/>
          <w:color w:val="auto"/>
          <w:sz w:val="24"/>
          <w:highlight w:val="none"/>
          <w:lang w:val="zh-TW" w:eastAsia="zh-TW" w:bidi="ar"/>
        </w:rPr>
        <w:t>.7.2</w:t>
      </w:r>
      <w:r>
        <w:rPr>
          <w:rFonts w:hint="eastAsia" w:ascii="宋体" w:hAnsi="宋体" w:eastAsia="宋体" w:cs="宋体"/>
          <w:b/>
          <w:bCs/>
          <w:color w:val="auto"/>
          <w:sz w:val="24"/>
          <w:highlight w:val="none"/>
          <w:lang w:val="zh-TW" w:bidi="ar"/>
        </w:rPr>
        <w:t>投标人也可以在投标递交截止时间前携带加密锁（解密符）、笔记本电脑等前往现场（北京市海淀区成府路270号中科科仪院内6号楼3层多功能会议室）进行电子开标。</w:t>
      </w:r>
    </w:p>
    <w:p>
      <w:pPr>
        <w:pStyle w:val="4"/>
        <w:spacing w:before="0" w:line="360" w:lineRule="auto"/>
        <w:jc w:val="left"/>
        <w:rPr>
          <w:rFonts w:hint="eastAsia" w:ascii="宋体" w:hAnsi="宋体" w:eastAsia="宋体" w:cs="宋体"/>
          <w:color w:val="auto"/>
          <w:sz w:val="24"/>
          <w:szCs w:val="24"/>
          <w:highlight w:val="none"/>
        </w:rPr>
      </w:pPr>
      <w:bookmarkStart w:id="27" w:name="_Toc35393627"/>
      <w:bookmarkStart w:id="28" w:name="_Toc28359085"/>
      <w:bookmarkStart w:id="29" w:name="_Toc28359008"/>
      <w:bookmarkStart w:id="30" w:name="_Toc35393796"/>
      <w:r>
        <w:rPr>
          <w:rFonts w:hint="eastAsia" w:ascii="宋体" w:hAnsi="宋体" w:eastAsia="宋体" w:cs="宋体"/>
          <w:color w:val="auto"/>
          <w:sz w:val="24"/>
          <w:szCs w:val="24"/>
          <w:highlight w:val="none"/>
        </w:rPr>
        <w:t>七、对本次招标提出询问，请按以下方式联系。</w:t>
      </w:r>
      <w:bookmarkEnd w:id="27"/>
      <w:bookmarkEnd w:id="28"/>
      <w:bookmarkEnd w:id="29"/>
      <w:bookmarkEnd w:id="30"/>
    </w:p>
    <w:p>
      <w:pPr>
        <w:widowControl/>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pPr>
        <w:spacing w:line="360" w:lineRule="auto"/>
        <w:ind w:left="1079" w:leftChars="371" w:hanging="300" w:hangingChars="125"/>
        <w:jc w:val="left"/>
        <w:rPr>
          <w:rFonts w:hint="eastAsia" w:ascii="宋体" w:hAnsi="宋体" w:eastAsia="宋体" w:cs="宋体"/>
          <w:color w:val="auto"/>
          <w:sz w:val="24"/>
          <w:highlight w:val="none"/>
        </w:rPr>
      </w:pPr>
      <w:bookmarkStart w:id="31" w:name="_Hlk192493199"/>
      <w:bookmarkStart w:id="32" w:name="_Toc28359009"/>
      <w:bookmarkStart w:id="33" w:name="_Toc28359086"/>
      <w:r>
        <w:rPr>
          <w:rFonts w:hint="eastAsia" w:ascii="宋体" w:hAnsi="宋体" w:eastAsia="宋体" w:cs="宋体"/>
          <w:color w:val="auto"/>
          <w:sz w:val="24"/>
          <w:highlight w:val="none"/>
        </w:rPr>
        <w:t>名    称：</w:t>
      </w:r>
      <w:bookmarkStart w:id="34" w:name="OLE_LINK56"/>
      <w:r>
        <w:rPr>
          <w:rFonts w:hint="eastAsia" w:ascii="宋体" w:hAnsi="宋体" w:eastAsia="宋体" w:cs="宋体"/>
          <w:color w:val="auto"/>
          <w:sz w:val="24"/>
          <w:highlight w:val="none"/>
          <w:u w:val="single"/>
        </w:rPr>
        <w:t>北京市动物疫病预防控制中心</w:t>
      </w:r>
      <w:bookmarkEnd w:id="34"/>
      <w:r>
        <w:rPr>
          <w:rFonts w:hint="eastAsia" w:ascii="宋体" w:hAnsi="宋体" w:eastAsia="宋体" w:cs="宋体"/>
          <w:color w:val="auto"/>
          <w:sz w:val="24"/>
          <w:highlight w:val="none"/>
          <w:u w:val="single"/>
        </w:rPr>
        <w:t xml:space="preserve">  _</w:t>
      </w:r>
    </w:p>
    <w:p>
      <w:pPr>
        <w:spacing w:line="360" w:lineRule="auto"/>
        <w:ind w:left="1079" w:leftChars="371" w:hanging="300" w:hangingChars="1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bookmarkStart w:id="35" w:name="OLE_LINK5"/>
      <w:r>
        <w:rPr>
          <w:rFonts w:hint="eastAsia" w:ascii="宋体" w:hAnsi="宋体" w:eastAsia="宋体" w:cs="宋体"/>
          <w:color w:val="auto"/>
          <w:sz w:val="24"/>
          <w:highlight w:val="none"/>
          <w:u w:val="single"/>
        </w:rPr>
        <w:t>北京市大兴区祥瑞大街19号</w:t>
      </w:r>
      <w:bookmarkEnd w:id="35"/>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bookmarkEnd w:id="31"/>
      <w:r>
        <w:rPr>
          <w:rFonts w:hint="eastAsia" w:ascii="宋体" w:hAnsi="宋体" w:eastAsia="宋体" w:cs="宋体"/>
          <w:color w:val="auto"/>
          <w:sz w:val="24"/>
          <w:highlight w:val="none"/>
          <w:u w:val="single"/>
        </w:rPr>
        <w:t>010-60275513</w:t>
      </w:r>
    </w:p>
    <w:p>
      <w:pPr>
        <w:spacing w:line="360" w:lineRule="auto"/>
        <w:ind w:left="1080" w:leftChars="371" w:hanging="301" w:hangingChars="12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32"/>
      <w:bookmarkEnd w:id="33"/>
    </w:p>
    <w:p>
      <w:pPr>
        <w:spacing w:line="360" w:lineRule="auto"/>
        <w:ind w:left="1079" w:leftChars="371" w:hanging="300" w:hangingChars="125"/>
        <w:jc w:val="left"/>
        <w:rPr>
          <w:rFonts w:hint="eastAsia" w:ascii="宋体" w:hAnsi="宋体" w:eastAsia="宋体" w:cs="宋体"/>
          <w:color w:val="auto"/>
          <w:sz w:val="24"/>
          <w:highlight w:val="none"/>
        </w:rPr>
      </w:pPr>
      <w:bookmarkStart w:id="36" w:name="_Toc28359010"/>
      <w:bookmarkStart w:id="37" w:name="_Toc28359087"/>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北京国泰建中管理咨询有限公司__</w:t>
      </w:r>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bookmarkStart w:id="38" w:name="OLE_LINK4"/>
      <w:r>
        <w:rPr>
          <w:rFonts w:hint="eastAsia" w:ascii="宋体" w:hAnsi="宋体" w:eastAsia="宋体" w:cs="宋体"/>
          <w:color w:val="auto"/>
          <w:sz w:val="24"/>
          <w:highlight w:val="none"/>
          <w:u w:val="single"/>
        </w:rPr>
        <w:t>北京市海淀区成府路270号中科科仪院内6号楼3层</w:t>
      </w:r>
      <w:bookmarkEnd w:id="38"/>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bookmarkStart w:id="39" w:name="OLE_LINK7"/>
      <w:bookmarkStart w:id="40" w:name="OLE_LINK6"/>
      <w:r>
        <w:rPr>
          <w:rFonts w:hint="eastAsia" w:ascii="宋体" w:hAnsi="宋体" w:eastAsia="宋体" w:cs="宋体"/>
          <w:color w:val="auto"/>
          <w:sz w:val="24"/>
          <w:highlight w:val="none"/>
          <w:u w:val="single"/>
        </w:rPr>
        <w:t>010-68001293/68001559</w:t>
      </w:r>
      <w:bookmarkEnd w:id="39"/>
      <w:r>
        <w:rPr>
          <w:rFonts w:hint="eastAsia" w:ascii="宋体" w:hAnsi="宋体" w:eastAsia="宋体" w:cs="宋体"/>
          <w:color w:val="auto"/>
          <w:sz w:val="24"/>
          <w:highlight w:val="none"/>
          <w:u w:val="single"/>
        </w:rPr>
        <w:t xml:space="preserve"> </w:t>
      </w:r>
      <w:bookmarkEnd w:id="40"/>
    </w:p>
    <w:p>
      <w:pPr>
        <w:spacing w:line="360" w:lineRule="auto"/>
        <w:ind w:firstLine="723" w:firstLineChars="3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6"/>
      <w:bookmarkEnd w:id="37"/>
    </w:p>
    <w:p>
      <w:pPr>
        <w:pStyle w:val="23"/>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highlight w:val="none"/>
          <w:u w:val="single"/>
        </w:rPr>
        <w:t>于元惠、张敏、杜子一、张伟</w:t>
      </w:r>
    </w:p>
    <w:p>
      <w:pPr>
        <w:pStyle w:val="23"/>
        <w:spacing w:line="360" w:lineRule="auto"/>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010-68001293/68001559 </w:t>
      </w:r>
    </w:p>
    <w:p>
      <w:pPr>
        <w:pStyle w:val="23"/>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bookmarkStart w:id="41" w:name="_Toc127161488"/>
      <w:bookmarkStart w:id="42" w:name="_Toc305158854"/>
      <w:bookmarkStart w:id="43" w:name="_Toc265228423"/>
      <w:bookmarkStart w:id="44" w:name="_Toc305158928"/>
      <w:bookmarkStart w:id="45" w:name="_Toc264969275"/>
      <w:bookmarkStart w:id="46" w:name="_Toc226965856"/>
      <w:bookmarkStart w:id="47" w:name="_Toc353825548"/>
      <w:bookmarkStart w:id="48" w:name="_Toc150774783"/>
      <w:bookmarkStart w:id="49" w:name="_Toc192872476"/>
      <w:bookmarkStart w:id="50" w:name="_Toc195842950"/>
      <w:bookmarkStart w:id="51" w:name="_Toc353873938"/>
      <w:bookmarkStart w:id="52" w:name="_Toc127151777"/>
      <w:bookmarkStart w:id="53" w:name="_Toc512937850"/>
      <w:r>
        <w:rPr>
          <w:rFonts w:hint="eastAsia" w:ascii="宋体" w:hAnsi="宋体" w:eastAsia="宋体" w:cs="宋体"/>
          <w:b/>
          <w:color w:val="auto"/>
          <w:sz w:val="36"/>
          <w:szCs w:val="36"/>
          <w:highlight w:val="none"/>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4"/>
        <w:tabs>
          <w:tab w:val="center" w:pos="4592"/>
          <w:tab w:val="left" w:pos="7860"/>
        </w:tabs>
        <w:spacing w:before="0" w:line="360" w:lineRule="auto"/>
        <w:rPr>
          <w:rFonts w:hint="eastAsia" w:ascii="宋体" w:hAnsi="宋体" w:eastAsia="宋体" w:cs="宋体"/>
          <w:color w:val="auto"/>
          <w:sz w:val="28"/>
          <w:highlight w:val="none"/>
        </w:rPr>
      </w:pPr>
      <w:bookmarkStart w:id="54" w:name="_Toc151193689"/>
      <w:bookmarkStart w:id="55" w:name="_Toc127151720"/>
      <w:bookmarkStart w:id="56" w:name="_Toc127151519"/>
      <w:bookmarkStart w:id="57" w:name="_Toc150480757"/>
      <w:bookmarkStart w:id="58" w:name="_Toc164229214"/>
      <w:bookmarkStart w:id="59" w:name="_Toc195842884"/>
      <w:bookmarkStart w:id="60" w:name="_Toc226309763"/>
      <w:bookmarkStart w:id="61" w:name="_Toc150774724"/>
      <w:bookmarkStart w:id="62" w:name="_Toc226337215"/>
      <w:bookmarkStart w:id="63" w:name="_Toc151190146"/>
      <w:bookmarkStart w:id="64" w:name="_Toc226965709"/>
      <w:bookmarkStart w:id="65" w:name="_Toc149720812"/>
      <w:bookmarkStart w:id="66" w:name="_Toc164608788"/>
      <w:bookmarkStart w:id="67" w:name="_Toc150774619"/>
      <w:bookmarkStart w:id="68" w:name="_Toc127161433"/>
      <w:bookmarkStart w:id="69" w:name="_Toc520356144"/>
      <w:bookmarkStart w:id="70" w:name="_Toc151193617"/>
      <w:bookmarkStart w:id="71" w:name="_Toc164229360"/>
      <w:bookmarkStart w:id="72" w:name="_Toc150509270"/>
      <w:bookmarkStart w:id="73" w:name="_Toc151193907"/>
      <w:bookmarkStart w:id="74" w:name="_Toc151193761"/>
      <w:bookmarkStart w:id="75" w:name="_Toc151193833"/>
      <w:bookmarkStart w:id="76" w:name="_Toc142311021"/>
      <w:bookmarkStart w:id="77" w:name="_Toc164608633"/>
      <w:bookmarkStart w:id="78" w:name="_Toc226965792"/>
      <w:bookmarkStart w:id="79" w:name="_Toc164351613"/>
      <w:r>
        <w:rPr>
          <w:rFonts w:hint="eastAsia" w:ascii="宋体" w:hAnsi="宋体" w:eastAsia="宋体" w:cs="宋体"/>
          <w:color w:val="auto"/>
          <w:sz w:val="28"/>
          <w:highlight w:val="none"/>
        </w:rPr>
        <w:t>投标人须知资料表</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本表是对投标人须知的具体补充和修改，如有矛盾，均以本资料表为准。标记“</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”的选项意为适用于本项目，标记“□”的选项意为不适用于本项目。</w:t>
      </w:r>
    </w:p>
    <w:tbl>
      <w:tblPr>
        <w:tblStyle w:val="4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12"/>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blHeader/>
          <w:jc w:val="center"/>
        </w:trPr>
        <w:tc>
          <w:tcPr>
            <w:tcW w:w="1035"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条目</w:t>
            </w:r>
          </w:p>
        </w:tc>
        <w:tc>
          <w:tcPr>
            <w:tcW w:w="6609"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科研仪器设备</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是否属于科研仪器设备采购项目：</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w:t>
            </w:r>
          </w:p>
        </w:tc>
        <w:tc>
          <w:tcPr>
            <w:tcW w:w="6609" w:type="dxa"/>
            <w:vAlign w:val="center"/>
          </w:tcPr>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关于核心产品本项目不适用。</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szCs w:val="24"/>
                <w:highlight w:val="none"/>
              </w:rPr>
              <w:t>本项目本包次为单一产品采购项目。</w:t>
            </w:r>
          </w:p>
          <w:p>
            <w:pPr>
              <w:adjustRightInd w:val="0"/>
              <w:snapToGrid w:val="0"/>
              <w:spacing w:after="0" w:line="360" w:lineRule="auto"/>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□本包次为非单一产品采购项目，</w:t>
            </w:r>
            <w:r>
              <w:rPr>
                <w:rFonts w:hint="eastAsia" w:ascii="宋体" w:hAnsi="宋体" w:eastAsia="宋体" w:cs="宋体"/>
                <w:b/>
                <w:bCs/>
                <w:color w:val="auto"/>
                <w:sz w:val="24"/>
                <w:highlight w:val="none"/>
              </w:rPr>
              <w:t>核心产品为：</w:t>
            </w:r>
            <w:r>
              <w:rPr>
                <w:rFonts w:hint="eastAsia" w:ascii="宋体" w:hAnsi="宋体" w:eastAsia="宋体" w:cs="宋体"/>
                <w:b/>
                <w:bCs/>
                <w:color w:val="auto"/>
                <w:sz w:val="24"/>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Merge w:val="restart"/>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660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不组织</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□组织，考察时间：__年_月_日_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pPr>
              <w:pStyle w:val="23"/>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35" w:type="dxa"/>
            <w:vMerge w:val="continue"/>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开标前答疑会</w:t>
            </w:r>
          </w:p>
        </w:tc>
        <w:tc>
          <w:tcPr>
            <w:tcW w:w="660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不召开</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□召开，召开时间：__年_月_日_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tc>
        <w:tc>
          <w:tcPr>
            <w:tcW w:w="660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投标样品递交：</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标的所属行业</w:t>
            </w:r>
          </w:p>
        </w:tc>
        <w:tc>
          <w:tcPr>
            <w:tcW w:w="660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本项目采购标的对应的中小企业划分标准所属行业：</w:t>
            </w:r>
          </w:p>
          <w:tbl>
            <w:tblPr>
              <w:tblStyle w:val="47"/>
              <w:tblW w:w="6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3969"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标的名称</w:t>
                  </w:r>
                </w:p>
              </w:tc>
              <w:tc>
                <w:tcPr>
                  <w:tcW w:w="2442"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69"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重组禽流感病毒（H5+H7）四价灭活疫苗</w:t>
                  </w:r>
                </w:p>
              </w:tc>
              <w:tc>
                <w:tcPr>
                  <w:tcW w:w="2442"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工业（制造业）</w:t>
                  </w:r>
                </w:p>
              </w:tc>
            </w:tr>
          </w:tbl>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512" w:type="dxa"/>
            <w:vMerge w:val="restart"/>
            <w:vAlign w:val="center"/>
          </w:tcPr>
          <w:p>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投标保证金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本项目不收取保证金）</w:t>
            </w:r>
          </w:p>
        </w:tc>
        <w:tc>
          <w:tcPr>
            <w:tcW w:w="6609" w:type="dxa"/>
            <w:vAlign w:val="center"/>
          </w:tcPr>
          <w:p>
            <w:pPr>
              <w:pStyle w:val="23"/>
              <w:adjustRightInd w:val="0"/>
              <w:snapToGrid w:val="0"/>
              <w:spacing w:after="0" w:line="360" w:lineRule="auto"/>
              <w:rPr>
                <w:rFonts w:hAnsi="宋体"/>
                <w:b/>
                <w:bCs/>
                <w:color w:val="auto"/>
                <w:sz w:val="24"/>
                <w:highlight w:val="none"/>
                <w:u w:val="single"/>
              </w:rPr>
            </w:pPr>
            <w:r>
              <w:rPr>
                <w:rFonts w:hint="default" w:hAnsi="宋体"/>
                <w:b/>
                <w:bCs/>
                <w:color w:val="auto"/>
                <w:sz w:val="24"/>
                <w:szCs w:val="24"/>
                <w:highlight w:val="none"/>
              </w:rPr>
              <w:t>投标保证金金额：</w:t>
            </w:r>
            <w:r>
              <w:rPr>
                <w:rFonts w:hint="eastAsia" w:hAnsi="宋体"/>
                <w:b/>
                <w:bCs/>
                <w:color w:val="auto"/>
                <w:sz w:val="24"/>
                <w:highlight w:val="none"/>
                <w:u w:val="single"/>
                <w:lang w:val="en-US" w:eastAsia="zh-CN"/>
              </w:rPr>
              <w:t>/</w:t>
            </w:r>
            <w:r>
              <w:rPr>
                <w:rFonts w:hAnsi="宋体"/>
                <w:b/>
                <w:bCs/>
                <w:color w:val="auto"/>
                <w:sz w:val="24"/>
                <w:highlight w:val="none"/>
                <w:u w:val="single"/>
              </w:rPr>
              <w:t xml:space="preserve"> 元</w:t>
            </w:r>
          </w:p>
          <w:p>
            <w:pPr>
              <w:topLinePunct/>
              <w:spacing w:after="0" w:line="400" w:lineRule="exact"/>
              <w:ind w:right="207"/>
              <w:jc w:val="left"/>
              <w:rPr>
                <w:rFonts w:hint="eastAsia" w:ascii="宋体" w:hAnsi="宋体"/>
                <w:color w:val="auto"/>
                <w:sz w:val="24"/>
                <w:highlight w:val="none"/>
              </w:rPr>
            </w:pPr>
            <w:r>
              <w:rPr>
                <w:rFonts w:ascii="宋体" w:hAnsi="宋体"/>
                <w:color w:val="auto"/>
                <w:sz w:val="24"/>
                <w:highlight w:val="none"/>
              </w:rPr>
              <w:t>投标保证金收受人信息：</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招标代理机构银行账户信息：</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开户名（全称）：北京国泰建中管理咨询有限公司</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开 户  银 行 ：招商银行股份有限公司北京分行甘家口支行</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cs="宋体"/>
                <w:color w:val="auto"/>
                <w:sz w:val="24"/>
                <w:highlight w:val="none"/>
              </w:rPr>
              <w:t>账        号 ：531902429310101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12.7.2</w:t>
            </w:r>
          </w:p>
        </w:tc>
        <w:tc>
          <w:tcPr>
            <w:tcW w:w="1512" w:type="dxa"/>
            <w:vMerge w:val="continue"/>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6609" w:type="dxa"/>
            <w:vAlign w:val="center"/>
          </w:tcPr>
          <w:p>
            <w:pPr>
              <w:adjustRightInd w:val="0"/>
              <w:snapToGrid w:val="0"/>
              <w:spacing w:after="0"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投标保证金可以不予退还的其他情形：</w:t>
            </w:r>
          </w:p>
          <w:p>
            <w:pPr>
              <w:adjustRightInd w:val="0"/>
              <w:snapToGrid w:val="0"/>
              <w:spacing w:after="0"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■有，具体情形：</w:t>
            </w:r>
            <w:r>
              <w:rPr>
                <w:rFonts w:hint="eastAsia" w:ascii="宋体" w:hAnsi="宋体" w:eastAsia="宋体" w:cs="宋体"/>
                <w:color w:val="auto"/>
                <w:sz w:val="24"/>
                <w:szCs w:val="24"/>
                <w:highlight w:val="none"/>
                <w:u w:val="single"/>
              </w:rPr>
              <w:t xml:space="preserve"> 详见投标人须知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自提交投标文件的截止之日起算</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15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解密时间</w:t>
            </w:r>
          </w:p>
        </w:tc>
        <w:tc>
          <w:tcPr>
            <w:tcW w:w="6609" w:type="dxa"/>
            <w:vAlign w:val="center"/>
          </w:tcPr>
          <w:p>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解密时间：</w:t>
            </w:r>
            <w:r>
              <w:rPr>
                <w:rFonts w:hint="eastAsia" w:ascii="宋体" w:hAnsi="宋体" w:eastAsia="宋体" w:cs="宋体"/>
                <w:color w:val="auto"/>
                <w:sz w:val="24"/>
                <w:highlight w:val="none"/>
                <w:lang w:val="en-US" w:eastAsia="zh-CN"/>
              </w:rPr>
              <w:t>不少于</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分钟</w:t>
            </w:r>
            <w:r>
              <w:rPr>
                <w:rFonts w:hint="eastAsia" w:ascii="宋体" w:hAnsi="宋体" w:eastAsia="宋体" w:cs="宋体"/>
                <w:i/>
                <w:iCs/>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512" w:type="dxa"/>
            <w:vAlign w:val="center"/>
          </w:tcPr>
          <w:p>
            <w:pPr>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确定中标人</w:t>
            </w:r>
          </w:p>
        </w:tc>
        <w:tc>
          <w:tcPr>
            <w:tcW w:w="6609" w:type="dxa"/>
            <w:vAlign w:val="center"/>
          </w:tcPr>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中标候选人并列的，采购人是否委托评标委员会确定中标人：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p>
            <w:pPr>
              <w:pStyle w:val="23"/>
              <w:adjustRightInd w:val="0"/>
              <w:snapToGrid w:val="0"/>
              <w:spacing w:after="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中标候选人并列的，按照以下方式确定中标人：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■得分且投标报价均相同的，以</w:t>
            </w:r>
            <w:r>
              <w:rPr>
                <w:rFonts w:hint="eastAsia" w:ascii="宋体" w:hAnsi="宋体" w:eastAsia="宋体" w:cs="宋体"/>
                <w:color w:val="auto"/>
                <w:sz w:val="24"/>
                <w:highlight w:val="none"/>
                <w:u w:val="single"/>
              </w:rPr>
              <w:t xml:space="preserve"> 评审因素的量化指标评审 </w:t>
            </w:r>
            <w:r>
              <w:rPr>
                <w:rFonts w:hint="eastAsia" w:ascii="宋体" w:hAnsi="宋体" w:eastAsia="宋体" w:cs="宋体"/>
                <w:color w:val="auto"/>
                <w:sz w:val="24"/>
                <w:highlight w:val="none"/>
              </w:rPr>
              <w:t>得分高者为中标人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25.5</w:t>
            </w:r>
          </w:p>
        </w:tc>
        <w:tc>
          <w:tcPr>
            <w:tcW w:w="1512" w:type="dxa"/>
            <w:vAlign w:val="center"/>
          </w:tcPr>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分包</w:t>
            </w:r>
          </w:p>
        </w:tc>
        <w:tc>
          <w:tcPr>
            <w:tcW w:w="6609" w:type="dxa"/>
            <w:vAlign w:val="center"/>
          </w:tcPr>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本项目的非主体、非关键性工作是否允许分包： </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■不允许</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□允许，具体要求：</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（1）可以分包履行的具体内容：</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（2）允许分包的金额或者比例：</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p>
          <w:p>
            <w:pPr>
              <w:spacing w:after="0" w:line="360" w:lineRule="auto"/>
              <w:jc w:val="left"/>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rPr>
              <w:t>（3）其他要求：</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询问送达形式：</w:t>
            </w:r>
            <w:r>
              <w:rPr>
                <w:rFonts w:hint="eastAsia" w:ascii="宋体" w:hAnsi="宋体" w:eastAsia="宋体" w:cs="宋体"/>
                <w:color w:val="auto"/>
                <w:sz w:val="24"/>
                <w:highlight w:val="none"/>
                <w:u w:val="single"/>
              </w:rPr>
              <w:t>Word版、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"mailto:盖章后电子版均需发电子邮箱至bjgtjz@126.com/"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sz w:val="24"/>
                <w:highlight w:val="none"/>
              </w:rPr>
              <w:t>盖章后电子版均需发电子邮箱至bjgtjz@126.com/</w:t>
            </w:r>
            <w:r>
              <w:rPr>
                <w:rStyle w:val="55"/>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u w:val="single"/>
              </w:rPr>
              <w:t>盖章后的纸质版原件快递至北京市海淀区成府路270号中科科仪6号楼3层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接收询问和质疑的联系方式</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联系部门：</w:t>
            </w:r>
            <w:r>
              <w:rPr>
                <w:rFonts w:hint="eastAsia" w:ascii="宋体" w:hAnsi="宋体" w:eastAsia="宋体" w:cs="宋体"/>
                <w:color w:val="auto"/>
                <w:sz w:val="24"/>
                <w:highlight w:val="none"/>
                <w:u w:val="single"/>
              </w:rPr>
              <w:t xml:space="preserve"> 招标部 </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010-68001293  </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北京市海淀区成府路270号中科科仪院内6号楼3层</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8"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tc>
        <w:tc>
          <w:tcPr>
            <w:tcW w:w="66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收费标准：</w:t>
            </w:r>
            <w:r>
              <w:rPr>
                <w:rFonts w:hint="eastAsia" w:ascii="宋体" w:hAnsi="宋体" w:eastAsia="宋体" w:cs="宋体"/>
                <w:color w:val="auto"/>
                <w:sz w:val="24"/>
                <w:highlight w:val="none"/>
                <w:u w:val="single"/>
              </w:rPr>
              <w:t>_详见投标人须知条款27.2__</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缴纳时间：</w:t>
            </w:r>
            <w:r>
              <w:rPr>
                <w:rFonts w:hint="eastAsia" w:ascii="宋体" w:hAnsi="宋体" w:eastAsia="宋体" w:cs="宋体"/>
                <w:color w:val="auto"/>
                <w:sz w:val="24"/>
                <w:highlight w:val="none"/>
                <w:u w:val="single"/>
              </w:rPr>
              <w:t>_中标人在领取中标通知书的同时以电汇或现金的形式向招标代理机构一次性缴付本项目代理服务费。</w:t>
            </w:r>
          </w:p>
        </w:tc>
      </w:tr>
    </w:tbl>
    <w:p>
      <w:pPr>
        <w:tabs>
          <w:tab w:val="left" w:pos="5580"/>
        </w:tabs>
        <w:adjustRightInd w:val="0"/>
        <w:spacing w:line="360" w:lineRule="auto"/>
        <w:jc w:val="distribute"/>
        <w:rPr>
          <w:rFonts w:hint="eastAsia" w:ascii="宋体" w:hAnsi="宋体" w:eastAsia="宋体" w:cs="宋体"/>
          <w:color w:val="auto"/>
          <w:sz w:val="24"/>
          <w:highlight w:val="none"/>
        </w:rPr>
        <w:sectPr>
          <w:headerReference r:id="rId3" w:type="first"/>
          <w:footerReference r:id="rId4" w:type="default"/>
          <w:type w:val="nextColumn"/>
          <w:pgSz w:w="11901" w:h="16817"/>
          <w:pgMar w:top="1418" w:right="1474" w:bottom="1418" w:left="1474" w:header="851" w:footer="851" w:gutter="0"/>
          <w:pgNumType w:start="0"/>
          <w:cols w:space="720" w:num="1"/>
          <w:titlePg/>
          <w:docGrid w:linePitch="462" w:charSpace="0"/>
        </w:sectPr>
      </w:pPr>
    </w:p>
    <w:p>
      <w:pPr>
        <w:spacing w:before="240" w:beforeLines="100" w:after="240" w:afterLines="100"/>
        <w:jc w:val="center"/>
        <w:rPr>
          <w:rFonts w:hint="eastAsia" w:ascii="宋体" w:hAnsi="宋体" w:eastAsia="宋体" w:cs="宋体"/>
          <w:b/>
          <w:color w:val="auto"/>
          <w:sz w:val="28"/>
          <w:szCs w:val="28"/>
          <w:highlight w:val="none"/>
        </w:rPr>
      </w:pPr>
      <w:bookmarkStart w:id="80" w:name="_Toc142311019"/>
      <w:bookmarkStart w:id="81" w:name="_Toc226965790"/>
      <w:bookmarkStart w:id="82" w:name="_Toc264969207"/>
      <w:bookmarkStart w:id="83" w:name="_Toc226337213"/>
      <w:bookmarkStart w:id="84" w:name="_Toc305158859"/>
      <w:bookmarkStart w:id="85" w:name="_Toc195842882"/>
      <w:bookmarkStart w:id="86" w:name="_Toc353873662"/>
      <w:bookmarkStart w:id="87" w:name="_Toc265228355"/>
      <w:bookmarkStart w:id="88" w:name="_Toc150774722"/>
      <w:bookmarkStart w:id="89" w:name="_Toc353873932"/>
      <w:bookmarkStart w:id="90" w:name="_Toc353825542"/>
      <w:bookmarkStart w:id="91" w:name="_Toc150480755"/>
      <w:bookmarkStart w:id="92" w:name="_Toc305158785"/>
      <w:bookmarkStart w:id="93" w:name="_Toc127151517"/>
      <w:r>
        <w:rPr>
          <w:rFonts w:hint="eastAsia" w:ascii="宋体" w:hAnsi="宋体" w:eastAsia="宋体" w:cs="宋体"/>
          <w:b/>
          <w:color w:val="auto"/>
          <w:sz w:val="28"/>
          <w:szCs w:val="28"/>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4"/>
        <w:tabs>
          <w:tab w:val="center" w:pos="4592"/>
          <w:tab w:val="left" w:pos="7860"/>
        </w:tabs>
        <w:spacing w:before="0" w:line="360" w:lineRule="auto"/>
        <w:jc w:val="left"/>
        <w:rPr>
          <w:rFonts w:hint="eastAsia" w:ascii="宋体" w:hAnsi="宋体" w:eastAsia="宋体" w:cs="宋体"/>
          <w:color w:val="auto"/>
          <w:sz w:val="28"/>
          <w:highlight w:val="none"/>
        </w:rPr>
      </w:pPr>
      <w:bookmarkStart w:id="94" w:name="_Toc520356143"/>
      <w:bookmarkStart w:id="95" w:name="_Toc127151518"/>
      <w:r>
        <w:rPr>
          <w:rFonts w:hint="eastAsia" w:ascii="宋体" w:hAnsi="宋体" w:eastAsia="宋体" w:cs="宋体"/>
          <w:color w:val="auto"/>
          <w:sz w:val="28"/>
          <w:highlight w:val="none"/>
        </w:rPr>
        <w:tab/>
      </w:r>
      <w:bookmarkStart w:id="96" w:name="_Toc142311020"/>
      <w:bookmarkStart w:id="97" w:name="_Toc151193760"/>
      <w:bookmarkStart w:id="98" w:name="_Toc265228356"/>
      <w:bookmarkStart w:id="99" w:name="_Toc150774618"/>
      <w:bookmarkStart w:id="100" w:name="_Toc150509269"/>
      <w:bookmarkStart w:id="101" w:name="_Toc151193616"/>
      <w:bookmarkStart w:id="102" w:name="_Toc305158786"/>
      <w:bookmarkStart w:id="103" w:name="_Toc226309762"/>
      <w:bookmarkStart w:id="104" w:name="_Toc151190145"/>
      <w:bookmarkStart w:id="105" w:name="_Toc226337214"/>
      <w:bookmarkStart w:id="106" w:name="_Toc151193906"/>
      <w:bookmarkStart w:id="107" w:name="_Toc150774723"/>
      <w:bookmarkStart w:id="108" w:name="_Toc151193688"/>
      <w:bookmarkStart w:id="109" w:name="_Toc195842883"/>
      <w:bookmarkStart w:id="110" w:name="_Toc151193832"/>
      <w:bookmarkStart w:id="111" w:name="_Toc226965708"/>
      <w:bookmarkStart w:id="112" w:name="_Toc226965791"/>
      <w:bookmarkStart w:id="113" w:name="_Toc150480756"/>
      <w:bookmarkStart w:id="114" w:name="_Toc264969208"/>
      <w:bookmarkStart w:id="115" w:name="_Toc305158860"/>
      <w:r>
        <w:rPr>
          <w:rFonts w:hint="eastAsia" w:ascii="宋体" w:hAnsi="宋体" w:eastAsia="宋体" w:cs="宋体"/>
          <w:color w:val="auto"/>
          <w:sz w:val="28"/>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eastAsia="宋体" w:cs="宋体"/>
          <w:color w:val="auto"/>
          <w:sz w:val="28"/>
          <w:highlight w:val="none"/>
        </w:rPr>
        <w:tab/>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116" w:name="_Toc264969209"/>
      <w:bookmarkStart w:id="117" w:name="_Toc265228357"/>
      <w:bookmarkStart w:id="118" w:name="_Toc305158787"/>
      <w:bookmarkStart w:id="119" w:name="_Toc305158861"/>
      <w:r>
        <w:rPr>
          <w:rFonts w:hint="eastAsia" w:ascii="宋体" w:hAnsi="宋体" w:eastAsia="宋体" w:cs="宋体"/>
          <w:color w:val="auto"/>
          <w:sz w:val="24"/>
          <w:highlight w:val="none"/>
        </w:rPr>
        <w:t>采购人、采购代理机构、投标人</w:t>
      </w:r>
      <w:bookmarkEnd w:id="116"/>
      <w:bookmarkEnd w:id="117"/>
      <w:bookmarkEnd w:id="118"/>
      <w:bookmarkEnd w:id="119"/>
      <w:r>
        <w:rPr>
          <w:rFonts w:hint="eastAsia" w:ascii="宋体" w:hAnsi="宋体" w:eastAsia="宋体" w:cs="宋体"/>
          <w:color w:val="auto"/>
          <w:sz w:val="24"/>
          <w:highlight w:val="none"/>
        </w:rPr>
        <w:t>、联合体</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采购人、采购代理机构：指依法进行政府采购的国家机关、事业单位、团体组织，及其委托的采购代理机构。本项目采购人、采购代理机构见第一章《投标邀请》。</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投标人（也称“投标人”、“申请人”）：指向采购人提供货物、工程或者服务的法人、其他组织或者自然人。</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联合体：指两个以上的自然人、法人或者其他组织组成一个联合体，以一个投标人的身份共同参加政府采购。</w:t>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120" w:name="_Toc150509271"/>
      <w:bookmarkStart w:id="121" w:name="_Toc127151721"/>
      <w:bookmarkStart w:id="122" w:name="_Toc305158862"/>
      <w:bookmarkStart w:id="123" w:name="_Toc150480758"/>
      <w:bookmarkStart w:id="124" w:name="_Toc164229215"/>
      <w:bookmarkStart w:id="125" w:name="_Toc265228358"/>
      <w:bookmarkStart w:id="126" w:name="_Toc151190147"/>
      <w:bookmarkStart w:id="127" w:name="_Toc164351614"/>
      <w:bookmarkStart w:id="128" w:name="_Toc150774620"/>
      <w:bookmarkStart w:id="129" w:name="_Toc226965710"/>
      <w:bookmarkStart w:id="130" w:name="_Toc127151520"/>
      <w:bookmarkStart w:id="131" w:name="_Toc151193834"/>
      <w:bookmarkStart w:id="132" w:name="_Toc164608634"/>
      <w:bookmarkStart w:id="133" w:name="_Toc149720813"/>
      <w:bookmarkStart w:id="134" w:name="_Toc226309764"/>
      <w:bookmarkStart w:id="135" w:name="_Toc305158788"/>
      <w:bookmarkStart w:id="136" w:name="_Toc226337216"/>
      <w:bookmarkStart w:id="137" w:name="_Toc264969210"/>
      <w:bookmarkStart w:id="138" w:name="_Toc151193762"/>
      <w:bookmarkStart w:id="139" w:name="_Toc195842885"/>
      <w:bookmarkStart w:id="140" w:name="_Toc151193618"/>
      <w:bookmarkStart w:id="141" w:name="_Toc127161434"/>
      <w:bookmarkStart w:id="142" w:name="_Toc142311022"/>
      <w:bookmarkStart w:id="143" w:name="_Toc151193690"/>
      <w:bookmarkStart w:id="144" w:name="_Toc150774725"/>
      <w:bookmarkStart w:id="145" w:name="_Toc151193908"/>
      <w:bookmarkStart w:id="146" w:name="_Toc164229361"/>
      <w:bookmarkStart w:id="147" w:name="_Toc226965793"/>
      <w:bookmarkStart w:id="148" w:name="_Toc164608789"/>
      <w:r>
        <w:rPr>
          <w:rFonts w:hint="eastAsia" w:ascii="宋体" w:hAnsi="宋体" w:eastAsia="宋体" w:cs="宋体"/>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color w:val="auto"/>
          <w:sz w:val="24"/>
          <w:highlight w:val="none"/>
        </w:rPr>
        <w:t>、项目属性、科研仪器设备采购、核心产品</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资金来源为财政性资金和/或本项目采购中无法与财政性资金分割的非财政性资金。</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项目属性见《投标人须知资料表》。</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是否属于科研仪器设备采购见《投标人须知资料表》。</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核心产品见《投标人须知资料表》。</w:t>
      </w:r>
    </w:p>
    <w:p>
      <w:pPr>
        <w:numPr>
          <w:ilvl w:val="0"/>
          <w:numId w:val="12"/>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现场考察、开标前答疑会</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8"/>
          <w:highlight w:val="none"/>
        </w:rPr>
      </w:pPr>
      <w:r>
        <w:rPr>
          <w:rFonts w:hint="eastAsia" w:ascii="宋体" w:hAnsi="宋体" w:eastAsia="宋体" w:cs="宋体"/>
          <w:color w:val="auto"/>
          <w:sz w:val="24"/>
          <w:highlight w:val="none"/>
        </w:rPr>
        <w:t>若《投标人须知资料表》中规定了组织现场考察、召开开标前答疑会，则投标人应按要求在规定的时间和地点参加。</w:t>
      </w:r>
      <w:bookmarkStart w:id="149" w:name="_Toc142311024"/>
      <w:bookmarkStart w:id="150" w:name="_Toc226965712"/>
      <w:bookmarkStart w:id="151" w:name="_Toc226309766"/>
      <w:bookmarkStart w:id="152" w:name="_Toc151193910"/>
      <w:bookmarkStart w:id="153" w:name="_Toc195842887"/>
      <w:bookmarkStart w:id="154" w:name="_Toc305158864"/>
      <w:bookmarkStart w:id="155" w:name="_Toc151193764"/>
      <w:bookmarkStart w:id="156" w:name="_Toc127151522"/>
      <w:bookmarkStart w:id="157" w:name="_Toc150509273"/>
      <w:bookmarkStart w:id="158" w:name="_Toc520356146"/>
      <w:bookmarkStart w:id="159" w:name="_Toc151193620"/>
      <w:bookmarkStart w:id="160" w:name="_Toc151190149"/>
      <w:bookmarkStart w:id="161" w:name="_Toc305158790"/>
      <w:bookmarkStart w:id="162" w:name="_Toc150774622"/>
      <w:bookmarkStart w:id="163" w:name="_Toc265228360"/>
      <w:bookmarkStart w:id="164" w:name="_Toc226965795"/>
      <w:bookmarkStart w:id="165" w:name="_Toc151193836"/>
      <w:bookmarkStart w:id="166" w:name="_Toc150774727"/>
      <w:bookmarkStart w:id="167" w:name="_Toc226337218"/>
      <w:bookmarkStart w:id="168" w:name="_Toc151193692"/>
      <w:bookmarkStart w:id="169" w:name="_Toc264969212"/>
      <w:bookmarkStart w:id="170" w:name="_Toc150480760"/>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12"/>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本项目是否要求投标人提供样品，以及样品制作的标准和要求、是否需要随样品提交相关检测报告、样品的递交与退还等要求见《投标人须知资料表》。</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样品的评审方法以及评审标准等内容见第四章《评标方法和评标标准》。</w:t>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政府采购政策（包括但不限于下列具体政策要求）</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采购本国货物、工程和服务</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政府采购应当采购本国货物、工程和服务。但有《中华人民共和国政府采购法》第十条规定情形的除外。</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本项目如接受非本国货物、工程、服务参与投标，则具体要求见第五章《采购需求》。</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本国产品</w:t>
      </w:r>
    </w:p>
    <w:p>
      <w:pPr>
        <w:tabs>
          <w:tab w:val="left" w:pos="900"/>
          <w:tab w:val="left" w:pos="1080"/>
          <w:tab w:val="left" w:pos="1589"/>
        </w:tabs>
        <w:snapToGrid w:val="0"/>
        <w:spacing w:line="360" w:lineRule="auto"/>
        <w:ind w:left="1080"/>
        <w:rPr>
          <w:rFonts w:hint="eastAsia" w:ascii="宋体" w:hAnsi="宋体" w:eastAsia="宋体" w:cs="宋体"/>
          <w:color w:val="auto"/>
          <w:sz w:val="24"/>
          <w:highlight w:val="none"/>
        </w:rPr>
      </w:pPr>
      <w:bookmarkStart w:id="171" w:name="_Hlk217316762"/>
      <w:r>
        <w:rPr>
          <w:rFonts w:hint="eastAsia" w:ascii="宋体" w:hAnsi="宋体" w:eastAsia="宋体" w:cs="宋体"/>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ascii="宋体" w:hAnsi="宋体" w:eastAsia="宋体" w:cs="宋体"/>
          <w:color w:val="auto"/>
          <w:sz w:val="24"/>
          <w:highlight w:val="none"/>
        </w:rPr>
        <w:t>，落实本国产品</w:t>
      </w:r>
      <w:r>
        <w:rPr>
          <w:rFonts w:hint="eastAsia" w:ascii="宋体" w:hAnsi="宋体" w:eastAsia="宋体" w:cs="宋体"/>
          <w:color w:val="auto"/>
          <w:sz w:val="24"/>
          <w:highlight w:val="none"/>
          <w:lang w:eastAsia="zh-CN"/>
        </w:rPr>
        <w:t>标准</w:t>
      </w:r>
      <w:r>
        <w:rPr>
          <w:rFonts w:hint="eastAsia" w:ascii="宋体" w:hAnsi="宋体" w:eastAsia="宋体" w:cs="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中小企业、监狱企业及残疾人福利性单位</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2"/>
          <w:numId w:val="13"/>
        </w:numPr>
        <w:tabs>
          <w:tab w:val="left" w:pos="900"/>
          <w:tab w:val="left" w:pos="2035"/>
          <w:tab w:val="left" w:pos="2885"/>
          <w:tab w:val="left" w:pos="2977"/>
        </w:tabs>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tabs>
          <w:tab w:val="left" w:pos="1988"/>
          <w:tab w:val="left" w:pos="2035"/>
          <w:tab w:val="left" w:pos="2885"/>
          <w:tab w:val="left" w:pos="2977"/>
        </w:tabs>
        <w:kinsoku/>
        <w:wordWrap/>
        <w:overflowPunct/>
        <w:topLinePunct w:val="0"/>
        <w:autoSpaceDE/>
        <w:autoSpaceDN/>
        <w:bidi w:val="0"/>
        <w:adjustRightInd/>
        <w:snapToGrid w:val="0"/>
        <w:spacing w:line="360" w:lineRule="auto"/>
        <w:ind w:left="2942" w:leftChars="944" w:hanging="960" w:hangingChars="400"/>
        <w:textAlignment w:val="auto"/>
        <w:rPr>
          <w:rFonts w:hint="eastAsia" w:ascii="宋体" w:hAnsi="宋体"/>
          <w:color w:val="auto"/>
          <w:sz w:val="24"/>
          <w:highlight w:val="none"/>
        </w:rPr>
      </w:pPr>
      <w:r>
        <w:rPr>
          <w:rFonts w:hint="eastAsia" w:ascii="宋体" w:hAnsi="宋体"/>
          <w:color w:val="auto"/>
          <w:sz w:val="24"/>
          <w:highlight w:val="none"/>
          <w:lang w:val="en-US" w:eastAsia="zh-CN"/>
        </w:rPr>
        <w:t>5.3.1.1</w:t>
      </w:r>
      <w:r>
        <w:rPr>
          <w:rFonts w:hint="eastAsia"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5.3.1.2</w:t>
      </w:r>
      <w:r>
        <w:rPr>
          <w:rFonts w:ascii="宋体" w:hAnsi="宋体"/>
          <w:color w:val="auto"/>
          <w:sz w:val="24"/>
          <w:highlight w:val="none"/>
        </w:rPr>
        <w:t>投标人提供的货物、工程或者服务符合下列情形的，享受中小企业扶持政策：</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w:t>
      </w:r>
      <w:r>
        <w:rPr>
          <w:rFonts w:hint="eastAsia" w:ascii="宋体" w:hAnsi="宋体"/>
          <w:color w:val="auto"/>
          <w:sz w:val="24"/>
          <w:highlight w:val="none"/>
        </w:rPr>
        <w:t>合同法</w:t>
      </w:r>
      <w:r>
        <w:rPr>
          <w:rFonts w:ascii="宋体" w:hAnsi="宋体"/>
          <w:color w:val="auto"/>
          <w:sz w:val="24"/>
          <w:highlight w:val="none"/>
        </w:rPr>
        <w:t>》订立劳动合同的从业人员。</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5.3.1.3</w:t>
      </w:r>
      <w:r>
        <w:rPr>
          <w:rFonts w:ascii="宋体" w:hAnsi="宋体"/>
          <w:color w:val="auto"/>
          <w:sz w:val="24"/>
          <w:highlight w:val="none"/>
        </w:rPr>
        <w:t>在货物采购项目中，投标人提供的货物既有中小企业制造货物，也有大型企业制造货物的，不享受中小企业扶持政策。</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5.3.1.4</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 评审中价格扣除等政府采购促进中小企业发展的政府采购政策。</w:t>
      </w: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8"/>
        <w:numPr>
          <w:ilvl w:val="2"/>
          <w:numId w:val="13"/>
        </w:numPr>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984" w:leftChars="0" w:hanging="901"/>
        <w:textAlignment w:val="auto"/>
        <w:rPr>
          <w:rFonts w:hint="eastAsia" w:ascii="宋体" w:hAnsi="宋体"/>
          <w:color w:val="auto"/>
          <w:highlight w:val="none"/>
        </w:rPr>
      </w:pPr>
      <w:r>
        <w:rPr>
          <w:rFonts w:hint="eastAsia" w:ascii="宋体" w:hAnsi="宋体"/>
          <w:color w:val="auto"/>
          <w:sz w:val="24"/>
          <w:highlight w:val="none"/>
          <w:lang w:val="en-US" w:eastAsia="zh-CN"/>
        </w:rPr>
        <w:t xml:space="preserve">5.3.3   </w:t>
      </w:r>
      <w:r>
        <w:rPr>
          <w:rFonts w:hint="eastAsia" w:ascii="宋体" w:hAnsi="宋体"/>
          <w:color w:val="auto"/>
          <w:sz w:val="24"/>
          <w:highlight w:val="none"/>
        </w:rPr>
        <w:t>在政府采购活动中，残疾人福利性单位视同小型、微型企业，</w:t>
      </w:r>
      <w:r>
        <w:rPr>
          <w:rFonts w:hint="eastAsia" w:ascii="宋体" w:hAnsi="宋体"/>
          <w:color w:val="auto"/>
          <w:sz w:val="24"/>
          <w:highlight w:val="none"/>
          <w:lang w:val="en-US" w:eastAsia="zh-CN"/>
        </w:rPr>
        <w:t xml:space="preserve">享受 </w:t>
      </w:r>
      <w:r>
        <w:rPr>
          <w:rFonts w:hint="eastAsia" w:ascii="宋体" w:hAnsi="宋体"/>
          <w:color w:val="auto"/>
          <w:sz w:val="24"/>
          <w:highlight w:val="none"/>
        </w:rPr>
        <w:t>预留份额、评审中价格扣除等促进中小企业发展的政府采购政策。</w:t>
      </w:r>
      <w:r>
        <w:rPr>
          <w:rFonts w:ascii="宋体" w:hAnsi="宋体"/>
          <w:color w:val="auto"/>
          <w:sz w:val="24"/>
          <w:highlight w:val="none"/>
        </w:rPr>
        <w:t>残疾人福</w:t>
      </w:r>
      <w:r>
        <w:rPr>
          <w:rFonts w:hint="eastAsia" w:ascii="宋体" w:hAnsi="宋体"/>
          <w:color w:val="auto"/>
          <w:sz w:val="24"/>
          <w:highlight w:val="none"/>
          <w:lang w:val="en-US" w:eastAsia="zh-CN"/>
        </w:rPr>
        <w:t xml:space="preserve"> </w:t>
      </w:r>
      <w:r>
        <w:rPr>
          <w:rFonts w:ascii="宋体" w:hAnsi="宋体"/>
          <w:color w:val="auto"/>
          <w:sz w:val="24"/>
          <w:highlight w:val="none"/>
        </w:rPr>
        <w:t>利单位定义：享受政府采购支持政策的残疾人福利性单位应当同时满足以下条件：</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5.3.3.1</w:t>
      </w:r>
      <w:r>
        <w:rPr>
          <w:rFonts w:ascii="宋体" w:hAnsi="宋体"/>
          <w:color w:val="auto"/>
          <w:sz w:val="24"/>
          <w:highlight w:val="none"/>
        </w:rPr>
        <w:t>安置的残疾人占本单位在职职工人数的比例不低于25%（含25%），并且安置的残疾人人数不少于10 人（含10 人）；</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5.3.3.2</w:t>
      </w:r>
      <w:r>
        <w:rPr>
          <w:rFonts w:ascii="宋体" w:hAnsi="宋体"/>
          <w:color w:val="auto"/>
          <w:sz w:val="24"/>
          <w:highlight w:val="none"/>
        </w:rPr>
        <w:t>依法与安置的每位残疾人签订了一年以上（含一年）的劳动合同或服务协议；</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5.3.3.3</w:t>
      </w:r>
      <w:r>
        <w:rPr>
          <w:rFonts w:ascii="宋体" w:hAnsi="宋体"/>
          <w:color w:val="auto"/>
          <w:sz w:val="24"/>
          <w:highlight w:val="none"/>
        </w:rPr>
        <w:t>为安置的每位残疾人按月足额缴纳了基本养老保险、基本医疗保险、失业保险、工伤保险和生育保险等社会保险费；</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5.3.3.4</w:t>
      </w:r>
      <w:r>
        <w:rPr>
          <w:rFonts w:ascii="宋体" w:hAnsi="宋体"/>
          <w:color w:val="auto"/>
          <w:sz w:val="24"/>
          <w:highlight w:val="none"/>
        </w:rPr>
        <w:t>通过银行等金融机构向安置的每位残疾人，按月支付了不低于单位所在区县适用的经省级人民政府批准的月最低工资标准的工资；</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5.3.3.5</w:t>
      </w: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5.3.3.6</w:t>
      </w: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Style w:val="288"/>
        <w:numPr>
          <w:ilvl w:val="2"/>
          <w:numId w:val="12"/>
        </w:numPr>
        <w:snapToGrid w:val="0"/>
        <w:spacing w:line="360" w:lineRule="auto"/>
        <w:ind w:firstLineChars="0"/>
        <w:rPr>
          <w:rFonts w:hint="eastAsia" w:ascii="宋体" w:hAnsi="宋体"/>
          <w:vanish/>
          <w:color w:val="auto"/>
          <w:sz w:val="24"/>
          <w:highlight w:val="none"/>
        </w:rPr>
      </w:pP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本项目是否专门面向中小企业预留采购份额见第一章《投标邀请》。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采购标的对应的中小企业划分标准所属行业见《投标人须知资料表》。</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小微企业价格评审优惠的政策调整：见第四章《评标方法和评标标准》。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采购。关于政府采购节能产品、环境标志产品的相关规定依据《关于调整优化节能产品、环境标志产品政府采购执行机制的通知》（财库 〔2019〕9 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 则投标人所报产品必须获得国家确定的认证机构出具的、处于有效期之内的节能产品认证证书，否则</w:t>
      </w:r>
      <w:r>
        <w:rPr>
          <w:rFonts w:ascii="宋体" w:hAnsi="宋体"/>
          <w:b/>
          <w:bCs/>
          <w:color w:val="auto"/>
          <w:sz w:val="24"/>
          <w:highlight w:val="none"/>
        </w:rPr>
        <w:t>投标无效</w:t>
      </w:r>
      <w:r>
        <w:rPr>
          <w:rFonts w:hint="eastAsia"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非政府强制采购的节能产品或环境标志产品，依据品目清单和认证证书实施政府优先采购。优先采购的具体规定见第四章《评标程序、评标方法和评标标准》（如涉及）</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正版软件</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网络安全专用产品</w:t>
      </w:r>
    </w:p>
    <w:p>
      <w:pPr>
        <w:numPr>
          <w:ilvl w:val="2"/>
          <w:numId w:val="12"/>
        </w:numPr>
        <w:tabs>
          <w:tab w:val="left" w:pos="900"/>
          <w:tab w:val="left" w:pos="2014"/>
        </w:tabs>
        <w:snapToGrid w:val="0"/>
        <w:spacing w:after="0"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根据《关于调整网络安全专用产品安全管理有关事项的公告》（2023年第1号），</w:t>
      </w:r>
      <w:r>
        <w:rPr>
          <w:rFonts w:ascii="宋体" w:hAnsi="宋体"/>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pPr>
        <w:tabs>
          <w:tab w:val="left" w:pos="900"/>
          <w:tab w:val="left" w:pos="1980"/>
          <w:tab w:val="left" w:pos="2014"/>
        </w:tabs>
        <w:snapToGrid w:val="0"/>
        <w:spacing w:line="360" w:lineRule="auto"/>
        <w:ind w:left="1989" w:leftChars="490" w:hanging="960" w:hangingChars="400"/>
        <w:rPr>
          <w:rFonts w:hint="eastAsia" w:ascii="宋体" w:hAnsi="宋体"/>
          <w:color w:val="auto"/>
          <w:sz w:val="24"/>
          <w:highlight w:val="none"/>
        </w:rPr>
      </w:pPr>
      <w:r>
        <w:rPr>
          <w:rFonts w:hint="eastAsia" w:ascii="宋体" w:hAnsi="宋体"/>
          <w:color w:val="auto"/>
          <w:sz w:val="24"/>
          <w:highlight w:val="none"/>
        </w:rPr>
        <w:t>5.7.1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含量限制标准（具体标准见第五章《采购需求》），否则投标无效；属于推荐性标准的，优先采购，具体见第四章《评标程序、评标方法和评标标准》</w:t>
      </w:r>
      <w:r>
        <w:rPr>
          <w:rFonts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pPr>
        <w:tabs>
          <w:tab w:val="left" w:pos="900"/>
          <w:tab w:val="left" w:pos="1980"/>
          <w:tab w:val="left" w:pos="2014"/>
        </w:tabs>
        <w:snapToGrid w:val="0"/>
        <w:spacing w:line="360" w:lineRule="auto"/>
        <w:ind w:left="1080"/>
        <w:rPr>
          <w:rFonts w:hint="eastAsia" w:ascii="宋体" w:hAnsi="宋体"/>
          <w:color w:val="auto"/>
          <w:sz w:val="24"/>
          <w:highlight w:val="none"/>
        </w:rPr>
      </w:pPr>
      <w:r>
        <w:rPr>
          <w:rFonts w:hint="eastAsia" w:ascii="宋体" w:hAnsi="宋体"/>
          <w:color w:val="auto"/>
          <w:sz w:val="24"/>
          <w:highlight w:val="none"/>
        </w:rPr>
        <w:t>5.8.1</w:t>
      </w:r>
      <w:r>
        <w:rPr>
          <w:rFonts w:hint="eastAsia" w:ascii="宋体" w:hAnsi="宋体"/>
          <w:color w:val="auto"/>
          <w:sz w:val="24"/>
          <w:highlight w:val="none"/>
        </w:rPr>
        <w:tab/>
      </w:r>
      <w:r>
        <w:rPr>
          <w:rFonts w:hint="eastAsia" w:ascii="宋体" w:hAnsi="宋体"/>
          <w:color w:val="auto"/>
          <w:sz w:val="24"/>
          <w:highlight w:val="none"/>
        </w:rPr>
        <w:t>商品包装、快递包装政府采购需求标准(试行)</w:t>
      </w:r>
    </w:p>
    <w:p>
      <w:pPr>
        <w:tabs>
          <w:tab w:val="left" w:pos="1980"/>
          <w:tab w:val="left" w:pos="2014"/>
        </w:tabs>
        <w:snapToGrid w:val="0"/>
        <w:spacing w:line="360" w:lineRule="auto"/>
        <w:ind w:left="1980"/>
        <w:rPr>
          <w:rFonts w:hint="eastAsia" w:ascii="宋体" w:hAnsi="宋体"/>
          <w:color w:val="auto"/>
          <w:sz w:val="24"/>
          <w:highlight w:val="none"/>
        </w:rPr>
      </w:pPr>
      <w:r>
        <w:rPr>
          <w:rFonts w:hint="eastAsia" w:ascii="宋体" w:hAnsi="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p>
    <w:p>
      <w:pPr>
        <w:tabs>
          <w:tab w:val="left" w:pos="1980"/>
          <w:tab w:val="left" w:pos="2014"/>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 xml:space="preserve">5.8.2   </w:t>
      </w:r>
      <w:r>
        <w:rPr>
          <w:rFonts w:ascii="宋体" w:hAnsi="宋体"/>
          <w:color w:val="auto"/>
          <w:sz w:val="24"/>
          <w:highlight w:val="none"/>
        </w:rPr>
        <w:t xml:space="preserve">其他政府采购需求标准 </w:t>
      </w:r>
    </w:p>
    <w:p>
      <w:pPr>
        <w:tabs>
          <w:tab w:val="left" w:pos="900"/>
          <w:tab w:val="left" w:pos="1980"/>
          <w:tab w:val="left" w:pos="2014"/>
        </w:tabs>
        <w:snapToGrid w:val="0"/>
        <w:spacing w:line="360" w:lineRule="auto"/>
        <w:ind w:left="1985"/>
        <w:rPr>
          <w:rFonts w:hint="eastAsia" w:ascii="宋体" w:hAnsi="宋体"/>
          <w:color w:val="auto"/>
          <w:sz w:val="24"/>
          <w:highlight w:val="none"/>
        </w:rPr>
      </w:pPr>
      <w:r>
        <w:rPr>
          <w:rFonts w:hint="eastAsia" w:ascii="宋体" w:hAnsi="宋体"/>
          <w:color w:val="auto"/>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投标费用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招标文件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招标文件构成</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招标文件包括以下部分：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投标邀请</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投标人须知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资格审查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评标方法和评标标准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拟签订的合同文本</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投标文件格式</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对招标文件的澄清或修改</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投标文件的编制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投标范围、投标文件中计量单位的使用及投标语言</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投标文件构成</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第四章《评标方法和评标标准》中涉及的证明文件。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投标人认为应附的其他材料。</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投标报价</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所有投标均以人民币为计价货币</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投标人的报价应包括为完成本项目所发生的一切费用和税费，采购人将不再支付报价以外的任何费用。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按照招标文件要求完成本项目的全部相关服务费用。 </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采购人不得向投标人索要或者接受其给予的赠品、回扣或者与采购无关的其他商品、服务。</w:t>
      </w:r>
    </w:p>
    <w:p>
      <w:pPr>
        <w:numPr>
          <w:ilvl w:val="1"/>
          <w:numId w:val="12"/>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投标人不能提供任何有选择性或可调整的报价（招标文件另有规定的除外），否则其投标无效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投标保证金</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投标人应按《投标人须知资料表》中规定的金额及要求交纳投标保证金。</w:t>
      </w:r>
      <w:r>
        <w:rPr>
          <w:rFonts w:hint="eastAsia" w:ascii="宋体" w:hAnsi="宋体"/>
          <w:color w:val="auto"/>
          <w:sz w:val="24"/>
          <w:highlight w:val="none"/>
        </w:rPr>
        <w:t>投标人自愿超额缴纳投标保证金的，投标文件不做无效处理。</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交纳投标保证金可采用的形式：政府采购法律法规接受的支票、汇票、本票、网上银行支付或者金融机构、担保机构出具的保函等非现金形式。</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r>
        <w:rPr>
          <w:rFonts w:hint="eastAsia" w:ascii="宋体" w:hAnsi="宋体"/>
          <w:color w:val="auto"/>
          <w:sz w:val="24"/>
          <w:highlight w:val="none"/>
        </w:rPr>
        <w:t>以电子保函形式提交投标保证金的，应在投标截止时间前通过</w:t>
      </w:r>
      <w:r>
        <w:rPr>
          <w:rFonts w:hint="eastAsia" w:ascii="宋体" w:hAnsi="宋体"/>
          <w:color w:val="auto"/>
          <w:sz w:val="24"/>
          <w:highlight w:val="none"/>
          <w:lang w:bidi="ar"/>
        </w:rPr>
        <w:t>北京市政府采购电子交易平台完成电子保函在线办理。</w:t>
      </w:r>
      <w:r>
        <w:rPr>
          <w:rFonts w:hint="eastAsia" w:ascii="宋体" w:hAnsi="宋体"/>
          <w:color w:val="auto"/>
          <w:sz w:val="24"/>
          <w:highlight w:val="none"/>
        </w:rPr>
        <w:t>未按上述要求缴纳投标保证金的，其</w:t>
      </w:r>
      <w:r>
        <w:rPr>
          <w:rFonts w:ascii="宋体" w:hAnsi="宋体"/>
          <w:b/>
          <w:color w:val="auto"/>
          <w:sz w:val="24"/>
          <w:highlight w:val="none"/>
        </w:rPr>
        <w:t>投标无效</w:t>
      </w:r>
      <w:r>
        <w:rPr>
          <w:rFonts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投标人除需在投标文件中提供“</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”，还需在投标截止时间前，通过电子交易平台上传“</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投标保证金有效期同投标有效期。</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投标人为联合体的，可以由联合体中的一方或者多方共同交纳投标保证金，其交纳的投标保证金对联合体各方均具有约束力。</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采购人、采购代理机构将及时退还投标人的投标保证金，采用银行保函、担保机构担保函等形式递交的</w:t>
      </w:r>
      <w:r>
        <w:rPr>
          <w:rFonts w:hint="eastAsia" w:ascii="宋体" w:hAnsi="宋体"/>
          <w:color w:val="auto"/>
          <w:sz w:val="24"/>
          <w:highlight w:val="none"/>
        </w:rPr>
        <w:t>投标</w:t>
      </w:r>
      <w:r>
        <w:rPr>
          <w:rFonts w:ascii="宋体" w:hAnsi="宋体"/>
          <w:color w:val="auto"/>
          <w:sz w:val="24"/>
          <w:highlight w:val="none"/>
        </w:rPr>
        <w:t>保证金，经投标人同意后采购人、采购代理机构可以不再退还，但因投标人自身原因导致无法及时退还的除外：</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投标人在投标截止时间前撤回已提交的投标文件的，自收到投标人书面撤回通知之日起5个工作日内退还已收取的投标保证金；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中标人的投标保证金，自采购合同签订之日起5个工作日内退还中标人；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未中标投标人的投标保证金，自中标通知书发出之日起5个工作日内退还未中标人；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终止招标项目已经收取投标保证金的，自终止采购活动后5个工作日内退还已收取的投标保证金及其在银行产生的孳息。</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有下列情形之一的，采购人或采购代理机构可以不予退还投标保证金：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投标有效期内投标人撤销投标文件的；</w:t>
      </w:r>
    </w:p>
    <w:p>
      <w:pPr>
        <w:numPr>
          <w:ilvl w:val="2"/>
          <w:numId w:val="12"/>
        </w:numPr>
        <w:tabs>
          <w:tab w:val="left" w:pos="900"/>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《投标人须知资料表》中规定的其他情形。</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投标有效期</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b/>
          <w:color w:val="auto"/>
          <w:sz w:val="24"/>
          <w:highlight w:val="none"/>
        </w:rPr>
      </w:pPr>
      <w:r>
        <w:rPr>
          <w:rFonts w:ascii="宋体" w:hAnsi="宋体"/>
          <w:b/>
          <w:color w:val="auto"/>
          <w:sz w:val="24"/>
          <w:highlight w:val="none"/>
        </w:rPr>
        <w:t>投标文件的签署、盖章</w:t>
      </w:r>
    </w:p>
    <w:p>
      <w:pPr>
        <w:numPr>
          <w:ilvl w:val="1"/>
          <w:numId w:val="12"/>
        </w:numPr>
        <w:tabs>
          <w:tab w:val="left" w:pos="1080"/>
          <w:tab w:val="left" w:pos="1589"/>
          <w:tab w:val="left" w:pos="2014"/>
        </w:tabs>
        <w:snapToGrid w:val="0"/>
        <w:spacing w:line="360" w:lineRule="auto"/>
        <w:ind w:left="1077" w:hanging="720"/>
        <w:rPr>
          <w:rFonts w:hint="eastAsia" w:ascii="宋体" w:hAnsi="宋体"/>
          <w:b/>
          <w:color w:val="auto"/>
          <w:sz w:val="24"/>
          <w:highlight w:val="none"/>
        </w:rPr>
      </w:pPr>
      <w:r>
        <w:rPr>
          <w:rFonts w:ascii="宋体" w:hAnsi="宋体"/>
          <w:b/>
          <w:color w:val="auto"/>
          <w:sz w:val="24"/>
          <w:highlight w:val="none"/>
        </w:rPr>
        <w:t>招标文件要求签字的内容（如授权委托书等），</w:t>
      </w:r>
      <w:r>
        <w:rPr>
          <w:rFonts w:hint="eastAsia" w:ascii="宋体" w:hAnsi="宋体"/>
          <w:b/>
          <w:color w:val="auto"/>
          <w:sz w:val="24"/>
          <w:highlight w:val="none"/>
        </w:rPr>
        <w:t>可以使用电子签章或使用原件的电子件（电子件指扫描件、照片等形式电子文件）</w:t>
      </w:r>
      <w:r>
        <w:rPr>
          <w:rFonts w:hint="eastAsia" w:ascii="宋体" w:hAnsi="宋体"/>
          <w:color w:val="auto"/>
          <w:sz w:val="24"/>
          <w:highlight w:val="none"/>
        </w:rPr>
        <w:t>；</w:t>
      </w:r>
      <w:r>
        <w:rPr>
          <w:rFonts w:hint="eastAsia" w:ascii="宋体" w:hAnsi="宋体"/>
          <w:b/>
          <w:bCs/>
          <w:color w:val="auto"/>
          <w:sz w:val="24"/>
          <w:highlight w:val="none"/>
        </w:rPr>
        <w:t>要求第三方出具的盖章件原件或相关证书文件</w:t>
      </w:r>
      <w:r>
        <w:rPr>
          <w:rFonts w:ascii="宋体" w:hAnsi="宋体"/>
          <w:b/>
          <w:color w:val="auto"/>
          <w:sz w:val="24"/>
          <w:highlight w:val="none"/>
        </w:rPr>
        <w:t>（如联合协议、分包意向协议、</w:t>
      </w:r>
      <w:r>
        <w:rPr>
          <w:rFonts w:hint="eastAsia" w:ascii="宋体" w:hAnsi="宋体"/>
          <w:b/>
          <w:bCs/>
          <w:color w:val="auto"/>
          <w:sz w:val="24"/>
          <w:highlight w:val="none"/>
        </w:rPr>
        <w:t>资质证书、质量管理体系证书、人员资质证书等</w:t>
      </w:r>
      <w:r>
        <w:rPr>
          <w:rFonts w:ascii="宋体" w:hAnsi="宋体"/>
          <w:b/>
          <w:color w:val="auto"/>
          <w:sz w:val="24"/>
          <w:highlight w:val="none"/>
        </w:rPr>
        <w:t>），投标文件中应使用原件的电子件。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招标文件要求盖章的内容，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pPr>
        <w:tabs>
          <w:tab w:val="left" w:pos="900"/>
          <w:tab w:val="left" w:pos="1080"/>
        </w:tabs>
        <w:snapToGrid w:val="0"/>
        <w:spacing w:line="360" w:lineRule="auto"/>
        <w:ind w:left="357"/>
        <w:rPr>
          <w:rFonts w:hint="eastAsia" w:ascii="宋体" w:hAnsi="宋体"/>
          <w:color w:val="auto"/>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投标文件的提交</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投标文件的提交</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本项目使用北京市政府采购电子交易平台。投标人根据招标文件及电子交易平台供应商操作手册要求编制、生成并提交电子投标文件</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采购人及采购代理机构拒绝接受通过电子交易平台以外任何形式提交的投标文件，投标保证金除外。</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投标截止时间</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投标人应在招标文件要求提交投标文件截止时间前，将电子投标文件提交至电子交易平台。</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投标文件的修改与撤回</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投标截止时间前，投标人可以通过电子交易平台对所提交的投标文件进行补充、修改或者撤回。投标保证金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通过电子交易平台</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投标人对投标文件的补充、修改的内容应当按照招标文件要求签署、盖章，作为投标文件的组成部分</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五   开标、资格审查及评标</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采购人或采购代理机构将按招标文件的规定，在投标截止时间的同一时间和招标文件预先确定的地点组织开标。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本项目开标使用电子交易平台。</w:t>
      </w:r>
      <w:r>
        <w:rPr>
          <w:rFonts w:hint="eastAsia" w:ascii="宋体" w:hAnsi="宋体"/>
          <w:b/>
          <w:bCs/>
          <w:color w:val="auto"/>
          <w:sz w:val="24"/>
          <w:highlight w:val="none"/>
        </w:rPr>
        <w:t>投标人应自行在招标文件规定的开标时间登录北京市政府采购电子交易平台，并在收到系统解密指令后在规定的解密时间（至少30分钟）内对投标文件进行解密。开标过程中出现系统故障等政府采购电子交易平台技术问题投标人应及时联系电子交易平台技术人员解决，并在系统中向采购代理机构报告问题，任何因非系统原因导致的解密失败，视为投标无效。（投标人应对本单位开标环节的顺利开展负责，任何投标人自身原因导致的未在规定时间内解密成功由投标人自行承担后果）。</w:t>
      </w:r>
    </w:p>
    <w:p>
      <w:pPr>
        <w:numPr>
          <w:ilvl w:val="1"/>
          <w:numId w:val="12"/>
        </w:numPr>
        <w:tabs>
          <w:tab w:val="left" w:pos="1080"/>
          <w:tab w:val="left" w:pos="1589"/>
          <w:tab w:val="left" w:pos="2014"/>
        </w:tabs>
        <w:snapToGrid w:val="0"/>
        <w:spacing w:line="360" w:lineRule="auto"/>
        <w:ind w:left="1077" w:hanging="720"/>
        <w:rPr>
          <w:rFonts w:hint="eastAsia" w:ascii="宋体" w:hAnsi="宋体"/>
          <w:b/>
          <w:bCs/>
          <w:color w:val="auto"/>
          <w:sz w:val="24"/>
          <w:highlight w:val="none"/>
        </w:rPr>
      </w:pPr>
      <w:r>
        <w:rPr>
          <w:rFonts w:ascii="宋体" w:hAnsi="宋体"/>
          <w:color w:val="auto"/>
          <w:sz w:val="24"/>
          <w:highlight w:val="none"/>
        </w:rPr>
        <w:t>开标过程将使用电子交易平台宣布投标人名称、投标价格和招标文件规定的需要宣布的其他内容并进行记录，并由参加开标的各投标人代表确认。</w:t>
      </w:r>
      <w:r>
        <w:rPr>
          <w:rFonts w:ascii="宋体" w:hAnsi="宋体"/>
          <w:b/>
          <w:bCs/>
          <w:color w:val="auto"/>
          <w:sz w:val="24"/>
          <w:highlight w:val="none"/>
        </w:rPr>
        <w:t>投标人未在规定时间内提出疑义或确认一览表的</w:t>
      </w:r>
      <w:r>
        <w:rPr>
          <w:rFonts w:hint="eastAsia" w:ascii="宋体" w:hAnsi="宋体"/>
          <w:b/>
          <w:bCs/>
          <w:color w:val="auto"/>
          <w:sz w:val="24"/>
          <w:highlight w:val="none"/>
        </w:rPr>
        <w:t>，</w:t>
      </w:r>
      <w:r>
        <w:rPr>
          <w:rFonts w:ascii="宋体" w:hAnsi="宋体"/>
          <w:b/>
          <w:bCs/>
          <w:color w:val="auto"/>
          <w:sz w:val="24"/>
          <w:highlight w:val="none"/>
        </w:rPr>
        <w:t>视同认可开标结果</w:t>
      </w:r>
      <w:r>
        <w:rPr>
          <w:rFonts w:hint="eastAsia" w:ascii="宋体" w:hAnsi="宋体"/>
          <w:b/>
          <w:bCs/>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b/>
          <w:color w:val="auto"/>
          <w:sz w:val="24"/>
          <w:highlight w:val="none"/>
        </w:rPr>
        <w:t>在收到系统的确认开标结果的指令后，在规定时间内未提出异议或未确认的，均视为默认开标结果无误无异议。</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投标人不足3家的，不予开标。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资格审查</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见第三章《资格审查》。</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评标委员会</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评标委员会根据政府采购有关规定和本次招标采购项目的特点进行组建，并负责具体评标事务，独立履行职责。</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评标方法和评标标准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见第四章《评标方法和评标标准》。</w:t>
      </w: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六   确定中标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确定中标人</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w:t>
      </w:r>
      <w:r>
        <w:rPr>
          <w:rFonts w:hint="eastAsia" w:ascii="宋体" w:hAnsi="宋体"/>
          <w:color w:val="auto"/>
          <w:sz w:val="24"/>
          <w:highlight w:val="none"/>
        </w:rPr>
        <w:t>中标</w:t>
      </w:r>
      <w:r>
        <w:rPr>
          <w:rFonts w:ascii="宋体" w:hAnsi="宋体"/>
          <w:color w:val="auto"/>
          <w:sz w:val="24"/>
          <w:highlight w:val="none"/>
        </w:rPr>
        <w:t>候选人并列的，按照《</w:t>
      </w:r>
      <w:r>
        <w:rPr>
          <w:rFonts w:hint="eastAsia" w:ascii="宋体" w:hAnsi="宋体"/>
          <w:color w:val="auto"/>
          <w:sz w:val="24"/>
          <w:highlight w:val="none"/>
        </w:rPr>
        <w:t>投标人</w:t>
      </w:r>
      <w:r>
        <w:rPr>
          <w:rFonts w:ascii="宋体" w:hAnsi="宋体"/>
          <w:color w:val="auto"/>
          <w:sz w:val="24"/>
          <w:highlight w:val="none"/>
        </w:rPr>
        <w:t>须知资料表》要求确定成交投标人。</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中标公告与中标通知书</w:t>
      </w:r>
    </w:p>
    <w:p>
      <w:pPr>
        <w:numPr>
          <w:ilvl w:val="1"/>
          <w:numId w:val="15"/>
        </w:numPr>
        <w:tabs>
          <w:tab w:val="left" w:pos="1080"/>
          <w:tab w:val="left" w:pos="1589"/>
          <w:tab w:val="left" w:pos="2014"/>
        </w:tabs>
        <w:snapToGrid w:val="0"/>
        <w:spacing w:after="0" w:line="360" w:lineRule="auto"/>
        <w:ind w:left="1077" w:hanging="720"/>
        <w:jc w:val="left"/>
        <w:rPr>
          <w:rFonts w:hint="eastAsia" w:ascii="宋体" w:hAnsi="宋体"/>
          <w:color w:val="auto"/>
          <w:sz w:val="24"/>
          <w:highlight w:val="none"/>
        </w:rPr>
      </w:pPr>
      <w:r>
        <w:rPr>
          <w:rFonts w:ascii="宋体" w:hAnsi="宋体"/>
          <w:color w:val="auto"/>
          <w:sz w:val="24"/>
          <w:highlight w:val="none"/>
        </w:rPr>
        <w:t>采购人或采购代理机构自中标人确定之日起2个工作日内，</w:t>
      </w:r>
      <w:r>
        <w:rPr>
          <w:rFonts w:ascii="宋体" w:hAnsi="宋体"/>
          <w:color w:val="auto"/>
          <w:kern w:val="0"/>
          <w:sz w:val="24"/>
          <w:highlight w:val="none"/>
        </w:rPr>
        <w:t>在北京市政府采</w:t>
      </w:r>
      <w:r>
        <w:rPr>
          <w:rFonts w:hint="eastAsia" w:ascii="宋体" w:hAnsi="宋体"/>
          <w:color w:val="auto"/>
          <w:kern w:val="0"/>
          <w:sz w:val="24"/>
          <w:highlight w:val="none"/>
        </w:rPr>
        <w:t xml:space="preserve">           </w:t>
      </w:r>
      <w:r>
        <w:rPr>
          <w:rFonts w:hint="default" w:ascii="宋体" w:hAnsi="宋体"/>
          <w:color w:val="auto"/>
          <w:kern w:val="2"/>
          <w:sz w:val="24"/>
          <w:highlight w:val="none"/>
          <w:lang w:val="en-US" w:eastAsia="zh-CN"/>
        </w:rPr>
        <w:t xml:space="preserve">  </w:t>
      </w:r>
      <w:r>
        <w:rPr>
          <w:rFonts w:ascii="宋体" w:hAnsi="宋体"/>
          <w:color w:val="auto"/>
          <w:kern w:val="0"/>
          <w:sz w:val="24"/>
          <w:highlight w:val="none"/>
        </w:rPr>
        <w:t>购网公告中标结果</w:t>
      </w:r>
      <w:r>
        <w:rPr>
          <w:rFonts w:ascii="宋体" w:hAnsi="宋体"/>
          <w:color w:val="auto"/>
          <w:sz w:val="24"/>
          <w:highlight w:val="none"/>
        </w:rPr>
        <w:t>，同时向中标人发出中标通知书，中标公告期限为1个工作日。</w:t>
      </w:r>
      <w:r>
        <w:rPr>
          <w:rFonts w:hint="eastAsia" w:ascii="宋体" w:hAnsi="宋体"/>
          <w:color w:val="auto"/>
          <w:sz w:val="24"/>
          <w:highlight w:val="none"/>
        </w:rPr>
        <w:t>项目采购采用最低评标（审）价法的，公告中标、成交结果时应当同时公告因落实政府采购政策等原因进行价格扣除后中标、成交投标人的评审报</w:t>
      </w:r>
      <w:r>
        <w:rPr>
          <w:rFonts w:ascii="宋体" w:hAnsi="宋体"/>
          <w:color w:val="auto"/>
          <w:sz w:val="24"/>
          <w:highlight w:val="none"/>
        </w:rPr>
        <w:t>价；项目采购采用综合评分法的，公告中标、成交结果时应当同时公告中标、成交投标人的评审总得分。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中标通知书对采购人和中标投标人均具有法律效力。中标通知书发出后，采购人改变中标结果的，或者中标投标人放弃中标项目的，应当依法承担法律责任。</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废标</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在招标采购中，出现下列情形之一的，应予废标：</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24.1.1</w:t>
      </w:r>
      <w:r>
        <w:rPr>
          <w:rFonts w:ascii="宋体" w:hAnsi="宋体"/>
          <w:color w:val="auto"/>
          <w:sz w:val="24"/>
          <w:highlight w:val="none"/>
        </w:rPr>
        <w:t>符合专业条件的投标人或者对招标文件作实质响应的投标人不足三家的；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24.1.2</w:t>
      </w:r>
      <w:r>
        <w:rPr>
          <w:rFonts w:ascii="宋体" w:hAnsi="宋体"/>
          <w:color w:val="auto"/>
          <w:sz w:val="24"/>
          <w:highlight w:val="none"/>
        </w:rPr>
        <w:t>出现影响采购公正的违法、违规行为的；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24.1.3</w:t>
      </w:r>
      <w:r>
        <w:rPr>
          <w:rFonts w:ascii="宋体" w:hAnsi="宋体"/>
          <w:color w:val="auto"/>
          <w:sz w:val="24"/>
          <w:highlight w:val="none"/>
        </w:rPr>
        <w:t>投标人的报价均超过了采购预算，采购人不能支付的；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24.1.4</w:t>
      </w:r>
      <w:r>
        <w:rPr>
          <w:rFonts w:ascii="宋体" w:hAnsi="宋体"/>
          <w:color w:val="auto"/>
          <w:sz w:val="24"/>
          <w:highlight w:val="none"/>
        </w:rPr>
        <w:t>因重大变故，采购任务取消的。</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废标后，采购人将废标理由通知所有投标人。</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签订合同</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。中标人就采购项目和分包项目向采购人负责，分包投标人就分包项目承担责任。</w:t>
      </w:r>
    </w:p>
    <w:p>
      <w:pPr>
        <w:pStyle w:val="288"/>
        <w:numPr>
          <w:ilvl w:val="1"/>
          <w:numId w:val="15"/>
        </w:numPr>
        <w:ind w:firstLineChars="0"/>
        <w:rPr>
          <w:rFonts w:hint="eastAsia" w:ascii="宋体" w:hAnsi="宋体"/>
          <w:color w:val="auto"/>
          <w:sz w:val="24"/>
          <w:highlight w:val="none"/>
        </w:rPr>
      </w:pPr>
      <w:r>
        <w:rPr>
          <w:rFonts w:hint="eastAsia" w:ascii="宋体" w:hAnsi="宋体"/>
          <w:color w:val="auto"/>
          <w:sz w:val="24"/>
          <w:highlight w:val="none"/>
        </w:rPr>
        <w:t>“政采贷”融资指引：详见《投标人须知资料表》。</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26.1.1</w:t>
      </w:r>
      <w:r>
        <w:rPr>
          <w:rFonts w:hint="eastAsia" w:ascii="宋体" w:hAnsi="宋体"/>
          <w:color w:val="auto"/>
          <w:sz w:val="24"/>
          <w:highlight w:val="none"/>
        </w:rPr>
        <w:t>投标人对政府采购活动事项有疑问的，可依法向采购人或采购代理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机构提出询问，提出形式见《投标人须知资料表》</w:t>
      </w:r>
      <w:r>
        <w:rPr>
          <w:rFonts w:ascii="宋体" w:hAnsi="宋体"/>
          <w:color w:val="auto"/>
          <w:sz w:val="24"/>
          <w:highlight w:val="none"/>
        </w:rPr>
        <w:t>。</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26.1.2</w:t>
      </w:r>
      <w:r>
        <w:rPr>
          <w:rFonts w:hint="eastAsia" w:ascii="宋体" w:hAnsi="宋体"/>
          <w:color w:val="auto"/>
          <w:sz w:val="24"/>
          <w:highlight w:val="none"/>
        </w:rPr>
        <w:t>采购人或采购代理机构对投标人依法提出的询问，在3个工作日内作</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出答复，但答复的内容不得涉及商业秘密。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26.2.1</w:t>
      </w:r>
      <w:r>
        <w:rPr>
          <w:rFonts w:ascii="宋体" w:hAnsi="宋体"/>
          <w:color w:val="auto"/>
          <w:sz w:val="24"/>
          <w:highlight w:val="none"/>
        </w:rPr>
        <w:t>投标人认为招标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26.2.2</w:t>
      </w:r>
      <w:r>
        <w:rPr>
          <w:rFonts w:ascii="宋体" w:hAnsi="宋体"/>
          <w:color w:val="auto"/>
          <w:sz w:val="24"/>
          <w:highlight w:val="none"/>
        </w:rPr>
        <w:t>质疑函须使用财政部制定的范本文件。</w:t>
      </w:r>
      <w:r>
        <w:rPr>
          <w:rFonts w:hint="eastAsia" w:ascii="宋体" w:hAnsi="宋体"/>
          <w:color w:val="auto"/>
          <w:sz w:val="24"/>
          <w:highlight w:val="none"/>
        </w:rPr>
        <w:t>投标人为自然人的，质疑函应当由本人签字； 投标人为法人或者其他组织的，质疑函应当由法定代表人、主要负责人，或者其授权代表签字或者盖章，并加盖公章。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26.2.3</w:t>
      </w:r>
      <w:r>
        <w:rPr>
          <w:rFonts w:hint="eastAsia" w:ascii="宋体" w:hAnsi="宋体"/>
          <w:color w:val="auto"/>
          <w:sz w:val="24"/>
          <w:highlight w:val="none"/>
        </w:rPr>
        <w:t>投标人委托代理人进行质疑的，应当随质疑函同时提交投标人签署的授权委托书。授权委托书应当载明代理人的姓名或者名称、代理事项、 具体权限、期限和相关事项。</w:t>
      </w:r>
      <w:r>
        <w:rPr>
          <w:rFonts w:ascii="宋体" w:hAnsi="宋体"/>
          <w:color w:val="auto"/>
          <w:sz w:val="24"/>
          <w:highlight w:val="none"/>
        </w:rPr>
        <w:t>投标人为自然人的，应当由本人签字；投标人为法人或者其他组织的，应当由法定代表人、主要负责人签字或者盖章，并加盖公章。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26.2.4</w:t>
      </w: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15"/>
        </w:numPr>
        <w:tabs>
          <w:tab w:val="left" w:pos="1080"/>
          <w:tab w:val="left" w:pos="1589"/>
          <w:tab w:val="left" w:pos="2014"/>
        </w:tabs>
        <w:snapToGrid w:val="0"/>
        <w:spacing w:line="360" w:lineRule="auto"/>
        <w:ind w:left="1077" w:hanging="720"/>
        <w:rPr>
          <w:rFonts w:hint="eastAsia" w:ascii="宋体" w:hAnsi="宋体" w:eastAsia="宋体" w:cs="宋体"/>
          <w:color w:val="auto"/>
          <w:sz w:val="24"/>
          <w:highlight w:val="none"/>
        </w:rPr>
      </w:pPr>
      <w:r>
        <w:rPr>
          <w:rFonts w:ascii="宋体" w:hAnsi="宋体"/>
          <w:color w:val="auto"/>
          <w:sz w:val="24"/>
          <w:highlight w:val="none"/>
        </w:rPr>
        <w:t>接收询问和质疑的联系部门、联系电话和通讯地址见《投标人须知资料表》</w:t>
      </w:r>
      <w:r>
        <w:rPr>
          <w:rFonts w:hint="eastAsia" w:ascii="宋体" w:hAnsi="宋体"/>
          <w:color w:val="auto"/>
          <w:sz w:val="24"/>
          <w:highlight w:val="none"/>
        </w:rPr>
        <w:t>。</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numPr>
          <w:ilvl w:val="0"/>
          <w:numId w:val="15"/>
        </w:numPr>
        <w:tabs>
          <w:tab w:val="left" w:pos="360"/>
          <w:tab w:val="left"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p>
      <w:pPr>
        <w:tabs>
          <w:tab w:val="left" w:pos="1080"/>
          <w:tab w:val="left" w:pos="1589"/>
          <w:tab w:val="left" w:pos="2014"/>
        </w:tabs>
        <w:snapToGrid w:val="0"/>
        <w:spacing w:line="360" w:lineRule="auto"/>
        <w:ind w:left="142"/>
        <w:rPr>
          <w:rFonts w:hint="eastAsia" w:ascii="宋体" w:hAnsi="宋体" w:eastAsia="宋体" w:cs="宋体"/>
          <w:color w:val="auto"/>
          <w:sz w:val="24"/>
          <w:highlight w:val="none"/>
        </w:rPr>
      </w:pPr>
      <w:bookmarkStart w:id="172" w:name="_Toc226337250"/>
      <w:bookmarkStart w:id="173" w:name="_Toc265228392"/>
      <w:bookmarkStart w:id="174" w:name="_Toc150480792"/>
      <w:bookmarkStart w:id="175" w:name="_Toc142311056"/>
      <w:bookmarkStart w:id="176" w:name="_Toc305158896"/>
      <w:bookmarkStart w:id="177" w:name="_Toc305158822"/>
      <w:bookmarkStart w:id="178" w:name="_Toc353825544"/>
      <w:bookmarkStart w:id="179" w:name="_Toc264969244"/>
      <w:bookmarkStart w:id="180" w:name="_Toc353873934"/>
      <w:bookmarkStart w:id="181" w:name="_Toc226965827"/>
      <w:bookmarkStart w:id="182" w:name="_Toc150774759"/>
      <w:bookmarkStart w:id="183" w:name="_Toc353873664"/>
      <w:bookmarkStart w:id="184" w:name="_Toc127151554"/>
      <w:r>
        <w:rPr>
          <w:rFonts w:hint="eastAsia" w:ascii="宋体" w:hAnsi="宋体" w:eastAsia="宋体" w:cs="宋体"/>
          <w:color w:val="auto"/>
          <w:sz w:val="24"/>
          <w:highlight w:val="none"/>
        </w:rPr>
        <w:t>27.1收费对象、收费标准及缴纳时间见《投标人须知资料表》。由中标人支付的，中标人须一次性向采购代理机构缴纳代理费，投标报价应包含代理费用。</w:t>
      </w:r>
    </w:p>
    <w:p>
      <w:pPr>
        <w:spacing w:line="360" w:lineRule="auto"/>
        <w:ind w:firstLine="240" w:firstLineChars="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27.2</w:t>
      </w:r>
      <w:r>
        <w:rPr>
          <w:rFonts w:hint="eastAsia" w:ascii="宋体" w:hAnsi="宋体" w:eastAsia="宋体" w:cs="宋体"/>
          <w:b/>
          <w:bCs/>
          <w:color w:val="auto"/>
          <w:sz w:val="24"/>
          <w:highlight w:val="none"/>
        </w:rPr>
        <w:t>收费标准执行附表标准：</w:t>
      </w:r>
    </w:p>
    <w:tbl>
      <w:tblPr>
        <w:tblStyle w:val="47"/>
        <w:tblW w:w="8027"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1560"/>
        <w:gridCol w:w="169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exact"/>
        </w:trPr>
        <w:tc>
          <w:tcPr>
            <w:tcW w:w="2968" w:type="dxa"/>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874520" cy="238760"/>
                      <wp:effectExtent l="635" t="4445" r="10795" b="23495"/>
                      <wp:wrapNone/>
                      <wp:docPr id="110028658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74520" cy="23876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5.4pt;margin-top:-0.5pt;height:18.8pt;width:147.6pt;z-index:251659264;mso-width-relative:page;mso-height-relative:page;" filled="f" stroked="t" coordsize="21600,21600" o:gfxdata="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VgETz2AAAAAkBAAAPAAAAAAAAAAEA&#10;IAAAACIAAABkcnMvZG93bnJldi54bWxQSwECFAAUAAAACACHTuJAWj/LYdYBAABqAwAADgAAAAAA&#10;AAABACAAAAAnAQAAZHJzL2Uyb0RvYy54bWxQSwUGAAAAAAYABgBZAQAAbwU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 xml:space="preserve">                  费率</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中标（成交）金额</w:t>
            </w:r>
          </w:p>
        </w:tc>
        <w:tc>
          <w:tcPr>
            <w:tcW w:w="1560" w:type="dxa"/>
            <w:vAlign w:val="center"/>
          </w:tcPr>
          <w:p>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69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80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100～200万元（含）</w:t>
            </w:r>
          </w:p>
        </w:tc>
        <w:tc>
          <w:tcPr>
            <w:tcW w:w="1560"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200～500万元（含）</w:t>
            </w:r>
          </w:p>
        </w:tc>
        <w:tc>
          <w:tcPr>
            <w:tcW w:w="1560" w:type="dxa"/>
          </w:tcPr>
          <w:p>
            <w:pPr>
              <w:ind w:right="569" w:rightChars="271"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500～1000万元（含）</w:t>
            </w:r>
          </w:p>
        </w:tc>
        <w:tc>
          <w:tcPr>
            <w:tcW w:w="1560"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exact"/>
        </w:trPr>
        <w:tc>
          <w:tcPr>
            <w:tcW w:w="8027" w:type="dxa"/>
            <w:gridSpan w:val="4"/>
          </w:tcPr>
          <w:p>
            <w:pPr>
              <w:spacing w:after="0"/>
              <w:ind w:right="569" w:rightChars="2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100万元以下的项目收取定额代理费，其中：</w:t>
            </w:r>
          </w:p>
          <w:p>
            <w:pPr>
              <w:ind w:right="569" w:rightChars="2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20万元（含）以下的各类项目收取3000元，20～50万元（含）的各类项目收取8000元，50～100万元（含）货物和服务类项目收取1.5万元，50～100万元（含）工程类项目收取1万元。</w:t>
            </w:r>
          </w:p>
        </w:tc>
      </w:tr>
    </w:tbl>
    <w:p>
      <w:pPr>
        <w:tabs>
          <w:tab w:val="left" w:pos="1080"/>
          <w:tab w:val="left" w:pos="1589"/>
          <w:tab w:val="left" w:pos="2014"/>
        </w:tabs>
        <w:snapToGrid w:val="0"/>
        <w:spacing w:line="360" w:lineRule="auto"/>
        <w:ind w:left="142"/>
        <w:rPr>
          <w:rFonts w:hint="eastAsia" w:ascii="宋体" w:hAnsi="宋体" w:eastAsia="宋体" w:cs="宋体"/>
          <w:color w:val="auto"/>
          <w:sz w:val="24"/>
          <w:highlight w:val="none"/>
        </w:rPr>
      </w:pPr>
    </w:p>
    <w:p>
      <w:pPr>
        <w:pStyle w:val="23"/>
        <w:spacing w:line="360" w:lineRule="auto"/>
        <w:jc w:val="center"/>
        <w:outlineLvl w:val="0"/>
        <w:rPr>
          <w:rFonts w:hint="eastAsia" w:ascii="宋体" w:hAnsi="宋体" w:eastAsia="宋体" w:cs="宋体"/>
          <w:b/>
          <w:color w:val="auto"/>
          <w:sz w:val="36"/>
          <w:szCs w:val="36"/>
          <w:highlight w:val="none"/>
        </w:rPr>
        <w:sectPr>
          <w:headerReference r:id="rId6" w:type="first"/>
          <w:footerReference r:id="rId8" w:type="first"/>
          <w:headerReference r:id="rId5" w:type="even"/>
          <w:footerReference r:id="rId7" w:type="even"/>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185" w:name="_Toc192872477"/>
      <w:r>
        <w:rPr>
          <w:rFonts w:hint="eastAsia" w:ascii="宋体" w:hAnsi="宋体" w:eastAsia="宋体" w:cs="宋体"/>
          <w:b/>
          <w:color w:val="auto"/>
          <w:sz w:val="36"/>
          <w:szCs w:val="36"/>
          <w:highlight w:val="none"/>
        </w:rPr>
        <w:t xml:space="preserve">第三章   </w:t>
      </w:r>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eastAsia="宋体" w:cs="宋体"/>
          <w:b/>
          <w:color w:val="auto"/>
          <w:sz w:val="36"/>
          <w:szCs w:val="36"/>
          <w:highlight w:val="none"/>
        </w:rPr>
        <w:t>资格审查</w:t>
      </w:r>
      <w:bookmarkEnd w:id="185"/>
      <w:bookmarkStart w:id="186" w:name="_Toc487900382"/>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bookmarkStart w:id="187" w:name="_Toc99301422"/>
      <w:r>
        <w:rPr>
          <w:rFonts w:hint="eastAsia" w:ascii="宋体" w:hAnsi="宋体" w:eastAsia="宋体" w:cs="宋体"/>
          <w:b/>
          <w:color w:val="auto"/>
          <w:sz w:val="24"/>
          <w:highlight w:val="none"/>
        </w:rPr>
        <w:t>一、资格审查程序</w:t>
      </w:r>
      <w:bookmarkEnd w:id="187"/>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开标结束后，采购人或采购代理机构将根据《资格审查要求》中的规定，对投标人进行资格审查，并形成资格审查结果。</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《资格审查要求》中对格式有要求的，除招标文件另有规定外，均为“实质性格式”文件。</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投标人《资格证明文件》有任何一项不符合《资格审查要求》的，资格审查不合格，其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二、资格审查要求</w:t>
      </w:r>
    </w:p>
    <w:tbl>
      <w:tblPr>
        <w:tblStyle w:val="47"/>
        <w:tblW w:w="92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301"/>
        <w:gridCol w:w="4644"/>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3" w:hRule="atLeast"/>
          <w:tblHeader/>
        </w:trPr>
        <w:tc>
          <w:tcPr>
            <w:tcW w:w="710"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bookmarkStart w:id="188" w:name="_Hlt487972895"/>
            <w:bookmarkEnd w:id="188"/>
            <w:r>
              <w:rPr>
                <w:rFonts w:hint="eastAsia" w:ascii="宋体" w:hAnsi="宋体" w:eastAsia="宋体" w:cs="宋体"/>
                <w:b/>
                <w:color w:val="auto"/>
                <w:sz w:val="24"/>
                <w:highlight w:val="none"/>
              </w:rPr>
              <w:t>序号</w:t>
            </w:r>
          </w:p>
        </w:tc>
        <w:tc>
          <w:tcPr>
            <w:tcW w:w="2301"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4644"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578"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满足《中华人民共和国政府采购法》第二十二条规定及法律法规的其他规定</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具体规定见第一章《投标邀请》</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89" w:name="OLE_LINK12"/>
            <w:r>
              <w:rPr>
                <w:rFonts w:hint="eastAsia" w:ascii="宋体" w:hAnsi="宋体" w:eastAsia="宋体" w:cs="宋体"/>
                <w:color w:val="auto"/>
                <w:sz w:val="24"/>
                <w:highlight w:val="none"/>
              </w:rPr>
              <w:t>投标人为企业（包括合伙企业）的，应提供有效的“营业执照”；</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投标人为事业单位的，应提供有效的“事业单位法人证书”；</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投标人是非企业机构的，应提供有效的“执业许可证”、“登记证书”等证明文件；</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投标人是个体工商户的，应提供有效的“个体工商户营业执照”；</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投标人是自然人的，应提供有效的自然人身份证明。</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bookmarkEnd w:id="189"/>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投标人资格声明书</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0" w:name="OLE_LINK11"/>
            <w:r>
              <w:rPr>
                <w:rFonts w:hint="eastAsia" w:ascii="宋体" w:hAnsi="宋体" w:eastAsia="宋体" w:cs="宋体"/>
                <w:color w:val="auto"/>
                <w:sz w:val="24"/>
                <w:highlight w:val="none"/>
              </w:rPr>
              <w:t>提供了符合招标文件要求的《投标人资格声明书》。</w:t>
            </w:r>
            <w:bookmarkEnd w:id="190"/>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1" w:name="OLE_LINK50"/>
            <w:r>
              <w:rPr>
                <w:rFonts w:hint="eastAsia" w:ascii="宋体" w:hAnsi="宋体" w:eastAsia="宋体" w:cs="宋体"/>
                <w:color w:val="auto"/>
                <w:sz w:val="24"/>
                <w:highlight w:val="none"/>
              </w:rPr>
              <w:t>投标人信用记录</w:t>
            </w:r>
            <w:bookmarkEnd w:id="191"/>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pPr>
              <w:tabs>
                <w:tab w:val="left" w:pos="900"/>
                <w:tab w:val="left" w:pos="19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截止时点：投标截止时间以后、资格审查阶段采购人或采购代理机构的实际查询时间；</w:t>
            </w:r>
          </w:p>
          <w:p>
            <w:pPr>
              <w:tabs>
                <w:tab w:val="left" w:pos="900"/>
                <w:tab w:val="left" w:pos="19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信用信息查询记录和证据留存具体方式：查询结果网页截图或打印页作为查询记录和证据，与其他招标文件一并保存；</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。联合体形式投标的，联合体成员存在不良信用记录，视同联合体存在不良信用记录。</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如有，见第一章《投标邀请》</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2" w:name="OLE_LINK10"/>
            <w:r>
              <w:rPr>
                <w:rFonts w:hint="eastAsia" w:ascii="宋体" w:hAnsi="宋体" w:eastAsia="宋体" w:cs="宋体"/>
                <w:color w:val="auto"/>
                <w:sz w:val="24"/>
                <w:highlight w:val="none"/>
              </w:rPr>
              <w:t>特定资格要求</w:t>
            </w:r>
            <w:bookmarkEnd w:id="192"/>
          </w:p>
        </w:tc>
        <w:tc>
          <w:tcPr>
            <w:tcW w:w="4644" w:type="dxa"/>
            <w:vAlign w:val="center"/>
          </w:tcPr>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投标人需具有农业农村部门颁发的兽药生产许可证。</w:t>
            </w:r>
          </w:p>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投标人须具备所投各疫苗品种(毒株)的有效兽药产品批准文号（涉及农业农村部统一变更某产品名称和毒株的，变更后的产品批准文号文件同样有效）。</w:t>
            </w:r>
          </w:p>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投标人需具有农业农村部门颁发的中华人民共和国兽药GMP证书。</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提供证明文件的电子件或电子证照加盖投标人公章；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301" w:type="dxa"/>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获取招标文件</w:t>
            </w:r>
          </w:p>
        </w:tc>
        <w:tc>
          <w:tcPr>
            <w:tcW w:w="464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在规定期限内通过北京市政府采购电子交易平台获取所参与包的招标文件。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注：如本项目接受联合体，且供应商为联合体时，联合体中任一成员获取文件即视为满足要求。</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186"/>
    </w:tbl>
    <w:p>
      <w:pPr>
        <w:widowControl/>
        <w:jc w:val="left"/>
        <w:rPr>
          <w:rFonts w:hint="eastAsia" w:ascii="宋体" w:hAnsi="宋体" w:eastAsia="宋体" w:cs="宋体"/>
          <w:color w:val="auto"/>
          <w:sz w:val="24"/>
          <w:highlight w:val="none"/>
        </w:rPr>
      </w:pPr>
      <w:bookmarkStart w:id="193" w:name="_Toc353825550"/>
      <w:bookmarkStart w:id="194" w:name="_Toc127161490"/>
      <w:bookmarkStart w:id="195" w:name="_Toc353873940"/>
      <w:bookmarkStart w:id="196" w:name="_Toc226965858"/>
      <w:bookmarkStart w:id="197" w:name="_Toc127151779"/>
      <w:r>
        <w:rPr>
          <w:rFonts w:hint="eastAsia" w:ascii="宋体" w:hAnsi="宋体" w:eastAsia="宋体" w:cs="宋体"/>
          <w:color w:val="auto"/>
          <w:sz w:val="24"/>
          <w:highlight w:val="none"/>
        </w:rPr>
        <w:br w:type="page"/>
      </w:r>
    </w:p>
    <w:p>
      <w:pPr>
        <w:spacing w:line="360" w:lineRule="auto"/>
        <w:jc w:val="center"/>
        <w:outlineLvl w:val="0"/>
        <w:rPr>
          <w:rFonts w:hint="eastAsia" w:ascii="宋体" w:hAnsi="宋体" w:eastAsia="宋体" w:cs="宋体"/>
          <w:b/>
          <w:color w:val="auto"/>
          <w:sz w:val="36"/>
          <w:szCs w:val="36"/>
          <w:highlight w:val="none"/>
        </w:rPr>
      </w:pPr>
      <w:bookmarkStart w:id="198" w:name="_Toc192872478"/>
      <w:r>
        <w:rPr>
          <w:rFonts w:hint="eastAsia" w:ascii="宋体" w:hAnsi="宋体" w:eastAsia="宋体" w:cs="宋体"/>
          <w:b/>
          <w:color w:val="auto"/>
          <w:sz w:val="36"/>
          <w:szCs w:val="36"/>
          <w:highlight w:val="none"/>
        </w:rPr>
        <w:t xml:space="preserve">第四章   </w:t>
      </w:r>
      <w:bookmarkEnd w:id="193"/>
      <w:bookmarkEnd w:id="194"/>
      <w:bookmarkEnd w:id="195"/>
      <w:bookmarkEnd w:id="196"/>
      <w:bookmarkEnd w:id="197"/>
      <w:bookmarkStart w:id="199" w:name="_Hlt164229061"/>
      <w:bookmarkEnd w:id="199"/>
      <w:r>
        <w:rPr>
          <w:rFonts w:hint="eastAsia" w:ascii="宋体" w:hAnsi="宋体" w:eastAsia="宋体" w:cs="宋体"/>
          <w:b/>
          <w:color w:val="auto"/>
          <w:sz w:val="36"/>
          <w:szCs w:val="36"/>
          <w:highlight w:val="none"/>
        </w:rPr>
        <w:t>评标方法和评标标准</w:t>
      </w:r>
      <w:bookmarkEnd w:id="198"/>
    </w:p>
    <w:p>
      <w:pPr>
        <w:tabs>
          <w:tab w:val="left" w:pos="360"/>
          <w:tab w:val="left" w:pos="900"/>
        </w:tabs>
        <w:snapToGrid w:val="0"/>
        <w:spacing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一、评标方法</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bookmarkStart w:id="200" w:name="_Toc164229382"/>
      <w:bookmarkStart w:id="201" w:name="_Toc264969231"/>
      <w:bookmarkStart w:id="202" w:name="_Toc305158883"/>
      <w:bookmarkStart w:id="203" w:name="_Toc226337237"/>
      <w:bookmarkStart w:id="204" w:name="_Toc226309785"/>
      <w:bookmarkStart w:id="205" w:name="_Toc149720834"/>
      <w:bookmarkStart w:id="206" w:name="_Toc151193639"/>
      <w:bookmarkStart w:id="207" w:name="_Toc164608655"/>
      <w:bookmarkStart w:id="208" w:name="_Toc151190168"/>
      <w:bookmarkStart w:id="209" w:name="_Toc127151742"/>
      <w:bookmarkStart w:id="210" w:name="_Toc151193855"/>
      <w:bookmarkStart w:id="211" w:name="_Toc151193929"/>
      <w:bookmarkStart w:id="212" w:name="_Toc151193783"/>
      <w:bookmarkStart w:id="213" w:name="_Toc164229236"/>
      <w:bookmarkStart w:id="214" w:name="_Toc150509292"/>
      <w:bookmarkStart w:id="215" w:name="_Toc151193711"/>
      <w:bookmarkStart w:id="216" w:name="_Toc195842906"/>
      <w:bookmarkStart w:id="217" w:name="_Toc142311043"/>
      <w:bookmarkStart w:id="218" w:name="_Toc150480779"/>
      <w:bookmarkStart w:id="219" w:name="_Toc150774746"/>
      <w:bookmarkStart w:id="220" w:name="_Toc226965814"/>
      <w:bookmarkStart w:id="221" w:name="_Toc226965731"/>
      <w:bookmarkStart w:id="222" w:name="_Toc127151541"/>
      <w:bookmarkStart w:id="223" w:name="_Toc164351635"/>
      <w:bookmarkStart w:id="224" w:name="_Toc265228379"/>
      <w:bookmarkStart w:id="225" w:name="_Toc164608810"/>
      <w:bookmarkStart w:id="226" w:name="_Toc305158809"/>
      <w:bookmarkStart w:id="227" w:name="_Toc127161455"/>
      <w:bookmarkStart w:id="228" w:name="_Toc150774641"/>
      <w:bookmarkStart w:id="229" w:name="_Toc353873941"/>
      <w:bookmarkStart w:id="230" w:name="_Toc353825551"/>
      <w:bookmarkStart w:id="231" w:name="_Toc142311057"/>
      <w:bookmarkStart w:id="232" w:name="_Toc305158823"/>
      <w:bookmarkStart w:id="233" w:name="_Toc353873935"/>
      <w:bookmarkStart w:id="234" w:name="_Toc127151555"/>
      <w:bookmarkStart w:id="235" w:name="_Toc353825545"/>
      <w:bookmarkStart w:id="236" w:name="_Toc264969245"/>
      <w:bookmarkStart w:id="237" w:name="_Toc353873665"/>
      <w:bookmarkStart w:id="238" w:name="_Toc305158897"/>
      <w:bookmarkStart w:id="239" w:name="_Toc150774760"/>
      <w:bookmarkStart w:id="240" w:name="_Toc226965828"/>
      <w:bookmarkStart w:id="241" w:name="_Toc150480793"/>
      <w:bookmarkStart w:id="242" w:name="_Toc195842920"/>
      <w:bookmarkStart w:id="243" w:name="_Toc265228393"/>
      <w:bookmarkStart w:id="244" w:name="_Toc226337251"/>
      <w:r>
        <w:rPr>
          <w:rFonts w:hint="eastAsia" w:ascii="宋体" w:hAnsi="宋体" w:eastAsia="宋体" w:cs="宋体"/>
          <w:color w:val="auto"/>
          <w:sz w:val="24"/>
          <w:highlight w:val="none"/>
        </w:rPr>
        <w:t>投标文件的符合性审查</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评标委员会对资格审查合格的投标人的投标文件进行符合性审查，以确定其是否满足招标文件的实质性要求。</w:t>
      </w:r>
      <w:bookmarkStart w:id="245" w:name="_Toc520356167"/>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5"/>
      <w:r>
        <w:rPr>
          <w:rFonts w:hint="eastAsia" w:ascii="宋体" w:hAnsi="宋体" w:eastAsia="宋体" w:cs="宋体"/>
          <w:color w:val="auto"/>
          <w:sz w:val="24"/>
          <w:highlight w:val="none"/>
        </w:rPr>
        <w:t>要求的，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符合性审查要求</w:t>
      </w:r>
    </w:p>
    <w:tbl>
      <w:tblPr>
        <w:tblStyle w:val="47"/>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46"/>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22"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1746"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6475"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46" w:name="_Hlk196842304"/>
            <w:r>
              <w:rPr>
                <w:rFonts w:hint="eastAsia" w:ascii="宋体" w:hAnsi="宋体" w:eastAsia="宋体" w:cs="宋体"/>
                <w:color w:val="auto"/>
                <w:kern w:val="0"/>
                <w:sz w:val="24"/>
                <w:highlight w:val="none"/>
              </w:rPr>
              <w:t>1</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授权委托书</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按招标文件要求提供授权委托书；</w:t>
            </w:r>
          </w:p>
        </w:tc>
      </w:tr>
      <w:bookmarkEnd w:id="2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47" w:name="OLE_LINK13"/>
            <w:r>
              <w:rPr>
                <w:rFonts w:hint="eastAsia" w:ascii="宋体" w:hAnsi="宋体" w:eastAsia="宋体" w:cs="宋体"/>
                <w:color w:val="auto"/>
                <w:kern w:val="0"/>
                <w:sz w:val="24"/>
                <w:highlight w:val="none"/>
              </w:rPr>
              <w:t>投标完整性</w:t>
            </w:r>
            <w:bookmarkEnd w:id="247"/>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48" w:name="_Hlk196842154"/>
            <w:r>
              <w:rPr>
                <w:rFonts w:hint="eastAsia" w:ascii="宋体" w:hAnsi="宋体" w:eastAsia="宋体" w:cs="宋体"/>
                <w:color w:val="auto"/>
                <w:kern w:val="0"/>
                <w:sz w:val="24"/>
                <w:highlight w:val="none"/>
              </w:rPr>
              <w:t>3</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49" w:name="OLE_LINK28"/>
            <w:r>
              <w:rPr>
                <w:rFonts w:hint="eastAsia" w:ascii="宋体" w:hAnsi="宋体" w:eastAsia="宋体" w:cs="宋体"/>
                <w:color w:val="auto"/>
                <w:kern w:val="0"/>
                <w:sz w:val="24"/>
                <w:highlight w:val="none"/>
              </w:rPr>
              <w:t>投标报价未</w:t>
            </w:r>
            <w:r>
              <w:rPr>
                <w:rFonts w:hint="eastAsia" w:ascii="宋体" w:hAnsi="宋体" w:eastAsia="宋体" w:cs="宋体"/>
                <w:color w:val="auto"/>
                <w:sz w:val="24"/>
                <w:highlight w:val="none"/>
              </w:rPr>
              <w:t>超过招标文件中规定的项目/采购包预算金额或者项目/采购包最高限价</w:t>
            </w:r>
            <w:r>
              <w:rPr>
                <w:rFonts w:hint="eastAsia" w:ascii="宋体" w:hAnsi="宋体" w:eastAsia="宋体" w:cs="宋体"/>
                <w:color w:val="auto"/>
                <w:kern w:val="0"/>
                <w:sz w:val="24"/>
                <w:highlight w:val="none"/>
              </w:rPr>
              <w:t>；</w:t>
            </w:r>
            <w:bookmarkEnd w:id="249"/>
          </w:p>
        </w:tc>
      </w:tr>
      <w:bookmarkEnd w:id="2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报价唯一性</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投标文件未</w:t>
            </w:r>
            <w:r>
              <w:rPr>
                <w:rFonts w:hint="eastAsia" w:ascii="宋体" w:hAnsi="宋体" w:eastAsia="宋体" w:cs="宋体"/>
                <w:color w:val="auto"/>
                <w:sz w:val="24"/>
                <w:highlight w:val="none"/>
              </w:rPr>
              <w:t>出现可选择性或可调整的报价（招标文件另有规定的除外）</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50" w:name="_Hlk196842161"/>
            <w:r>
              <w:rPr>
                <w:rFonts w:hint="eastAsia" w:ascii="宋体" w:hAnsi="宋体" w:eastAsia="宋体" w:cs="宋体"/>
                <w:color w:val="auto"/>
                <w:kern w:val="0"/>
                <w:sz w:val="24"/>
                <w:highlight w:val="none"/>
              </w:rPr>
              <w:t>5</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投标有效期</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投标文件中承诺的投标有效期满足招标文件中载明的投标有效期的；</w:t>
            </w:r>
          </w:p>
        </w:tc>
      </w:tr>
      <w:bookmarkEnd w:id="2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51" w:name="_Hlk201755809"/>
            <w:r>
              <w:rPr>
                <w:rFonts w:hint="eastAsia" w:ascii="宋体" w:hAnsi="宋体" w:eastAsia="宋体" w:cs="宋体"/>
                <w:color w:val="auto"/>
                <w:kern w:val="0"/>
                <w:sz w:val="24"/>
                <w:highlight w:val="none"/>
              </w:rPr>
              <w:t>6</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实质性格式</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2" w:name="OLE_LINK55"/>
            <w:r>
              <w:rPr>
                <w:rFonts w:hint="eastAsia" w:ascii="宋体" w:hAnsi="宋体" w:eastAsia="宋体" w:cs="宋体"/>
                <w:color w:val="auto"/>
                <w:kern w:val="0"/>
                <w:sz w:val="24"/>
                <w:highlight w:val="none"/>
              </w:rPr>
              <w:t>标记为“实质性格式”的文件均按招标文件要求提供且签署、盖章的；</w:t>
            </w:r>
            <w:bookmarkEnd w:id="252"/>
          </w:p>
        </w:tc>
      </w:tr>
      <w:bookmarkEnd w:id="2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lang w:eastAsia="zh-CN"/>
              </w:rPr>
            </w:pPr>
            <w:bookmarkStart w:id="253" w:name="OLE_LINK24"/>
            <w:r>
              <w:rPr>
                <w:rFonts w:hint="eastAsia" w:ascii="宋体" w:hAnsi="宋体" w:eastAsia="宋体" w:cs="宋体"/>
                <w:color w:val="auto"/>
                <w:sz w:val="24"/>
                <w:highlight w:val="none"/>
              </w:rPr>
              <w:t>★号技术参数响应</w:t>
            </w:r>
            <w:bookmarkEnd w:id="253"/>
            <w:r>
              <w:rPr>
                <w:rFonts w:hint="eastAsia" w:ascii="宋体" w:hAnsi="宋体" w:eastAsia="宋体" w:cs="宋体"/>
                <w:color w:val="auto"/>
                <w:sz w:val="24"/>
                <w:highlight w:val="none"/>
                <w:lang w:val="en-US" w:eastAsia="zh-CN"/>
              </w:rPr>
              <w:t xml:space="preserve"> </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投标文件满足招标文件《采购需求》中★号技术参数要求；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1746"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报价的修正（如有）</w:t>
            </w:r>
          </w:p>
        </w:tc>
        <w:tc>
          <w:tcPr>
            <w:tcW w:w="6475" w:type="dxa"/>
            <w:vAlign w:val="center"/>
          </w:tcPr>
          <w:p>
            <w:pPr>
              <w:widowControl/>
              <w:spacing w:after="0" w:line="240" w:lineRule="auto"/>
              <w:jc w:val="left"/>
              <w:rPr>
                <w:rFonts w:hint="eastAsia" w:ascii="宋体" w:hAnsi="宋体" w:eastAsia="宋体" w:cs="宋体"/>
                <w:color w:val="auto"/>
                <w:sz w:val="24"/>
                <w:highlight w:val="none"/>
              </w:rPr>
            </w:pPr>
            <w:bookmarkStart w:id="254" w:name="OLE_LINK54"/>
            <w:r>
              <w:rPr>
                <w:rFonts w:hint="eastAsia" w:ascii="宋体" w:hAnsi="宋体" w:eastAsia="宋体" w:cs="宋体"/>
                <w:color w:val="auto"/>
                <w:sz w:val="24"/>
                <w:highlight w:val="none"/>
              </w:rPr>
              <w:t>不涉及报价修正，或投标文件报价出现前后不一致时，投标人对修正后的报价予以确认；（如有）</w:t>
            </w:r>
            <w:bookmarkEnd w:id="2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eastAsia="zh-CN"/>
              </w:rPr>
            </w:pPr>
            <w:bookmarkStart w:id="255" w:name="_Hlk201755829"/>
            <w:r>
              <w:rPr>
                <w:rFonts w:hint="eastAsia" w:ascii="宋体" w:hAnsi="宋体" w:eastAsia="宋体" w:cs="宋体"/>
                <w:color w:val="auto"/>
                <w:kern w:val="0"/>
                <w:sz w:val="24"/>
                <w:highlight w:val="none"/>
                <w:lang w:val="en-US" w:eastAsia="zh-CN"/>
              </w:rPr>
              <w:t>9</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lang w:eastAsia="zh-CN"/>
              </w:rPr>
            </w:pPr>
            <w:bookmarkStart w:id="256" w:name="OLE_LINK18"/>
            <w:r>
              <w:rPr>
                <w:rFonts w:hint="eastAsia" w:ascii="宋体" w:hAnsi="宋体" w:eastAsia="宋体" w:cs="宋体"/>
                <w:color w:val="auto"/>
                <w:kern w:val="0"/>
                <w:sz w:val="24"/>
                <w:highlight w:val="none"/>
              </w:rPr>
              <w:t>进口产品</w:t>
            </w:r>
            <w:bookmarkEnd w:id="256"/>
            <w:r>
              <w:rPr>
                <w:rFonts w:hint="eastAsia" w:ascii="宋体" w:hAnsi="宋体" w:eastAsia="宋体" w:cs="宋体"/>
                <w:color w:val="auto"/>
                <w:sz w:val="24"/>
                <w:highlight w:val="none"/>
                <w:lang w:val="en-US" w:eastAsia="zh-CN"/>
              </w:rPr>
              <w:t xml:space="preserve"> </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7" w:name="OLE_LINK26"/>
            <w:r>
              <w:rPr>
                <w:rFonts w:hint="eastAsia" w:ascii="宋体" w:hAnsi="宋体" w:eastAsia="宋体" w:cs="宋体"/>
                <w:color w:val="auto"/>
                <w:kern w:val="0"/>
                <w:sz w:val="24"/>
                <w:highlight w:val="none"/>
              </w:rPr>
              <w:t>招标文件不接受进口产品投标的内容时，投标人所投产品不含进口产品；</w:t>
            </w:r>
            <w:bookmarkEnd w:id="257"/>
          </w:p>
        </w:tc>
      </w:tr>
      <w:bookmarkEnd w:id="2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58" w:name="OLE_LINK19"/>
            <w:r>
              <w:rPr>
                <w:rFonts w:hint="eastAsia" w:ascii="宋体" w:hAnsi="宋体" w:eastAsia="宋体" w:cs="宋体"/>
                <w:color w:val="auto"/>
                <w:kern w:val="0"/>
                <w:sz w:val="24"/>
                <w:highlight w:val="none"/>
              </w:rPr>
              <w:t>公平竞争</w:t>
            </w:r>
            <w:bookmarkEnd w:id="258"/>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9" w:name="OLE_LINK25"/>
            <w:r>
              <w:rPr>
                <w:rFonts w:hint="eastAsia" w:ascii="宋体" w:hAnsi="宋体" w:eastAsia="宋体" w:cs="宋体"/>
                <w:color w:val="auto"/>
                <w:sz w:val="24"/>
                <w:highlight w:val="none"/>
              </w:rPr>
              <w:t>投标人遵循公平竞争的原则，不存在恶意串通，妨碍其他投标人的竞争行为，不存在损害采购人或者其他投标人的合法权益情形的；</w:t>
            </w:r>
            <w:bookmarkEnd w:id="2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dstrike/>
                <w:color w:val="auto"/>
                <w:kern w:val="0"/>
                <w:sz w:val="24"/>
                <w:highlight w:val="none"/>
                <w:lang w:val="en-US" w:eastAsia="zh-CN"/>
              </w:rPr>
            </w:pPr>
            <w:bookmarkStart w:id="260" w:name="_Hlk196842191"/>
            <w:r>
              <w:rPr>
                <w:rFonts w:hint="eastAsia" w:ascii="宋体" w:hAnsi="宋体" w:eastAsia="宋体" w:cs="宋体"/>
                <w:color w:val="auto"/>
                <w:kern w:val="0"/>
                <w:sz w:val="24"/>
                <w:highlight w:val="none"/>
                <w:lang w:val="en-US" w:eastAsia="zh-CN"/>
              </w:rPr>
              <w:t>11</w:t>
            </w:r>
          </w:p>
        </w:tc>
        <w:tc>
          <w:tcPr>
            <w:tcW w:w="1746" w:type="dxa"/>
            <w:vAlign w:val="center"/>
          </w:tcPr>
          <w:p>
            <w:pPr>
              <w:widowControl/>
              <w:spacing w:after="0" w:line="240" w:lineRule="auto"/>
              <w:jc w:val="left"/>
              <w:rPr>
                <w:rFonts w:hint="eastAsia" w:ascii="宋体" w:hAnsi="宋体" w:eastAsia="宋体" w:cs="宋体"/>
                <w:dstrike/>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w:t>
            </w:r>
            <w:r>
              <w:rPr>
                <w:rFonts w:hint="eastAsia" w:ascii="宋体" w:hAnsi="宋体" w:eastAsia="宋体" w:cs="宋体"/>
                <w:color w:val="auto"/>
                <w:sz w:val="24"/>
                <w:highlight w:val="none"/>
              </w:rPr>
              <w:t>（如有）</w:t>
            </w:r>
          </w:p>
        </w:tc>
        <w:tc>
          <w:tcPr>
            <w:tcW w:w="6475" w:type="dxa"/>
            <w:vAlign w:val="center"/>
          </w:tcPr>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国家有关部门对投标人的投标产品有强制性规定或要求的（如相应技术、安全、节能和环保等），投标人的投标产品应符合相应规定或要求，并提供证明文件电子件：</w:t>
            </w:r>
          </w:p>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1）采购的产品若属于《节能产品政府采购品目清单》范围中政府强制采购产品，则投标人所报产品必须获得国家确定的认证机构出具的、处于有效期之内的节能产品认证证书；</w:t>
            </w:r>
          </w:p>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pPr>
              <w:widowControl/>
              <w:adjustRightInd w:val="0"/>
              <w:snapToGrid w:val="0"/>
              <w:spacing w:after="0" w:line="240" w:lineRule="auto"/>
              <w:jc w:val="left"/>
              <w:rPr>
                <w:rFonts w:hint="eastAsia" w:ascii="宋体" w:hAnsi="宋体" w:eastAsia="宋体" w:cs="宋体"/>
                <w:dstrike/>
                <w:color w:val="auto"/>
                <w:sz w:val="24"/>
                <w:highlight w:val="none"/>
              </w:rPr>
            </w:pPr>
            <w:r>
              <w:rPr>
                <w:rFonts w:hint="eastAsia" w:ascii="宋体" w:hAnsi="宋体" w:eastAsia="宋体" w:cs="宋体"/>
                <w:color w:val="auto"/>
                <w:kern w:val="0"/>
                <w:sz w:val="24"/>
                <w:highlight w:val="none"/>
              </w:rPr>
              <w:t>3）项目中涉及涂料、胶黏剂、油墨、清洗剂等挥发性有机物产品，且属于强制性标准的，供应商应执行符合本市和国家的 VOCs 含量限制标准。</w:t>
            </w:r>
          </w:p>
        </w:tc>
      </w:tr>
      <w:bookmarkEnd w:id="2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bookmarkStart w:id="261" w:name="_Hlk196842245"/>
            <w:r>
              <w:rPr>
                <w:rFonts w:hint="eastAsia" w:ascii="宋体" w:hAnsi="宋体" w:eastAsia="宋体" w:cs="宋体"/>
                <w:color w:val="auto"/>
                <w:kern w:val="0"/>
                <w:sz w:val="24"/>
                <w:highlight w:val="none"/>
                <w:lang w:val="en-US" w:eastAsia="zh-CN"/>
              </w:rPr>
              <w:t>12</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串通投标</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bookmarkEnd w:id="2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62" w:name="OLE_LINK22"/>
            <w:r>
              <w:rPr>
                <w:rFonts w:hint="eastAsia" w:ascii="宋体" w:hAnsi="宋体" w:eastAsia="宋体" w:cs="宋体"/>
                <w:color w:val="auto"/>
                <w:kern w:val="0"/>
                <w:sz w:val="24"/>
                <w:highlight w:val="none"/>
              </w:rPr>
              <w:t>附加条件</w:t>
            </w:r>
            <w:bookmarkEnd w:id="262"/>
          </w:p>
        </w:tc>
        <w:tc>
          <w:tcPr>
            <w:tcW w:w="6475"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bookmarkStart w:id="263" w:name="_Hlk201755858"/>
            <w:r>
              <w:rPr>
                <w:rFonts w:hint="eastAsia" w:ascii="宋体" w:hAnsi="宋体" w:eastAsia="宋体" w:cs="宋体"/>
                <w:color w:val="auto"/>
                <w:kern w:val="0"/>
                <w:sz w:val="24"/>
                <w:highlight w:val="none"/>
                <w:lang w:val="en-US" w:eastAsia="zh-CN"/>
              </w:rPr>
              <w:t>14</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其他无效情形</w:t>
            </w:r>
          </w:p>
        </w:tc>
        <w:tc>
          <w:tcPr>
            <w:tcW w:w="6475"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投标人、投标文件不存在不符合法律、法规和招标文件规定的其他无效情形。</w:t>
            </w:r>
          </w:p>
        </w:tc>
      </w:tr>
      <w:bookmarkEnd w:id="263"/>
    </w:tbl>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投标文件有关事项的澄清或者说明</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电子形式，并加盖公章，或者由法定代表人或其授权的代表签章或签字，在北京市政府采购电子交易平台系统中按评标委员会规定的回复时间内完成澄清回复。投标人的澄清、说明或者补正不得超出投标文件的范围或者改变投标文件的实质性内容。澄清文件将作为投标文件内容的一部分。</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bookmarkStart w:id="264" w:name="_Hlk220085436"/>
      <w:r>
        <w:rPr>
          <w:rFonts w:hint="eastAsia" w:ascii="宋体" w:hAnsi="宋体" w:eastAsia="宋体" w:cs="宋体"/>
          <w:color w:val="auto"/>
          <w:sz w:val="24"/>
          <w:highlight w:val="none"/>
        </w:rPr>
        <w:t>异常低价处理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（3）投标（响应）报价低于采购项目最高限价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%的，即投标（响应）报价&lt;采购项目最高限价×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%；未设定最高限价的采购项目，以采购项目预算金额作为最高限价；</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（4）评审委员会基于专业判断，认为供应商报价过低，有可能影响产品质量或者不能诚信履约的其他情形。</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eastAsia="宋体" w:cs="宋体"/>
          <w:b/>
          <w:bCs/>
          <w:color w:val="auto"/>
          <w:sz w:val="24"/>
          <w:highlight w:val="none"/>
        </w:rPr>
        <w:t>无效投标（响应）</w:t>
      </w:r>
      <w:r>
        <w:rPr>
          <w:rFonts w:hint="eastAsia" w:ascii="宋体" w:hAnsi="宋体" w:eastAsia="宋体" w:cs="宋体"/>
          <w:color w:val="auto"/>
          <w:sz w:val="24"/>
          <w:highlight w:val="none"/>
        </w:rPr>
        <w:t>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bookmarkStart w:id="265" w:name="_Hlk190337965"/>
      <w:r>
        <w:rPr>
          <w:rFonts w:hint="eastAsia" w:ascii="宋体" w:hAnsi="宋体" w:eastAsia="宋体" w:cs="宋体"/>
          <w:color w:val="auto"/>
          <w:sz w:val="24"/>
          <w:highlight w:val="none"/>
        </w:rPr>
        <w:t xml:space="preserve"> 上述投标（响应）报价指按照本章2.4修正后的报价</w:t>
      </w:r>
      <w:bookmarkEnd w:id="265"/>
      <w:r>
        <w:rPr>
          <w:rFonts w:hint="eastAsia" w:ascii="宋体" w:hAnsi="宋体" w:eastAsia="宋体" w:cs="宋体"/>
          <w:color w:val="auto"/>
          <w:sz w:val="24"/>
          <w:highlight w:val="none"/>
        </w:rPr>
        <w:t>。</w:t>
      </w:r>
    </w:p>
    <w:bookmarkEnd w:id="264"/>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投标文件报价出现前后不一致的，按照下列规定修正：</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■无，按下述2.4.2-2.4.7项规定修正。</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单独递交的开标一览表（报价表）与投标文件中开标一览表（报价表）内容不一致的，以单独递交的开标一览表（报价表）为准；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投标文件中开标一览表（报价表）内容与投标文件中相应内容不一致的，以开标一览表（报价表）为准；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单价金额小数点或者百分比有明显错位的，以开标一览表的总价为准，并修改单价；</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color w:val="auto"/>
          <w:sz w:val="24"/>
          <w:highlight w:val="none"/>
          <w:u w:val="single"/>
        </w:rPr>
        <w:t>4</w:t>
      </w:r>
      <w:r>
        <w:rPr>
          <w:rFonts w:hint="eastAsia" w:ascii="宋体" w:hAnsi="宋体" w:eastAsia="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中小企业参加政府采购活动，应当按照招标文件给定的格式出具《中小企业声明函》，否则不得享受相关中小企业扶持政策。</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残疾人福利性单位按招标文件要求提供了《残疾人福利性单位声明函》（见附件）的，视同小微企业。</w:t>
      </w:r>
    </w:p>
    <w:p>
      <w:pPr>
        <w:numPr>
          <w:ilvl w:val="2"/>
          <w:numId w:val="18"/>
        </w:numPr>
        <w:tabs>
          <w:tab w:val="left" w:pos="1080"/>
          <w:tab w:val="left" w:pos="1589"/>
          <w:tab w:val="left" w:pos="2014"/>
          <w:tab w:val="clear" w:pos="1980"/>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若投标人同时属于小型或微型企业、监狱企业、残疾人福利性单位中的两种及以上，将不重复享受小微企业价格扣减的优惠政策。</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支持本国产品政府采购的价格调整：只有符合第二章《投标人须知》5.2条规定情形的，可以享受本国产品支持政策，用扣除后的价格参加评审；否则，评标时价格不予扣除。</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本项目既有本国产品又有非本国产品参与竞争的，依法对本国产品给予价格评审优惠，对本国产品的报价给予20%的价格扣除，用扣除后的价格参与评审。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供应商提供本国产品参加政府采购活动的，应当按照招标文件给定的格式出具《关于符合本国产品标准的声明函》或提供财政部会同有关部门规定的有关证明文件，否则视为非本国产品。</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投标文件的比较和评价</w:t>
      </w:r>
      <w:bookmarkEnd w:id="229"/>
      <w:bookmarkEnd w:id="230"/>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评标方法和评标标准</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□最低评标价法，指投标文件满足招标文件全部实质性要求，且投标报价最低的投标人为中标候选人的评标方法。</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□随机抽取</w:t>
      </w:r>
    </w:p>
    <w:p>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■其他方式，具体要求：__</w:t>
      </w:r>
      <w:r>
        <w:rPr>
          <w:rFonts w:hint="eastAsia" w:ascii="宋体" w:hAnsi="宋体" w:eastAsia="宋体" w:cs="宋体"/>
          <w:color w:val="auto"/>
          <w:sz w:val="24"/>
          <w:highlight w:val="none"/>
          <w:u w:val="single"/>
        </w:rPr>
        <w:t>_/</w:t>
      </w:r>
      <w:r>
        <w:rPr>
          <w:rFonts w:hint="eastAsia" w:ascii="宋体" w:hAnsi="宋体" w:eastAsia="宋体" w:cs="宋体"/>
          <w:color w:val="auto"/>
          <w:sz w:val="24"/>
          <w:highlight w:val="none"/>
        </w:rPr>
        <w:t>__</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w:t>
      </w:r>
      <w:r>
        <w:rPr>
          <w:rFonts w:hint="eastAsia" w:ascii="宋体" w:hAnsi="宋体" w:eastAsia="宋体" w:cs="宋体"/>
          <w:color w:val="auto"/>
          <w:sz w:val="24"/>
          <w:highlight w:val="none"/>
          <w:u w:val="single"/>
          <w:lang w:val="en-US" w:eastAsia="zh-CN"/>
        </w:rPr>
        <w:t>详见评分细则</w:t>
      </w:r>
      <w:r>
        <w:rPr>
          <w:rFonts w:hint="eastAsia" w:ascii="宋体" w:hAnsi="宋体" w:eastAsia="宋体" w:cs="宋体"/>
          <w:color w:val="auto"/>
          <w:sz w:val="24"/>
          <w:highlight w:val="none"/>
        </w:rPr>
        <w:t>。</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266" w:name="_Toc264969236"/>
      <w:bookmarkStart w:id="267" w:name="_Toc164608815"/>
      <w:bookmarkStart w:id="268" w:name="_Toc151193788"/>
      <w:bookmarkStart w:id="269" w:name="_Toc127151747"/>
      <w:bookmarkStart w:id="270" w:name="_Toc164229241"/>
      <w:bookmarkStart w:id="271" w:name="_Toc226309790"/>
      <w:bookmarkStart w:id="272" w:name="_Toc127161460"/>
      <w:bookmarkStart w:id="273" w:name="_Toc226965736"/>
      <w:bookmarkStart w:id="274" w:name="_Toc149720839"/>
      <w:bookmarkStart w:id="275" w:name="_Toc305158888"/>
      <w:bookmarkStart w:id="276" w:name="_Toc164229387"/>
      <w:bookmarkStart w:id="277" w:name="_Toc142311048"/>
      <w:bookmarkStart w:id="278" w:name="_Toc226965819"/>
      <w:bookmarkStart w:id="279" w:name="_Toc151190173"/>
      <w:bookmarkStart w:id="280" w:name="_Toc265228384"/>
      <w:bookmarkStart w:id="281" w:name="_Toc151193934"/>
      <w:bookmarkStart w:id="282" w:name="_Toc164608660"/>
      <w:bookmarkStart w:id="283" w:name="_Toc226337242"/>
      <w:bookmarkStart w:id="284" w:name="_Toc150774646"/>
      <w:bookmarkStart w:id="285" w:name="_Toc150774751"/>
      <w:bookmarkStart w:id="286" w:name="_Toc151193716"/>
      <w:bookmarkStart w:id="287" w:name="_Toc520356170"/>
      <w:bookmarkStart w:id="288" w:name="_Ref467307010"/>
      <w:bookmarkStart w:id="289" w:name="_Toc305158814"/>
      <w:bookmarkStart w:id="290" w:name="_Toc164351640"/>
      <w:bookmarkStart w:id="291" w:name="_Toc150509297"/>
      <w:bookmarkStart w:id="292" w:name="_Toc195842911"/>
      <w:bookmarkStart w:id="293" w:name="_Toc151193644"/>
      <w:bookmarkStart w:id="294" w:name="_Toc127151546"/>
      <w:bookmarkStart w:id="295" w:name="_Toc151193860"/>
      <w:bookmarkStart w:id="296" w:name="_Toc150480784"/>
      <w:r>
        <w:rPr>
          <w:rFonts w:hint="eastAsia" w:ascii="宋体" w:hAnsi="宋体" w:eastAsia="宋体" w:cs="宋体"/>
          <w:color w:val="auto"/>
          <w:sz w:val="24"/>
          <w:highlight w:val="none"/>
        </w:rPr>
        <w:t>中标候选人名单</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w:t>
      </w:r>
    </w:p>
    <w:p>
      <w:pPr>
        <w:pStyle w:val="23"/>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其他方式，具体要求：</w:t>
      </w:r>
      <w:r>
        <w:rPr>
          <w:rFonts w:hint="eastAsia" w:ascii="宋体" w:hAnsi="宋体" w:eastAsia="宋体" w:cs="宋体"/>
          <w:color w:val="auto"/>
          <w:sz w:val="24"/>
          <w:szCs w:val="24"/>
          <w:highlight w:val="none"/>
          <w:u w:val="single"/>
        </w:rPr>
        <w:t>_按投标报价由低到高顺序排列。得分且投标报价相同的，按量化指标（技术评分）由高到低顺序排列。_</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评标委员会要对评分汇总情况进行复核，特别是对排名第一的、报价最低的、投标或响应文件被认定为无效的情形进行重点复核。</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评标委员会将根据各投标人的评标排序，依次推荐本项目（各采购包）的中标候选人，起草并签署评标报告。本项目（各采购包）评标委员会共（各）推荐_</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_名中标候选人。</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评标委员会在评标过程中发现投标人有行贿、提供虚假材料或者串通等违法行为时，应当及时向财政部门报告。</w:t>
      </w:r>
    </w:p>
    <w:p>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tabs>
          <w:tab w:val="left" w:pos="360"/>
          <w:tab w:val="left" w:pos="900"/>
        </w:tabs>
        <w:snapToGrid w:val="0"/>
        <w:spacing w:after="0"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二、评标标准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价格评分标准（共30分）</w:t>
      </w:r>
    </w:p>
    <w:tbl>
      <w:tblPr>
        <w:tblStyle w:val="47"/>
        <w:tblW w:w="8185" w:type="dxa"/>
        <w:jc w:val="center"/>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504"/>
        <w:gridCol w:w="712"/>
        <w:gridCol w:w="5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jc w:val="center"/>
        </w:trPr>
        <w:tc>
          <w:tcPr>
            <w:tcW w:w="78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0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1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18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8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0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71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185" w:type="dxa"/>
            <w:noWrap/>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基准价= 满足招标文件要求且投标价格最低的投标总价</w:t>
            </w:r>
          </w:p>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其他投标人的价格分按照下列公式计算：</w:t>
            </w:r>
          </w:p>
          <w:p>
            <w:pPr>
              <w:keepNext w:val="0"/>
              <w:keepLines w:val="0"/>
              <w:pageBreakBefore w:val="0"/>
              <w:widowControl w:val="0"/>
              <w:tabs>
                <w:tab w:val="left" w:pos="420"/>
                <w:tab w:val="left" w:pos="540"/>
                <w:tab w:val="left" w:pos="6045"/>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投标报价得分=（评标基准价 / 投标报价）×30</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实力和信誉详细评分表（15分）</w:t>
      </w:r>
    </w:p>
    <w:tbl>
      <w:tblPr>
        <w:tblStyle w:val="47"/>
        <w:tblW w:w="8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65"/>
        <w:gridCol w:w="716"/>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1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49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研发能力</w:t>
            </w:r>
          </w:p>
        </w:tc>
        <w:tc>
          <w:tcPr>
            <w:tcW w:w="71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49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投标人具有疫苗相关的在研发平台、技术成果、成果转化等能力，具有安全性和免疫效力优势的创新技术与产品。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具备完善、成体系的自主研发能力且方式技术科学、全面、合理，拥有国家级企业技术中心，重点实验室或博士后科研工作站等研发平台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具有权威性，广泛应用程度高得2分；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具备一定得自主研发能力但缺乏科学性和广泛应用得1分；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自主研发能力弱，不具备成型的体系和经验得0分。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71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549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生产能力强，产品质量稳定。以2025年取得相应疫苗合格的批次签发的数量判定（</w:t>
            </w:r>
            <w:r>
              <w:rPr>
                <w:rFonts w:hint="eastAsia" w:ascii="宋体" w:hAnsi="宋体" w:eastAsia="宋体" w:cs="宋体"/>
                <w:color w:val="auto"/>
                <w:sz w:val="24"/>
                <w:szCs w:val="24"/>
                <w:highlight w:val="none"/>
                <w:lang w:val="en-US" w:eastAsia="zh-CN"/>
              </w:rPr>
              <w:t>投标单位提供</w:t>
            </w:r>
            <w:r>
              <w:rPr>
                <w:rFonts w:hint="eastAsia" w:ascii="宋体" w:hAnsi="宋体" w:eastAsia="宋体" w:cs="宋体"/>
                <w:color w:val="auto"/>
                <w:sz w:val="24"/>
                <w:szCs w:val="24"/>
                <w:highlight w:val="none"/>
              </w:rPr>
              <w:t>中国兽医药品监察所网站查询结果截图，并按签发日期统计）。</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按重组禽流感病毒（三价和四价）灭活疫苗批签</w:t>
            </w:r>
            <w:bookmarkStart w:id="397" w:name="_GoBack"/>
            <w:bookmarkEnd w:id="397"/>
            <w:r>
              <w:rPr>
                <w:rFonts w:hint="eastAsia" w:ascii="宋体" w:hAnsi="宋体" w:eastAsia="宋体" w:cs="宋体"/>
                <w:color w:val="auto"/>
                <w:sz w:val="24"/>
                <w:szCs w:val="24"/>
                <w:highlight w:val="none"/>
              </w:rPr>
              <w:t>发数量计算</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≥150个，</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个，不得分</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26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用户反馈及项目验收证明</w:t>
            </w:r>
          </w:p>
        </w:tc>
        <w:tc>
          <w:tcPr>
            <w:tcW w:w="71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549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提供2025年以来同产品的</w:t>
            </w:r>
            <w:r>
              <w:rPr>
                <w:rFonts w:hint="eastAsia" w:ascii="宋体" w:hAnsi="宋体" w:cs="宋体"/>
                <w:color w:val="auto"/>
                <w:sz w:val="24"/>
                <w:szCs w:val="24"/>
                <w:highlight w:val="none"/>
                <w:lang w:eastAsia="zh-CN"/>
              </w:rPr>
              <w:t>不同</w:t>
            </w:r>
            <w:r>
              <w:rPr>
                <w:rFonts w:hint="eastAsia" w:ascii="宋体" w:hAnsi="宋体" w:eastAsia="宋体" w:cs="宋体"/>
                <w:color w:val="auto"/>
                <w:sz w:val="24"/>
                <w:szCs w:val="24"/>
                <w:highlight w:val="none"/>
              </w:rPr>
              <w:t>用户</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使用反馈</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验收证明</w:t>
            </w:r>
            <w:r>
              <w:rPr>
                <w:rFonts w:hint="eastAsia" w:ascii="宋体" w:hAnsi="宋体" w:cs="宋体"/>
                <w:color w:val="auto"/>
                <w:sz w:val="24"/>
                <w:szCs w:val="24"/>
                <w:highlight w:val="none"/>
                <w:lang w:eastAsia="zh-CN"/>
              </w:rPr>
              <w:t>：</w:t>
            </w:r>
          </w:p>
          <w:p>
            <w:pPr>
              <w:pStyle w:val="288"/>
              <w:adjustRightInd w:val="0"/>
              <w:snapToGrid w:val="0"/>
              <w:spacing w:after="0" w:line="240" w:lineRule="atLeast"/>
              <w:ind w:firstLine="0" w:firstLineChars="0"/>
              <w:rPr>
                <w:color w:val="auto"/>
                <w:highlight w:val="none"/>
              </w:rPr>
            </w:pPr>
            <w:r>
              <w:rPr>
                <w:rFonts w:hint="eastAsia" w:ascii="宋体" w:hAnsi="宋体" w:eastAsia="宋体" w:cs="宋体"/>
                <w:color w:val="auto"/>
                <w:sz w:val="24"/>
                <w:szCs w:val="24"/>
                <w:highlight w:val="none"/>
              </w:rPr>
              <w:t>1.提供5份及以上，且结论均为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满意</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2.提供3-4份，</w:t>
            </w:r>
            <w:r>
              <w:rPr>
                <w:rFonts w:hint="eastAsia" w:ascii="宋体" w:hAnsi="宋体" w:cs="宋体"/>
                <w:color w:val="auto"/>
                <w:sz w:val="24"/>
                <w:szCs w:val="24"/>
                <w:highlight w:val="none"/>
                <w:lang w:val="en-US" w:eastAsia="zh-CN"/>
              </w:rPr>
              <w:t>或结果有“不满意”、“不合格”,或提供材料不全面，</w:t>
            </w:r>
            <w:r>
              <w:rPr>
                <w:rFonts w:hint="eastAsia" w:ascii="宋体" w:hAnsi="宋体" w:eastAsia="宋体" w:cs="宋体"/>
                <w:color w:val="auto"/>
                <w:sz w:val="24"/>
                <w:szCs w:val="24"/>
                <w:highlight w:val="none"/>
              </w:rPr>
              <w:t>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3.提供少于3份，不得分。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26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认证及证书情况</w:t>
            </w:r>
          </w:p>
        </w:tc>
        <w:tc>
          <w:tcPr>
            <w:tcW w:w="71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49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取得</w:t>
            </w:r>
            <w:r>
              <w:rPr>
                <w:rFonts w:hint="eastAsia" w:ascii="宋体" w:hAnsi="宋体" w:eastAsia="宋体" w:cs="宋体"/>
                <w:color w:val="auto"/>
                <w:sz w:val="24"/>
                <w:szCs w:val="24"/>
                <w:highlight w:val="none"/>
              </w:rPr>
              <w:t>疫苗产品新兽药注册证书的，得1分；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(2)同时通过ISO9001质量管理体系认证，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ISO14001环境管理体系认证，ISO45001职业健康安全管理体系认证的，得1分；通过其中任意2项的，得0.5分。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注：需提供有效证书</w:t>
            </w:r>
            <w:r>
              <w:rPr>
                <w:rFonts w:hint="eastAsia" w:ascii="宋体" w:hAnsi="宋体" w:cs="宋体"/>
                <w:color w:val="auto"/>
                <w:sz w:val="24"/>
                <w:szCs w:val="24"/>
                <w:highlight w:val="none"/>
                <w:lang w:val="en-US" w:eastAsia="zh-CN"/>
              </w:rPr>
              <w:t>电子件</w:t>
            </w:r>
            <w:r>
              <w:rPr>
                <w:rFonts w:hint="eastAsia" w:ascii="宋体" w:hAnsi="宋体" w:eastAsia="宋体" w:cs="宋体"/>
                <w:color w:val="auto"/>
                <w:sz w:val="24"/>
                <w:szCs w:val="24"/>
                <w:highlight w:val="none"/>
              </w:rPr>
              <w:t>并加盖公章。</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货物的技术性能（35分）</w:t>
      </w:r>
    </w:p>
    <w:tbl>
      <w:tblPr>
        <w:tblStyle w:val="47"/>
        <w:tblW w:w="8221" w:type="dxa"/>
        <w:jc w:val="center"/>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18"/>
        <w:gridCol w:w="709"/>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75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2" w:hRule="atLeast"/>
          <w:jc w:val="center"/>
        </w:trPr>
        <w:tc>
          <w:tcPr>
            <w:tcW w:w="75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货物的技术参数是否满足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1.技术参数响应情况(10分)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技术参数完全满足招标文件要求的，得10分。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每有一项非关键参数负偏离，扣2分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扣完为止。关键参数(毒株，工艺，安全性，有效性，有效期)负偏离的，本项得0分。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2.冷链运输保障方案</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提供详细的冷链运输保障方案，包括</w:t>
            </w:r>
            <w:r>
              <w:rPr>
                <w:rFonts w:hint="eastAsia" w:ascii="宋体" w:hAnsi="宋体" w:cs="宋体"/>
                <w:color w:val="auto"/>
                <w:sz w:val="24"/>
                <w:szCs w:val="24"/>
                <w:highlight w:val="none"/>
                <w:lang w:eastAsia="zh-CN"/>
              </w:rPr>
              <w:t>保温设施、运输总时长控制、</w:t>
            </w:r>
            <w:r>
              <w:rPr>
                <w:rFonts w:hint="eastAsia" w:ascii="宋体" w:hAnsi="宋体" w:eastAsia="宋体" w:cs="宋体"/>
                <w:color w:val="auto"/>
                <w:sz w:val="24"/>
                <w:szCs w:val="24"/>
                <w:highlight w:val="none"/>
              </w:rPr>
              <w:t>温控设备，温度记录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应急预案等，方案科学可行得3分；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方案不完整得1分；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3.生产设施与生物材料保障</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提供实验动物房，生物材料来源，检测设施设备等证明材料，齐全得2分；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部分提供得1分；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jc w:val="center"/>
        </w:trPr>
        <w:tc>
          <w:tcPr>
            <w:tcW w:w="75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货物的先进性、工艺生产、安全可靠性</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1.原材料质量控制：</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提供主要原材料(鸡胚，</w:t>
            </w:r>
            <w:r>
              <w:rPr>
                <w:rFonts w:hint="eastAsia" w:ascii="宋体" w:hAnsi="宋体" w:cs="宋体"/>
                <w:color w:val="auto"/>
                <w:sz w:val="24"/>
                <w:szCs w:val="24"/>
                <w:highlight w:val="none"/>
                <w:lang w:eastAsia="zh-CN"/>
              </w:rPr>
              <w:t>种毒，</w:t>
            </w:r>
            <w:r>
              <w:rPr>
                <w:rFonts w:hint="eastAsia" w:ascii="宋体" w:hAnsi="宋体" w:eastAsia="宋体" w:cs="宋体"/>
                <w:color w:val="auto"/>
                <w:sz w:val="24"/>
                <w:szCs w:val="24"/>
                <w:highlight w:val="none"/>
              </w:rPr>
              <w:t>佐剂)的来源，检测报告及质量控制流程，完善得3分；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基本完善得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.生产工艺与设备：具备完整的疫苗生产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储存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检测设施(含实验动物房)，能充分满足采购人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使用、运输的需求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并提供相关证明，得4分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具有一定的自主生产和储存能力得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.质量内控标准：在国家标准基础上，制定更严格的内控标准(如内毒素含量，效力检验值等)，并提供证明材料，</w:t>
            </w:r>
            <w:r>
              <w:rPr>
                <w:rFonts w:hint="eastAsia" w:ascii="宋体" w:hAnsi="宋体" w:cs="宋体"/>
                <w:color w:val="auto"/>
                <w:sz w:val="24"/>
                <w:szCs w:val="24"/>
                <w:highlight w:val="none"/>
                <w:lang w:val="en-US" w:eastAsia="zh-CN"/>
              </w:rPr>
              <w:t>内控制度完善合理</w:t>
            </w:r>
            <w:r>
              <w:rPr>
                <w:rFonts w:hint="eastAsia" w:ascii="宋体" w:hAnsi="宋体" w:eastAsia="宋体" w:cs="宋体"/>
                <w:color w:val="auto"/>
                <w:sz w:val="24"/>
                <w:szCs w:val="24"/>
                <w:highlight w:val="none"/>
              </w:rPr>
              <w:t>得3分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内容制度基本完善缺乏可行性得1分；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0" w:hRule="atLeast"/>
          <w:jc w:val="center"/>
        </w:trPr>
        <w:tc>
          <w:tcPr>
            <w:tcW w:w="75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检测结果</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提供2025年取得合格的连续5个批次签发报告，评定其效力、理化指标</w:t>
            </w:r>
            <w:r>
              <w:rPr>
                <w:rFonts w:hint="eastAsia" w:ascii="宋体" w:hAnsi="宋体" w:cs="宋体"/>
                <w:color w:val="auto"/>
                <w:sz w:val="24"/>
                <w:szCs w:val="24"/>
                <w:highlight w:val="none"/>
                <w:lang w:eastAsia="zh-CN"/>
              </w:rPr>
              <w:t>。要求为：</w:t>
            </w:r>
            <w:r>
              <w:rPr>
                <w:rFonts w:hint="eastAsia" w:ascii="宋体" w:hAnsi="宋体" w:eastAsia="宋体" w:cs="宋体"/>
                <w:color w:val="auto"/>
                <w:sz w:val="24"/>
                <w:szCs w:val="24"/>
                <w:highlight w:val="none"/>
              </w:rPr>
              <w:t>甲醛含量</w:t>
            </w:r>
            <w:r>
              <w:rPr>
                <w:rFonts w:hint="eastAsia" w:ascii="宋体" w:hAnsi="宋体" w:cs="宋体"/>
                <w:color w:val="auto"/>
                <w:sz w:val="24"/>
                <w:szCs w:val="24"/>
                <w:highlight w:val="none"/>
                <w:lang w:eastAsia="zh-CN"/>
              </w:rPr>
              <w:t>低，</w:t>
            </w:r>
            <w:r>
              <w:rPr>
                <w:rFonts w:hint="eastAsia" w:ascii="宋体" w:hAnsi="宋体" w:eastAsia="宋体" w:cs="宋体"/>
                <w:color w:val="auto"/>
                <w:sz w:val="24"/>
                <w:szCs w:val="24"/>
                <w:highlight w:val="none"/>
              </w:rPr>
              <w:t>粘度</w:t>
            </w:r>
            <w:r>
              <w:rPr>
                <w:rFonts w:hint="eastAsia" w:ascii="宋体" w:hAnsi="宋体" w:cs="宋体"/>
                <w:color w:val="auto"/>
                <w:sz w:val="24"/>
                <w:szCs w:val="24"/>
                <w:highlight w:val="none"/>
                <w:lang w:eastAsia="zh-CN"/>
              </w:rPr>
              <w:t>批次间相对稳定，</w:t>
            </w:r>
            <w:r>
              <w:rPr>
                <w:rFonts w:hint="eastAsia" w:ascii="宋体" w:hAnsi="宋体" w:eastAsia="宋体" w:cs="宋体"/>
                <w:color w:val="auto"/>
                <w:sz w:val="24"/>
                <w:szCs w:val="24"/>
                <w:highlight w:val="none"/>
              </w:rPr>
              <w:t>效价</w:t>
            </w:r>
            <w:r>
              <w:rPr>
                <w:rFonts w:hint="eastAsia" w:ascii="宋体" w:hAnsi="宋体" w:cs="宋体"/>
                <w:color w:val="auto"/>
                <w:sz w:val="24"/>
                <w:szCs w:val="24"/>
                <w:highlight w:val="none"/>
                <w:lang w:eastAsia="zh-CN"/>
              </w:rPr>
              <w:t>平均值高且批次间差异小。</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整体优于</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要求，批次间</w:t>
            </w:r>
            <w:r>
              <w:rPr>
                <w:rFonts w:hint="eastAsia" w:ascii="宋体" w:hAnsi="宋体" w:cs="宋体"/>
                <w:color w:val="auto"/>
                <w:sz w:val="24"/>
                <w:szCs w:val="24"/>
                <w:highlight w:val="none"/>
                <w:lang w:val="en-US" w:eastAsia="zh-CN"/>
              </w:rPr>
              <w:t>较一致</w:t>
            </w:r>
            <w:r>
              <w:rPr>
                <w:rFonts w:hint="eastAsia" w:ascii="宋体" w:hAnsi="宋体" w:eastAsia="宋体" w:cs="宋体"/>
                <w:color w:val="auto"/>
                <w:sz w:val="24"/>
                <w:szCs w:val="24"/>
                <w:highlight w:val="none"/>
              </w:rPr>
              <w:t>，体现优良的质量和较高的稳定性</w:t>
            </w:r>
            <w:r>
              <w:rPr>
                <w:rFonts w:hint="eastAsia" w:ascii="宋体" w:hAnsi="宋体" w:eastAsia="宋体" w:cs="宋体"/>
                <w:color w:val="auto"/>
                <w:sz w:val="24"/>
                <w:szCs w:val="24"/>
                <w:highlight w:val="none"/>
                <w:lang w:val="en-US" w:eastAsia="zh-CN"/>
              </w:rPr>
              <w:t>得10分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检测报告齐全，批次间差异较小，满足或基本满足本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要求，体现较高的产品质量</w:t>
            </w:r>
            <w:r>
              <w:rPr>
                <w:rFonts w:hint="eastAsia" w:ascii="宋体" w:hAnsi="宋体" w:eastAsia="宋体" w:cs="宋体"/>
                <w:color w:val="auto"/>
                <w:sz w:val="24"/>
                <w:szCs w:val="24"/>
                <w:highlight w:val="none"/>
                <w:lang w:val="en-US" w:eastAsia="zh-CN"/>
              </w:rPr>
              <w:t>得7分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齐全，批次间差异较大，部分非关键指标不满足本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得3分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报告不齐全，批次间差异极大，多个批次、多个指标或个别关键指标不满足本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sz w:val="24"/>
                <w:szCs w:val="24"/>
                <w:highlight w:val="none"/>
              </w:rPr>
              <w:t>。</w:t>
            </w:r>
          </w:p>
        </w:tc>
      </w:tr>
    </w:tbl>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售后服务质量（20分）</w:t>
      </w:r>
    </w:p>
    <w:tbl>
      <w:tblPr>
        <w:tblStyle w:val="47"/>
        <w:tblW w:w="84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26"/>
        <w:gridCol w:w="992"/>
        <w:gridCol w:w="5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2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99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28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2" w:hRule="atLeast"/>
          <w:jc w:val="center"/>
        </w:trPr>
        <w:tc>
          <w:tcPr>
            <w:tcW w:w="701"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26"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售后服务响应、不良反应处理。</w:t>
            </w:r>
          </w:p>
        </w:tc>
        <w:tc>
          <w:tcPr>
            <w:tcW w:w="992"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28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售后服务</w:t>
            </w:r>
            <w:r>
              <w:rPr>
                <w:rFonts w:hint="eastAsia" w:ascii="宋体" w:hAnsi="宋体" w:cs="宋体"/>
                <w:color w:val="auto"/>
                <w:sz w:val="24"/>
                <w:szCs w:val="24"/>
                <w:highlight w:val="none"/>
                <w:lang w:val="en-US" w:eastAsia="zh-CN"/>
              </w:rPr>
              <w:t>机构</w:t>
            </w:r>
            <w:r>
              <w:rPr>
                <w:rFonts w:hint="eastAsia" w:ascii="宋体" w:hAnsi="宋体" w:eastAsia="宋体" w:cs="宋体"/>
                <w:color w:val="auto"/>
                <w:sz w:val="24"/>
                <w:szCs w:val="24"/>
                <w:highlight w:val="none"/>
              </w:rPr>
              <w:t>规模大、人员齐全，能对售后服务做出及时的响应，得3分；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有常驻机构但机构规模实力欠缺，人员配备不足，得1分；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无常驻机构不得分。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2.承诺售后服务响应时间：</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接到采购方通知后24小时内到达现场，得2分；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48小时内到达，得1分；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超过48小时不得分。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701"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1426"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992"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528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不良反应赔付及时、全额、便捷，保证出现疫情或产品出现大规模不良反应等突发事件时能及时处理，且应对措施完善可行性高，对过敏反应处理措施到位得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措施基本可行，对过敏反应处理措施部分到位得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不能做到不良反应时及时、全额赔付，出现疫情或产品出现大规模不良反应等突发事件时的应急方案不完善，不具备可行性得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70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2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99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28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(1)提供详细的技术支持方案(含免疫程序，效果评估，技术指导等)，科学全面得3分；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方案简略得1分；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(2)承诺每年提供不少于2次现场技术培训或入户指导，得2分。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(3)技术人员配备：投入本项目的</w:t>
            </w:r>
            <w:r>
              <w:rPr>
                <w:rFonts w:hint="eastAsia" w:ascii="宋体" w:hAnsi="宋体" w:cs="宋体"/>
                <w:color w:val="auto"/>
                <w:sz w:val="24"/>
                <w:szCs w:val="24"/>
                <w:highlight w:val="none"/>
                <w:lang w:val="en-US" w:eastAsia="zh-CN"/>
              </w:rPr>
              <w:t>人员力量雄厚，技术全面，整体团队2人及以上且具备</w:t>
            </w:r>
            <w:r>
              <w:rPr>
                <w:rFonts w:hint="eastAsia" w:ascii="宋体" w:hAnsi="宋体" w:eastAsia="宋体" w:cs="宋体"/>
                <w:color w:val="auto"/>
                <w:sz w:val="24"/>
                <w:szCs w:val="24"/>
                <w:highlight w:val="none"/>
              </w:rPr>
              <w:t>高级技术职称，得2分；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技术力量薄弱，人员相对较少</w:t>
            </w:r>
            <w:r>
              <w:rPr>
                <w:rFonts w:hint="eastAsia" w:ascii="宋体" w:hAnsi="宋体" w:eastAsia="宋体" w:cs="宋体"/>
                <w:color w:val="auto"/>
                <w:sz w:val="24"/>
                <w:szCs w:val="24"/>
                <w:highlight w:val="none"/>
              </w:rPr>
              <w:t>，得1分</w:t>
            </w:r>
            <w:r>
              <w:rPr>
                <w:rFonts w:hint="eastAsia" w:ascii="宋体" w:hAnsi="宋体" w:cs="宋体"/>
                <w:color w:val="auto"/>
                <w:sz w:val="24"/>
                <w:szCs w:val="24"/>
                <w:highlight w:val="none"/>
                <w:lang w:eastAsia="zh-CN"/>
              </w:rPr>
              <w:t>。</w:t>
            </w:r>
          </w:p>
        </w:tc>
      </w:tr>
    </w:tbl>
    <w:p>
      <w:pPr>
        <w:rPr>
          <w:rFonts w:hint="eastAsia" w:ascii="宋体" w:hAnsi="宋体" w:eastAsia="宋体" w:cs="宋体"/>
          <w:b/>
          <w:color w:val="auto"/>
          <w:sz w:val="24"/>
          <w:highlight w:val="none"/>
        </w:rPr>
        <w:sectPr>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297" w:name="_Toc192872479"/>
      <w:r>
        <w:rPr>
          <w:rFonts w:hint="eastAsia" w:ascii="宋体" w:hAnsi="宋体" w:eastAsia="宋体" w:cs="宋体"/>
          <w:b/>
          <w:color w:val="auto"/>
          <w:sz w:val="36"/>
          <w:szCs w:val="36"/>
          <w:highlight w:val="none"/>
        </w:rPr>
        <w:t>第五章   采购需求</w:t>
      </w:r>
      <w:bookmarkEnd w:id="297"/>
    </w:p>
    <w:p>
      <w:pPr>
        <w:pStyle w:val="187"/>
        <w:numPr>
          <w:ilvl w:val="0"/>
          <w:numId w:val="19"/>
        </w:numPr>
        <w:spacing w:after="0"/>
        <w:ind w:firstLineChars="0"/>
        <w:contextualSpacing/>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货物需求</w:t>
      </w:r>
    </w:p>
    <w:p>
      <w:pPr>
        <w:pStyle w:val="288"/>
        <w:spacing w:line="560" w:lineRule="exact"/>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重组禽流感病毒（H5+H7）四价灭活疫苗（H5N6 H5-Re15株+H5-Re16株，H7N9 H7-Re5株+H7-Re6株</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本品系用重组禽流感病毒H5N6亚型H5-Re15株、H5-Re16株和和H7N9亚型H7-Re5株、H7-Re6株分别接种易感鸡胚培养，收获感染鸡胚液，</w:t>
      </w:r>
      <w:r>
        <w:rPr>
          <w:rFonts w:hint="eastAsia" w:ascii="宋体" w:hAnsi="宋体" w:eastAsia="宋体" w:cs="宋体"/>
          <w:color w:val="auto"/>
          <w:sz w:val="24"/>
          <w:szCs w:val="24"/>
          <w:highlight w:val="none"/>
          <w:lang w:eastAsia="hi-IN"/>
        </w:rPr>
        <w:t>经浓缩、甲醛溶液灭活后，</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eastAsia="hi-IN"/>
        </w:rPr>
        <w:t>矿物油佐剂混合乳化制成。</w:t>
      </w:r>
      <w:r>
        <w:rPr>
          <w:rFonts w:hint="eastAsia" w:ascii="宋体" w:hAnsi="宋体" w:eastAsia="宋体" w:cs="宋体"/>
          <w:color w:val="auto"/>
          <w:sz w:val="24"/>
          <w:szCs w:val="24"/>
          <w:highlight w:val="none"/>
        </w:rPr>
        <w:t>用于预防由H5亚型2.3.4.4h分支、2.3.4.4b分支和H7亚型A分支、B分支禽流感病毒引起的禽流感。</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【性状】 外观 乳白色均匀乳剂。</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剂型 油包水型。取一清洁吸管，吸取少量疫苗滴于冷水中，呈油滴状不扩散。</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稳定性 吸取疫苗10ml加入离心管中，以3000r/min离心15分钟</w:t>
      </w:r>
      <w:r>
        <w:rPr>
          <w:rFonts w:hint="eastAsia" w:ascii="宋体" w:hAnsi="宋体" w:eastAsia="宋体" w:cs="宋体"/>
          <w:color w:val="auto"/>
          <w:sz w:val="24"/>
          <w:szCs w:val="24"/>
          <w:highlight w:val="none"/>
          <w:lang w:eastAsia="hi-IN"/>
        </w:rPr>
        <w:t>，</w:t>
      </w:r>
      <w:r>
        <w:rPr>
          <w:rFonts w:hint="eastAsia" w:ascii="宋体" w:hAnsi="宋体" w:eastAsia="宋体" w:cs="宋体"/>
          <w:color w:val="auto"/>
          <w:sz w:val="24"/>
          <w:szCs w:val="24"/>
          <w:highlight w:val="none"/>
        </w:rPr>
        <w:t>管底析出的水相应不超过0.5ml。</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黏度 按现行《中国兽药典》三部附录进行测定</w:t>
      </w:r>
      <w:r>
        <w:rPr>
          <w:rFonts w:hint="eastAsia" w:ascii="宋体" w:hAnsi="宋体" w:eastAsia="宋体" w:cs="宋体"/>
          <w:color w:val="auto"/>
          <w:sz w:val="24"/>
          <w:szCs w:val="24"/>
          <w:highlight w:val="none"/>
          <w:lang w:eastAsia="hi-IN"/>
        </w:rPr>
        <w:t>，</w:t>
      </w:r>
      <w:r>
        <w:rPr>
          <w:rFonts w:hint="eastAsia" w:ascii="宋体" w:hAnsi="宋体" w:eastAsia="宋体" w:cs="宋体"/>
          <w:color w:val="auto"/>
          <w:sz w:val="24"/>
          <w:szCs w:val="24"/>
          <w:highlight w:val="none"/>
        </w:rPr>
        <w:t>应符合规定。</w:t>
      </w:r>
    </w:p>
    <w:p>
      <w:pPr>
        <w:pStyle w:val="288"/>
        <w:spacing w:line="560" w:lineRule="exact"/>
        <w:ind w:firstLine="480"/>
        <w:rPr>
          <w:rFonts w:hint="eastAsia" w:ascii="宋体" w:hAnsi="宋体" w:eastAsia="宋体" w:cs="宋体"/>
          <w:color w:val="auto"/>
          <w:sz w:val="24"/>
          <w:szCs w:val="24"/>
          <w:highlight w:val="none"/>
          <w:lang w:eastAsia="hi-IN"/>
        </w:rPr>
      </w:pPr>
      <w:r>
        <w:rPr>
          <w:rFonts w:hint="eastAsia" w:ascii="宋体" w:hAnsi="宋体" w:eastAsia="宋体" w:cs="宋体"/>
          <w:color w:val="auto"/>
          <w:sz w:val="24"/>
          <w:szCs w:val="24"/>
          <w:highlight w:val="none"/>
        </w:rPr>
        <w:t>【装量检查】 按现行《中国兽药典》三部附录进行检查，应</w:t>
      </w:r>
      <w:r>
        <w:rPr>
          <w:rFonts w:hint="eastAsia" w:ascii="宋体" w:hAnsi="宋体" w:eastAsia="宋体" w:cs="宋体"/>
          <w:color w:val="auto"/>
          <w:sz w:val="24"/>
          <w:szCs w:val="24"/>
          <w:highlight w:val="none"/>
          <w:lang w:eastAsia="hi-IN"/>
        </w:rPr>
        <w:t>符合规定。</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【无菌检验】 按现行《中国兽药典》三部附录进行检验，应无菌生长</w:t>
      </w:r>
      <w:r>
        <w:rPr>
          <w:rFonts w:hint="eastAsia" w:ascii="宋体" w:hAnsi="宋体" w:eastAsia="宋体" w:cs="宋体"/>
          <w:color w:val="auto"/>
          <w:sz w:val="24"/>
          <w:szCs w:val="24"/>
          <w:highlight w:val="none"/>
          <w:lang w:eastAsia="hi-IN"/>
        </w:rPr>
        <w:t>。</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【安全检验】 用3～4周龄SPF鸡10只，各颈部皮下或胸部肌肉注射疫苗2.0ml，连续观察14日，应全部健活，且不出现因疫苗引起的局部或全身不良反应。</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【效力检验】 血清学方法  用3～4周龄SPF鸡10只，每只颈部皮下或胸部肌肉注射疫苗0.3ml。21日后，连同对照鸡5只，分别采血，分离血清，分别用禽流感病毒H5亚型H5-Re15株和H5-Re16株及H7亚型H7-Re5株和H7-Re6株抗原测定HI抗体效价。对照鸡HI抗体效价均不高于1:4，免疫鸡禽流感H5亚型H5-Re15株和H5-Re16株及H7亚型H7-Re5株和H7-Re6株HI抗体效价几何平均值(GMT)均不低于1</w:t>
      </w:r>
      <w:r>
        <w:rPr>
          <w:rFonts w:hint="default" w:ascii="宋体" w:hAnsi="宋体" w:cs="宋体"/>
          <w:color w:val="auto"/>
          <w:sz w:val="24"/>
          <w:szCs w:val="24"/>
          <w:highlight w:val="none"/>
          <w:lang w:val="en"/>
        </w:rPr>
        <w:t>:</w:t>
      </w:r>
      <w:r>
        <w:rPr>
          <w:rFonts w:hint="eastAsia" w:ascii="宋体" w:hAnsi="宋体" w:eastAsia="宋体" w:cs="宋体"/>
          <w:color w:val="auto"/>
          <w:sz w:val="24"/>
          <w:szCs w:val="24"/>
          <w:highlight w:val="none"/>
        </w:rPr>
        <w:t>64。</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【甲醛残留量测定】按现行《中国兽药典》三部附录进行测定，应符合规定。</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【用法与用量】胸部肌肉或颈部皮下注射。2-5周龄鸡，每只0.3ml；5周龄以上鸡，每只0.5ml。2-5周龄鸭和鹅，每只0.5ml；5周龄以上鸭和鹅，每只1.0ml。</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【规格】100毫升/瓶。</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【贮藏与有效期】 2～8℃保存，有效期为12个月。</w:t>
      </w:r>
    </w:p>
    <w:p>
      <w:pPr>
        <w:pStyle w:val="288"/>
        <w:spacing w:line="560" w:lineRule="exact"/>
        <w:ind w:left="0" w:lef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rPr>
        <w:t>二、商务要求</w:t>
      </w:r>
      <w:r>
        <w:rPr>
          <w:rFonts w:hint="eastAsia" w:ascii="宋体" w:hAnsi="宋体" w:eastAsia="宋体" w:cs="宋体"/>
          <w:color w:val="auto"/>
          <w:sz w:val="24"/>
          <w:highlight w:val="none"/>
        </w:rPr>
        <w:t>：</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1.交付（实施）的时间（期限）和地点（范围）</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货物出库时须填写出库单（或装箱单），详细写明货物品种、数量、包装规格、批号、有效期和准确的出库时间，并将装箱单封装在某一箱内，在该箱明显标注“内有清单”字样。由物流公司送货的，应同时提供《随货单》等详细记录货物承运、运输和中转情况的单据，并确保运输过程符合疫苗储存温度(2~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1.2采购方根据需求情况，向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提出供货通知，明确货物的品名、数量和交货时间、地点、方式。</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接到供货通知2日内或按要求时限，将货物运达采购方库房并将货物卸到指定位置。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在货物出库4小时内向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提交出货通知。货物从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库房运达采购方库房的时间不超过24小时。</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应随货物向采购方交付产品的检验报告、质量控制验收证明或其它报告证明材料。</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2.付款条件（进度和方式）</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采购协议签署后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支付50%货款；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提供50%货款实物后，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再付2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提供100%货款实物，并验收合格提供发票后，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支付剩余尾款。符合各笔支付条件时，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0个工作日内完成支付。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3.包装和运输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有特殊包装要求的物品，应按照物品说明书和外包装标志执行。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运输：本货物运输必须根据《兽用生物制品经营管理办法》等现行国家相关规定和行业规范进行。由供应商将货物运送到采购人指定地点，供应商负责办理冷链运输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建立并实施完善的冷链运输方案</w:t>
      </w:r>
      <w:r>
        <w:rPr>
          <w:rFonts w:hint="eastAsia" w:ascii="宋体" w:hAnsi="宋体" w:eastAsia="宋体" w:cs="宋体"/>
          <w:color w:val="auto"/>
          <w:sz w:val="24"/>
          <w:szCs w:val="24"/>
          <w:highlight w:val="none"/>
        </w:rPr>
        <w:t>。有关运输的一切费用由供应商承担。所有货物运抵现场的日期为交货日期。运输途中如发生</w:t>
      </w:r>
      <w:r>
        <w:rPr>
          <w:rFonts w:hint="eastAsia" w:ascii="宋体" w:hAnsi="宋体" w:cs="宋体"/>
          <w:color w:val="auto"/>
          <w:sz w:val="24"/>
          <w:szCs w:val="24"/>
          <w:highlight w:val="none"/>
          <w:lang w:eastAsia="zh-CN"/>
        </w:rPr>
        <w:t>包装破损、疫苗分层等情况</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或在途运输时间超过</w:t>
      </w:r>
      <w:r>
        <w:rPr>
          <w:rFonts w:hint="eastAsia" w:ascii="宋体" w:hAnsi="宋体" w:cs="宋体"/>
          <w:color w:val="auto"/>
          <w:sz w:val="24"/>
          <w:szCs w:val="24"/>
          <w:highlight w:val="none"/>
          <w:lang w:val="en-US" w:eastAsia="zh-CN"/>
        </w:rPr>
        <w:t>24小时，</w:t>
      </w:r>
      <w:r>
        <w:rPr>
          <w:rFonts w:hint="eastAsia" w:ascii="宋体" w:hAnsi="宋体" w:eastAsia="宋体" w:cs="宋体"/>
          <w:color w:val="auto"/>
          <w:sz w:val="24"/>
          <w:szCs w:val="24"/>
          <w:highlight w:val="none"/>
        </w:rPr>
        <w:t>该批次货物采购方有权拒收，相关损失及责任由供货方承担。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4.售后服务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4.1有效期按照技术参数的要求执行。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需建立完善的技术支持体系，如遇相关技术问题，</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须在6小时内及时响应，并提出解决方案，组织技术人员予以及时解决。</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根据采购方的需求，提供7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24小时技术支持热线，确保技术问题响应时间不超过2小时，解决方案提供时间不超过24小时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可提供培训方案、产品跟踪调查、入场入户技术指导、不良反应调查等技术支持。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其它</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1基本要求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此次采购货物设备是采购人经过论证评审后确实所需，投标人所投设备应符合采购人的实际需求，应满足重大动物疫病应急预案和相关技术方案的要求。产品须符合国家《兽药质量标准》最新版要求。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对货物的要求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采购标的需满足的性能、材料、结构、外观、质量、安全、技术规格、物理特性等要求：在投标文件中详细说明所提供货物的技术规格和参数，并提供佐证材料。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应保证货物是全新的、未使用过的，完全符合合同规定的质量、规格和性能要求的正品。</w:t>
      </w:r>
      <w:r>
        <w:rPr>
          <w:rFonts w:hint="eastAsia" w:ascii="宋体" w:hAnsi="宋体" w:eastAsia="宋体" w:cs="宋体"/>
          <w:color w:val="auto"/>
          <w:sz w:val="24"/>
          <w:highlight w:val="none"/>
        </w:rPr>
        <w:t>所投货物为成熟的产品，已在动物防疫中使用，并得到验证，受使用者认可。</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6.3采购标的需满足的服务标准、期限、效率等要求：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货物最终验收后的质量保证期内，投标人应对产品的所有质量问题（包括但不限于因设计、工艺或材料的缺陷而发生的任何故障等）负全责，因质量问题所产生的故障、事故、人身损害、经济损失等责任均由投标人承担，由此产生的所有费用也均由投标人负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1）对于采购方在验收、储存和基层单位在应用中发现的质量问题或疑为质量问题，投标人须配合做好分析，包括：按照甲方要求提交相关资料文件、协助开展现场调查、补充开展检测检验、退货或换货等。</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2）对货物的质量问题存在疑问或争议时，采购方可送同批次产品样品到指定的机构进行鉴定，鉴定费用由投标单位支付。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3）经鉴定确属质量问题，或者投标人对采购方的质疑不能在3个工作日内给予回复并协助解决问题的，采购方有权中止协议，并保留追究投标人法律责任的权利。</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6.4</w:t>
      </w:r>
      <w:r>
        <w:rPr>
          <w:rFonts w:hint="eastAsia" w:asciiTheme="minorEastAsia" w:hAnsiTheme="minorEastAsia" w:eastAsiaTheme="minorEastAsia"/>
          <w:color w:val="auto"/>
          <w:sz w:val="24"/>
          <w:highlight w:val="none"/>
        </w:rPr>
        <w:t>为落实政府采购政策需满足的要求：</w:t>
      </w:r>
    </w:p>
    <w:p>
      <w:pPr>
        <w:keepNext w:val="0"/>
        <w:keepLines w:val="0"/>
        <w:pageBreakBefore w:val="0"/>
        <w:widowControl/>
        <w:kinsoku/>
        <w:wordWrap/>
        <w:overflowPunct/>
        <w:topLinePunct w:val="0"/>
        <w:autoSpaceDE/>
        <w:autoSpaceDN/>
        <w:bidi w:val="0"/>
        <w:adjustRightInd w:val="0"/>
        <w:snapToGrid w:val="0"/>
        <w:spacing w:after="233" w:afterLines="50" w:line="480" w:lineRule="auto"/>
        <w:ind w:firstLine="480" w:firstLineChars="200"/>
        <w:contextualSpacing/>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招标文件其他章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6.5</w:t>
      </w:r>
      <w:r>
        <w:rPr>
          <w:rFonts w:hint="eastAsia" w:asciiTheme="minorEastAsia" w:hAnsiTheme="minorEastAsia" w:eastAsiaTheme="minorEastAsia"/>
          <w:color w:val="auto"/>
          <w:sz w:val="24"/>
          <w:highlight w:val="none"/>
        </w:rPr>
        <w:t>采购标的的其他技术、服务等要求：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shd w:val="clear" w:color="auto" w:fill="FFFFFF"/>
        </w:rPr>
        <w:t>投标人应保证采购人在使用该货物或其任何一部分时，不受第三方提出侵犯其专利权﹑商标权﹑版权和工业设计权等知识产权的指控﹐一旦任何第三方提出侵权指控，</w:t>
      </w:r>
      <w:r>
        <w:rPr>
          <w:rFonts w:hint="eastAsia" w:cs="宋体" w:asciiTheme="minorEastAsia" w:hAnsiTheme="minorEastAsia" w:eastAsiaTheme="minorEastAsia"/>
          <w:color w:val="auto"/>
          <w:sz w:val="24"/>
          <w:highlight w:val="none"/>
          <w:shd w:val="clear" w:color="auto" w:fill="FFFFFF"/>
          <w:lang w:eastAsia="zh-CN"/>
        </w:rPr>
        <w:t>投标人</w:t>
      </w:r>
      <w:r>
        <w:rPr>
          <w:rFonts w:hint="eastAsia" w:cs="宋体" w:asciiTheme="minorEastAsia" w:hAnsiTheme="minorEastAsia" w:eastAsiaTheme="minorEastAsia"/>
          <w:color w:val="auto"/>
          <w:sz w:val="24"/>
          <w:highlight w:val="none"/>
          <w:shd w:val="clear" w:color="auto" w:fill="FFFFFF"/>
        </w:rPr>
        <w:t>必须对可能发生的后果承担全部责任。</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6.6</w:t>
      </w:r>
      <w:r>
        <w:rPr>
          <w:rFonts w:hint="eastAsia" w:asciiTheme="minorEastAsia" w:hAnsiTheme="minorEastAsia" w:eastAsiaTheme="minorEastAsia"/>
          <w:color w:val="auto"/>
          <w:sz w:val="24"/>
          <w:highlight w:val="none"/>
        </w:rPr>
        <w:t xml:space="preserve"> 本项目</w:t>
      </w:r>
      <w:r>
        <w:rPr>
          <w:rFonts w:hint="eastAsia" w:asciiTheme="minorEastAsia" w:hAnsiTheme="minorEastAsia" w:eastAsiaTheme="minorEastAsia"/>
          <w:color w:val="auto"/>
          <w:sz w:val="24"/>
          <w:highlight w:val="none"/>
          <w:lang w:val="en-US" w:eastAsia="zh-CN"/>
        </w:rPr>
        <w:t>整体响应</w:t>
      </w:r>
      <w:r>
        <w:rPr>
          <w:rFonts w:hint="eastAsia" w:asciiTheme="minorEastAsia" w:hAnsiTheme="minorEastAsia" w:eastAsiaTheme="minorEastAsia"/>
          <w:color w:val="auto"/>
          <w:sz w:val="24"/>
          <w:highlight w:val="none"/>
        </w:rPr>
        <w:t>国家和北京市动物强制免疫技术方案的要求。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7、不良反应处理：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(1)投标人应建立不良反应应急处理机制，明确专人负责。采购方通报不良反应事件后，投标人须在2小时内响应，24小时内派技术人员到达现场协助调查处理。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(2)经鉴定确属疫苗质量问题导致的不良反应，投标人应承担全部救治费用及相关赔偿。</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(3)投标人须提供年度不良反应监测报告，作为履约评价依据。</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验收标准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到货时，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检查包装并随机打开外包装进行感官检查。如货物不满足以下任意一条要求的，可以退货，造成的全部损失由</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承担。</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1）货物内、外包装完整，不得破损，且符合包装有关规定。包装有破损的，甲方可要求整箱退货或者整批退货。</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2）货物生产厂家、品名、数量、规格符合项目合同和《出库单》。</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3）货物的批次检验报告符合兽医药管理、动物防疫相关要求和本项目招标文件要求，满足投标文件承诺。</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4）到货时或到货后，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可随时对货物随机抽验，货物应符合本合同约定的质量要求。</w:t>
      </w:r>
    </w:p>
    <w:p>
      <w:pPr>
        <w:pStyle w:val="23"/>
        <w:spacing w:line="360" w:lineRule="auto"/>
        <w:jc w:val="center"/>
        <w:rPr>
          <w:rFonts w:hint="eastAsia" w:ascii="宋体" w:hAnsi="宋体" w:eastAsia="宋体" w:cs="宋体"/>
          <w:b/>
          <w:color w:val="auto"/>
          <w:sz w:val="36"/>
          <w:szCs w:val="36"/>
          <w:highlight w:val="none"/>
        </w:rPr>
        <w:sectPr>
          <w:footerReference r:id="rId9" w:type="default"/>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298" w:name="_Toc192872480"/>
      <w:r>
        <w:rPr>
          <w:rFonts w:hint="eastAsia" w:ascii="宋体" w:hAnsi="宋体" w:eastAsia="宋体" w:cs="宋体"/>
          <w:b/>
          <w:color w:val="auto"/>
          <w:sz w:val="36"/>
          <w:szCs w:val="36"/>
          <w:highlight w:val="none"/>
        </w:rPr>
        <w:t>第六章   拟签订的合同文本</w:t>
      </w:r>
      <w:bookmarkEnd w:id="298"/>
    </w:p>
    <w:p>
      <w:pPr>
        <w:pStyle w:val="2"/>
        <w:spacing w:after="0"/>
        <w:jc w:val="center"/>
        <w:rPr>
          <w:rFonts w:hint="eastAsia" w:ascii="宋体" w:hAnsi="宋体" w:eastAsia="宋体" w:cs="宋体"/>
          <w:b/>
          <w:bCs/>
          <w:color w:val="auto"/>
          <w:spacing w:val="-20"/>
          <w:kern w:val="44"/>
          <w:sz w:val="48"/>
          <w:szCs w:val="48"/>
          <w:highlight w:val="none"/>
        </w:rPr>
      </w:pPr>
      <w:bookmarkStart w:id="299" w:name="_Toc3995"/>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（试行）</w:t>
      </w:r>
    </w:p>
    <w:p>
      <w:pPr>
        <w:rPr>
          <w:rFonts w:hint="eastAsia" w:ascii="宋体" w:hAnsi="宋体" w:eastAsia="宋体" w:cs="宋体"/>
          <w:b/>
          <w:bCs/>
          <w:color w:val="auto"/>
          <w:spacing w:val="-20"/>
          <w:kern w:val="44"/>
          <w:sz w:val="40"/>
          <w:szCs w:val="40"/>
          <w:highlight w:val="none"/>
        </w:rPr>
      </w:pPr>
    </w:p>
    <w:p>
      <w:pPr>
        <w:rPr>
          <w:rFonts w:hint="eastAsia" w:ascii="宋体" w:hAnsi="宋体" w:eastAsia="宋体" w:cs="宋体"/>
          <w:b/>
          <w:bCs/>
          <w:color w:val="auto"/>
          <w:spacing w:val="-20"/>
          <w:kern w:val="44"/>
          <w:sz w:val="40"/>
          <w:szCs w:val="40"/>
          <w:highlight w:val="none"/>
        </w:rPr>
      </w:pPr>
    </w:p>
    <w:p>
      <w:pPr>
        <w:rPr>
          <w:rFonts w:hint="eastAsia" w:ascii="宋体" w:hAnsi="宋体" w:eastAsia="宋体" w:cs="宋体"/>
          <w:b/>
          <w:bCs/>
          <w:color w:val="auto"/>
          <w:spacing w:val="-20"/>
          <w:kern w:val="44"/>
          <w:sz w:val="40"/>
          <w:szCs w:val="40"/>
          <w:highlight w:val="none"/>
        </w:rPr>
      </w:pP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pPr>
        <w:rPr>
          <w:rFonts w:hint="eastAsia" w:ascii="宋体" w:hAnsi="宋体" w:eastAsia="宋体" w:cs="宋体"/>
          <w:color w:val="auto"/>
          <w:highlight w:val="none"/>
        </w:rPr>
      </w:pP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pPr>
        <w:rPr>
          <w:rFonts w:hint="eastAsia" w:ascii="宋体" w:hAnsi="宋体" w:eastAsia="宋体" w:cs="宋体"/>
          <w:color w:val="auto"/>
          <w:sz w:val="44"/>
          <w:szCs w:val="44"/>
          <w:highlight w:val="none"/>
        </w:rPr>
      </w:pPr>
    </w:p>
    <w:p>
      <w:pP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使 用 说 明</w:t>
      </w:r>
    </w:p>
    <w:p>
      <w:pPr>
        <w:ind w:firstLine="640" w:firstLineChars="200"/>
        <w:rPr>
          <w:rFonts w:hint="eastAsia" w:ascii="宋体" w:hAnsi="宋体" w:eastAsia="宋体" w:cs="宋体"/>
          <w:color w:val="auto"/>
          <w:sz w:val="32"/>
          <w:szCs w:val="32"/>
          <w:highlight w:val="none"/>
        </w:rPr>
      </w:pP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1.本合同标准文本适用于购买现成货物的采购项目，不包括需要供应商定制开发、创新研发的货物采购项目。</w:t>
      </w: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3.本合同标准文本各条款中，如涉及填写多家供应商、制造商，多种采购标的、分包主要内容等信息的，可根据采购项目具体情况添加信息项。</w:t>
      </w:r>
    </w:p>
    <w:p>
      <w:pPr>
        <w:ind w:firstLine="880" w:firstLineChars="200"/>
        <w:rPr>
          <w:rFonts w:hint="eastAsia" w:ascii="宋体" w:hAnsi="宋体" w:eastAsia="宋体" w:cs="宋体"/>
          <w:color w:val="auto"/>
          <w:sz w:val="44"/>
          <w:szCs w:val="44"/>
          <w:highlight w:val="none"/>
        </w:rPr>
        <w:sectPr>
          <w:pgSz w:w="11906" w:h="16838"/>
          <w:pgMar w:top="1440" w:right="1800" w:bottom="1440" w:left="1800" w:header="851" w:footer="992" w:gutter="0"/>
          <w:cols w:space="425" w:num="1"/>
          <w:docGrid w:type="lines" w:linePitch="312" w:charSpace="0"/>
        </w:sectPr>
      </w:pPr>
    </w:p>
    <w:bookmarkEnd w:id="299"/>
    <w:p>
      <w:pPr>
        <w:rPr>
          <w:rFonts w:hint="eastAsia" w:ascii="宋体" w:hAnsi="宋体" w:eastAsia="宋体" w:cs="宋体"/>
          <w:color w:val="auto"/>
          <w:sz w:val="28"/>
          <w:szCs w:val="28"/>
          <w:highlight w:val="none"/>
        </w:rPr>
      </w:pPr>
      <w:bookmarkStart w:id="300" w:name="_Toc22209"/>
    </w:p>
    <w:p>
      <w:pPr>
        <w:pStyle w:val="4"/>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color w:val="auto"/>
          <w:sz w:val="28"/>
          <w:szCs w:val="28"/>
          <w:highlight w:val="none"/>
        </w:rPr>
        <w:t>第一节 政府采购合同协议书</w:t>
      </w:r>
      <w:bookmarkEnd w:id="300"/>
    </w:p>
    <w:p>
      <w:pPr>
        <w:rPr>
          <w:rFonts w:hint="eastAsia" w:ascii="宋体" w:hAnsi="宋体" w:eastAsia="宋体" w:cs="宋体"/>
          <w:b/>
          <w:bCs/>
          <w:color w:val="auto"/>
          <w:sz w:val="28"/>
          <w:szCs w:val="28"/>
          <w:highlight w:val="none"/>
        </w:rPr>
      </w:pP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（采购人、受采购人委托签订合同的单位或采购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文件约定的合同甲方）</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pPr>
        <w:spacing w:line="400" w:lineRule="exact"/>
        <w:rPr>
          <w:rFonts w:hint="eastAsia" w:ascii="宋体" w:hAnsi="宋体" w:eastAsia="宋体" w:cs="宋体"/>
          <w:color w:val="auto"/>
          <w:sz w:val="22"/>
          <w:szCs w:val="28"/>
          <w:highlight w:val="none"/>
        </w:rPr>
      </w:pPr>
    </w:p>
    <w:p>
      <w:pPr>
        <w:pStyle w:val="18"/>
        <w:adjustRightInd w:val="0"/>
        <w:snapToGrid w:val="0"/>
        <w:spacing w:after="0"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0"/>
        </w:num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pPr>
        <w:pStyle w:val="18"/>
        <w:numPr>
          <w:ilvl w:val="0"/>
          <w:numId w:val="21"/>
        </w:numPr>
        <w:adjustRightInd w:val="0"/>
        <w:snapToGrid w:val="0"/>
        <w:spacing w:after="0" w:line="400" w:lineRule="exact"/>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pPr>
        <w:pStyle w:val="18"/>
        <w:numPr>
          <w:ilvl w:val="255"/>
          <w:numId w:val="0"/>
        </w:numPr>
        <w:tabs>
          <w:tab w:val="left" w:pos="999"/>
        </w:tabs>
        <w:adjustRightInd w:val="0"/>
        <w:snapToGrid w:val="0"/>
        <w:spacing w:after="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采购项目编号：</w:t>
      </w:r>
      <w:r>
        <w:rPr>
          <w:rFonts w:hint="eastAsia" w:ascii="宋体" w:hAnsi="宋体" w:eastAsia="宋体" w:cs="宋体"/>
          <w:color w:val="auto"/>
          <w:szCs w:val="21"/>
          <w:highlight w:val="none"/>
          <w:u w:val="single"/>
        </w:rPr>
        <w:t xml:space="preserve">                                          </w:t>
      </w:r>
    </w:p>
    <w:p>
      <w:pPr>
        <w:pStyle w:val="18"/>
        <w:adjustRightInd w:val="0"/>
        <w:snapToGrid w:val="0"/>
        <w:spacing w:after="0"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pPr>
        <w:adjustRightInd w:val="0"/>
        <w:snapToGrid w:val="0"/>
        <w:spacing w:line="400" w:lineRule="exact"/>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pPr>
        <w:pStyle w:val="363"/>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分散采购</w:t>
      </w:r>
    </w:p>
    <w:p>
      <w:pPr>
        <w:pStyle w:val="363"/>
        <w:numPr>
          <w:ilvl w:val="255"/>
          <w:numId w:val="0"/>
        </w:numPr>
        <w:snapToGri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pPr>
        <w:pStyle w:val="363"/>
        <w:numPr>
          <w:ilvl w:val="255"/>
          <w:numId w:val="0"/>
        </w:numPr>
        <w:snapToGrid w:val="0"/>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363"/>
        <w:numPr>
          <w:ilvl w:val="255"/>
          <w:numId w:val="0"/>
        </w:numPr>
        <w:snapToGrid w:val="0"/>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pStyle w:val="363"/>
        <w:tabs>
          <w:tab w:val="left" w:pos="1340"/>
        </w:tabs>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pPr>
        <w:numPr>
          <w:ilvl w:val="255"/>
          <w:numId w:val="0"/>
        </w:num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）是否涉及进口产品：</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0</w:t>
      </w:r>
      <w:r>
        <w:rPr>
          <w:rFonts w:hint="eastAsia" w:ascii="宋体" w:hAnsi="宋体" w:eastAsia="宋体" w:cs="宋体"/>
          <w:color w:val="auto"/>
          <w:sz w:val="24"/>
          <w:szCs w:val="24"/>
          <w:highlight w:val="none"/>
        </w:rPr>
        <w:t>）是否涉及节能产品：</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t>■否</w:t>
      </w:r>
    </w:p>
    <w:p>
      <w:pPr>
        <w:pStyle w:val="363"/>
        <w:numPr>
          <w:ilvl w:val="255"/>
          <w:numId w:val="0"/>
        </w:numPr>
        <w:snapToGrid w:val="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pPr>
        <w:pStyle w:val="363"/>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pStyle w:val="363"/>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iCs/>
          <w:color w:val="auto"/>
          <w:sz w:val="24"/>
          <w:szCs w:val="24"/>
          <w:highlight w:val="none"/>
        </w:rPr>
        <w:t>■</w:t>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1</w:t>
      </w:r>
      <w:r>
        <w:rPr>
          <w:rFonts w:hint="eastAsia" w:ascii="宋体" w:hAnsi="宋体" w:eastAsia="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pPr>
        <w:adjustRightInd w:val="0"/>
        <w:snapToGrid w:val="0"/>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pPr>
        <w:numPr>
          <w:ilvl w:val="255"/>
          <w:numId w:val="0"/>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187"/>
        <w:spacing w:line="400" w:lineRule="exact"/>
        <w:ind w:firstLine="42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（3）付款方式（按项目实际勾选填写）：</w:t>
      </w:r>
    </w:p>
    <w:p>
      <w:pPr>
        <w:adjustRightInd w:val="0"/>
        <w:snapToGrid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采购协议签署后采购人向投标人支付50%货款；投标人提供50%货款实物后，采购人再付25%货款；投标人提供100%货款实物，并验收合格提供发票后，采购人支付剩余尾款。符合各笔支付条件时，采购人应在20个工作日内完成支付。 </w:t>
      </w:r>
    </w:p>
    <w:p>
      <w:pPr>
        <w:adjustRightInd w:val="0"/>
        <w:snapToGrid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pPr>
        <w:adjustRightInd w:val="0"/>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否</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pPr>
        <w:numPr>
          <w:ilvl w:val="0"/>
          <w:numId w:val="22"/>
        </w:num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w:t>
      </w:r>
      <w:r>
        <w:rPr>
          <w:rFonts w:hint="eastAsia" w:ascii="宋体" w:hAnsi="宋体" w:eastAsia="宋体" w:cs="宋体"/>
          <w:bCs/>
          <w:color w:val="auto"/>
          <w:sz w:val="24"/>
          <w:szCs w:val="24"/>
          <w:highlight w:val="none"/>
          <w:u w:val="single"/>
          <w:lang w:val="en"/>
        </w:rPr>
        <w:t>/分项验收的工作安排</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pPr>
        <w:pStyle w:val="363"/>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pPr>
        <w:pStyle w:val="363"/>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pPr>
        <w:numPr>
          <w:ilvl w:val="0"/>
          <w:numId w:val="20"/>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p>
    <w:p>
      <w:pPr>
        <w:pStyle w:val="187"/>
        <w:spacing w:line="400" w:lineRule="exact"/>
        <w:rPr>
          <w:rFonts w:hint="eastAsia" w:ascii="宋体" w:hAnsi="宋体" w:eastAsia="宋体" w:cs="宋体"/>
          <w:color w:val="auto"/>
          <w:sz w:val="32"/>
          <w:szCs w:val="32"/>
          <w:highlight w:val="none"/>
        </w:rPr>
      </w:pPr>
    </w:p>
    <w:p>
      <w:pPr>
        <w:rPr>
          <w:rFonts w:hint="eastAsia" w:ascii="宋体" w:hAnsi="宋体" w:eastAsia="宋体" w:cs="宋体"/>
          <w:b/>
          <w:bCs/>
          <w:color w:val="auto"/>
          <w:sz w:val="22"/>
          <w:szCs w:val="22"/>
          <w:highlight w:val="none"/>
        </w:rPr>
      </w:pPr>
      <w:r>
        <w:rPr>
          <w:rFonts w:hint="eastAsia" w:ascii="宋体" w:hAnsi="宋体" w:eastAsia="宋体" w:cs="宋体"/>
          <w:color w:val="auto"/>
          <w:sz w:val="22"/>
          <w:szCs w:val="28"/>
          <w:highlight w:val="none"/>
          <w:lang w:val="en"/>
        </w:rPr>
        <w:t xml:space="preserve">   </w:t>
      </w: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br w:type="page"/>
      </w:r>
    </w:p>
    <w:tbl>
      <w:tblPr>
        <w:tblStyle w:val="47"/>
        <w:tblW w:w="818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2"/>
        <w:gridCol w:w="2350"/>
        <w:gridCol w:w="1928"/>
        <w:gridCol w:w="206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92" w:type="dxa"/>
            <w:gridSpan w:val="2"/>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甲方（采购人、受采购人委托签订合同的单位或采购文件约定的合同甲方）</w:t>
            </w:r>
          </w:p>
        </w:tc>
        <w:tc>
          <w:tcPr>
            <w:tcW w:w="3990" w:type="dxa"/>
            <w:gridSpan w:val="2"/>
            <w:tcBorders>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单位名称（公章或合同章）</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单位名称（公章或合同章）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2" w:type="dxa"/>
            <w:vMerge w:val="restart"/>
            <w:tcBorders>
              <w:top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adjustRightInd w:val="0"/>
              <w:snapToGrid w:val="0"/>
              <w:spacing w:line="300" w:lineRule="exact"/>
              <w:ind w:firstLine="105" w:firstLineChars="4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或其委托代理人（签章）</w:t>
            </w:r>
          </w:p>
        </w:tc>
        <w:tc>
          <w:tcPr>
            <w:tcW w:w="2350"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或其委托代理人（签章）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拥有者性别</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通信地址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通信地址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开户名称</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银行账号</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82" w:type="dxa"/>
            <w:gridSpan w:val="4"/>
            <w:tcBorders>
              <w:top w:val="single" w:color="auto" w:sz="2" w:space="0"/>
            </w:tcBorders>
            <w:vAlign w:val="center"/>
          </w:tcPr>
          <w:p>
            <w:pPr>
              <w:pStyle w:val="18"/>
              <w:adjustRightInd w:val="0"/>
              <w:snapToGrid w:val="0"/>
              <w:spacing w:before="120" w:beforeLines="50" w:after="0"/>
              <w:jc w:val="left"/>
              <w:rPr>
                <w:rFonts w:hint="eastAsia" w:ascii="宋体" w:hAnsi="宋体" w:eastAsia="宋体" w:cs="宋体"/>
                <w:color w:val="auto"/>
                <w:spacing w:val="20"/>
                <w:sz w:val="28"/>
                <w:szCs w:val="22"/>
                <w:highlight w:val="none"/>
              </w:rPr>
            </w:pPr>
            <w:r>
              <w:rPr>
                <w:rFonts w:hint="eastAsia" w:ascii="宋体" w:hAnsi="宋体" w:eastAsia="宋体" w:cs="宋体"/>
                <w:color w:val="auto"/>
                <w:sz w:val="28"/>
                <w:szCs w:val="22"/>
                <w:highlight w:val="none"/>
              </w:rPr>
              <w:t>注：涉及联合体或其他合同主体的信息应按上表格式加列。</w:t>
            </w:r>
          </w:p>
        </w:tc>
      </w:tr>
    </w:tbl>
    <w:p>
      <w:pPr>
        <w:pStyle w:val="4"/>
        <w:snapToGrid w:val="0"/>
        <w:spacing w:beforeLines="50"/>
        <w:rPr>
          <w:rFonts w:hint="eastAsia" w:ascii="宋体" w:hAnsi="宋体" w:eastAsia="宋体" w:cs="宋体"/>
          <w:color w:val="auto"/>
          <w:sz w:val="32"/>
          <w:szCs w:val="32"/>
          <w:highlight w:val="none"/>
        </w:rPr>
      </w:pPr>
      <w:r>
        <w:rPr>
          <w:rFonts w:hint="eastAsia" w:ascii="宋体" w:hAnsi="宋体" w:eastAsia="宋体" w:cs="宋体"/>
          <w:color w:val="auto"/>
          <w:sz w:val="22"/>
          <w:szCs w:val="22"/>
          <w:highlight w:val="none"/>
          <w:u w:val="single"/>
        </w:rPr>
        <w:br w:type="page"/>
      </w:r>
      <w:bookmarkStart w:id="301" w:name="_Toc27624"/>
      <w:r>
        <w:rPr>
          <w:rFonts w:hint="eastAsia" w:ascii="宋体" w:hAnsi="宋体" w:eastAsia="宋体" w:cs="宋体"/>
          <w:b w:val="0"/>
          <w:color w:val="auto"/>
          <w:sz w:val="32"/>
          <w:szCs w:val="32"/>
          <w:highlight w:val="none"/>
        </w:rPr>
        <w:t>第二节 政府采购合同通用条款</w:t>
      </w:r>
      <w:bookmarkEnd w:id="301"/>
    </w:p>
    <w:p>
      <w:pPr>
        <w:tabs>
          <w:tab w:val="left" w:pos="8820"/>
          <w:tab w:val="left" w:pos="9345"/>
          <w:tab w:val="left" w:pos="9765"/>
        </w:tabs>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 xml:space="preserve">1. </w:t>
      </w:r>
      <w:r>
        <w:rPr>
          <w:rFonts w:hint="eastAsia" w:ascii="宋体" w:hAnsi="宋体" w:eastAsia="宋体" w:cs="宋体"/>
          <w:b/>
          <w:bCs/>
          <w:color w:val="auto"/>
          <w:sz w:val="28"/>
          <w:szCs w:val="28"/>
          <w:highlight w:val="none"/>
        </w:rPr>
        <w:t>定义</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1.1合同当事人</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（3）其他合同主体是指除采购人和供应商以外，</w:t>
      </w:r>
      <w:r>
        <w:rPr>
          <w:rFonts w:hint="eastAsia" w:ascii="宋体" w:hAnsi="宋体" w:eastAsia="宋体" w:cs="宋体"/>
          <w:bCs/>
          <w:color w:val="auto"/>
          <w:sz w:val="22"/>
          <w:szCs w:val="22"/>
          <w:highlight w:val="none"/>
        </w:rPr>
        <w:t>依法参与合同缔结或履行，享有权利、承担义务的合同当事人</w:t>
      </w:r>
      <w:r>
        <w:rPr>
          <w:rFonts w:hint="eastAsia" w:ascii="宋体" w:hAnsi="宋体" w:eastAsia="宋体" w:cs="宋体"/>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1.2本合同下列术语应解释为：</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（1）“合同”系指</w:t>
      </w:r>
      <w:r>
        <w:rPr>
          <w:rFonts w:hint="eastAsia" w:ascii="宋体" w:hAnsi="宋体" w:eastAsia="宋体" w:cs="宋体"/>
          <w:bCs/>
          <w:color w:val="auto"/>
          <w:sz w:val="22"/>
          <w:szCs w:val="22"/>
          <w:highlight w:val="none"/>
        </w:rPr>
        <w:t>合同当事人意思表示达成一致的任何协议，包括签署的</w:t>
      </w:r>
      <w:r>
        <w:rPr>
          <w:rFonts w:hint="eastAsia" w:ascii="宋体" w:hAnsi="宋体" w:eastAsia="宋体" w:cs="宋体"/>
          <w:color w:val="auto"/>
          <w:sz w:val="22"/>
          <w:szCs w:val="22"/>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技术资料和材料等。</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（4）“相关服务”系指根据合同规定，乙方应提供的与货物有关的技术、管理和</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义务。</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（7）其他术语解释，见【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pPr>
        <w:numPr>
          <w:ilvl w:val="0"/>
          <w:numId w:val="23"/>
        </w:num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合同标的及金额</w:t>
      </w:r>
    </w:p>
    <w:p>
      <w:pPr>
        <w:autoSpaceDE w:val="0"/>
        <w:autoSpaceDN w:val="0"/>
        <w:adjustRightInd w:val="0"/>
        <w:snapToGrid w:val="0"/>
        <w:spacing w:line="400" w:lineRule="exact"/>
        <w:ind w:firstLine="440" w:firstLineChars="200"/>
        <w:jc w:val="left"/>
        <w:rPr>
          <w:rFonts w:hint="eastAsia" w:ascii="宋体" w:hAnsi="宋体" w:eastAsia="宋体" w:cs="宋体"/>
          <w:b/>
          <w:bCs/>
          <w:i/>
          <w:iCs/>
          <w:color w:val="auto"/>
          <w:sz w:val="22"/>
          <w:szCs w:val="22"/>
          <w:highlight w:val="none"/>
        </w:rPr>
      </w:pPr>
      <w:r>
        <w:rPr>
          <w:rFonts w:hint="eastAsia" w:ascii="宋体" w:hAnsi="宋体" w:eastAsia="宋体" w:cs="宋体"/>
          <w:color w:val="auto"/>
          <w:sz w:val="22"/>
          <w:szCs w:val="22"/>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任何费用。</w:t>
      </w:r>
    </w:p>
    <w:p>
      <w:pPr>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 履行合同的时间、地点和方式</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乙方应当在约定的时间、地点，按照约定方式履行合同。</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 甲方的权利和义务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甲方有权要求乙方对缺陷部分予以修复，并按合同约定享有货物保修及其他合同约定的权利。</w:t>
      </w:r>
    </w:p>
    <w:p>
      <w:pPr>
        <w:snapToGrid w:val="0"/>
        <w:spacing w:line="400" w:lineRule="exact"/>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4.4 甲方应当按照合同约定及时对交付的货物进行验收，未在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约定的期限内对乙方履约提出任何异议或者向乙方作出任何说明的，视为验收通过。</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 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约定应由甲方承担的其他义务和责任。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 乙方的权利和义务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签署合同后，乙方应确定项目负责人（或项目联系人），负责与本合同有关的事务。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2"/>
        <w:spacing w:after="0" w:line="400" w:lineRule="exact"/>
        <w:ind w:firstLine="387" w:firstLineChars="17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5.3乙方有权根据合同约定向甲方收取合同价款。</w:t>
      </w:r>
    </w:p>
    <w:p>
      <w:pPr>
        <w:pStyle w:val="2"/>
        <w:spacing w:after="0" w:line="400" w:lineRule="exact"/>
        <w:ind w:firstLine="387" w:firstLineChars="17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约定应由乙方承担的其他义务和责任。</w:t>
      </w:r>
    </w:p>
    <w:p>
      <w:pPr>
        <w:numPr>
          <w:ilvl w:val="0"/>
          <w:numId w:val="24"/>
        </w:num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 甲乙双方应当按照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约定顺序履行合同义务；如果没有先后顺序的，应当同时履行。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 货物包装、运输、保险和交付要求</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 本合同</w:t>
      </w:r>
      <w:r>
        <w:rPr>
          <w:rFonts w:hint="eastAsia" w:ascii="宋体" w:hAnsi="宋体" w:eastAsia="宋体" w:cs="宋体"/>
          <w:bCs/>
          <w:color w:val="auto"/>
          <w:sz w:val="22"/>
          <w:szCs w:val="22"/>
          <w:highlight w:val="none"/>
        </w:rPr>
        <w:t>涉及商品包装、快递包装的，</w:t>
      </w:r>
      <w:r>
        <w:rPr>
          <w:rFonts w:hint="eastAsia" w:ascii="宋体" w:hAnsi="宋体" w:eastAsia="宋体" w:cs="宋体"/>
          <w:color w:val="auto"/>
          <w:sz w:val="22"/>
          <w:szCs w:val="22"/>
          <w:highlight w:val="none"/>
        </w:rPr>
        <w:t>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包装应适应远距离运输、防潮、防震、防锈和防野蛮装卸等要求，确保货物安全无损地运抵</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约定的</w:t>
      </w:r>
      <w:r>
        <w:rPr>
          <w:rFonts w:hint="eastAsia" w:ascii="宋体" w:hAnsi="宋体" w:eastAsia="宋体" w:cs="宋体"/>
          <w:color w:val="auto"/>
          <w:sz w:val="22"/>
          <w:szCs w:val="22"/>
          <w:highlight w:val="none"/>
        </w:rPr>
        <w:t>指定现场。</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 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 货物保险要求按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规定执行</w:t>
      </w:r>
      <w:r>
        <w:rPr>
          <w:rFonts w:hint="eastAsia" w:ascii="宋体" w:hAnsi="宋体" w:eastAsia="宋体" w:cs="宋体"/>
          <w:color w:val="auto"/>
          <w:sz w:val="22"/>
          <w:szCs w:val="22"/>
          <w:highlight w:val="none"/>
        </w:rPr>
        <w:t>。</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 乙方在运输到达之前应提前通知甲方，并提示货物运输装卸的注意事项，甲方配合乙方做好货物的接收工作。</w:t>
      </w:r>
    </w:p>
    <w:p>
      <w:pPr>
        <w:pStyle w:val="363"/>
        <w:ind w:firstLine="42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 质量标准和保证</w:t>
      </w:r>
    </w:p>
    <w:p>
      <w:pPr>
        <w:pStyle w:val="23"/>
        <w:adjustRightInd w:val="0"/>
        <w:snapToGrid w:val="0"/>
        <w:spacing w:line="400" w:lineRule="exact"/>
        <w:ind w:firstLine="440" w:firstLineChars="200"/>
        <w:jc w:val="left"/>
        <w:rPr>
          <w:rFonts w:hint="eastAsia" w:ascii="宋体" w:hAnsi="宋体" w:eastAsia="宋体" w:cs="宋体"/>
          <w:b/>
          <w:color w:val="auto"/>
          <w:sz w:val="22"/>
          <w:szCs w:val="21"/>
          <w:highlight w:val="none"/>
        </w:rPr>
      </w:pPr>
      <w:r>
        <w:rPr>
          <w:rFonts w:hint="eastAsia" w:ascii="宋体" w:hAnsi="宋体" w:eastAsia="宋体" w:cs="宋体"/>
          <w:color w:val="auto"/>
          <w:sz w:val="22"/>
          <w:szCs w:val="21"/>
          <w:highlight w:val="none"/>
        </w:rPr>
        <w:t>8.1 质量标准</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（2）采用中华人民共和国法定计量单位。</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（3）乙方所提供的货物应符合国家有关安全、环保、卫生的规定。</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 保证</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规定或乙方书面承诺（两者以较长的为准）的质量保证期内，本保证保持有效。</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（2）在质量保证期内所发现的缺陷，甲方应尽快以书面形式通知乙方。</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（3）乙方收到通知后，应在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规定的响应时间内以合理的速度免费维修或更换有缺陷的货物或部件。</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 权利瑕疵担保</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 乙方保证对其出售的货物享有合法的权利。</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9.2 </w:t>
      </w:r>
      <w:r>
        <w:rPr>
          <w:rFonts w:hint="eastAsia" w:ascii="宋体" w:hAnsi="宋体" w:eastAsia="宋体" w:cs="宋体"/>
          <w:color w:val="auto"/>
          <w:sz w:val="22"/>
          <w:szCs w:val="16"/>
          <w:highlight w:val="none"/>
        </w:rPr>
        <w:t>乙方保证在交付的货物上不存在抵押权等担保物权。</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10. 知识产权保护</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乙方对其所销售的货物应当享有知识产权或经权利人合法授权，保证没有侵犯任何第三人的知识产权等权利。</w:t>
      </w:r>
      <w:bookmarkStart w:id="302" w:name="_Hlk163047038"/>
      <w:r>
        <w:rPr>
          <w:rFonts w:hint="eastAsia" w:ascii="宋体" w:hAnsi="宋体" w:eastAsia="宋体" w:cs="宋体"/>
          <w:color w:val="auto"/>
          <w:sz w:val="22"/>
          <w:szCs w:val="16"/>
          <w:highlight w:val="none"/>
        </w:rPr>
        <w:t>因违反前述约定对第三人构成侵权的，应当由乙方向第三人承担法律责任；甲方依法向第三人赔偿后，有权向乙方追偿。甲方有其他损失的，乙方应当赔偿</w:t>
      </w:r>
      <w:bookmarkEnd w:id="302"/>
      <w:r>
        <w:rPr>
          <w:rFonts w:hint="eastAsia" w:ascii="宋体" w:hAnsi="宋体" w:eastAsia="宋体" w:cs="宋体"/>
          <w:color w:val="auto"/>
          <w:sz w:val="22"/>
          <w:szCs w:val="22"/>
          <w:highlight w:val="none"/>
        </w:rPr>
        <w:t>。</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 保密义务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中约定。</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 合同价款支付</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合同价款支付按照国库集中支付制度及财政管理相关规定执行。</w:t>
      </w: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color w:val="auto"/>
          <w:sz w:val="22"/>
          <w:szCs w:val="22"/>
          <w:highlight w:val="none"/>
        </w:rPr>
        <w:t>政府采购合同专用条款</w:t>
      </w:r>
      <w:r>
        <w:rPr>
          <w:rFonts w:hint="eastAsia" w:ascii="宋体" w:hAnsi="宋体" w:eastAsia="宋体" w:cs="宋体"/>
          <w:color w:val="auto"/>
          <w:sz w:val="22"/>
          <w:szCs w:val="22"/>
          <w:highlight w:val="none"/>
        </w:rPr>
        <w:t>】中约定。</w:t>
      </w:r>
    </w:p>
    <w:p>
      <w:pPr>
        <w:pStyle w:val="2"/>
        <w:spacing w:after="0"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13. 履约保证金</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color w:val="auto"/>
          <w:sz w:val="22"/>
          <w:szCs w:val="16"/>
          <w:highlight w:val="none"/>
        </w:rPr>
        <w:t>乙方应当以支票、汇票、本票或者金融机构、担保机构出具的保函等非现金形式提交。</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如果乙方出现</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约定情形的</w:t>
      </w:r>
      <w:r>
        <w:rPr>
          <w:rFonts w:hint="eastAsia" w:ascii="宋体" w:hAnsi="宋体" w:eastAsia="宋体" w:cs="宋体"/>
          <w:color w:val="auto"/>
          <w:sz w:val="22"/>
          <w:szCs w:val="22"/>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13.3 甲方在项目通过验收后按照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规定的时间内将履约保证金退还乙方；逾期退还的，乙方可要求甲方支付违约金，违约金按照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规定支付。</w:t>
      </w:r>
    </w:p>
    <w:p>
      <w:p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 xml:space="preserve">14. </w:t>
      </w:r>
      <w:r>
        <w:rPr>
          <w:rFonts w:hint="eastAsia" w:ascii="宋体" w:hAnsi="宋体" w:eastAsia="宋体" w:cs="宋体"/>
          <w:b/>
          <w:color w:val="auto"/>
          <w:sz w:val="28"/>
          <w:szCs w:val="28"/>
          <w:highlight w:val="none"/>
        </w:rPr>
        <w:t>售后服务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 除项目不涉及或采购活动中明确约定无须承担外，乙方还应提供下列服务：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（1）货物的现场移动、安装、调试、启动监督及技术支持；</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（2）提供货物组装和维修所需的专用工具和辅助材料；</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22"/>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（4）在制造商所在地或指定现场就货物的安装、启动、运营、维护、废弃处置等对甲方操作人员进行培训</w:t>
      </w:r>
      <w:r>
        <w:rPr>
          <w:rFonts w:hint="eastAsia" w:ascii="宋体" w:hAnsi="宋体" w:eastAsia="宋体" w:cs="宋体"/>
          <w:color w:val="auto"/>
          <w:sz w:val="22"/>
          <w:szCs w:val="16"/>
          <w:highlight w:val="none"/>
        </w:rPr>
        <w:t>；</w:t>
      </w:r>
    </w:p>
    <w:p>
      <w:pPr>
        <w:pStyle w:val="363"/>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（5）依照法律、行政法规的规定或者按照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规定由乙方提供的其他服务。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 乙方提供的售后服务的费用已包含在合同价款中，甲方不再另行支付。</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 违约责任</w:t>
      </w:r>
    </w:p>
    <w:p>
      <w:pPr>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15.1质量瑕疵的违约责任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乙方提供的产品不符合合同约定的质量标准或存在产品质量缺陷，甲方有权要求乙方根据</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要求</w:t>
      </w:r>
      <w:r>
        <w:rPr>
          <w:rFonts w:hint="eastAsia" w:ascii="宋体" w:hAnsi="宋体" w:eastAsia="宋体" w:cs="宋体"/>
          <w:color w:val="auto"/>
          <w:sz w:val="22"/>
          <w:szCs w:val="22"/>
          <w:highlight w:val="none"/>
        </w:rPr>
        <w:t>及时修理、重作、更换，并承担由此给甲方造成的损失。</w:t>
      </w:r>
    </w:p>
    <w:p>
      <w:pPr>
        <w:autoSpaceDE w:val="0"/>
        <w:autoSpaceDN w:val="0"/>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15.2 迟延交货的违约责任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15.3 迟延支付的违约责任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甲方存在迟延支付乙方合同款项的，应当承担</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规定的逾期付款利息。</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15.4其他违约责任根据项目实际需要按</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规定执行。</w:t>
      </w:r>
    </w:p>
    <w:p>
      <w:pPr>
        <w:numPr>
          <w:ilvl w:val="0"/>
          <w:numId w:val="25"/>
        </w:num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合同变更、中止与终止</w:t>
      </w:r>
    </w:p>
    <w:p>
      <w:pPr>
        <w:adjustRightInd w:val="0"/>
        <w:snapToGrid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16.1合同的变更</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16.2合同的中止</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（4）甲方不得以行政区划调整、政府换届、机构或者职能调整以及相关责任人更替为由中止合同。</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16.3合同的终止</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（1）合同因有效期限届满而终止；</w:t>
      </w:r>
    </w:p>
    <w:p>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（2）乙方未按合同约定履行，构成根本性违约的，甲方有权终止合同，并追究乙方的违约责任。</w:t>
      </w:r>
    </w:p>
    <w:p>
      <w:pPr>
        <w:pStyle w:val="363"/>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16.4 </w:t>
      </w:r>
      <w:r>
        <w:rPr>
          <w:rFonts w:hint="eastAsia" w:ascii="宋体" w:hAnsi="宋体" w:eastAsia="宋体" w:cs="宋体"/>
          <w:color w:val="auto"/>
          <w:kern w:val="2"/>
          <w:sz w:val="22"/>
          <w:szCs w:val="22"/>
          <w:highlight w:val="none"/>
        </w:rPr>
        <w:t>涉及国家利益、社会公共利益的情形</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 合同分包</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18. 不可抗力</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18.1 不可抗力是指合同双方不能预见、不能避免且不能克服的客观情况。</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19. 解决争议的方法</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19.2 选择仲裁的，应在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中明确仲裁机构及仲裁地；通过诉讼方式解决的，可以在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中进一步约定选择与争议有实际联系的地点的人民法院管辖，但管辖法院的约定不得违反级别管辖和专属管辖的规定。</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20. 政府采购政策</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20.1 </w:t>
      </w:r>
      <w:r>
        <w:rPr>
          <w:rFonts w:hint="eastAsia" w:ascii="宋体" w:hAnsi="宋体" w:eastAsia="宋体" w:cs="宋体"/>
          <w:color w:val="auto"/>
          <w:sz w:val="22"/>
          <w:szCs w:val="28"/>
          <w:highlight w:val="none"/>
          <w:lang w:val="en-GB"/>
        </w:rPr>
        <w:t>本合同应当按照规定执行政府采购政策。</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 本合同依法执行政府采购政策的方式和内容，属于合同履约验收的范围。</w:t>
      </w:r>
      <w:r>
        <w:rPr>
          <w:rFonts w:hint="eastAsia" w:ascii="宋体" w:hAnsi="宋体" w:eastAsia="宋体" w:cs="宋体"/>
          <w:color w:val="auto"/>
          <w:sz w:val="22"/>
          <w:szCs w:val="28"/>
          <w:highlight w:val="none"/>
        </w:rPr>
        <w:t>甲乙双方</w:t>
      </w:r>
      <w:r>
        <w:rPr>
          <w:rFonts w:hint="eastAsia" w:ascii="宋体" w:hAnsi="宋体" w:eastAsia="宋体" w:cs="宋体"/>
          <w:color w:val="auto"/>
          <w:sz w:val="22"/>
          <w:szCs w:val="28"/>
          <w:highlight w:val="none"/>
          <w:lang w:val="en-GB"/>
        </w:rPr>
        <w:t>未按规定要求执行政府采购政策造成损失的</w:t>
      </w:r>
      <w:r>
        <w:rPr>
          <w:rFonts w:hint="eastAsia" w:ascii="宋体" w:hAnsi="宋体" w:eastAsia="宋体" w:cs="宋体"/>
          <w:color w:val="auto"/>
          <w:sz w:val="22"/>
          <w:szCs w:val="22"/>
          <w:highlight w:val="none"/>
        </w:rPr>
        <w:t>，有过错的一方应当承担赔偿责任，双方都有过错的，各自承担相应的责任。</w:t>
      </w:r>
    </w:p>
    <w:p>
      <w:pPr>
        <w:pStyle w:val="2"/>
        <w:spacing w:after="0" w:line="400" w:lineRule="exact"/>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 法律适用</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 本合同的订立、生效、解释、履行及与本合同有关的争议解决，均适用法律、行政法规。</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22. 通知</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 本合同任何一方向对方发出的通知、信件、数据电文等，应当发送至本合同第一部分《政府采购合同协议书》所约定的通讯地址、联系人、联系电话或电子邮箱。</w:t>
      </w:r>
    </w:p>
    <w:p>
      <w:pPr>
        <w:pStyle w:val="363"/>
        <w:ind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22.3本合同一方给另一方的通知均应采用书面形式，传真或快递送到本合同中规定的对方的地址和办理签收手续。</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22.4通知以送达之日或通知书中规定的生效之日起生效，两者中以较迟之日为准。</w:t>
      </w:r>
    </w:p>
    <w:p>
      <w:pPr>
        <w:numPr>
          <w:ilvl w:val="0"/>
          <w:numId w:val="26"/>
        </w:num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合同未尽事项</w:t>
      </w:r>
    </w:p>
    <w:p>
      <w:pPr>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23.1合同未尽事项见</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w:t>
      </w:r>
    </w:p>
    <w:p>
      <w:pPr>
        <w:adjustRightInd w:val="0"/>
        <w:snapToGrid w:val="0"/>
        <w:spacing w:line="40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22"/>
          <w:szCs w:val="22"/>
          <w:highlight w:val="none"/>
        </w:rPr>
        <w:t xml:space="preserve">    23.2 合同附件与合同正文具有同等的法律效力。</w:t>
      </w:r>
      <w:bookmarkStart w:id="303" w:name="_Toc20313"/>
    </w:p>
    <w:p>
      <w:pPr>
        <w:adjustRightInd w:val="0"/>
        <w:snapToGrid w:val="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4"/>
        <w:snapToGrid w:val="0"/>
        <w:rPr>
          <w:rFonts w:hint="eastAsia" w:ascii="宋体" w:hAnsi="宋体" w:eastAsia="宋体" w:cs="宋体"/>
          <w:b w:val="0"/>
          <w:bCs/>
          <w:color w:val="auto"/>
          <w:sz w:val="32"/>
          <w:szCs w:val="32"/>
          <w:highlight w:val="none"/>
        </w:rPr>
      </w:pPr>
      <w:r>
        <w:rPr>
          <w:rFonts w:hint="eastAsia" w:ascii="宋体" w:hAnsi="宋体" w:eastAsia="宋体" w:cs="宋体"/>
          <w:b w:val="0"/>
          <w:color w:val="auto"/>
          <w:sz w:val="32"/>
          <w:szCs w:val="32"/>
          <w:highlight w:val="none"/>
        </w:rPr>
        <w:t>第三节 政府采购合同专用条款</w:t>
      </w:r>
      <w:bookmarkEnd w:id="303"/>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第1.2（6）项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联合体具体要求</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第1.2（7）项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其他术语解释</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第4.4款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履约验收中甲方提出异议或作出说明的期限</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第4.6款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约定甲方承担的其他义务和责任</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第5.4款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约定乙方承担的其他义务和责任</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第6.1款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履行合同义务的顺序</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包装特殊要求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指定现场</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运输特殊要求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保险要求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第8.2（1）项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质量保证期</w:t>
            </w:r>
          </w:p>
        </w:tc>
        <w:tc>
          <w:tcPr>
            <w:tcW w:w="5170" w:type="dxa"/>
            <w:vAlign w:val="center"/>
          </w:tcPr>
          <w:p>
            <w:pPr>
              <w:autoSpaceDE w:val="0"/>
              <w:autoSpaceDN w:val="0"/>
              <w:adjustRightInd w:val="0"/>
              <w:snapToGrid w:val="0"/>
              <w:spacing w:after="0" w:line="240" w:lineRule="atLeast"/>
              <w:ind w:firstLine="440" w:firstLineChars="200"/>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第8.2（3）项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货物质量缺陷</w:t>
            </w:r>
          </w:p>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响应时间</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pStyle w:val="363"/>
              <w:snapToGrid w:val="0"/>
              <w:spacing w:after="0" w:line="240" w:lineRule="atLeast"/>
              <w:ind w:firstLine="0" w:firstLineChars="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第11.1款</w:t>
            </w:r>
          </w:p>
        </w:tc>
        <w:tc>
          <w:tcPr>
            <w:tcW w:w="1742" w:type="dxa"/>
            <w:vAlign w:val="center"/>
          </w:tcPr>
          <w:p>
            <w:pPr>
              <w:adjustRightInd w:val="0"/>
              <w:snapToGrid w:val="0"/>
              <w:spacing w:after="0" w:line="2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其他应当保密的信息</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合同价款支付时间</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第13.2款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履约保证金不予退还的情形</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第13.3款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履约保证金退还时间及逾期退还的违约金</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第14.1（3）项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运行监督、维修期限</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第14.1（5）项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货物回收的约定</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第14.1（6）项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乙方提供的其他服务</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修理、重作、更换相关具体规定</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第15.2（2）项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迟延交货赔偿费</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逾期付款利息</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其他违约责任</w:t>
            </w:r>
          </w:p>
        </w:tc>
        <w:tc>
          <w:tcPr>
            <w:tcW w:w="5170" w:type="dxa"/>
            <w:tcBorders>
              <w:left w:val="single" w:color="auto" w:sz="2" w:space="0"/>
              <w:bottom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after="0" w:line="240" w:lineRule="atLeast"/>
              <w:jc w:val="left"/>
              <w:rPr>
                <w:rFonts w:hint="eastAsia" w:ascii="宋体" w:hAnsi="宋体" w:eastAsia="宋体" w:cs="宋体"/>
                <w:iCs/>
                <w:color w:val="auto"/>
                <w:sz w:val="22"/>
                <w:szCs w:val="22"/>
                <w:highlight w:val="none"/>
              </w:rPr>
            </w:pPr>
            <w:r>
              <w:rPr>
                <w:rFonts w:hint="eastAsia" w:ascii="宋体" w:hAnsi="宋体" w:eastAsia="宋体" w:cs="宋体"/>
                <w:iCs/>
                <w:color w:val="auto"/>
                <w:sz w:val="22"/>
                <w:szCs w:val="22"/>
                <w:highlight w:val="none"/>
              </w:rPr>
              <w:t>因本合同及合同有关事项发生的争议，按下列第</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种方式解决：</w:t>
            </w:r>
          </w:p>
          <w:p>
            <w:pPr>
              <w:autoSpaceDE w:val="0"/>
              <w:autoSpaceDN w:val="0"/>
              <w:adjustRightInd w:val="0"/>
              <w:snapToGrid w:val="0"/>
              <w:spacing w:after="0" w:line="240" w:lineRule="atLeast"/>
              <w:jc w:val="left"/>
              <w:rPr>
                <w:rFonts w:hint="eastAsia" w:ascii="宋体" w:hAnsi="宋体" w:eastAsia="宋体" w:cs="宋体"/>
                <w:iCs/>
                <w:color w:val="auto"/>
                <w:sz w:val="22"/>
                <w:szCs w:val="22"/>
                <w:highlight w:val="none"/>
              </w:rPr>
            </w:pPr>
            <w:r>
              <w:rPr>
                <w:rFonts w:hint="eastAsia" w:ascii="宋体" w:hAnsi="宋体" w:eastAsia="宋体" w:cs="宋体"/>
                <w:iCs/>
                <w:color w:val="auto"/>
                <w:sz w:val="22"/>
                <w:szCs w:val="22"/>
                <w:highlight w:val="none"/>
              </w:rPr>
              <w:t>（1）向</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仲裁委员会申请仲裁，仲裁地点为</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w:t>
            </w:r>
          </w:p>
          <w:p>
            <w:pPr>
              <w:adjustRightInd w:val="0"/>
              <w:snapToGrid w:val="0"/>
              <w:spacing w:after="0" w:line="240" w:lineRule="atLeast"/>
              <w:jc w:val="left"/>
              <w:rPr>
                <w:rFonts w:hint="eastAsia" w:ascii="宋体" w:hAnsi="宋体" w:eastAsia="宋体" w:cs="宋体"/>
                <w:color w:val="auto"/>
                <w:sz w:val="22"/>
                <w:szCs w:val="22"/>
                <w:highlight w:val="none"/>
                <w:u w:val="single"/>
              </w:rPr>
            </w:pPr>
            <w:r>
              <w:rPr>
                <w:rFonts w:hint="eastAsia" w:ascii="宋体" w:hAnsi="宋体" w:eastAsia="宋体" w:cs="宋体"/>
                <w:iCs/>
                <w:color w:val="auto"/>
                <w:sz w:val="22"/>
                <w:szCs w:val="22"/>
                <w:highlight w:val="none"/>
              </w:rPr>
              <w:t>（2）向</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第23.1款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其他专用条款</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bl>
    <w:p>
      <w:pPr>
        <w:rPr>
          <w:rFonts w:hint="eastAsia" w:ascii="宋体" w:hAnsi="宋体" w:eastAsia="宋体" w:cs="宋体"/>
          <w:color w:val="auto"/>
          <w:sz w:val="22"/>
          <w:szCs w:val="28"/>
          <w:highlight w:val="none"/>
        </w:rPr>
      </w:pPr>
    </w:p>
    <w:p>
      <w:pPr>
        <w:rPr>
          <w:rFonts w:hint="eastAsia" w:ascii="宋体" w:hAnsi="宋体" w:eastAsia="宋体" w:cs="宋体"/>
          <w:color w:val="auto"/>
          <w:highlight w:val="none"/>
        </w:rPr>
      </w:pPr>
    </w:p>
    <w:p>
      <w:pPr>
        <w:tabs>
          <w:tab w:val="left" w:pos="360"/>
          <w:tab w:val="left" w:pos="540"/>
        </w:tabs>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 xml:space="preserve">           </w:t>
      </w:r>
    </w:p>
    <w:p>
      <w:pPr>
        <w:widowControl/>
        <w:jc w:val="left"/>
        <w:rPr>
          <w:rFonts w:hint="eastAsia" w:ascii="宋体" w:hAnsi="宋体" w:eastAsia="宋体" w:cs="宋体"/>
          <w:color w:val="auto"/>
          <w:sz w:val="24"/>
          <w:highlight w:val="none"/>
          <w:u w:val="single"/>
          <w:lang w:val="en-GB"/>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304" w:name="_Toc192872481"/>
      <w:r>
        <w:rPr>
          <w:rFonts w:hint="eastAsia" w:ascii="宋体" w:hAnsi="宋体" w:eastAsia="宋体" w:cs="宋体"/>
          <w:b/>
          <w:color w:val="auto"/>
          <w:sz w:val="36"/>
          <w:szCs w:val="36"/>
          <w:highlight w:val="none"/>
        </w:rPr>
        <w:t>第七章   投标文件格式</w:t>
      </w:r>
      <w:bookmarkEnd w:id="304"/>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投标人编制文件须知</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对于招标文件中标记了“实质性格式”文件的，</w:t>
      </w:r>
      <w:r>
        <w:rPr>
          <w:rFonts w:hint="eastAsia" w:ascii="宋体" w:hAnsi="宋体" w:eastAsia="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投标无效</w:t>
      </w:r>
      <w:r>
        <w:rPr>
          <w:rFonts w:hint="eastAsia" w:ascii="宋体" w:hAnsi="宋体" w:eastAsia="宋体" w:cs="宋体"/>
          <w:color w:val="auto"/>
          <w:kern w:val="0"/>
          <w:sz w:val="24"/>
          <w:highlight w:val="none"/>
        </w:rPr>
        <w:t>。未标记“实质性格式”的文件和招标文件未提供格式的内容，可由投标人自行编写。</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3、投标文件格式中以空格和下划横线“__”形式标记的部分，为投标单位需要填写的内容。投标单位应根据实际进行具体化填写，确实没有需要填写的，在空格或下划横线“__”中用“ / ”标记。</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4、全部声明和问题的回答及所附材料必须是真实的、准确的和完整的。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bCs/>
          <w:color w:val="auto"/>
          <w:sz w:val="24"/>
          <w:highlight w:val="none"/>
        </w:rPr>
        <w:t>为方便电子标评审，建议投标人编制详细的目录及正确的页码。</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Cs/>
          <w:color w:val="auto"/>
          <w:sz w:val="36"/>
          <w:szCs w:val="36"/>
          <w:highlight w:val="none"/>
        </w:rPr>
        <w:t xml:space="preserve"> </w:t>
      </w:r>
      <w:r>
        <w:rPr>
          <w:rFonts w:hint="eastAsia" w:ascii="宋体" w:hAnsi="宋体" w:eastAsia="宋体" w:cs="宋体"/>
          <w:color w:val="auto"/>
          <w:sz w:val="24"/>
          <w:highlight w:val="none"/>
        </w:rPr>
        <w:br w:type="page"/>
      </w: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Pr>
        <w:keepNext/>
        <w:keepLines/>
        <w:autoSpaceDE w:val="0"/>
        <w:autoSpaceDN w:val="0"/>
        <w:adjustRightInd w:val="0"/>
        <w:spacing w:before="120" w:line="300" w:lineRule="auto"/>
        <w:jc w:val="left"/>
        <w:outlineLvl w:val="1"/>
        <w:rPr>
          <w:rFonts w:hint="eastAsia" w:ascii="宋体" w:hAnsi="宋体" w:eastAsia="宋体" w:cs="宋体"/>
          <w:b/>
          <w:color w:val="auto"/>
          <w:kern w:val="0"/>
          <w:sz w:val="30"/>
          <w:szCs w:val="20"/>
          <w:highlight w:val="none"/>
        </w:rPr>
      </w:pPr>
      <w:r>
        <w:rPr>
          <w:rFonts w:hint="eastAsia" w:ascii="宋体" w:hAnsi="宋体" w:eastAsia="宋体" w:cs="宋体"/>
          <w:b/>
          <w:color w:val="auto"/>
          <w:spacing w:val="20"/>
          <w:sz w:val="24"/>
          <w:highlight w:val="none"/>
        </w:rPr>
        <w:t>一、资格证明文件格式</w:t>
      </w:r>
    </w:p>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投标文件（资格证明文件）</w:t>
      </w:r>
      <w:r>
        <w:rPr>
          <w:rFonts w:hint="eastAsia" w:ascii="宋体" w:hAnsi="宋体" w:eastAsia="宋体" w:cs="宋体"/>
          <w:b/>
          <w:color w:val="auto"/>
          <w:sz w:val="24"/>
          <w:highlight w:val="none"/>
        </w:rPr>
        <w:t>封面（非实质性格式）</w:t>
      </w:r>
    </w:p>
    <w:p>
      <w:pPr>
        <w:rPr>
          <w:rFonts w:hint="eastAsia" w:ascii="宋体" w:hAnsi="宋体" w:eastAsia="宋体" w:cs="宋体"/>
          <w:b/>
          <w:color w:val="auto"/>
          <w:spacing w:val="60"/>
          <w:sz w:val="84"/>
          <w:szCs w:val="84"/>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pPr>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（资格证明文件）</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lang w:val="en-US" w:eastAsia="zh-CN"/>
        </w:rPr>
        <w:t>分包</w:t>
      </w:r>
      <w:r>
        <w:rPr>
          <w:rFonts w:hint="eastAsia" w:ascii="宋体" w:hAnsi="宋体" w:eastAsia="宋体" w:cs="宋体"/>
          <w:b/>
          <w:color w:val="auto"/>
          <w:spacing w:val="20"/>
          <w:sz w:val="32"/>
          <w:szCs w:val="32"/>
          <w:highlight w:val="none"/>
          <w:lang w:val="en-US" w:eastAsia="zh-CN"/>
        </w:rPr>
        <w:t>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lang w:val="en-US" w:eastAsia="zh-CN"/>
        </w:rPr>
        <w:t>包号：</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 xml:space="preserve"> </w:t>
      </w: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投标人名称：</w:t>
      </w:r>
    </w:p>
    <w:p>
      <w:pPr>
        <w:spacing w:line="360" w:lineRule="auto"/>
        <w:ind w:firstLine="1445" w:firstLineChars="400"/>
        <w:jc w:val="left"/>
        <w:rPr>
          <w:rFonts w:hint="eastAsia" w:ascii="宋体" w:hAnsi="宋体" w:eastAsia="宋体" w:cs="宋体"/>
          <w:b/>
          <w:color w:val="auto"/>
          <w:spacing w:val="20"/>
          <w:sz w:val="32"/>
          <w:szCs w:val="32"/>
          <w:highlight w:val="none"/>
        </w:rPr>
      </w:pPr>
    </w:p>
    <w:p>
      <w:pPr>
        <w:rPr>
          <w:rFonts w:hint="eastAsia" w:ascii="宋体" w:hAnsi="宋体" w:eastAsia="宋体" w:cs="宋体"/>
          <w:color w:val="auto"/>
          <w:sz w:val="24"/>
          <w:szCs w:val="20"/>
          <w:highlight w:val="none"/>
        </w:rPr>
        <w:sectPr>
          <w:pgSz w:w="11907" w:h="16840"/>
          <w:pgMar w:top="1440" w:right="1797" w:bottom="1440" w:left="1797" w:header="851" w:footer="851" w:gutter="0"/>
          <w:cols w:space="720" w:num="1"/>
          <w:docGrid w:linePitch="462" w:charSpace="0"/>
        </w:sectPr>
      </w:pPr>
    </w:p>
    <w:p>
      <w:pPr>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1 </w:t>
      </w:r>
      <w:r>
        <w:rPr>
          <w:rFonts w:hint="eastAsia" w:ascii="宋体" w:hAnsi="宋体" w:eastAsia="宋体" w:cs="宋体"/>
          <w:color w:val="auto"/>
          <w:sz w:val="24"/>
          <w:highlight w:val="none"/>
        </w:rPr>
        <w:t>满足《中华人民共和国政府采购法》第二十二条规定及法律法规的其他规定</w:t>
      </w:r>
    </w:p>
    <w:p>
      <w:pPr>
        <w:spacing w:line="360" w:lineRule="auto"/>
        <w:outlineLvl w:val="2"/>
        <w:rPr>
          <w:rFonts w:hint="eastAsia" w:ascii="宋体" w:hAnsi="宋体" w:eastAsia="宋体" w:cs="宋体"/>
          <w:b/>
          <w:bCs/>
          <w:color w:val="auto"/>
          <w:sz w:val="24"/>
          <w:szCs w:val="20"/>
          <w:highlight w:val="none"/>
        </w:rPr>
      </w:pPr>
      <w:r>
        <w:rPr>
          <w:rFonts w:hint="eastAsia" w:ascii="宋体" w:hAnsi="宋体" w:eastAsia="宋体" w:cs="宋体"/>
          <w:b/>
          <w:color w:val="auto"/>
          <w:sz w:val="24"/>
          <w:szCs w:val="20"/>
          <w:highlight w:val="none"/>
        </w:rPr>
        <w:t>1-1</w:t>
      </w:r>
      <w:r>
        <w:rPr>
          <w:rFonts w:hint="eastAsia" w:ascii="宋体" w:hAnsi="宋体" w:eastAsia="宋体" w:cs="宋体"/>
          <w:b/>
          <w:bCs/>
          <w:color w:val="auto"/>
          <w:sz w:val="24"/>
          <w:szCs w:val="20"/>
          <w:highlight w:val="none"/>
        </w:rPr>
        <w:t>营业执照等证明文件（实质性格式）</w:t>
      </w:r>
    </w:p>
    <w:p>
      <w:pPr>
        <w:rPr>
          <w:rFonts w:hint="eastAsia" w:ascii="宋体" w:hAnsi="宋体" w:eastAsia="宋体" w:cs="宋体"/>
          <w:b/>
          <w:bCs/>
          <w:color w:val="auto"/>
          <w:sz w:val="44"/>
          <w:szCs w:val="44"/>
          <w:highlight w:val="none"/>
        </w:rPr>
        <w:sectPr>
          <w:pgSz w:w="11907" w:h="16840"/>
          <w:pgMar w:top="1440" w:right="1797" w:bottom="1440" w:left="1797" w:header="851" w:footer="851" w:gutter="0"/>
          <w:cols w:space="720" w:num="1"/>
          <w:docGrid w:linePitch="462" w:charSpace="0"/>
        </w:sectPr>
      </w:pPr>
      <w:r>
        <w:rPr>
          <w:rFonts w:hint="eastAsia" w:ascii="宋体" w:hAnsi="宋体" w:eastAsia="宋体" w:cs="宋体"/>
          <w:b/>
          <w:bCs/>
          <w:color w:val="auto"/>
          <w:sz w:val="44"/>
          <w:szCs w:val="44"/>
          <w:highlight w:val="none"/>
        </w:rPr>
        <w:t>附营业执照电子件</w:t>
      </w:r>
    </w:p>
    <w:p>
      <w:pPr>
        <w:pStyle w:val="5"/>
        <w:rPr>
          <w:rFonts w:hint="eastAsia" w:ascii="宋体" w:hAnsi="宋体" w:eastAsia="宋体" w:cs="宋体"/>
          <w:bCs/>
          <w:color w:val="auto"/>
          <w:highlight w:val="none"/>
          <w:u w:val="none"/>
        </w:rPr>
      </w:pPr>
      <w:r>
        <w:rPr>
          <w:rFonts w:hint="eastAsia" w:ascii="宋体" w:hAnsi="宋体" w:eastAsia="宋体" w:cs="宋体"/>
          <w:color w:val="auto"/>
          <w:highlight w:val="none"/>
          <w:u w:val="none"/>
        </w:rPr>
        <w:t>1-2 投标人资格声明书（实质性格式）</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投标人资格声明书</w:t>
      </w: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在参与本次项目投标中，我单位承诺：</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bl>
    <w:p>
      <w:pPr>
        <w:keepNext w:val="0"/>
        <w:keepLines w:val="0"/>
        <w:pageBreakBefore w:val="0"/>
        <w:widowControl w:val="0"/>
        <w:kinsoku/>
        <w:wordWrap/>
        <w:overflowPunct/>
        <w:topLinePunct w:val="0"/>
        <w:bidi w:val="0"/>
        <w:adjustRightInd w:val="0"/>
        <w:snapToGrid w:val="0"/>
        <w:spacing w:after="0"/>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adjustRightInd w:val="0"/>
        <w:snapToGrid w:val="0"/>
        <w:spacing w:after="0"/>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righ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keepNext w:val="0"/>
        <w:keepLines w:val="0"/>
        <w:pageBreakBefore w:val="0"/>
        <w:widowControl w:val="0"/>
        <w:kinsoku/>
        <w:wordWrap/>
        <w:overflowPunct/>
        <w:topLinePunct w:val="0"/>
        <w:bidi w:val="0"/>
        <w:adjustRightInd w:val="0"/>
        <w:snapToGrid w:val="0"/>
        <w:spacing w:after="0" w:line="360" w:lineRule="auto"/>
        <w:ind w:right="360" w:firstLine="48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p>
    <w:p>
      <w:pPr>
        <w:keepNext w:val="0"/>
        <w:keepLines w:val="0"/>
        <w:pageBreakBefore w:val="0"/>
        <w:widowControl w:val="0"/>
        <w:kinsoku/>
        <w:wordWrap/>
        <w:overflowPunct/>
        <w:topLinePunct w:val="0"/>
        <w:bidi w:val="0"/>
        <w:adjustRightInd w:val="0"/>
        <w:snapToGrid w:val="0"/>
        <w:spacing w:after="0" w:line="360" w:lineRule="auto"/>
        <w:textAlignment w:val="auto"/>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4"/>
          <w:highlight w:val="none"/>
        </w:rPr>
        <w:t>说明：投标人承诺不实的，依据《政府采购法》第七十七条“提供虚假材料谋取中标、成交的”有关规定予以处理。</w:t>
      </w:r>
    </w:p>
    <w:p>
      <w:pPr>
        <w:pStyle w:val="5"/>
        <w:rPr>
          <w:rFonts w:hint="eastAsia" w:ascii="宋体" w:hAnsi="宋体" w:eastAsia="宋体" w:cs="宋体"/>
          <w:color w:val="auto"/>
          <w:highlight w:val="none"/>
        </w:rPr>
      </w:pPr>
      <w:r>
        <w:rPr>
          <w:rFonts w:hint="eastAsia" w:hAnsi="宋体" w:cs="宋体"/>
          <w:color w:val="auto"/>
          <w:highlight w:val="none"/>
          <w:lang w:val="en-US" w:eastAsia="zh-CN"/>
        </w:rPr>
        <w:t>2</w:t>
      </w:r>
      <w:r>
        <w:rPr>
          <w:rFonts w:hint="eastAsia" w:ascii="宋体" w:hAnsi="宋体" w:eastAsia="宋体" w:cs="宋体"/>
          <w:color w:val="auto"/>
          <w:highlight w:val="none"/>
        </w:rPr>
        <w:t>本项目特定资格要求：</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ab/>
      </w:r>
    </w:p>
    <w:p>
      <w:pPr>
        <w:pStyle w:val="288"/>
        <w:widowControl/>
        <w:numPr>
          <w:ilvl w:val="0"/>
          <w:numId w:val="28"/>
        </w:numPr>
        <w:ind w:firstLineChars="0"/>
        <w:jc w:val="lef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投标人需</w:t>
      </w:r>
      <w:r>
        <w:rPr>
          <w:rFonts w:hint="eastAsia" w:ascii="宋体" w:hAnsi="宋体" w:eastAsia="宋体" w:cs="宋体"/>
          <w:b/>
          <w:bCs/>
          <w:color w:val="auto"/>
          <w:sz w:val="28"/>
          <w:szCs w:val="28"/>
          <w:highlight w:val="none"/>
        </w:rPr>
        <w:t>具有农业农村部门颁发的兽药生产许可证。</w:t>
      </w:r>
    </w:p>
    <w:p>
      <w:pPr>
        <w:pStyle w:val="288"/>
        <w:widowControl/>
        <w:ind w:left="922" w:firstLine="0" w:firstLineChars="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提供证书电子件并加盖投标单位公章</w:t>
      </w:r>
    </w:p>
    <w:p>
      <w:pPr>
        <w:pStyle w:val="288"/>
        <w:widowControl/>
        <w:ind w:left="922" w:firstLine="0" w:firstLineChars="0"/>
        <w:rPr>
          <w:rFonts w:hint="eastAsia" w:ascii="宋体" w:hAnsi="宋体" w:eastAsia="宋体" w:cs="宋体"/>
          <w:b/>
          <w:color w:val="auto"/>
          <w:sz w:val="44"/>
          <w:szCs w:val="44"/>
          <w:highlight w:val="none"/>
        </w:rPr>
      </w:pPr>
    </w:p>
    <w:p>
      <w:pPr>
        <w:pStyle w:val="288"/>
        <w:widowControl/>
        <w:numPr>
          <w:ilvl w:val="0"/>
          <w:numId w:val="28"/>
        </w:numPr>
        <w:ind w:firstLine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投标人须具备所投各疫苗品种(毒株)的有效兽药产品批准文号（涉及农业农村部统一变更某产品名称和毒株的，变更后的产品批准文号文件同样有效）</w:t>
      </w:r>
    </w:p>
    <w:p>
      <w:pPr>
        <w:pStyle w:val="288"/>
        <w:widowControl/>
        <w:numPr>
          <w:ilvl w:val="0"/>
          <w:numId w:val="0"/>
        </w:numPr>
        <w:ind w:left="562" w:leftChars="0"/>
        <w:jc w:val="left"/>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提供证书电子件并加盖投标单位公章</w:t>
      </w:r>
    </w:p>
    <w:p>
      <w:pPr>
        <w:pStyle w:val="288"/>
        <w:widowControl/>
        <w:numPr>
          <w:ilvl w:val="0"/>
          <w:numId w:val="0"/>
        </w:numPr>
        <w:ind w:left="562" w:leftChars="0"/>
        <w:jc w:val="left"/>
        <w:rPr>
          <w:rFonts w:hint="eastAsia" w:ascii="宋体" w:hAnsi="宋体" w:eastAsia="宋体" w:cs="宋体"/>
          <w:b/>
          <w:color w:val="auto"/>
          <w:sz w:val="44"/>
          <w:szCs w:val="44"/>
          <w:highlight w:val="none"/>
        </w:rPr>
      </w:pPr>
    </w:p>
    <w:p>
      <w:pPr>
        <w:pStyle w:val="288"/>
        <w:widowControl/>
        <w:numPr>
          <w:ilvl w:val="0"/>
          <w:numId w:val="28"/>
        </w:numPr>
        <w:ind w:firstLineChars="0"/>
        <w:jc w:val="left"/>
        <w:rPr>
          <w:rFonts w:hint="eastAsia" w:ascii="宋体" w:hAnsi="宋体" w:eastAsia="宋体" w:cs="宋体"/>
          <w:color w:val="auto"/>
          <w:sz w:val="24"/>
          <w:szCs w:val="20"/>
          <w:highlight w:val="none"/>
        </w:rPr>
      </w:pPr>
      <w:r>
        <w:rPr>
          <w:rFonts w:hint="eastAsia" w:ascii="宋体" w:hAnsi="宋体" w:cs="宋体"/>
          <w:b/>
          <w:bCs/>
          <w:color w:val="auto"/>
          <w:sz w:val="28"/>
          <w:szCs w:val="28"/>
          <w:highlight w:val="none"/>
          <w:lang w:val="en-US" w:eastAsia="zh-CN"/>
        </w:rPr>
        <w:t>投标人需</w:t>
      </w:r>
      <w:r>
        <w:rPr>
          <w:rFonts w:hint="eastAsia" w:ascii="宋体" w:hAnsi="宋体" w:eastAsia="宋体" w:cs="宋体"/>
          <w:b/>
          <w:bCs/>
          <w:color w:val="auto"/>
          <w:sz w:val="28"/>
          <w:szCs w:val="28"/>
          <w:highlight w:val="none"/>
        </w:rPr>
        <w:t>具有农业农村部门颁发的中华人民共和国兽药GMP证书。</w:t>
      </w:r>
    </w:p>
    <w:p>
      <w:pPr>
        <w:widowControl/>
        <w:ind w:firstLine="480" w:firstLineChars="200"/>
        <w:jc w:val="left"/>
        <w:rPr>
          <w:rFonts w:hint="eastAsia" w:ascii="宋体" w:hAnsi="宋体" w:eastAsia="宋体" w:cs="宋体"/>
          <w:color w:val="auto"/>
          <w:sz w:val="24"/>
          <w:szCs w:val="20"/>
          <w:highlight w:val="none"/>
        </w:rPr>
      </w:pPr>
    </w:p>
    <w:p>
      <w:pPr>
        <w:widowControl/>
        <w:jc w:val="center"/>
        <w:rPr>
          <w:rFonts w:hint="eastAsia" w:ascii="宋体" w:hAnsi="宋体" w:eastAsia="宋体" w:cs="宋体"/>
          <w:b/>
          <w:color w:val="auto"/>
          <w:sz w:val="44"/>
          <w:szCs w:val="44"/>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color w:val="auto"/>
          <w:sz w:val="44"/>
          <w:szCs w:val="44"/>
          <w:highlight w:val="none"/>
        </w:rPr>
        <w:t xml:space="preserve">提供证书电子件并加盖投标单位公章. </w:t>
      </w:r>
    </w:p>
    <w:p>
      <w:pPr>
        <w:keepNext/>
        <w:keepLines/>
        <w:autoSpaceDE w:val="0"/>
        <w:autoSpaceDN w:val="0"/>
        <w:adjustRightInd w:val="0"/>
        <w:spacing w:before="120" w:line="300" w:lineRule="auto"/>
        <w:jc w:val="left"/>
        <w:outlineLvl w:val="1"/>
        <w:rPr>
          <w:rFonts w:hint="eastAsia" w:ascii="宋体" w:hAnsi="宋体" w:eastAsia="宋体" w:cs="宋体"/>
          <w:b/>
          <w:color w:val="auto"/>
          <w:spacing w:val="20"/>
          <w:sz w:val="24"/>
          <w:highlight w:val="none"/>
        </w:rPr>
      </w:pPr>
      <w:bookmarkStart w:id="305" w:name="_Hlk178254376"/>
      <w:r>
        <w:rPr>
          <w:rFonts w:hint="eastAsia" w:ascii="宋体" w:hAnsi="宋体" w:eastAsia="宋体" w:cs="宋体"/>
          <w:b/>
          <w:color w:val="auto"/>
          <w:spacing w:val="20"/>
          <w:sz w:val="24"/>
          <w:highlight w:val="none"/>
        </w:rPr>
        <w:t>二、商务技术文件格式</w:t>
      </w:r>
    </w:p>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投标文件（商务技术文件）</w:t>
      </w:r>
      <w:r>
        <w:rPr>
          <w:rFonts w:hint="eastAsia" w:ascii="宋体" w:hAnsi="宋体" w:eastAsia="宋体" w:cs="宋体"/>
          <w:b/>
          <w:color w:val="auto"/>
          <w:sz w:val="24"/>
          <w:highlight w:val="none"/>
        </w:rPr>
        <w:t>封面（非实质性格式）</w:t>
      </w:r>
    </w:p>
    <w:p>
      <w:pPr>
        <w:jc w:val="center"/>
        <w:rPr>
          <w:rFonts w:hint="eastAsia" w:ascii="宋体" w:hAnsi="宋体" w:eastAsia="宋体" w:cs="宋体"/>
          <w:color w:val="auto"/>
          <w:szCs w:val="21"/>
          <w:highlight w:val="none"/>
        </w:rPr>
      </w:pPr>
    </w:p>
    <w:p>
      <w:pPr>
        <w:jc w:val="center"/>
        <w:rPr>
          <w:rFonts w:hint="eastAsia" w:ascii="宋体" w:hAnsi="宋体" w:eastAsia="宋体" w:cs="宋体"/>
          <w:b/>
          <w:color w:val="auto"/>
          <w:spacing w:val="60"/>
          <w:sz w:val="84"/>
          <w:szCs w:val="84"/>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pPr>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（商务技术文件）</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lang w:val="en-US" w:eastAsia="zh-CN"/>
        </w:rPr>
        <w:t>分包</w:t>
      </w:r>
      <w:r>
        <w:rPr>
          <w:rFonts w:hint="eastAsia" w:ascii="宋体" w:hAnsi="宋体" w:eastAsia="宋体" w:cs="宋体"/>
          <w:b/>
          <w:color w:val="auto"/>
          <w:spacing w:val="20"/>
          <w:sz w:val="32"/>
          <w:szCs w:val="32"/>
          <w:highlight w:val="none"/>
          <w:lang w:val="en-US" w:eastAsia="zh-CN"/>
        </w:rPr>
        <w:t>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lang w:val="en-US" w:eastAsia="zh-CN"/>
        </w:rPr>
        <w:t>包号：</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 xml:space="preserve"> </w:t>
      </w:r>
    </w:p>
    <w:p>
      <w:pPr>
        <w:ind w:firstLine="542" w:firstLineChars="150"/>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z w:val="24"/>
          <w:highlight w:val="none"/>
        </w:rPr>
      </w:pPr>
      <w:r>
        <w:rPr>
          <w:rFonts w:hint="eastAsia" w:ascii="宋体" w:hAnsi="宋体" w:eastAsia="宋体" w:cs="宋体"/>
          <w:b/>
          <w:color w:val="auto"/>
          <w:spacing w:val="20"/>
          <w:sz w:val="32"/>
          <w:szCs w:val="32"/>
          <w:highlight w:val="none"/>
        </w:rPr>
        <w:t>投标人名称：</w:t>
      </w:r>
      <w:r>
        <w:rPr>
          <w:rFonts w:hint="eastAsia" w:ascii="宋体" w:hAnsi="宋体" w:eastAsia="宋体" w:cs="宋体"/>
          <w:b/>
          <w:color w:val="auto"/>
          <w:sz w:val="24"/>
          <w:highlight w:val="none"/>
        </w:rPr>
        <w:br w:type="page"/>
      </w:r>
    </w:p>
    <w:p>
      <w:pPr>
        <w:spacing w:line="360" w:lineRule="auto"/>
        <w:outlineLvl w:val="2"/>
        <w:rPr>
          <w:rFonts w:hint="eastAsia" w:ascii="宋体" w:hAnsi="宋体" w:eastAsia="宋体" w:cs="宋体"/>
          <w:b/>
          <w:color w:val="auto"/>
          <w:sz w:val="24"/>
          <w:szCs w:val="20"/>
          <w:highlight w:val="none"/>
        </w:rPr>
      </w:pPr>
      <w:bookmarkStart w:id="306" w:name="_Hlt520271212"/>
      <w:bookmarkEnd w:id="306"/>
      <w:bookmarkStart w:id="307" w:name="_Hlt520355504"/>
      <w:bookmarkEnd w:id="307"/>
      <w:bookmarkStart w:id="308" w:name="_Hlt520343000"/>
      <w:bookmarkEnd w:id="308"/>
      <w:bookmarkStart w:id="309" w:name="_Hlt520350918"/>
      <w:bookmarkEnd w:id="309"/>
      <w:bookmarkStart w:id="310" w:name="_Hlt520274407"/>
      <w:bookmarkEnd w:id="310"/>
      <w:bookmarkStart w:id="311" w:name="_Hlt520274121"/>
      <w:bookmarkEnd w:id="311"/>
      <w:bookmarkStart w:id="312" w:name="_Hlt520274393"/>
      <w:bookmarkEnd w:id="312"/>
      <w:bookmarkStart w:id="313" w:name="_Hlt520343392"/>
      <w:bookmarkEnd w:id="313"/>
      <w:bookmarkStart w:id="314" w:name="_Hlt520274065"/>
      <w:bookmarkEnd w:id="314"/>
      <w:bookmarkStart w:id="315" w:name="_Hlt520273711"/>
      <w:bookmarkEnd w:id="315"/>
      <w:bookmarkStart w:id="316" w:name="_Ref467988698"/>
      <w:bookmarkStart w:id="317" w:name="_Toc480942349"/>
      <w:bookmarkStart w:id="318" w:name="_Toc142311058"/>
      <w:bookmarkStart w:id="319" w:name="_Toc226309800"/>
      <w:bookmarkStart w:id="320" w:name="_Toc226965746"/>
      <w:bookmarkStart w:id="321" w:name="_Toc520356217"/>
      <w:bookmarkStart w:id="322" w:name="_Toc150480794"/>
      <w:bookmarkStart w:id="323" w:name="_Toc226965829"/>
      <w:bookmarkStart w:id="324" w:name="_Toc150774761"/>
      <w:bookmarkStart w:id="325" w:name="_Toc195842921"/>
      <w:bookmarkStart w:id="326" w:name="_Toc127151556"/>
      <w:bookmarkStart w:id="327" w:name="_Toc226337252"/>
      <w:r>
        <w:rPr>
          <w:rFonts w:hint="eastAsia" w:ascii="宋体" w:hAnsi="宋体" w:eastAsia="宋体" w:cs="宋体"/>
          <w:b/>
          <w:color w:val="auto"/>
          <w:sz w:val="24"/>
          <w:highlight w:val="none"/>
        </w:rPr>
        <w:t>1投标</w:t>
      </w:r>
      <w:bookmarkEnd w:id="316"/>
      <w:bookmarkEnd w:id="317"/>
      <w:r>
        <w:rPr>
          <w:rFonts w:hint="eastAsia" w:ascii="宋体" w:hAnsi="宋体" w:eastAsia="宋体" w:cs="宋体"/>
          <w:b/>
          <w:color w:val="auto"/>
          <w:sz w:val="24"/>
          <w:highlight w:val="none"/>
        </w:rPr>
        <w:t>书</w:t>
      </w:r>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b/>
          <w:color w:val="auto"/>
          <w:sz w:val="24"/>
          <w:szCs w:val="20"/>
          <w:highlight w:val="none"/>
        </w:rPr>
        <w:t>（实质性格式）</w:t>
      </w:r>
    </w:p>
    <w:p>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投标书</w:t>
      </w: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我方参加你方就</w:t>
      </w:r>
      <w:r>
        <w:rPr>
          <w:rFonts w:hint="eastAsia" w:ascii="宋体" w:hAnsi="宋体" w:eastAsia="宋体" w:cs="宋体"/>
          <w:color w:val="auto"/>
          <w:sz w:val="24"/>
          <w:highlight w:val="none"/>
          <w:lang w:val="zh-CN"/>
        </w:rPr>
        <w:t>___________</w:t>
      </w: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分包名称</w:t>
      </w:r>
      <w:r>
        <w:rPr>
          <w:rFonts w:hint="eastAsia" w:ascii="宋体" w:hAnsi="宋体" w:eastAsia="宋体" w:cs="宋体"/>
          <w:color w:val="auto"/>
          <w:sz w:val="24"/>
          <w:szCs w:val="20"/>
          <w:highlight w:val="none"/>
        </w:rPr>
        <w:t>）组织的招标活动，并对此项目进行投标。</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 我方</w:t>
      </w:r>
      <w:r>
        <w:rPr>
          <w:rFonts w:hint="eastAsia" w:ascii="宋体" w:hAnsi="宋体" w:eastAsia="宋体" w:cs="宋体"/>
          <w:color w:val="auto"/>
          <w:sz w:val="24"/>
          <w:highlight w:val="none"/>
        </w:rPr>
        <w:t>已详细审查全部招标文件</w:t>
      </w:r>
      <w:r>
        <w:rPr>
          <w:rFonts w:hint="eastAsia" w:ascii="宋体" w:hAnsi="宋体" w:eastAsia="宋体" w:cs="宋体"/>
          <w:color w:val="auto"/>
          <w:sz w:val="24"/>
          <w:szCs w:val="20"/>
          <w:highlight w:val="none"/>
        </w:rPr>
        <w:t>，自愿参与投标并承诺如下：</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（1）本投标有效期为自提交投标文件的截止之日起</w:t>
      </w:r>
      <w:r>
        <w:rPr>
          <w:rFonts w:hint="eastAsia" w:ascii="宋体" w:hAnsi="宋体" w:eastAsia="宋体" w:cs="宋体"/>
          <w:color w:val="auto"/>
          <w:sz w:val="24"/>
          <w:highlight w:val="none"/>
          <w:u w:val="single"/>
        </w:rPr>
        <w:t>_90_</w:t>
      </w:r>
      <w:r>
        <w:rPr>
          <w:rFonts w:hint="eastAsia" w:ascii="宋体" w:hAnsi="宋体" w:eastAsia="宋体" w:cs="宋体"/>
          <w:color w:val="auto"/>
          <w:sz w:val="24"/>
          <w:szCs w:val="20"/>
          <w:highlight w:val="none"/>
        </w:rPr>
        <w:t>个日历日。</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（4）如我方中标，我方将在法律规定的期限内与你方签订合同，按照招标文件要求提交履约保证金，并在合同约定的期限内完成合同规定的全部义务。</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（5）我方本次投标过程中不存在违背公平竞争原则、串通投标、含有采购人不能接受的附加条件以及其他造成投标无效的行为。</w:t>
      </w:r>
    </w:p>
    <w:p>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2. 其他补充条款（如有）：</w:t>
      </w:r>
      <w:r>
        <w:rPr>
          <w:rFonts w:hint="eastAsia" w:ascii="宋体" w:hAnsi="宋体" w:eastAsia="宋体" w:cs="宋体"/>
          <w:color w:val="auto"/>
          <w:sz w:val="24"/>
          <w:szCs w:val="20"/>
          <w:highlight w:val="none"/>
        </w:rPr>
        <w:t>___________</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与本投标有关的一切正式往来信函请寄：</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地址_________________________   传真____________________________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电话_________________________  电子函件________________________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投标人名称（加盖公章） ___________</w:t>
      </w:r>
    </w:p>
    <w:p>
      <w:pPr>
        <w:tabs>
          <w:tab w:val="left" w:pos="5580"/>
        </w:tabs>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bookmarkStart w:id="328" w:name="_Hlt520356243"/>
      <w:bookmarkEnd w:id="328"/>
      <w:bookmarkStart w:id="329" w:name="_Hlt520355938"/>
      <w:bookmarkEnd w:id="329"/>
      <w:bookmarkStart w:id="330" w:name="_Toc226309801"/>
      <w:bookmarkStart w:id="331" w:name="_Toc305158825"/>
      <w:bookmarkStart w:id="332" w:name="_Toc264969247"/>
      <w:bookmarkStart w:id="333" w:name="_Toc150480795"/>
      <w:bookmarkStart w:id="334" w:name="_Ref467988705"/>
      <w:bookmarkStart w:id="335" w:name="_Toc195842922"/>
      <w:bookmarkStart w:id="336" w:name="_Toc305158899"/>
      <w:bookmarkStart w:id="337" w:name="_Toc480942350"/>
      <w:bookmarkStart w:id="338" w:name="_Toc150774762"/>
      <w:bookmarkStart w:id="339" w:name="_Toc226965830"/>
      <w:bookmarkStart w:id="340" w:name="_Toc142311059"/>
      <w:bookmarkStart w:id="341" w:name="_Toc127151557"/>
      <w:bookmarkStart w:id="342" w:name="_Toc226337253"/>
      <w:bookmarkStart w:id="343" w:name="_Toc520356218"/>
      <w:bookmarkStart w:id="344" w:name="_Toc226965747"/>
      <w:bookmarkStart w:id="345" w:name="_Toc265228395"/>
      <w:r>
        <w:rPr>
          <w:rFonts w:hint="eastAsia" w:ascii="宋体" w:hAnsi="宋体" w:eastAsia="宋体" w:cs="宋体"/>
          <w:color w:val="auto"/>
          <w:sz w:val="24"/>
          <w:highlight w:val="none"/>
        </w:rPr>
        <w:br w:type="page"/>
      </w:r>
    </w:p>
    <w:p>
      <w:pPr>
        <w:spacing w:line="360" w:lineRule="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授权委托书（实质性格式）</w:t>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pPr>
        <w:spacing w:line="360" w:lineRule="auto"/>
        <w:ind w:firstLine="420"/>
        <w:rPr>
          <w:rFonts w:hint="eastAsia" w:ascii="宋体" w:hAnsi="宋体" w:eastAsia="宋体" w:cs="宋体"/>
          <w:color w:val="auto"/>
          <w:sz w:val="24"/>
          <w:szCs w:val="20"/>
          <w:highlight w:val="none"/>
        </w:rPr>
      </w:pP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（姓名）系</w:t>
      </w:r>
      <w:r>
        <w:rPr>
          <w:rFonts w:hint="eastAsia" w:ascii="宋体" w:hAnsi="宋体" w:eastAsia="宋体" w:cs="宋体"/>
          <w:color w:val="auto"/>
          <w:sz w:val="24"/>
          <w:highlight w:val="none"/>
          <w:lang w:val="zh-CN"/>
        </w:rPr>
        <w:t>________________</w:t>
      </w:r>
      <w:r>
        <w:rPr>
          <w:rFonts w:hint="eastAsia" w:ascii="宋体" w:hAnsi="宋体" w:eastAsia="宋体" w:cs="宋体"/>
          <w:color w:val="auto"/>
          <w:sz w:val="24"/>
          <w:szCs w:val="20"/>
          <w:highlight w:val="none"/>
        </w:rPr>
        <w:t>（投标人名称）的法定代表人（单位负责人），现委托</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（姓名）为我方代理人。代理人根据授权，以我方名义签署、澄清确认、递交、撤回、修改</w:t>
      </w:r>
      <w:r>
        <w:rPr>
          <w:rFonts w:hint="eastAsia" w:ascii="宋体" w:hAnsi="宋体" w:eastAsia="宋体" w:cs="宋体"/>
          <w:color w:val="auto"/>
          <w:sz w:val="24"/>
          <w:highlight w:val="none"/>
          <w:lang w:val="zh-CN"/>
        </w:rPr>
        <w:t>___________</w:t>
      </w: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分包名称</w:t>
      </w:r>
      <w:r>
        <w:rPr>
          <w:rFonts w:hint="eastAsia" w:ascii="宋体" w:hAnsi="宋体" w:eastAsia="宋体" w:cs="宋体"/>
          <w:color w:val="auto"/>
          <w:sz w:val="24"/>
          <w:szCs w:val="20"/>
          <w:highlight w:val="none"/>
        </w:rPr>
        <w:t>）投标文件和处理有关事宜，其法律后果由我方承担。</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委托期限：自本授权委托书签署之日起至投标有效期届满之日止。</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法定代表人（单位负责人）（签字或签章或印鉴）：</w:t>
      </w:r>
      <w:r>
        <w:rPr>
          <w:rFonts w:hint="eastAsia" w:ascii="宋体" w:hAnsi="宋体" w:eastAsia="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日期：_____年______月______日</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3.供应商为自然人的情形，可不提供本《授权委托书》。</w:t>
      </w:r>
    </w:p>
    <w:p>
      <w:pPr>
        <w:tabs>
          <w:tab w:val="left" w:pos="5580"/>
        </w:tabs>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auto"/>
          <w:sz w:val="24"/>
          <w:szCs w:val="20"/>
          <w:highlight w:val="none"/>
        </w:rPr>
        <w:t>双面</w:t>
      </w:r>
      <w:r>
        <w:rPr>
          <w:rFonts w:hint="eastAsia" w:ascii="宋体" w:hAnsi="宋体" w:eastAsia="宋体" w:cs="宋体"/>
          <w:color w:val="auto"/>
          <w:sz w:val="24"/>
          <w:szCs w:val="20"/>
          <w:highlight w:val="none"/>
        </w:rPr>
        <w:t xml:space="preserve">电子件。 </w:t>
      </w:r>
      <w:r>
        <w:rPr>
          <w:rFonts w:hint="eastAsia" w:ascii="宋体" w:hAnsi="宋体" w:eastAsia="宋体" w:cs="宋体"/>
          <w:color w:val="auto"/>
          <w:sz w:val="30"/>
          <w:szCs w:val="30"/>
          <w:highlight w:val="none"/>
        </w:rPr>
        <w:br w:type="page"/>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附：法定代表人（单位负责人）身份证明</w:t>
      </w:r>
    </w:p>
    <w:p>
      <w:pPr>
        <w:kinsoku w:val="0"/>
        <w:overflowPunct w:val="0"/>
        <w:spacing w:line="200" w:lineRule="exact"/>
        <w:rPr>
          <w:rFonts w:hint="eastAsia" w:ascii="宋体" w:hAnsi="宋体" w:eastAsia="宋体" w:cs="宋体"/>
          <w:color w:val="auto"/>
          <w:sz w:val="20"/>
          <w:szCs w:val="20"/>
          <w:highlight w:val="none"/>
        </w:rPr>
      </w:pP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tabs>
          <w:tab w:val="left" w:pos="5580"/>
        </w:tabs>
        <w:spacing w:line="360" w:lineRule="auto"/>
        <w:rPr>
          <w:rFonts w:hint="eastAsia" w:ascii="宋体" w:hAnsi="宋体" w:eastAsia="宋体" w:cs="宋体"/>
          <w:color w:val="auto"/>
          <w:sz w:val="24"/>
          <w:highlight w:val="none"/>
          <w:u w:val="single"/>
        </w:rPr>
      </w:pPr>
    </w:p>
    <w:p>
      <w:pPr>
        <w:pStyle w:val="2"/>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w:t>
      </w:r>
    </w:p>
    <w:p>
      <w:pPr>
        <w:pStyle w:val="2"/>
        <w:tabs>
          <w:tab w:val="left" w:pos="1690"/>
          <w:tab w:val="left" w:pos="3400"/>
          <w:tab w:val="left" w:pos="5110"/>
          <w:tab w:val="left" w:pos="6821"/>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姓名：____性别：____年龄：____职务：____</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ab/>
      </w:r>
      <w:r>
        <w:rPr>
          <w:rFonts w:hint="eastAsia" w:ascii="宋体" w:hAnsi="宋体" w:eastAsia="宋体" w:cs="宋体"/>
          <w:color w:val="auto"/>
          <w:highlight w:val="none"/>
        </w:rPr>
        <w:t>（投标人名称）的法定代表人（单位负责人）。</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kinsoku w:val="0"/>
        <w:overflowPunct w:val="0"/>
        <w:spacing w:line="583" w:lineRule="auto"/>
        <w:ind w:right="-46"/>
        <w:rPr>
          <w:rFonts w:hint="eastAsia" w:ascii="宋体" w:hAnsi="宋体" w:eastAsia="宋体" w:cs="宋体"/>
          <w:color w:val="auto"/>
          <w:spacing w:val="-3"/>
          <w:highlight w:val="none"/>
        </w:rPr>
      </w:pPr>
      <w:r>
        <w:rPr>
          <w:rFonts w:hint="eastAsia" w:ascii="宋体" w:hAnsi="宋体" w:eastAsia="宋体" w:cs="宋体"/>
          <w:color w:val="auto"/>
          <w:highlight w:val="none"/>
        </w:rPr>
        <w:t>附：</w:t>
      </w:r>
      <w:r>
        <w:rPr>
          <w:rFonts w:hint="eastAsia" w:ascii="宋体" w:hAnsi="宋体" w:eastAsia="宋体" w:cs="宋体"/>
          <w:color w:val="auto"/>
          <w:szCs w:val="20"/>
          <w:highlight w:val="none"/>
        </w:rPr>
        <w:t>法定代表人（单位负责人）身份证或护照等身份证明文件电子件：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pStyle w:val="2"/>
        <w:kinsoku w:val="0"/>
        <w:overflowPunct w:val="0"/>
        <w:spacing w:line="583" w:lineRule="auto"/>
        <w:ind w:right="4305"/>
        <w:rPr>
          <w:rFonts w:hint="eastAsia" w:ascii="宋体" w:hAnsi="宋体" w:eastAsia="宋体" w:cs="宋体"/>
          <w:color w:val="auto"/>
          <w:spacing w:val="-3"/>
          <w:highlight w:val="none"/>
        </w:rPr>
      </w:pPr>
    </w:p>
    <w:p>
      <w:pPr>
        <w:pStyle w:val="2"/>
        <w:kinsoku w:val="0"/>
        <w:overflowPunct w:val="0"/>
        <w:spacing w:line="583" w:lineRule="auto"/>
        <w:ind w:right="4305"/>
        <w:rPr>
          <w:rFonts w:hint="eastAsia" w:ascii="宋体" w:hAnsi="宋体" w:eastAsia="宋体" w:cs="宋体"/>
          <w:color w:val="auto"/>
          <w:spacing w:val="-3"/>
          <w:highlight w:val="none"/>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pPr>
        <w:pStyle w:val="2"/>
        <w:kinsoku w:val="0"/>
        <w:overflowPunct w:val="0"/>
        <w:spacing w:line="583" w:lineRule="auto"/>
        <w:ind w:right="9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法定代表人（</w:t>
      </w:r>
      <w:r>
        <w:rPr>
          <w:rFonts w:hint="eastAsia" w:ascii="宋体" w:hAnsi="宋体" w:eastAsia="宋体" w:cs="宋体"/>
          <w:color w:val="auto"/>
          <w:highlight w:val="none"/>
        </w:rPr>
        <w:t>单位负责人</w:t>
      </w:r>
      <w:r>
        <w:rPr>
          <w:rFonts w:hint="eastAsia" w:ascii="宋体" w:hAnsi="宋体" w:eastAsia="宋体" w:cs="宋体"/>
          <w:color w:val="auto"/>
          <w:spacing w:val="-3"/>
          <w:highlight w:val="none"/>
        </w:rPr>
        <w:t>）（签字或签章或印鉴）：_______</w:t>
      </w:r>
    </w:p>
    <w:p>
      <w:pPr>
        <w:autoSpaceDE w:val="0"/>
        <w:autoSpaceDN w:val="0"/>
        <w:adjustRightInd w:val="0"/>
        <w:snapToGrid w:val="0"/>
        <w:spacing w:line="360" w:lineRule="auto"/>
        <w:rPr>
          <w:rFonts w:hint="eastAsia" w:ascii="宋体" w:hAnsi="宋体" w:eastAsia="宋体" w:cs="宋体"/>
          <w:color w:val="auto"/>
          <w:sz w:val="24"/>
          <w:highlight w:val="none"/>
        </w:rPr>
      </w:pPr>
    </w:p>
    <w:p>
      <w:pPr>
        <w:autoSpaceDE w:val="0"/>
        <w:autoSpaceDN w:val="0"/>
        <w:adjustRightInd w:val="0"/>
        <w:snapToGrid w:val="0"/>
        <w:spacing w:line="360" w:lineRule="auto"/>
        <w:rPr>
          <w:rFonts w:hint="eastAsia" w:ascii="宋体" w:hAnsi="宋体" w:eastAsia="宋体" w:cs="宋体"/>
          <w:i/>
          <w:color w:val="auto"/>
          <w:sz w:val="24"/>
          <w:szCs w:val="20"/>
          <w:highlight w:val="none"/>
          <w:u w:val="single"/>
        </w:rPr>
      </w:pPr>
      <w:r>
        <w:rPr>
          <w:rFonts w:hint="eastAsia" w:ascii="宋体" w:hAnsi="宋体" w:eastAsia="宋体" w:cs="宋体"/>
          <w:color w:val="auto"/>
          <w:sz w:val="24"/>
          <w:highlight w:val="none"/>
        </w:rPr>
        <w:t>日期：_____年______月______日</w:t>
      </w:r>
    </w:p>
    <w:p>
      <w:pPr>
        <w:pStyle w:val="5"/>
        <w:widowControl/>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3  </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Start w:id="346" w:name="_Toc264969252"/>
      <w:bookmarkStart w:id="347" w:name="_Toc226965835"/>
      <w:bookmarkStart w:id="348" w:name="_Toc142311062"/>
      <w:bookmarkStart w:id="349" w:name="_Toc226337258"/>
      <w:bookmarkStart w:id="350" w:name="_Toc226309806"/>
      <w:bookmarkStart w:id="351" w:name="_Toc150774765"/>
      <w:bookmarkStart w:id="352" w:name="_Toc305158830"/>
      <w:bookmarkStart w:id="353" w:name="_Toc305158904"/>
      <w:bookmarkStart w:id="354" w:name="_Toc195842927"/>
      <w:bookmarkStart w:id="355" w:name="_Toc150480798"/>
      <w:bookmarkStart w:id="356" w:name="_Toc265228400"/>
      <w:bookmarkStart w:id="357" w:name="_Toc226965752"/>
      <w:bookmarkStart w:id="358" w:name="_Toc127151562"/>
      <w:bookmarkStart w:id="359" w:name="_Toc142311061"/>
      <w:bookmarkStart w:id="360" w:name="_Toc305158903"/>
      <w:bookmarkStart w:id="361" w:name="_Toc305158829"/>
      <w:bookmarkStart w:id="362" w:name="_Toc150774764"/>
      <w:bookmarkStart w:id="363" w:name="_Toc265228399"/>
      <w:bookmarkStart w:id="364" w:name="_Toc127151561"/>
      <w:bookmarkStart w:id="365" w:name="_Toc195842926"/>
      <w:bookmarkStart w:id="366" w:name="_Toc226309805"/>
      <w:bookmarkStart w:id="367" w:name="_Toc226965751"/>
      <w:bookmarkStart w:id="368" w:name="_Toc226337257"/>
      <w:bookmarkStart w:id="369" w:name="_Toc150480797"/>
      <w:bookmarkStart w:id="370" w:name="_Toc264969251"/>
      <w:bookmarkStart w:id="371" w:name="_Toc226965834"/>
      <w:r>
        <w:rPr>
          <w:rFonts w:hint="eastAsia" w:ascii="宋体" w:hAnsi="宋体" w:eastAsia="宋体" w:cs="宋体"/>
          <w:color w:val="auto"/>
          <w:highlight w:val="none"/>
        </w:rPr>
        <w:t>开标一览表（实质性格式）</w:t>
      </w:r>
    </w:p>
    <w:p>
      <w:pPr>
        <w:spacing w:line="360" w:lineRule="exact"/>
        <w:jc w:val="center"/>
        <w:rPr>
          <w:rFonts w:hint="eastAsia" w:ascii="宋体" w:hAnsi="宋体" w:eastAsia="宋体" w:cs="宋体"/>
          <w:b/>
          <w:color w:val="auto"/>
          <w:sz w:val="36"/>
          <w:szCs w:val="36"/>
          <w:highlight w:val="none"/>
        </w:rPr>
      </w:pPr>
      <w:bookmarkStart w:id="372" w:name="_Toc305158900"/>
      <w:bookmarkStart w:id="373" w:name="_Toc164608827"/>
      <w:bookmarkStart w:id="374" w:name="_Toc265228396"/>
      <w:bookmarkStart w:id="375" w:name="_Toc195842923"/>
      <w:bookmarkStart w:id="376" w:name="_Toc226965748"/>
      <w:bookmarkStart w:id="377" w:name="_Toc305158826"/>
      <w:bookmarkStart w:id="378" w:name="_Toc226965831"/>
      <w:bookmarkStart w:id="379" w:name="_Toc226309802"/>
      <w:bookmarkStart w:id="380" w:name="_Toc226337254"/>
      <w:bookmarkStart w:id="381" w:name="_Toc164608672"/>
      <w:bookmarkStart w:id="382" w:name="_Toc264969248"/>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bookmarkEnd w:id="372"/>
      <w:bookmarkEnd w:id="373"/>
      <w:bookmarkEnd w:id="374"/>
      <w:bookmarkEnd w:id="375"/>
      <w:bookmarkEnd w:id="376"/>
      <w:bookmarkEnd w:id="377"/>
      <w:bookmarkEnd w:id="378"/>
      <w:bookmarkEnd w:id="379"/>
      <w:bookmarkEnd w:id="380"/>
      <w:bookmarkEnd w:id="381"/>
      <w:bookmarkEnd w:id="382"/>
    </w:p>
    <w:p>
      <w:pPr>
        <w:pStyle w:val="2"/>
        <w:rPr>
          <w:rFonts w:hint="eastAsia"/>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p>
    <w:tbl>
      <w:tblPr>
        <w:tblStyle w:val="47"/>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1"/>
        <w:gridCol w:w="2119"/>
        <w:gridCol w:w="183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651" w:type="dxa"/>
            <w:vMerge w:val="restart"/>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3957" w:type="dxa"/>
            <w:gridSpan w:val="2"/>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投标报价（元）</w:t>
            </w:r>
          </w:p>
        </w:tc>
        <w:tc>
          <w:tcPr>
            <w:tcW w:w="669" w:type="dxa"/>
            <w:vMerge w:val="restart"/>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2651" w:type="dxa"/>
            <w:vMerge w:val="continue"/>
            <w:vAlign w:val="center"/>
          </w:tcPr>
          <w:p>
            <w:pPr>
              <w:tabs>
                <w:tab w:val="left" w:pos="5580"/>
              </w:tabs>
              <w:jc w:val="center"/>
              <w:rPr>
                <w:rFonts w:hint="eastAsia" w:ascii="宋体" w:hAnsi="宋体" w:eastAsia="宋体" w:cs="宋体"/>
                <w:color w:val="auto"/>
                <w:sz w:val="24"/>
                <w:highlight w:val="none"/>
              </w:rPr>
            </w:pPr>
          </w:p>
        </w:tc>
        <w:tc>
          <w:tcPr>
            <w:tcW w:w="2119" w:type="dxa"/>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1838" w:type="dxa"/>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c>
          <w:tcPr>
            <w:tcW w:w="669" w:type="dxa"/>
            <w:vMerge w:val="continue"/>
            <w:vAlign w:val="center"/>
          </w:tcPr>
          <w:p>
            <w:pPr>
              <w:tabs>
                <w:tab w:val="left" w:pos="5580"/>
              </w:tabs>
              <w:jc w:val="center"/>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 w:hRule="atLeast"/>
          <w:jc w:val="center"/>
        </w:trPr>
        <w:tc>
          <w:tcPr>
            <w:tcW w:w="2651" w:type="dxa"/>
            <w:vAlign w:val="center"/>
          </w:tcPr>
          <w:p>
            <w:pPr>
              <w:tabs>
                <w:tab w:val="left" w:pos="5580"/>
              </w:tabs>
              <w:jc w:val="center"/>
              <w:rPr>
                <w:rFonts w:hint="eastAsia" w:ascii="宋体" w:hAnsi="宋体" w:eastAsia="宋体" w:cs="宋体"/>
                <w:color w:val="auto"/>
                <w:sz w:val="24"/>
                <w:highlight w:val="none"/>
              </w:rPr>
            </w:pPr>
          </w:p>
        </w:tc>
        <w:tc>
          <w:tcPr>
            <w:tcW w:w="2119" w:type="dxa"/>
            <w:vAlign w:val="center"/>
          </w:tcPr>
          <w:p>
            <w:pPr>
              <w:tabs>
                <w:tab w:val="left" w:pos="5580"/>
              </w:tabs>
              <w:jc w:val="center"/>
              <w:rPr>
                <w:rFonts w:hint="eastAsia" w:ascii="宋体" w:hAnsi="宋体" w:eastAsia="宋体" w:cs="宋体"/>
                <w:color w:val="auto"/>
                <w:sz w:val="24"/>
                <w:highlight w:val="none"/>
              </w:rPr>
            </w:pPr>
          </w:p>
        </w:tc>
        <w:tc>
          <w:tcPr>
            <w:tcW w:w="1838" w:type="dxa"/>
            <w:vAlign w:val="center"/>
          </w:tcPr>
          <w:p>
            <w:pPr>
              <w:tabs>
                <w:tab w:val="left" w:pos="5580"/>
              </w:tabs>
              <w:jc w:val="center"/>
              <w:rPr>
                <w:rFonts w:hint="eastAsia" w:ascii="宋体" w:hAnsi="宋体" w:eastAsia="宋体" w:cs="宋体"/>
                <w:color w:val="auto"/>
                <w:sz w:val="24"/>
                <w:highlight w:val="none"/>
              </w:rPr>
            </w:pPr>
          </w:p>
        </w:tc>
        <w:tc>
          <w:tcPr>
            <w:tcW w:w="669" w:type="dxa"/>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autoSpaceDE w:val="0"/>
        <w:autoSpaceDN w:val="0"/>
        <w:adjustRightInd w:val="0"/>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sz w:val="24"/>
          <w:szCs w:val="20"/>
          <w:highlight w:val="none"/>
        </w:rPr>
        <w:t>此表中的投标报价应和《投标分项报价表》中的总价相一致。</w:t>
      </w:r>
    </w:p>
    <w:p>
      <w:pPr>
        <w:autoSpaceDE w:val="0"/>
        <w:autoSpaceDN w:val="0"/>
        <w:adjustRightInd w:val="0"/>
        <w:spacing w:line="360" w:lineRule="auto"/>
        <w:jc w:val="left"/>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w:t>
      </w:r>
    </w:p>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日期：_____年______月______日   </w:t>
      </w:r>
      <w:bookmarkStart w:id="383" w:name="_Toc226337255"/>
      <w:bookmarkStart w:id="384" w:name="_Toc226965832"/>
      <w:bookmarkStart w:id="385" w:name="_Toc265228397"/>
      <w:bookmarkStart w:id="386" w:name="_Toc150774763"/>
      <w:bookmarkStart w:id="387" w:name="_Toc226965749"/>
      <w:bookmarkStart w:id="388" w:name="_Toc195842924"/>
      <w:bookmarkStart w:id="389" w:name="_Toc305158827"/>
      <w:bookmarkStart w:id="390" w:name="_Toc150480796"/>
      <w:bookmarkStart w:id="391" w:name="_Toc127151558"/>
      <w:bookmarkStart w:id="392" w:name="_Toc264969249"/>
      <w:bookmarkStart w:id="393" w:name="_Toc305158901"/>
      <w:bookmarkStart w:id="394" w:name="_Toc142311060"/>
      <w:bookmarkStart w:id="395" w:name="_Toc226309803"/>
    </w:p>
    <w:bookmarkEnd w:id="383"/>
    <w:bookmarkEnd w:id="384"/>
    <w:bookmarkEnd w:id="385"/>
    <w:bookmarkEnd w:id="386"/>
    <w:bookmarkEnd w:id="387"/>
    <w:bookmarkEnd w:id="388"/>
    <w:bookmarkEnd w:id="389"/>
    <w:bookmarkEnd w:id="390"/>
    <w:bookmarkEnd w:id="391"/>
    <w:bookmarkEnd w:id="392"/>
    <w:bookmarkEnd w:id="393"/>
    <w:bookmarkEnd w:id="394"/>
    <w:bookmarkEnd w:id="395"/>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4  投标分项报价表（实质性格式）</w:t>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投标分项报价表</w:t>
      </w:r>
    </w:p>
    <w:p>
      <w:pPr>
        <w:tabs>
          <w:tab w:val="left" w:pos="1800"/>
          <w:tab w:val="left" w:pos="5580"/>
        </w:tabs>
        <w:rPr>
          <w:rFonts w:hint="eastAsia" w:ascii="宋体" w:hAnsi="宋体" w:eastAsia="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eastAsia="宋体" w:cs="宋体"/>
          <w:color w:val="auto"/>
          <w:sz w:val="24"/>
          <w:highlight w:val="none"/>
        </w:rPr>
        <w:t>报价单位：人民币元</w:t>
      </w:r>
    </w:p>
    <w:tbl>
      <w:tblPr>
        <w:tblStyle w:val="47"/>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33"/>
        <w:gridCol w:w="1300"/>
        <w:gridCol w:w="926"/>
        <w:gridCol w:w="1230"/>
        <w:gridCol w:w="1230"/>
        <w:gridCol w:w="1230"/>
        <w:gridCol w:w="1230"/>
        <w:gridCol w:w="1230"/>
        <w:gridCol w:w="1230"/>
        <w:gridCol w:w="1004"/>
        <w:gridCol w:w="81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89"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033"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标的名称</w:t>
            </w:r>
          </w:p>
        </w:tc>
        <w:tc>
          <w:tcPr>
            <w:tcW w:w="130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926"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tc>
        <w:tc>
          <w:tcPr>
            <w:tcW w:w="1230"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统一信用代码</w:t>
            </w:r>
          </w:p>
        </w:tc>
        <w:tc>
          <w:tcPr>
            <w:tcW w:w="1230"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规模</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制造商所属性别</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外商投资类型</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产品产地</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1004"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单价（元）</w:t>
            </w:r>
          </w:p>
        </w:tc>
        <w:tc>
          <w:tcPr>
            <w:tcW w:w="815"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001"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47" w:type="dxa"/>
            <w:gridSpan w:val="12"/>
          </w:tcPr>
          <w:p>
            <w:pPr>
              <w:jc w:val="righ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总价（元）</w:t>
            </w:r>
          </w:p>
        </w:tc>
        <w:tc>
          <w:tcPr>
            <w:tcW w:w="1001" w:type="dxa"/>
            <w:vAlign w:val="center"/>
          </w:tcPr>
          <w:p>
            <w:pPr>
              <w:adjustRightInd w:val="0"/>
              <w:snapToGrid w:val="0"/>
              <w:jc w:val="left"/>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注：1.本表应按包分别填写。</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2.如果不提供分项报价将视为没有实质性响应招标文件。</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3.上述各项的详细规格（如有），可另页描述。</w:t>
      </w:r>
    </w:p>
    <w:p>
      <w:pPr>
        <w:tabs>
          <w:tab w:val="left" w:pos="1800"/>
          <w:tab w:val="left" w:pos="5580"/>
        </w:tabs>
        <w:spacing w:line="360" w:lineRule="auto"/>
        <w:ind w:left="660" w:leftChars="200" w:hanging="240" w:hangingChars="1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r>
        <w:rPr>
          <w:rFonts w:hint="eastAsia" w:ascii="宋体" w:hAnsi="宋体" w:eastAsia="宋体" w:cs="宋体"/>
          <w:b/>
          <w:bCs/>
          <w:color w:val="auto"/>
          <w:sz w:val="24"/>
          <w:szCs w:val="20"/>
          <w:highlight w:val="none"/>
        </w:rPr>
        <w:t>制造商规模列</w:t>
      </w:r>
      <w:r>
        <w:rPr>
          <w:rFonts w:hint="eastAsia" w:ascii="宋体" w:hAnsi="宋体" w:eastAsia="宋体" w:cs="宋体"/>
          <w:color w:val="auto"/>
          <w:sz w:val="24"/>
          <w:szCs w:val="20"/>
          <w:highlight w:val="none"/>
        </w:rPr>
        <w:t>应填写“大型”、“中型”、“小型”、“微型”或“其他”，且不应与《中小企业声明函》或《拟分包情况说明》中内容矛盾。</w:t>
      </w:r>
      <w:r>
        <w:rPr>
          <w:rFonts w:hint="eastAsia" w:ascii="宋体" w:hAnsi="宋体" w:eastAsia="宋体" w:cs="宋体"/>
          <w:b/>
          <w:bCs/>
          <w:color w:val="auto"/>
          <w:sz w:val="24"/>
          <w:szCs w:val="20"/>
          <w:highlight w:val="none"/>
        </w:rPr>
        <w:t>制造商所属性别</w:t>
      </w:r>
      <w:r>
        <w:rPr>
          <w:rFonts w:hint="eastAsia" w:ascii="宋体" w:hAnsi="宋体" w:eastAsia="宋体" w:cs="宋体"/>
          <w:color w:val="auto"/>
          <w:sz w:val="24"/>
          <w:szCs w:val="20"/>
          <w:highlight w:val="none"/>
        </w:rPr>
        <w:t>请填写“男”或“女”，</w:t>
      </w:r>
      <w:r>
        <w:rPr>
          <w:rFonts w:hint="eastAsia" w:ascii="宋体" w:hAnsi="宋体" w:eastAsia="宋体" w:cs="宋体"/>
          <w:color w:val="auto"/>
          <w:sz w:val="24"/>
          <w:highlight w:val="none"/>
        </w:rPr>
        <w:t>指拥有制造商51%以上绝对所有权的性别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绝对所有权拥有者可以是一个人，也可以是多人合计计算</w:t>
      </w:r>
      <w:r>
        <w:rPr>
          <w:rFonts w:hint="eastAsia" w:ascii="宋体" w:hAnsi="宋体" w:eastAsia="宋体" w:cs="宋体"/>
          <w:color w:val="auto"/>
          <w:sz w:val="24"/>
          <w:szCs w:val="20"/>
          <w:highlight w:val="none"/>
        </w:rPr>
        <w:t>。</w:t>
      </w:r>
      <w:r>
        <w:rPr>
          <w:rFonts w:hint="eastAsia" w:ascii="宋体" w:hAnsi="宋体" w:eastAsia="宋体" w:cs="宋体"/>
          <w:b/>
          <w:bCs/>
          <w:color w:val="auto"/>
          <w:sz w:val="24"/>
          <w:szCs w:val="20"/>
          <w:highlight w:val="none"/>
        </w:rPr>
        <w:t>外商投资类型</w:t>
      </w:r>
      <w:r>
        <w:rPr>
          <w:rFonts w:hint="eastAsia" w:ascii="宋体" w:hAnsi="宋体" w:eastAsia="宋体" w:cs="宋体"/>
          <w:color w:val="auto"/>
          <w:sz w:val="24"/>
          <w:szCs w:val="20"/>
          <w:highlight w:val="none"/>
        </w:rPr>
        <w:t>请填写“外商单独投资”、“外商部分投资”或“内资”。</w:t>
      </w:r>
      <w:r>
        <w:rPr>
          <w:rFonts w:hint="eastAsia" w:ascii="宋体" w:hAnsi="宋体" w:eastAsia="宋体" w:cs="宋体"/>
          <w:b/>
          <w:bCs/>
          <w:color w:val="auto"/>
          <w:sz w:val="24"/>
          <w:szCs w:val="20"/>
          <w:highlight w:val="none"/>
        </w:rPr>
        <w:t>产品产地列</w:t>
      </w:r>
      <w:r>
        <w:rPr>
          <w:rFonts w:hint="eastAsia" w:ascii="宋体" w:hAnsi="宋体" w:eastAsia="宋体" w:cs="宋体"/>
          <w:color w:val="auto"/>
          <w:sz w:val="24"/>
          <w:szCs w:val="20"/>
          <w:highlight w:val="none"/>
        </w:rPr>
        <w:t>请填写所投产品的生产地或生产地所属的国别。</w:t>
      </w:r>
    </w:p>
    <w:p>
      <w:pPr>
        <w:tabs>
          <w:tab w:val="left" w:pos="1800"/>
          <w:tab w:val="left" w:pos="5580"/>
        </w:tabs>
        <w:spacing w:line="360" w:lineRule="auto"/>
        <w:ind w:left="660" w:leftChars="200" w:hanging="240" w:hangingChars="100"/>
        <w:jc w:val="left"/>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ind w:firstLine="240" w:firstLineChars="100"/>
        <w:rPr>
          <w:rFonts w:hint="eastAsia" w:ascii="宋体" w:hAnsi="宋体" w:eastAsia="宋体" w:cs="宋体"/>
          <w:color w:val="auto"/>
          <w:sz w:val="24"/>
          <w:szCs w:val="20"/>
          <w:highlight w:val="none"/>
        </w:rPr>
        <w:sectPr>
          <w:pgSz w:w="16838" w:h="11906" w:orient="landscape"/>
          <w:pgMar w:top="1800" w:right="1440" w:bottom="1800" w:left="1440" w:header="851" w:footer="992" w:gutter="0"/>
          <w:cols w:space="720" w:num="1"/>
          <w:docGrid w:type="lines" w:linePitch="312" w:charSpace="0"/>
        </w:sect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xml:space="preserve">：____________                                                </w:t>
      </w:r>
      <w:r>
        <w:rPr>
          <w:rFonts w:hint="eastAsia" w:ascii="宋体" w:hAnsi="宋体" w:eastAsia="宋体" w:cs="宋体"/>
          <w:color w:val="auto"/>
          <w:sz w:val="24"/>
          <w:szCs w:val="20"/>
          <w:highlight w:val="none"/>
        </w:rPr>
        <w:t>日期：_____年______月______日</w:t>
      </w:r>
    </w:p>
    <w:p>
      <w:pPr>
        <w:pStyle w:val="5"/>
        <w:snapToGrid w:val="0"/>
        <w:spacing w:before="25" w:after="25" w:line="360" w:lineRule="auto"/>
        <w:rPr>
          <w:rFonts w:hint="eastAsia" w:ascii="宋体" w:hAnsi="宋体" w:eastAsia="宋体" w:cs="宋体"/>
          <w:color w:val="auto"/>
          <w:highlight w:val="none"/>
        </w:rPr>
      </w:pPr>
      <w:r>
        <w:rPr>
          <w:rFonts w:hint="eastAsia" w:ascii="宋体" w:hAnsi="宋体" w:eastAsia="宋体" w:cs="宋体"/>
          <w:color w:val="auto"/>
          <w:highlight w:val="none"/>
        </w:rPr>
        <w:t>5  合同条款偏离表</w:t>
      </w:r>
      <w:bookmarkEnd w:id="346"/>
      <w:bookmarkEnd w:id="347"/>
      <w:bookmarkEnd w:id="348"/>
      <w:bookmarkEnd w:id="349"/>
      <w:bookmarkEnd w:id="350"/>
      <w:bookmarkEnd w:id="351"/>
      <w:bookmarkEnd w:id="352"/>
      <w:bookmarkEnd w:id="353"/>
      <w:bookmarkEnd w:id="354"/>
      <w:bookmarkEnd w:id="355"/>
      <w:bookmarkEnd w:id="356"/>
      <w:bookmarkEnd w:id="357"/>
      <w:bookmarkEnd w:id="358"/>
      <w:r>
        <w:rPr>
          <w:rFonts w:hint="eastAsia" w:ascii="宋体" w:hAnsi="宋体" w:eastAsia="宋体" w:cs="宋体"/>
          <w:color w:val="auto"/>
          <w:highlight w:val="none"/>
        </w:rPr>
        <w:t>（实质性格式）</w:t>
      </w:r>
    </w:p>
    <w:p>
      <w:pPr>
        <w:tabs>
          <w:tab w:val="left" w:pos="2775"/>
          <w:tab w:val="center" w:pos="4153"/>
        </w:tabs>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合同条款偏离表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eastAsia="宋体" w:cs="宋体"/>
          <w:color w:val="auto"/>
          <w:sz w:val="24"/>
          <w:highlight w:val="none"/>
        </w:rPr>
        <w:t>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对本项目合同条款的偏离情况（应进行选择，未选择投标无效）：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如无偏离，仅选择无偏离即可；无偏离即为对合同条款中的所有要求，均视作投标人已对之理解和响应。</w:t>
            </w:r>
            <w:r>
              <w:rPr>
                <w:rFonts w:hint="eastAsia" w:ascii="宋体" w:hAnsi="宋体" w:eastAsia="宋体" w:cs="宋体"/>
                <w:color w:val="auto"/>
                <w:sz w:val="24"/>
                <w:highlight w:val="none"/>
              </w:rPr>
              <w:t>）</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则应在本表中对偏离项逐一列明，否则投标无效；对合同条款中的所有要求，除本表列明的偏离外，均视作投标人已对之理解和响应。）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5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条目号（页码）</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要求</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93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84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对合同条款中的所有要求，除本表所列明的所有偏离外，均视作投标人已对之理解和响应。</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“偏离情况”列应据实填写“正偏离”或“负偏离”或“无偏离”。</w:t>
      </w:r>
    </w:p>
    <w:p>
      <w:pPr>
        <w:spacing w:line="360" w:lineRule="auto"/>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r>
        <w:rPr>
          <w:rFonts w:hint="eastAsia" w:ascii="宋体" w:hAnsi="宋体" w:eastAsia="宋体" w:cs="宋体"/>
          <w:b/>
          <w:color w:val="auto"/>
          <w:sz w:val="24"/>
          <w:szCs w:val="20"/>
          <w:highlight w:val="none"/>
        </w:rPr>
        <w:t xml:space="preserve">6  </w:t>
      </w:r>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b/>
          <w:color w:val="auto"/>
          <w:sz w:val="24"/>
          <w:szCs w:val="20"/>
          <w:highlight w:val="none"/>
        </w:rPr>
        <w:t>采购需求偏离表 （实质性格式）</w:t>
      </w:r>
    </w:p>
    <w:p>
      <w:pPr>
        <w:autoSpaceDE w:val="0"/>
        <w:autoSpaceDN w:val="0"/>
        <w:adjustRightInd w:val="0"/>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采购需求偏离表</w:t>
      </w:r>
    </w:p>
    <w:p>
      <w:pPr>
        <w:pStyle w:val="2"/>
        <w:rPr>
          <w:rFonts w:hint="eastAsia"/>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b/>
                <w:color w:val="auto"/>
                <w:sz w:val="24"/>
                <w:highlight w:val="none"/>
              </w:rPr>
            </w:pPr>
            <w:r>
              <w:rPr>
                <w:rFonts w:ascii="宋体" w:hAnsi="宋体"/>
                <w:b/>
                <w:color w:val="auto"/>
                <w:sz w:val="24"/>
                <w:highlight w:val="none"/>
              </w:rPr>
              <w:t>对本</w:t>
            </w:r>
            <w:r>
              <w:rPr>
                <w:rFonts w:hint="eastAsia" w:ascii="宋体" w:hAnsi="宋体"/>
                <w:b/>
                <w:color w:val="auto"/>
                <w:sz w:val="24"/>
                <w:highlight w:val="none"/>
              </w:rPr>
              <w:t>项目采购需求</w:t>
            </w:r>
            <w:r>
              <w:rPr>
                <w:rFonts w:ascii="宋体" w:hAnsi="宋体"/>
                <w:b/>
                <w:color w:val="auto"/>
                <w:sz w:val="24"/>
                <w:highlight w:val="none"/>
              </w:rPr>
              <w:t>的偏离情况（</w:t>
            </w:r>
            <w:r>
              <w:rPr>
                <w:rFonts w:hint="eastAsia" w:ascii="宋体" w:hAnsi="宋体"/>
                <w:b/>
                <w:color w:val="auto"/>
                <w:sz w:val="24"/>
                <w:highlight w:val="none"/>
              </w:rPr>
              <w:t>应进行选择，未选择投标无效</w:t>
            </w:r>
            <w:r>
              <w:rPr>
                <w:rFonts w:ascii="宋体" w:hAnsi="宋体"/>
                <w:b/>
                <w:color w:val="auto"/>
                <w:sz w:val="24"/>
                <w:highlight w:val="none"/>
              </w:rPr>
              <w:t>）：</w:t>
            </w:r>
          </w:p>
          <w:p>
            <w:pPr>
              <w:adjustRightInd w:val="0"/>
              <w:snapToGrid w:val="0"/>
              <w:jc w:val="left"/>
              <w:rPr>
                <w:rFonts w:hint="eastAsia"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如无偏离，仅选择无偏离即可；</w:t>
            </w:r>
            <w:r>
              <w:rPr>
                <w:rFonts w:hint="eastAsia" w:ascii="宋体" w:hAnsi="宋体"/>
                <w:color w:val="auto"/>
                <w:sz w:val="24"/>
                <w:szCs w:val="21"/>
                <w:highlight w:val="none"/>
              </w:rPr>
              <w:t>无偏离即为对采购需求中的所有要求，均视作供应商已对之理解和响应。</w:t>
            </w:r>
            <w:r>
              <w:rPr>
                <w:rFonts w:ascii="宋体" w:hAnsi="宋体"/>
                <w:color w:val="auto"/>
                <w:sz w:val="24"/>
                <w:highlight w:val="none"/>
              </w:rPr>
              <w:t>）</w:t>
            </w:r>
          </w:p>
          <w:p>
            <w:pPr>
              <w:adjustRightInd w:val="0"/>
              <w:snapToGrid w:val="0"/>
              <w:jc w:val="left"/>
              <w:rPr>
                <w:rFonts w:hint="eastAsia"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如有偏离，</w:t>
            </w:r>
            <w:r>
              <w:rPr>
                <w:rFonts w:ascii="宋体" w:hAnsi="宋体"/>
                <w:color w:val="auto"/>
                <w:sz w:val="24"/>
                <w:highlight w:val="none"/>
              </w:rPr>
              <w:t>则</w:t>
            </w:r>
            <w:r>
              <w:rPr>
                <w:rFonts w:hint="eastAsia" w:ascii="宋体" w:hAnsi="宋体"/>
                <w:color w:val="auto"/>
                <w:sz w:val="24"/>
                <w:highlight w:val="none"/>
              </w:rPr>
              <w:t>应</w:t>
            </w:r>
            <w:r>
              <w:rPr>
                <w:rFonts w:ascii="宋体" w:hAnsi="宋体"/>
                <w:color w:val="auto"/>
                <w:sz w:val="24"/>
                <w:highlight w:val="none"/>
              </w:rPr>
              <w:t>在本表中对偏离项逐一列明，</w:t>
            </w:r>
            <w:r>
              <w:rPr>
                <w:rFonts w:hint="eastAsia" w:ascii="宋体" w:hAnsi="宋体"/>
                <w:color w:val="auto"/>
                <w:sz w:val="24"/>
                <w:highlight w:val="none"/>
              </w:rPr>
              <w:t>否则投标无效；对</w:t>
            </w:r>
            <w:r>
              <w:rPr>
                <w:rFonts w:hint="eastAsia" w:ascii="宋体" w:hAnsi="宋体"/>
                <w:color w:val="auto"/>
                <w:sz w:val="24"/>
                <w:szCs w:val="21"/>
                <w:highlight w:val="none"/>
              </w:rPr>
              <w:t>采购需求</w:t>
            </w:r>
            <w:r>
              <w:rPr>
                <w:rFonts w:hint="eastAsia" w:ascii="宋体" w:hAnsi="宋体"/>
                <w:color w:val="auto"/>
                <w:sz w:val="24"/>
                <w:highlight w:val="none"/>
              </w:rPr>
              <w:t>中的所有要求，除本表列明的偏离外，均视作供应商已对之理解和响应。</w:t>
            </w: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序号</w:t>
            </w:r>
          </w:p>
        </w:tc>
        <w:tc>
          <w:tcPr>
            <w:tcW w:w="1354" w:type="dxa"/>
            <w:vAlign w:val="center"/>
          </w:tcPr>
          <w:p>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条目号（页码）</w:t>
            </w:r>
          </w:p>
        </w:tc>
        <w:tc>
          <w:tcPr>
            <w:tcW w:w="1643" w:type="dxa"/>
            <w:vAlign w:val="center"/>
          </w:tcPr>
          <w:p>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要求</w:t>
            </w:r>
          </w:p>
        </w:tc>
        <w:tc>
          <w:tcPr>
            <w:tcW w:w="1643"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投标文件内容</w:t>
            </w:r>
          </w:p>
        </w:tc>
        <w:tc>
          <w:tcPr>
            <w:tcW w:w="1937"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偏离情况</w:t>
            </w:r>
          </w:p>
        </w:tc>
        <w:tc>
          <w:tcPr>
            <w:tcW w:w="845"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bl>
    <w:p>
      <w:pPr>
        <w:tabs>
          <w:tab w:val="left" w:pos="1800"/>
          <w:tab w:val="left" w:pos="5580"/>
        </w:tabs>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注：</w:t>
      </w:r>
    </w:p>
    <w:p>
      <w:pPr>
        <w:tabs>
          <w:tab w:val="left" w:pos="1800"/>
          <w:tab w:val="left" w:pos="5580"/>
        </w:tabs>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 对招标文件中的所有商务、技术要求，除本表所列明的所有偏离外，均视作供应商已对之理解和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w:t>
      </w:r>
    </w:p>
    <w:p>
      <w:pPr>
        <w:tabs>
          <w:tab w:val="left" w:pos="1800"/>
          <w:tab w:val="left" w:pos="5580"/>
        </w:tabs>
        <w:jc w:val="left"/>
        <w:rPr>
          <w:rFonts w:hint="eastAsia" w:ascii="宋体" w:hAnsi="宋体"/>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“偏离情况”列应</w:t>
      </w:r>
      <w:r>
        <w:rPr>
          <w:rFonts w:asciiTheme="minorEastAsia" w:hAnsiTheme="minorEastAsia" w:eastAsiaTheme="minorEastAsia"/>
          <w:color w:val="auto"/>
          <w:sz w:val="24"/>
          <w:highlight w:val="none"/>
        </w:rPr>
        <w:t>据实</w:t>
      </w:r>
      <w:r>
        <w:rPr>
          <w:rFonts w:hint="eastAsia" w:asciiTheme="minorEastAsia" w:hAnsiTheme="minorEastAsia" w:eastAsiaTheme="minorEastAsia"/>
          <w:color w:val="auto"/>
          <w:sz w:val="24"/>
          <w:highlight w:val="none"/>
        </w:rPr>
        <w:t>填写“正偏离”或“负偏离”或“无偏离”。</w:t>
      </w:r>
    </w:p>
    <w:p>
      <w:pPr>
        <w:autoSpaceDE w:val="0"/>
        <w:autoSpaceDN w:val="0"/>
        <w:adjustRightInd w:val="0"/>
        <w:snapToGrid w:val="0"/>
        <w:spacing w:before="25" w:after="25" w:line="360" w:lineRule="auto"/>
        <w:rPr>
          <w:rFonts w:hint="eastAsia" w:ascii="宋体" w:hAnsi="宋体"/>
          <w:color w:val="auto"/>
          <w:sz w:val="24"/>
          <w:highlight w:val="none"/>
          <w:lang w:val="zh-CN"/>
        </w:rPr>
      </w:pP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ascii="宋体" w:hAnsi="宋体"/>
          <w:color w:val="auto"/>
          <w:sz w:val="24"/>
          <w:szCs w:val="20"/>
          <w:highlight w:val="none"/>
        </w:rPr>
      </w:pPr>
      <w:r>
        <w:rPr>
          <w:rFonts w:ascii="宋体" w:hAnsi="宋体"/>
          <w:color w:val="auto"/>
          <w:sz w:val="24"/>
          <w:szCs w:val="20"/>
          <w:highlight w:val="none"/>
        </w:rPr>
        <w:t xml:space="preserve">日期：_____年______月______日   </w:t>
      </w:r>
    </w:p>
    <w:p>
      <w:pPr>
        <w:pStyle w:val="2"/>
        <w:rPr>
          <w:rFonts w:ascii="宋体" w:hAnsi="宋体"/>
          <w:color w:val="auto"/>
          <w:sz w:val="24"/>
          <w:szCs w:val="20"/>
          <w:highlight w:val="none"/>
        </w:rPr>
      </w:pPr>
    </w:p>
    <w:p>
      <w:pPr>
        <w:keepNext w:val="0"/>
        <w:keepLines w:val="0"/>
        <w:pageBreakBefore w:val="0"/>
        <w:widowControl w:val="0"/>
        <w:numPr>
          <w:ilvl w:val="0"/>
          <w:numId w:val="29"/>
        </w:numPr>
        <w:tabs>
          <w:tab w:val="left" w:pos="360"/>
        </w:tabs>
        <w:kinsoku/>
        <w:wordWrap/>
        <w:overflowPunct/>
        <w:topLinePunct w:val="0"/>
        <w:autoSpaceDE/>
        <w:autoSpaceDN/>
        <w:bidi w:val="0"/>
        <w:adjustRightInd/>
        <w:snapToGrid w:val="0"/>
        <w:spacing w:after="0" w:line="240" w:lineRule="atLeast"/>
        <w:ind w:left="901" w:hanging="901"/>
        <w:textAlignment w:val="auto"/>
        <w:outlineLvl w:val="1"/>
        <w:rPr>
          <w:rFonts w:hint="eastAsia" w:ascii="宋体" w:hAnsi="宋体" w:eastAsia="宋体" w:cs="宋体"/>
          <w:color w:val="auto"/>
          <w:sz w:val="24"/>
          <w:szCs w:val="20"/>
          <w:highlight w:val="none"/>
        </w:rPr>
      </w:pPr>
      <w:r>
        <w:rPr>
          <w:rFonts w:hint="eastAsia" w:ascii="宋体" w:hAnsi="宋体" w:cs="宋体"/>
          <w:b/>
          <w:color w:val="auto"/>
          <w:sz w:val="24"/>
          <w:szCs w:val="20"/>
          <w:highlight w:val="none"/>
          <w:lang w:val="en-US" w:eastAsia="zh-CN"/>
        </w:rPr>
        <w:t>检测结果汇总表</w:t>
      </w:r>
      <w:r>
        <w:rPr>
          <w:rFonts w:hint="eastAsia" w:ascii="宋体" w:hAnsi="宋体" w:eastAsia="宋体" w:cs="宋体"/>
          <w:color w:val="auto"/>
          <w:sz w:val="24"/>
          <w:szCs w:val="20"/>
          <w:highlight w:val="none"/>
        </w:rPr>
        <w:t xml:space="preserve"> </w:t>
      </w:r>
    </w:p>
    <w:tbl>
      <w:tblPr>
        <w:tblStyle w:val="47"/>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3466"/>
        <w:gridCol w:w="1546"/>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效价</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粘度</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甲醛含量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第一批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eastAsia="方正仿宋_GB2312"/>
                <w:color w:val="auto"/>
                <w:sz w:val="24"/>
                <w:highlight w:val="none"/>
                <w:lang w:val="en-US" w:eastAsia="zh-CN"/>
              </w:rPr>
            </w:pP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第二批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H7-Re6：</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第三批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H7-Re6：</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第四批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H7-Re6：</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第五批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H7-Re6：</w:t>
            </w: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default"/>
                <w:color w:val="auto"/>
                <w:highlight w:val="none"/>
                <w:lang w:val="en-US" w:eastAsia="zh-CN"/>
              </w:rPr>
            </w:pPr>
            <w:r>
              <w:rPr>
                <w:rFonts w:hint="eastAsia"/>
                <w:color w:val="auto"/>
                <w:highlight w:val="none"/>
                <w:lang w:val="en-US" w:eastAsia="zh-CN"/>
              </w:rPr>
              <w:t>总体情况</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rPr>
            </w:pPr>
            <w:r>
              <w:rPr>
                <w:rFonts w:hint="eastAsia"/>
                <w:color w:val="auto"/>
                <w:highlight w:val="none"/>
              </w:rPr>
              <w:t>对每批的4个效价取最小值，再计算:</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rPr>
            </w:pPr>
            <w:r>
              <w:rPr>
                <w:rFonts w:hint="eastAsia"/>
                <w:color w:val="auto"/>
                <w:highlight w:val="none"/>
              </w:rPr>
              <w:t>平均值: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rPr>
            </w:pPr>
            <w:r>
              <w:rPr>
                <w:rFonts w:hint="eastAsia"/>
                <w:color w:val="auto"/>
                <w:highlight w:val="none"/>
              </w:rPr>
              <w:t>标准差:</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rPr>
            </w:pPr>
          </w:p>
        </w:tc>
        <w:tc>
          <w:tcPr>
            <w:tcW w:w="154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rPr>
            </w:pPr>
            <w:r>
              <w:rPr>
                <w:rFonts w:hint="eastAsia"/>
                <w:color w:val="auto"/>
                <w:highlight w:val="none"/>
              </w:rPr>
              <w:t>5个数值的</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rPr>
            </w:pPr>
            <w:r>
              <w:rPr>
                <w:rFonts w:hint="eastAsia"/>
                <w:color w:val="auto"/>
                <w:highlight w:val="none"/>
              </w:rPr>
              <w:t>最高值:</w:t>
            </w:r>
          </w:p>
        </w:tc>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rPr>
            </w:pPr>
            <w:r>
              <w:rPr>
                <w:rFonts w:hint="eastAsia"/>
                <w:color w:val="auto"/>
                <w:highlight w:val="none"/>
              </w:rPr>
              <w:t>最高值: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color w:val="auto"/>
                <w:highlight w:val="none"/>
              </w:rPr>
            </w:pPr>
            <w:r>
              <w:rPr>
                <w:rFonts w:hint="eastAsia"/>
                <w:color w:val="auto"/>
                <w:highlight w:val="none"/>
              </w:rPr>
              <w:t>最低值:</w:t>
            </w:r>
          </w:p>
        </w:tc>
      </w:tr>
    </w:tbl>
    <w:p>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rPr>
          <w:rFonts w:hint="eastAsia"/>
          <w:color w:val="auto"/>
          <w:highlight w:val="none"/>
        </w:rPr>
      </w:pPr>
    </w:p>
    <w:p>
      <w:pPr>
        <w:numPr>
          <w:ilvl w:val="0"/>
          <w:numId w:val="0"/>
        </w:numPr>
        <w:tabs>
          <w:tab w:val="left" w:pos="360"/>
        </w:tabs>
        <w:snapToGrid w:val="0"/>
        <w:spacing w:after="0" w:line="240" w:lineRule="atLeast"/>
        <w:ind w:leftChars="0"/>
        <w:outlineLvl w:val="1"/>
        <w:rPr>
          <w:rFonts w:hint="eastAsia"/>
          <w:color w:val="auto"/>
          <w:highlight w:val="none"/>
        </w:rPr>
        <w:sectPr>
          <w:pgSz w:w="11901" w:h="16817"/>
          <w:pgMar w:top="1418" w:right="1701" w:bottom="1418" w:left="1701" w:header="851" w:footer="851" w:gutter="0"/>
          <w:cols w:space="720" w:num="1"/>
          <w:docGrid w:linePitch="462" w:charSpace="0"/>
        </w:sectPr>
      </w:pPr>
      <w:r>
        <w:rPr>
          <w:rFonts w:hint="eastAsia" w:ascii="宋体" w:hAnsi="宋体" w:cs="宋体"/>
          <w:b/>
          <w:color w:val="auto"/>
          <w:sz w:val="24"/>
          <w:szCs w:val="20"/>
          <w:highlight w:val="none"/>
          <w:lang w:val="en-US" w:eastAsia="zh-CN"/>
        </w:rPr>
        <w:t>8.</w:t>
      </w:r>
      <w:r>
        <w:rPr>
          <w:rFonts w:hint="eastAsia" w:ascii="宋体" w:hAnsi="宋体" w:eastAsia="宋体" w:cs="宋体"/>
          <w:b/>
          <w:color w:val="auto"/>
          <w:sz w:val="24"/>
          <w:szCs w:val="20"/>
          <w:highlight w:val="none"/>
          <w:lang w:val="en-US" w:eastAsia="zh-CN"/>
        </w:rPr>
        <w:t>批次签发情况汇总表：每批一行，与</w:t>
      </w:r>
      <w:r>
        <w:rPr>
          <w:rFonts w:hint="eastAsia" w:ascii="宋体" w:hAnsi="宋体" w:eastAsia="宋体" w:cs="宋体"/>
          <w:b/>
          <w:color w:val="auto"/>
          <w:sz w:val="24"/>
          <w:szCs w:val="20"/>
          <w:highlight w:val="none"/>
        </w:rPr>
        <w:t>中国兽医药品监察所网站查询结果截图</w:t>
      </w:r>
      <w:r>
        <w:rPr>
          <w:rFonts w:hint="eastAsia" w:ascii="宋体" w:hAnsi="宋体" w:eastAsia="宋体" w:cs="宋体"/>
          <w:b/>
          <w:color w:val="auto"/>
          <w:sz w:val="24"/>
          <w:szCs w:val="20"/>
          <w:highlight w:val="none"/>
          <w:lang w:eastAsia="zh-CN"/>
        </w:rPr>
        <w:t>对应</w:t>
      </w:r>
      <w:r>
        <w:rPr>
          <w:rFonts w:hint="eastAsia" w:ascii="宋体" w:hAnsi="宋体" w:eastAsia="宋体" w:cs="宋体"/>
          <w:b/>
          <w:color w:val="auto"/>
          <w:sz w:val="24"/>
          <w:szCs w:val="20"/>
          <w:highlight w:val="none"/>
          <w:lang w:val="en-US" w:eastAsia="zh-CN"/>
        </w:rPr>
        <w:t>，具体格式由投标人自行设计。</w:t>
      </w:r>
    </w:p>
    <w:p>
      <w:pPr>
        <w:numPr>
          <w:ilvl w:val="0"/>
          <w:numId w:val="0"/>
        </w:numPr>
        <w:tabs>
          <w:tab w:val="left" w:pos="360"/>
        </w:tabs>
        <w:snapToGrid w:val="0"/>
        <w:spacing w:line="360" w:lineRule="auto"/>
        <w:ind w:leftChars="0"/>
        <w:outlineLvl w:val="1"/>
        <w:rPr>
          <w:rFonts w:hint="default"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rPr>
        <w:t>本国产品标准证明文件</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lang w:val="en-US" w:eastAsia="zh-CN"/>
        </w:rPr>
        <w:t>实质性格式）</w:t>
      </w:r>
    </w:p>
    <w:p>
      <w:pPr>
        <w:pStyle w:val="41"/>
        <w:shd w:val="clear" w:color="auto" w:fill="FFFFFF"/>
        <w:spacing w:before="30" w:beforeAutospacing="0" w:after="30" w:afterAutospacing="0"/>
        <w:jc w:val="center"/>
        <w:rPr>
          <w:rFonts w:hint="eastAsia" w:ascii="宋体" w:hAnsi="宋体" w:eastAsia="宋体" w:cs="宋体"/>
          <w:color w:val="auto"/>
          <w:sz w:val="36"/>
          <w:szCs w:val="36"/>
          <w:highlight w:val="none"/>
        </w:rPr>
      </w:pPr>
      <w:r>
        <w:rPr>
          <w:rStyle w:val="51"/>
          <w:rFonts w:hint="eastAsia" w:ascii="宋体" w:hAnsi="宋体" w:eastAsia="宋体" w:cs="宋体"/>
          <w:color w:val="auto"/>
          <w:sz w:val="36"/>
          <w:szCs w:val="36"/>
          <w:highlight w:val="none"/>
          <w:shd w:val="clear" w:color="auto" w:fill="FFFFFF"/>
        </w:rPr>
        <w:t>关于符合本国产品标准的声明函</w:t>
      </w:r>
    </w:p>
    <w:p>
      <w:pPr>
        <w:pStyle w:val="41"/>
        <w:shd w:val="clear" w:color="auto" w:fill="FFFFFF"/>
        <w:spacing w:before="30" w:beforeAutospacing="0" w:after="30" w:afterAutospacing="0"/>
        <w:ind w:firstLine="420"/>
        <w:rPr>
          <w:rFonts w:hint="eastAsia" w:ascii="宋体" w:hAnsi="宋体" w:eastAsia="宋体" w:cs="宋体"/>
          <w:color w:val="auto"/>
          <w:highlight w:val="none"/>
        </w:rPr>
      </w:pP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w:t>
      </w:r>
      <w:r>
        <w:rPr>
          <w:rStyle w:val="54"/>
          <w:rFonts w:hint="eastAsia" w:ascii="宋体" w:hAnsi="宋体" w:eastAsia="宋体" w:cs="宋体"/>
          <w:color w:val="auto"/>
          <w:highlight w:val="none"/>
          <w:u w:val="single"/>
          <w:shd w:val="clear" w:color="auto" w:fill="FFFFFF"/>
        </w:rPr>
        <w:t>（产品名称1）</w:t>
      </w:r>
      <w:r>
        <w:rPr>
          <w:rStyle w:val="54"/>
          <w:rFonts w:hint="eastAsia" w:ascii="宋体" w:hAnsi="宋体" w:eastAsia="宋体" w:cs="宋体"/>
          <w:color w:val="auto"/>
          <w:highlight w:val="none"/>
          <w:shd w:val="clear" w:color="auto" w:fill="FFFFFF"/>
          <w:vertAlign w:val="superscript"/>
        </w:rPr>
        <w:t>1</w:t>
      </w:r>
      <w:r>
        <w:rPr>
          <w:rFonts w:hint="eastAsia" w:ascii="宋体" w:hAnsi="宋体" w:eastAsia="宋体" w:cs="宋体"/>
          <w:color w:val="auto"/>
          <w:highlight w:val="none"/>
          <w:shd w:val="clear" w:color="auto" w:fill="FFFFFF"/>
        </w:rPr>
        <w:t>，生产厂为</w:t>
      </w:r>
      <w:r>
        <w:rPr>
          <w:rStyle w:val="54"/>
          <w:rFonts w:hint="eastAsia" w:ascii="宋体" w:hAnsi="宋体" w:eastAsia="宋体" w:cs="宋体"/>
          <w:color w:val="auto"/>
          <w:highlight w:val="none"/>
          <w:u w:val="single"/>
          <w:shd w:val="clear" w:color="auto" w:fill="FFFFFF"/>
        </w:rPr>
        <w:t>（厂名）</w:t>
      </w:r>
      <w:r>
        <w:rPr>
          <w:rStyle w:val="54"/>
          <w:rFonts w:hint="eastAsia" w:ascii="宋体" w:hAnsi="宋体" w:eastAsia="宋体" w:cs="宋体"/>
          <w:color w:val="auto"/>
          <w:highlight w:val="none"/>
          <w:shd w:val="clear" w:color="auto" w:fill="FFFFFF"/>
          <w:vertAlign w:val="superscript"/>
        </w:rPr>
        <w:t>2</w:t>
      </w:r>
      <w:r>
        <w:rPr>
          <w:rFonts w:hint="eastAsia" w:ascii="宋体" w:hAnsi="宋体" w:eastAsia="宋体" w:cs="宋体"/>
          <w:color w:val="auto"/>
          <w:highlight w:val="none"/>
          <w:shd w:val="clear" w:color="auto" w:fill="FFFFFF"/>
        </w:rPr>
        <w:t>，厂址为</w:t>
      </w:r>
      <w:r>
        <w:rPr>
          <w:rStyle w:val="54"/>
          <w:rFonts w:hint="eastAsia" w:ascii="宋体" w:hAnsi="宋体" w:eastAsia="宋体" w:cs="宋体"/>
          <w:color w:val="auto"/>
          <w:highlight w:val="none"/>
          <w:u w:val="single"/>
          <w:shd w:val="clear" w:color="auto" w:fill="FFFFFF"/>
        </w:rPr>
        <w:t>（生产厂址）</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的中国境内生产的组件成本占比≥</w:t>
      </w:r>
      <w:r>
        <w:rPr>
          <w:rStyle w:val="54"/>
          <w:rFonts w:hint="eastAsia" w:ascii="宋体" w:hAnsi="宋体" w:eastAsia="宋体" w:cs="宋体"/>
          <w:color w:val="auto"/>
          <w:highlight w:val="none"/>
          <w:u w:val="single"/>
          <w:shd w:val="clear" w:color="auto" w:fill="FFFFFF"/>
        </w:rPr>
        <w:t>（规定比例）</w:t>
      </w:r>
      <w:r>
        <w:rPr>
          <w:rStyle w:val="54"/>
          <w:rFonts w:hint="eastAsia" w:ascii="宋体" w:hAnsi="宋体" w:eastAsia="宋体" w:cs="宋体"/>
          <w:color w:val="auto"/>
          <w:highlight w:val="none"/>
          <w:shd w:val="clear" w:color="auto" w:fill="FFFFFF"/>
          <w:vertAlign w:val="superscript"/>
        </w:rPr>
        <w:t>3</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（关键组件）</w:t>
      </w:r>
      <w:r>
        <w:rPr>
          <w:rStyle w:val="54"/>
          <w:rFonts w:hint="eastAsia" w:ascii="宋体" w:hAnsi="宋体" w:eastAsia="宋体" w:cs="宋体"/>
          <w:color w:val="auto"/>
          <w:highlight w:val="none"/>
          <w:shd w:val="clear" w:color="auto" w:fill="FFFFFF"/>
          <w:vertAlign w:val="superscript"/>
        </w:rPr>
        <w:t>4</w:t>
      </w:r>
      <w:r>
        <w:rPr>
          <w:rFonts w:hint="eastAsia" w:ascii="宋体" w:hAnsi="宋体" w:eastAsia="宋体" w:cs="宋体"/>
          <w:color w:val="auto"/>
          <w:highlight w:val="none"/>
          <w:shd w:val="clear" w:color="auto" w:fill="FFFFFF"/>
        </w:rPr>
        <w:t>在中国境内生产。</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（关键工序）</w:t>
      </w:r>
      <w:r>
        <w:rPr>
          <w:rStyle w:val="54"/>
          <w:rFonts w:hint="eastAsia" w:ascii="宋体" w:hAnsi="宋体" w:eastAsia="宋体" w:cs="宋体"/>
          <w:color w:val="auto"/>
          <w:highlight w:val="none"/>
          <w:shd w:val="clear" w:color="auto" w:fill="FFFFFF"/>
          <w:vertAlign w:val="superscript"/>
        </w:rPr>
        <w:t>5</w:t>
      </w:r>
      <w:r>
        <w:rPr>
          <w:rFonts w:hint="eastAsia" w:ascii="宋体" w:hAnsi="宋体" w:eastAsia="宋体" w:cs="宋体"/>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2.</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，生产厂为</w:t>
      </w:r>
      <w:r>
        <w:rPr>
          <w:rStyle w:val="54"/>
          <w:rFonts w:hint="eastAsia" w:ascii="宋体" w:hAnsi="宋体" w:eastAsia="宋体" w:cs="宋体"/>
          <w:color w:val="auto"/>
          <w:highlight w:val="none"/>
          <w:u w:val="single"/>
          <w:shd w:val="clear" w:color="auto" w:fill="FFFFFF"/>
        </w:rPr>
        <w:t>（厂名）</w:t>
      </w:r>
      <w:r>
        <w:rPr>
          <w:rFonts w:hint="eastAsia" w:ascii="宋体" w:hAnsi="宋体" w:eastAsia="宋体" w:cs="宋体"/>
          <w:color w:val="auto"/>
          <w:highlight w:val="none"/>
          <w:shd w:val="clear" w:color="auto" w:fill="FFFFFF"/>
        </w:rPr>
        <w:t>，厂址为</w:t>
      </w:r>
      <w:r>
        <w:rPr>
          <w:rStyle w:val="54"/>
          <w:rFonts w:hint="eastAsia" w:ascii="宋体" w:hAnsi="宋体" w:eastAsia="宋体" w:cs="宋体"/>
          <w:color w:val="auto"/>
          <w:highlight w:val="none"/>
          <w:u w:val="single"/>
          <w:shd w:val="clear" w:color="auto" w:fill="FFFFFF"/>
        </w:rPr>
        <w:t>（生产厂址）</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的中国境内生产的组件成本占比≥</w:t>
      </w:r>
      <w:r>
        <w:rPr>
          <w:rStyle w:val="54"/>
          <w:rFonts w:hint="eastAsia" w:ascii="宋体" w:hAnsi="宋体" w:eastAsia="宋体" w:cs="宋体"/>
          <w:color w:val="auto"/>
          <w:highlight w:val="none"/>
          <w:u w:val="single"/>
          <w:shd w:val="clear" w:color="auto" w:fill="FFFFFF"/>
        </w:rPr>
        <w:t>（规定比例）</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（关键组件）</w:t>
      </w:r>
      <w:r>
        <w:rPr>
          <w:rFonts w:hint="eastAsia" w:ascii="宋体" w:hAnsi="宋体" w:eastAsia="宋体" w:cs="宋体"/>
          <w:color w:val="auto"/>
          <w:highlight w:val="none"/>
          <w:shd w:val="clear" w:color="auto" w:fill="FFFFFF"/>
        </w:rPr>
        <w:t>在中国境内生产。</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（关键工序）</w:t>
      </w:r>
      <w:r>
        <w:rPr>
          <w:rFonts w:hint="eastAsia" w:ascii="宋体" w:hAnsi="宋体" w:eastAsia="宋体" w:cs="宋体"/>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本公司（单位）对上述声明内容的真实性负责。如有虚假，愿承担相应法律责任。</w:t>
      </w:r>
    </w:p>
    <w:p>
      <w:pPr>
        <w:pStyle w:val="41"/>
        <w:shd w:val="clear" w:color="auto" w:fill="FFFFFF"/>
        <w:spacing w:before="0" w:beforeAutospacing="0" w:after="0" w:afterAutospacing="0" w:line="360" w:lineRule="auto"/>
        <w:rPr>
          <w:rFonts w:hint="eastAsia" w:ascii="宋体" w:hAnsi="宋体" w:eastAsia="宋体" w:cs="宋体"/>
          <w:color w:val="auto"/>
          <w:highlight w:val="none"/>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shd w:val="clear" w:color="auto" w:fill="FFFFFF"/>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公司（单位）名称（盖章）：　        </w:t>
      </w: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日期：　     年　  月　  日         </w:t>
      </w:r>
    </w:p>
    <w:p>
      <w:pPr>
        <w:pStyle w:val="41"/>
        <w:shd w:val="clear" w:color="auto" w:fill="FFFFFF"/>
        <w:spacing w:before="0" w:beforeAutospacing="0" w:after="0" w:afterAutospacing="0" w:line="360" w:lineRule="auto"/>
        <w:rPr>
          <w:rFonts w:hint="eastAsia" w:ascii="宋体" w:hAnsi="宋体" w:eastAsia="宋体" w:cs="宋体"/>
          <w:color w:val="auto"/>
          <w:highlight w:val="none"/>
          <w:shd w:val="clear" w:color="auto" w:fill="FFFFFF"/>
        </w:rPr>
      </w:pPr>
    </w:p>
    <w:p>
      <w:pPr>
        <w:pStyle w:val="41"/>
        <w:shd w:val="clear" w:color="auto" w:fill="FFFFFF"/>
        <w:spacing w:before="0" w:beforeAutospacing="0" w:after="0" w:afterAutospacing="0" w:line="360" w:lineRule="auto"/>
        <w:rPr>
          <w:rFonts w:hint="eastAsia" w:ascii="宋体" w:hAnsi="宋体" w:eastAsia="宋体" w:cs="宋体"/>
          <w:color w:val="auto"/>
          <w:highlight w:val="none"/>
          <w:shd w:val="clear" w:color="auto" w:fill="FFFFFF"/>
        </w:rPr>
      </w:pPr>
    </w:p>
    <w:p>
      <w:pPr>
        <w:spacing w:line="360" w:lineRule="auto"/>
        <w:ind w:left="424" w:leftChars="1" w:hanging="422" w:hangingChars="201"/>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注：1.产品如有型号，请在“产品名称”栏一并填写。</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2.生产厂名与厂址应与生产厂营业执照载明的相关信息保持一致。</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3.该产品的中国境内生产的组件成本占比相关要求实施前，“规定比例”栏可不填。</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4.该产品的关键组件要求实施前，“关键组件”栏可不填。</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5.该产品的关键工序要求实施前，“关键工序”栏可不填。</w:t>
      </w:r>
    </w:p>
    <w:p>
      <w:pPr>
        <w:widowControl/>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br w:type="page"/>
      </w:r>
    </w:p>
    <w:p>
      <w:pPr>
        <w:pStyle w:val="41"/>
        <w:shd w:val="clear" w:color="auto" w:fill="FFFFFF"/>
        <w:spacing w:before="30" w:beforeAutospacing="0" w:after="30" w:afterAutospacing="0"/>
        <w:jc w:val="center"/>
        <w:rPr>
          <w:rStyle w:val="51"/>
          <w:rFonts w:hint="eastAsia" w:ascii="宋体" w:hAnsi="宋体" w:eastAsia="宋体" w:cs="宋体"/>
          <w:color w:val="auto"/>
          <w:sz w:val="36"/>
          <w:szCs w:val="36"/>
          <w:highlight w:val="none"/>
        </w:rPr>
      </w:pPr>
      <w:r>
        <w:rPr>
          <w:rStyle w:val="51"/>
          <w:rFonts w:hint="eastAsia" w:ascii="宋体" w:hAnsi="宋体" w:eastAsia="宋体" w:cs="宋体"/>
          <w:color w:val="auto"/>
          <w:sz w:val="36"/>
          <w:szCs w:val="36"/>
          <w:highlight w:val="none"/>
        </w:rPr>
        <w:t>产品成本占比承诺函</w:t>
      </w:r>
    </w:p>
    <w:p>
      <w:pPr>
        <w:pStyle w:val="41"/>
        <w:shd w:val="clear" w:color="auto" w:fill="FFFFFF"/>
        <w:spacing w:before="30" w:beforeAutospacing="0" w:after="30" w:afterAutospacing="0"/>
        <w:rPr>
          <w:rStyle w:val="51"/>
          <w:rFonts w:hint="eastAsia" w:ascii="宋体" w:hAnsi="宋体" w:eastAsia="宋体" w:cs="宋体"/>
          <w:color w:val="auto"/>
          <w:sz w:val="36"/>
          <w:szCs w:val="36"/>
          <w:highlight w:val="none"/>
        </w:rPr>
      </w:pPr>
    </w:p>
    <w:p>
      <w:pPr>
        <w:widowControl/>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我公司（单位）郑重承诺，我公司已阅读并理解《国务院办公厅关于在政府采购中实施本国产品标准及相关政策的通知》（国办发〔2025〕34号）的规定。据此承诺如下：</w:t>
      </w:r>
    </w:p>
    <w:p>
      <w:pPr>
        <w:widowControl/>
        <w:spacing w:line="360" w:lineRule="auto"/>
        <w:ind w:firstLine="480" w:firstLineChars="200"/>
        <w:jc w:val="left"/>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shd w:val="clear" w:color="auto" w:fill="FFFFFF"/>
        </w:rPr>
        <w:t>为本采购项目或者采购包提供的符合本国产品标准的产品成本之和占提供的全部产品成本之和的比例为</w:t>
      </w:r>
      <w:r>
        <w:rPr>
          <w:rFonts w:hint="eastAsia" w:ascii="宋体" w:hAnsi="宋体" w:eastAsia="宋体" w:cs="宋体"/>
          <w:color w:val="auto"/>
          <w:spacing w:val="6"/>
          <w:sz w:val="24"/>
          <w:highlight w:val="none"/>
        </w:rPr>
        <w:t>______%。</w:t>
      </w:r>
    </w:p>
    <w:p>
      <w:pPr>
        <w:widowControl/>
        <w:spacing w:line="360" w:lineRule="auto"/>
        <w:ind w:firstLine="480" w:firstLineChars="200"/>
        <w:jc w:val="left"/>
        <w:rPr>
          <w:rFonts w:hint="eastAsia" w:ascii="宋体" w:hAnsi="宋体" w:eastAsia="宋体" w:cs="宋体"/>
          <w:color w:val="auto"/>
          <w:sz w:val="24"/>
          <w:highlight w:val="none"/>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公司（单位）名称（盖章）：　        </w:t>
      </w:r>
    </w:p>
    <w:p>
      <w:pPr>
        <w:widowControl/>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日期：　     年　  月　  日     </w:t>
      </w:r>
    </w:p>
    <w:p>
      <w:pPr>
        <w:widowControl/>
        <w:spacing w:line="360" w:lineRule="auto"/>
        <w:jc w:val="left"/>
        <w:rPr>
          <w:rFonts w:hint="eastAsia" w:ascii="宋体" w:hAnsi="宋体" w:eastAsia="宋体" w:cs="宋体"/>
          <w:color w:val="auto"/>
          <w:sz w:val="24"/>
          <w:highlight w:val="none"/>
        </w:rPr>
      </w:pPr>
    </w:p>
    <w:p>
      <w:pPr>
        <w:widowControl/>
        <w:spacing w:line="360" w:lineRule="auto"/>
        <w:jc w:val="left"/>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 本承诺函应按包分别提供。</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 单一产品采购无须提供本承诺函；供应商提供产品全部为本国产品，且提供了《关于符合本国产品标准的声明函》时，无须提供本承诺函。</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color w:val="auto"/>
          <w:highlight w:val="none"/>
        </w:rPr>
        <w:t>价格评审优惠</w:t>
      </w:r>
      <w:r>
        <w:rPr>
          <w:rFonts w:hint="eastAsia" w:ascii="宋体" w:hAnsi="宋体" w:eastAsia="宋体" w:cs="宋体"/>
          <w:color w:val="auto"/>
          <w:szCs w:val="21"/>
          <w:highlight w:val="none"/>
          <w:shd w:val="clear" w:color="auto" w:fill="FFFFFF"/>
        </w:rPr>
        <w:t>。</w:t>
      </w:r>
    </w:p>
    <w:p>
      <w:pPr>
        <w:spacing w:line="360" w:lineRule="auto"/>
        <w:outlineLvl w:val="2"/>
        <w:rPr>
          <w:rFonts w:hint="eastAsia" w:ascii="宋体" w:hAnsi="宋体" w:eastAsia="宋体" w:cs="宋体"/>
          <w:b/>
          <w:bCs/>
          <w:color w:val="auto"/>
          <w:sz w:val="24"/>
          <w:szCs w:val="20"/>
          <w:highlight w:val="none"/>
        </w:rPr>
        <w:sectPr>
          <w:pgSz w:w="11901" w:h="16817"/>
          <w:pgMar w:top="1418" w:right="1701" w:bottom="1418" w:left="1701" w:header="851" w:footer="851" w:gutter="0"/>
          <w:cols w:space="720" w:num="1"/>
          <w:docGrid w:linePitch="462" w:charSpace="0"/>
        </w:sectPr>
      </w:pPr>
    </w:p>
    <w:p>
      <w:pPr>
        <w:spacing w:line="360" w:lineRule="auto"/>
        <w:outlineLvl w:val="2"/>
        <w:rPr>
          <w:rFonts w:hint="eastAsia" w:ascii="宋体" w:hAnsi="宋体" w:eastAsia="宋体" w:cs="宋体"/>
          <w:b/>
          <w:bCs/>
          <w:color w:val="auto"/>
          <w:sz w:val="24"/>
          <w:szCs w:val="20"/>
          <w:highlight w:val="none"/>
        </w:rPr>
      </w:pPr>
      <w:r>
        <w:rPr>
          <w:rFonts w:hint="eastAsia" w:ascii="宋体" w:hAnsi="宋体" w:cs="宋体"/>
          <w:b/>
          <w:bCs/>
          <w:color w:val="auto"/>
          <w:sz w:val="24"/>
          <w:szCs w:val="20"/>
          <w:highlight w:val="none"/>
          <w:lang w:val="en-US" w:eastAsia="zh-CN"/>
        </w:rPr>
        <w:t>10</w:t>
      </w:r>
      <w:r>
        <w:rPr>
          <w:rFonts w:hint="eastAsia" w:ascii="宋体" w:hAnsi="宋体" w:eastAsia="宋体" w:cs="宋体"/>
          <w:b/>
          <w:bCs/>
          <w:color w:val="auto"/>
          <w:sz w:val="24"/>
          <w:szCs w:val="20"/>
          <w:highlight w:val="none"/>
        </w:rPr>
        <w:t xml:space="preserve"> 招标文件要求提供或投标人认为应附的其他材料</w:t>
      </w:r>
    </w:p>
    <w:p>
      <w:pPr>
        <w:tabs>
          <w:tab w:val="left" w:pos="558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附件1、类似项目业绩</w:t>
      </w:r>
    </w:p>
    <w:p>
      <w:pPr>
        <w:adjustRightInd w:val="0"/>
        <w:snapToGrid w:val="0"/>
        <w:spacing w:line="360" w:lineRule="auto"/>
        <w:rPr>
          <w:rFonts w:hint="eastAsia" w:ascii="宋体" w:hAnsi="宋体" w:eastAsia="宋体" w:cs="宋体"/>
          <w:color w:val="auto"/>
          <w:sz w:val="24"/>
          <w:szCs w:val="20"/>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p>
    <w:tbl>
      <w:tblPr>
        <w:tblStyle w:val="47"/>
        <w:tblW w:w="79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3"/>
        <w:gridCol w:w="1966"/>
        <w:gridCol w:w="1559"/>
        <w:gridCol w:w="1843"/>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bl>
    <w:p>
      <w:pPr>
        <w:adjustRightInd w:val="0"/>
        <w:snapToGrid w:val="0"/>
        <w:spacing w:line="360" w:lineRule="auto"/>
        <w:ind w:firstLine="620" w:firstLineChars="294"/>
        <w:jc w:val="left"/>
        <w:rPr>
          <w:rFonts w:hint="eastAsia" w:ascii="宋体" w:hAnsi="宋体" w:eastAsia="宋体" w:cs="宋体"/>
          <w:b/>
          <w:color w:val="auto"/>
          <w:szCs w:val="21"/>
          <w:highlight w:val="none"/>
        </w:rPr>
      </w:pPr>
    </w:p>
    <w:p>
      <w:pPr>
        <w:autoSpaceDE w:val="0"/>
        <w:autoSpaceDN w:val="0"/>
        <w:adjustRightInd w:val="0"/>
        <w:snapToGrid w:val="0"/>
        <w:spacing w:before="25" w:after="25"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pStyle w:val="42"/>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日期：_____年______月______日</w:t>
      </w:r>
    </w:p>
    <w:p>
      <w:pPr>
        <w:pStyle w:val="23"/>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tabs>
          <w:tab w:val="left" w:pos="558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附件2、招标服务费缴费承诺书</w:t>
      </w:r>
    </w:p>
    <w:p>
      <w:pPr>
        <w:tabs>
          <w:tab w:val="left" w:pos="5580"/>
        </w:tabs>
        <w:spacing w:line="360" w:lineRule="auto"/>
        <w:jc w:val="center"/>
        <w:rPr>
          <w:rFonts w:hint="eastAsia" w:ascii="宋体" w:hAnsi="宋体" w:eastAsia="宋体" w:cs="宋体"/>
          <w:b/>
          <w:bCs/>
          <w:color w:val="auto"/>
          <w:sz w:val="24"/>
          <w:highlight w:val="none"/>
        </w:rPr>
      </w:pPr>
    </w:p>
    <w:p>
      <w:pPr>
        <w:tabs>
          <w:tab w:val="left" w:pos="5580"/>
        </w:tabs>
        <w:spacing w:line="360" w:lineRule="auto"/>
        <w:jc w:val="center"/>
        <w:rPr>
          <w:rFonts w:hint="eastAsia" w:ascii="宋体" w:hAnsi="宋体" w:eastAsia="宋体" w:cs="宋体"/>
          <w:b/>
          <w:bCs/>
          <w:color w:val="auto"/>
          <w:sz w:val="24"/>
          <w:highlight w:val="none"/>
        </w:rPr>
      </w:pPr>
    </w:p>
    <w:p>
      <w:pPr>
        <w:tabs>
          <w:tab w:val="left" w:pos="558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《招标服务费缴费承诺书》</w:t>
      </w:r>
    </w:p>
    <w:p>
      <w:pPr>
        <w:pStyle w:val="23"/>
        <w:spacing w:line="360" w:lineRule="auto"/>
        <w:rPr>
          <w:rFonts w:hint="eastAsia" w:ascii="宋体" w:hAnsi="宋体" w:eastAsia="宋体" w:cs="宋体"/>
          <w:color w:val="auto"/>
          <w:sz w:val="24"/>
          <w:szCs w:val="24"/>
          <w:highlight w:val="none"/>
        </w:rPr>
      </w:pPr>
    </w:p>
    <w:p>
      <w:pPr>
        <w:pStyle w:val="2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致北京国泰建中管理咨询有限公司：   </w:t>
      </w:r>
    </w:p>
    <w:p>
      <w:pPr>
        <w:pStyle w:val="2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我们在贵公司组织的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hAnsi="宋体" w:cs="宋体"/>
          <w:color w:val="auto"/>
          <w:sz w:val="24"/>
          <w:szCs w:val="24"/>
          <w:highlight w:val="none"/>
          <w:u w:val="single"/>
          <w:lang w:val="en-US" w:eastAsia="zh-CN"/>
        </w:rPr>
        <w:t xml:space="preserve">    （分包名称）</w:t>
      </w:r>
      <w:r>
        <w:rPr>
          <w:rFonts w:hint="eastAsia" w:ascii="宋体" w:hAnsi="宋体" w:eastAsia="宋体" w:cs="宋体"/>
          <w:color w:val="auto"/>
          <w:sz w:val="24"/>
          <w:szCs w:val="24"/>
          <w:highlight w:val="none"/>
        </w:rPr>
        <w:t>招标中若获中标资格，保证在领取中标通知书的同时按招标文件的规定，以支票、电汇形式，向贵公司即北京国泰建中管理咨询有限公司（地址：</w:t>
      </w:r>
      <w:r>
        <w:rPr>
          <w:rFonts w:hint="eastAsia" w:ascii="宋体" w:hAnsi="宋体" w:eastAsia="宋体" w:cs="宋体"/>
          <w:color w:val="auto"/>
          <w:sz w:val="24"/>
          <w:szCs w:val="24"/>
          <w:highlight w:val="none"/>
          <w:u w:val="single"/>
        </w:rPr>
        <w:t>北京市海淀区成府路中科科仪院内6号楼3层</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招商银行股份有限公司北京分行甘家口支行</w:t>
      </w: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531902429310101</w:t>
      </w:r>
      <w:r>
        <w:rPr>
          <w:rFonts w:hint="eastAsia" w:ascii="宋体" w:hAnsi="宋体" w:eastAsia="宋体" w:cs="宋体"/>
          <w:color w:val="auto"/>
          <w:sz w:val="24"/>
          <w:szCs w:val="24"/>
          <w:highlight w:val="none"/>
        </w:rPr>
        <w:t>），一次性支付应缴费用。代理收费标准参考原国家计委印发的计价格[2002]1980号关于《招标代理机构服务费管理暂行办法》、发改办价格[2003]857号文《国家发展改革委办公厅关于招标代理服务收费有关问题的通知》及发改价格【2011】534号文等。根据工商税务部门的有关要求，凡中标人支付代理服务费的项目需要代理机构与中标人补签相关费用支付协议。因此，我单位理解并同意如果中标将按贵方规定支付相关费用</w:t>
      </w:r>
      <w:r>
        <w:rPr>
          <w:rFonts w:hint="eastAsia" w:ascii="宋体" w:hAnsi="宋体" w:eastAsia="宋体" w:cs="宋体"/>
          <w:color w:val="auto"/>
          <w:sz w:val="24"/>
          <w:szCs w:val="24"/>
          <w:highlight w:val="none"/>
          <w:lang w:val="en-US" w:eastAsia="zh-CN"/>
        </w:rPr>
        <w:t>并签署支付协议</w:t>
      </w:r>
      <w:r>
        <w:rPr>
          <w:rFonts w:hint="eastAsia" w:ascii="宋体" w:hAnsi="宋体" w:eastAsia="宋体" w:cs="宋体"/>
          <w:color w:val="auto"/>
          <w:sz w:val="24"/>
          <w:szCs w:val="24"/>
          <w:highlight w:val="none"/>
        </w:rPr>
        <w:t>。</w:t>
      </w:r>
    </w:p>
    <w:p>
      <w:pPr>
        <w:pStyle w:val="2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特此承诺！</w:t>
      </w:r>
    </w:p>
    <w:p>
      <w:pPr>
        <w:autoSpaceDE w:val="0"/>
        <w:autoSpaceDN w:val="0"/>
        <w:adjustRightInd w:val="0"/>
        <w:snapToGrid w:val="0"/>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autoSpaceDE w:val="0"/>
        <w:autoSpaceDN w:val="0"/>
        <w:adjustRightInd w:val="0"/>
        <w:snapToGrid w:val="0"/>
        <w:spacing w:before="25" w:after="25"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pStyle w:val="42"/>
        <w:spacing w:line="360" w:lineRule="auto"/>
        <w:ind w:firstLine="480" w:firstLineChars="200"/>
        <w:jc w:val="left"/>
        <w:rPr>
          <w:rFonts w:hint="eastAsia" w:ascii="宋体" w:hAnsi="宋体" w:eastAsia="宋体" w:cs="宋体"/>
          <w:color w:val="auto"/>
          <w:sz w:val="24"/>
          <w:highlight w:val="none"/>
        </w:rPr>
        <w:sectPr>
          <w:pgSz w:w="11901" w:h="16817"/>
          <w:pgMar w:top="1418" w:right="1701" w:bottom="1418" w:left="1701" w:header="851" w:footer="851" w:gutter="0"/>
          <w:cols w:space="720" w:num="1"/>
          <w:docGrid w:linePitch="462" w:charSpace="0"/>
        </w:sectPr>
      </w:pPr>
      <w:r>
        <w:rPr>
          <w:rFonts w:hint="eastAsia" w:ascii="宋体" w:hAnsi="宋体" w:eastAsia="宋体" w:cs="宋体"/>
          <w:color w:val="auto"/>
          <w:sz w:val="24"/>
          <w:highlight w:val="none"/>
        </w:rPr>
        <w:t>日期：_____年______月______日</w:t>
      </w:r>
    </w:p>
    <w:p>
      <w:pP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附件3 </w:t>
      </w:r>
    </w:p>
    <w:p>
      <w:pPr>
        <w:widowControl/>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投标人信息采集表</w:t>
      </w:r>
    </w:p>
    <w:tbl>
      <w:tblPr>
        <w:tblStyle w:val="48"/>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2122"/>
        <w:gridCol w:w="2122"/>
        <w:gridCol w:w="2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23"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投标人所属性别</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外商投资类型</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3.外商投资类型请填写“外商单独投资”、“外商部分投资”或“内资”。</w:t>
      </w:r>
    </w:p>
    <w:p>
      <w:pPr>
        <w:pStyle w:val="42"/>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4.规模请填写“大型企业”、“中型企业”、“小微企业”、“其他”</w:t>
      </w:r>
    </w:p>
    <w:p>
      <w:pPr>
        <w:tabs>
          <w:tab w:val="left" w:pos="5580"/>
        </w:tabs>
        <w:spacing w:line="480" w:lineRule="auto"/>
        <w:ind w:firstLine="482" w:firstLineChars="200"/>
        <w:rPr>
          <w:rFonts w:hint="eastAsia" w:ascii="宋体" w:hAnsi="宋体" w:eastAsia="宋体" w:cs="宋体"/>
          <w:b/>
          <w:bCs/>
          <w:color w:val="auto"/>
          <w:sz w:val="24"/>
          <w:highlight w:val="none"/>
        </w:rPr>
        <w:sectPr>
          <w:pgSz w:w="11901" w:h="16817"/>
          <w:pgMar w:top="1418" w:right="1701" w:bottom="1418" w:left="1701" w:header="851" w:footer="851" w:gutter="0"/>
          <w:cols w:space="720" w:num="1"/>
          <w:docGrid w:linePitch="462" w:charSpace="0"/>
        </w:sectPr>
      </w:pPr>
    </w:p>
    <w:p>
      <w:pPr>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rPr>
        <w:t>附件4中小企业声明函</w:t>
      </w:r>
    </w:p>
    <w:p>
      <w:pPr>
        <w:tabs>
          <w:tab w:val="left" w:pos="5580"/>
        </w:tabs>
        <w:spacing w:line="360" w:lineRule="auto"/>
        <w:rPr>
          <w:rFonts w:hint="eastAsia" w:ascii="宋体" w:hAnsi="宋体" w:eastAsia="宋体" w:cs="宋体"/>
          <w:color w:val="auto"/>
          <w:sz w:val="24"/>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参与价格评审扣除。</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（2）中小企业声明函填写注意事项：</w:t>
      </w:r>
    </w:p>
    <w:p>
      <w:pPr>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1）《中小企业声明函》由参加政府采购活动的投标人出具。</w:t>
      </w:r>
    </w:p>
    <w:p>
      <w:pPr>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pPr>
        <w:tabs>
          <w:tab w:val="left" w:pos="5580"/>
        </w:tabs>
        <w:spacing w:line="360" w:lineRule="auto"/>
        <w:ind w:firstLine="482" w:firstLineChars="200"/>
        <w:rPr>
          <w:rFonts w:hint="eastAsia" w:ascii="宋体" w:hAnsi="宋体" w:eastAsia="宋体" w:cs="宋体"/>
          <w:b/>
          <w:bCs/>
          <w:color w:val="auto"/>
          <w:sz w:val="24"/>
          <w:highlight w:val="none"/>
        </w:rPr>
      </w:pPr>
      <w:bookmarkStart w:id="396" w:name="_Hlk176865208"/>
      <w:r>
        <w:rPr>
          <w:rFonts w:hint="eastAsia" w:ascii="宋体" w:hAnsi="宋体" w:eastAsia="宋体" w:cs="宋体"/>
          <w:b/>
          <w:bCs/>
          <w:color w:val="auto"/>
          <w:sz w:val="24"/>
          <w:highlight w:val="none"/>
        </w:rPr>
        <w:t>3）对于多标的采购项目，投标人应充分、准确地了解所提供货物的制造企业信息。对相关情况了解不清楚的，不建议填报本声明函。</w:t>
      </w:r>
      <w:bookmarkEnd w:id="396"/>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6"/>
          <w:szCs w:val="36"/>
          <w:highlight w:val="none"/>
        </w:rPr>
        <w:t>中小企业声明函（货物）格式</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（采购人名称）的</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（项目名称）</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lang w:val="en-US" w:eastAsia="zh-CN"/>
        </w:rPr>
        <w:t>（分包名称）</w:t>
      </w:r>
      <w:r>
        <w:rPr>
          <w:rFonts w:hint="eastAsia" w:ascii="宋体" w:hAnsi="宋体" w:eastAsia="宋体" w:cs="宋体"/>
          <w:color w:val="auto"/>
          <w:spacing w:val="6"/>
          <w:sz w:val="24"/>
          <w:highlight w:val="none"/>
        </w:rPr>
        <w:t>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（招标文件中明确的所属行业）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（招标文件中明确的所属行业）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color w:val="auto"/>
          <w:spacing w:val="6"/>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p>
    <w:tbl>
      <w:tblPr>
        <w:tblStyle w:val="47"/>
        <w:tblW w:w="849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99" w:type="dxa"/>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widowControl/>
        <w:jc w:val="center"/>
        <w:rPr>
          <w:rFonts w:hint="eastAsia" w:ascii="宋体" w:hAnsi="宋体" w:eastAsia="宋体" w:cs="宋体"/>
          <w:color w:val="auto"/>
          <w:szCs w:val="21"/>
          <w:highlight w:val="none"/>
          <w:vertAlign w:val="superscript"/>
        </w:rPr>
      </w:pPr>
    </w:p>
    <w:p>
      <w:pPr>
        <w:rPr>
          <w:rFonts w:hint="eastAsia" w:ascii="宋体" w:hAnsi="宋体" w:eastAsia="宋体" w:cs="宋体"/>
          <w:color w:val="auto"/>
          <w:sz w:val="24"/>
          <w:szCs w:val="20"/>
          <w:highlight w:val="none"/>
        </w:rPr>
      </w:pP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残疾人福利性单位声明函格式</w:t>
      </w:r>
    </w:p>
    <w:p>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（请进行勾选）</w:t>
      </w:r>
      <w:r>
        <w:rPr>
          <w:rFonts w:hint="eastAsia" w:ascii="宋体" w:hAnsi="宋体" w:eastAsia="宋体" w:cs="宋体"/>
          <w:color w:val="auto"/>
          <w:spacing w:val="6"/>
          <w:sz w:val="24"/>
          <w:highlight w:val="none"/>
        </w:rPr>
        <w:t>：</w:t>
      </w:r>
    </w:p>
    <w:p>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不属于符合条件的残疾人福利性单位。</w:t>
      </w:r>
    </w:p>
    <w:p>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highlight w:val="none"/>
        </w:rPr>
      </w:pPr>
    </w:p>
    <w:p>
      <w:pPr>
        <w:spacing w:line="588" w:lineRule="exact"/>
        <w:ind w:firstLine="504" w:firstLineChars="200"/>
        <w:rPr>
          <w:rFonts w:hint="eastAsia" w:ascii="宋体" w:hAnsi="宋体" w:eastAsia="宋体" w:cs="宋体"/>
          <w:color w:val="auto"/>
          <w:spacing w:val="6"/>
          <w:sz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pStyle w:val="41"/>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附件：《中小企业划型标准规定》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十、本规定自发布之日起执行，原国家经贸委、原国家计委、财政部和国家统计局2003年颁布的《中小企业标准暂行规定》同时废止。</w:t>
      </w:r>
    </w:p>
    <w:p>
      <w:pPr>
        <w:tabs>
          <w:tab w:val="left" w:pos="5580"/>
        </w:tabs>
        <w:spacing w:line="480" w:lineRule="auto"/>
        <w:ind w:firstLine="482" w:firstLineChars="200"/>
        <w:rPr>
          <w:rFonts w:hint="eastAsia" w:ascii="宋体" w:hAnsi="宋体" w:eastAsia="宋体" w:cs="宋体"/>
          <w:b/>
          <w:bCs/>
          <w:color w:val="auto"/>
          <w:sz w:val="24"/>
          <w:highlight w:val="none"/>
        </w:rPr>
        <w:sectPr>
          <w:pgSz w:w="11901" w:h="16817"/>
          <w:pgMar w:top="1418" w:right="1701" w:bottom="1418" w:left="1701" w:header="851" w:footer="851" w:gutter="0"/>
          <w:cols w:space="720" w:num="1"/>
          <w:docGrid w:linePitch="462" w:charSpace="0"/>
        </w:sectPr>
      </w:pPr>
    </w:p>
    <w:p>
      <w:pPr>
        <w:pStyle w:val="5"/>
        <w:spacing w:line="480" w:lineRule="auto"/>
        <w:rPr>
          <w:rFonts w:hint="eastAsia" w:ascii="宋体" w:hAnsi="宋体" w:eastAsia="宋体" w:cs="宋体"/>
          <w:color w:val="auto"/>
          <w:highlight w:val="none"/>
        </w:rPr>
      </w:pPr>
      <w:r>
        <w:rPr>
          <w:rFonts w:hint="eastAsia" w:hAnsi="宋体" w:cs="宋体"/>
          <w:bCs/>
          <w:color w:val="auto"/>
          <w:highlight w:val="none"/>
          <w:lang w:val="en-US" w:eastAsia="zh-CN"/>
        </w:rPr>
        <w:t>11</w:t>
      </w:r>
      <w:r>
        <w:rPr>
          <w:rFonts w:hint="eastAsia" w:ascii="宋体" w:hAnsi="宋体" w:eastAsia="宋体" w:cs="宋体"/>
          <w:bCs/>
          <w:color w:val="auto"/>
          <w:highlight w:val="none"/>
        </w:rPr>
        <w:t xml:space="preserve"> 技术部分</w:t>
      </w:r>
    </w:p>
    <w:p>
      <w:pPr>
        <w:tabs>
          <w:tab w:val="left" w:pos="5580"/>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1.请根据本项目的需求，自行编写技术部分的实施（服务）方案</w:t>
      </w:r>
    </w:p>
    <w:p>
      <w:pPr>
        <w:widowControl/>
        <w:spacing w:line="48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2.另外投标人可以自行提供其他对本项目有关的证明材料。</w:t>
      </w:r>
      <w:bookmarkEnd w:id="305"/>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805570A-0BCC-46EC-AA52-C2B58B74592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altName w:val="ksdb"/>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汉仪细圆B5">
    <w:altName w:val="ksdb"/>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86"/>
    <w:family w:val="auto"/>
    <w:pitch w:val="default"/>
    <w:sig w:usb0="00000000" w:usb1="00000000" w:usb2="00000012" w:usb3="00000000" w:csb0="00040001" w:csb1="00000000"/>
    <w:embedRegular r:id="rId2" w:fontKey="{B7F312DB-9BFE-45BB-A9CD-B538EBC540DE}"/>
  </w:font>
  <w:font w:name="ksdb">
    <w:panose1 w:val="02000500000000000000"/>
    <w:charset w:val="00"/>
    <w:family w:val="auto"/>
    <w:pitch w:val="default"/>
    <w:sig w:usb0="00000001" w:usb1="00000000" w:usb2="00000000" w:usb3="00000000" w:csb0="00000001" w:csb1="00000000"/>
  </w:font>
  <w:font w:name="yyb">
    <w:panose1 w:val="020B0200000000000000"/>
    <w:charset w:val="86"/>
    <w:family w:val="auto"/>
    <w:pitch w:val="default"/>
    <w:sig w:usb0="20000083" w:usb1="1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271424"/>
    </w:sdtPr>
    <w:sdtContent>
      <w:p>
        <w:pPr>
          <w:pStyle w:val="28"/>
          <w:jc w:val="center"/>
        </w:pPr>
        <w:r>
          <w:fldChar w:fldCharType="begin"/>
        </w:r>
        <w:r>
          <w:instrText xml:space="preserve">PAGE   \* MERGEFORMAT</w:instrText>
        </w:r>
        <w:r>
          <w:fldChar w:fldCharType="separate"/>
        </w:r>
        <w:r>
          <w:rPr>
            <w:lang w:val="zh-CN"/>
          </w:rPr>
          <w:t>50</w:t>
        </w:r>
        <w:r>
          <w:fldChar w:fldCharType="end"/>
        </w:r>
      </w:p>
    </w:sdtContent>
  </w:sdt>
  <w:p>
    <w:pPr>
      <w:pStyle w:val="22"/>
      <w:wordWrap w:val="0"/>
      <w:ind w:right="5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58C84"/>
    <w:multiLevelType w:val="singleLevel"/>
    <w:tmpl w:val="92E58C84"/>
    <w:lvl w:ilvl="0" w:tentative="0">
      <w:start w:val="5"/>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1"/>
    <w:multiLevelType w:val="multilevel"/>
    <w:tmpl w:val="00000011"/>
    <w:lvl w:ilvl="0" w:tentative="0">
      <w:start w:val="1"/>
      <w:numFmt w:val="bullet"/>
      <w:pStyle w:val="256"/>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1">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12">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2580"/>
        </w:tabs>
        <w:ind w:left="245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249FFB79"/>
    <w:multiLevelType w:val="singleLevel"/>
    <w:tmpl w:val="249FFB79"/>
    <w:lvl w:ilvl="0" w:tentative="0">
      <w:start w:val="2"/>
      <w:numFmt w:val="decimal"/>
      <w:suff w:val="space"/>
      <w:lvlText w:val="%1."/>
      <w:lvlJc w:val="left"/>
    </w:lvl>
  </w:abstractNum>
  <w:abstractNum w:abstractNumId="21">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17100B5"/>
    <w:multiLevelType w:val="multilevel"/>
    <w:tmpl w:val="317100B5"/>
    <w:lvl w:ilvl="0" w:tentative="0">
      <w:start w:val="19"/>
      <w:numFmt w:val="decimal"/>
      <w:lvlText w:val="%1"/>
      <w:lvlJc w:val="left"/>
      <w:pPr>
        <w:ind w:left="562" w:hanging="420"/>
      </w:pPr>
      <w:rPr>
        <w:rFonts w:hint="default"/>
      </w:rPr>
    </w:lvl>
    <w:lvl w:ilvl="1" w:tentative="0">
      <w:start w:val="1"/>
      <w:numFmt w:val="decimal"/>
      <w:lvlText w:val="%1.%2"/>
      <w:lvlJc w:val="left"/>
      <w:pPr>
        <w:ind w:left="845"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52FF46A2"/>
    <w:multiLevelType w:val="multilevel"/>
    <w:tmpl w:val="52FF46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7A0F6431"/>
    <w:multiLevelType w:val="singleLevel"/>
    <w:tmpl w:val="7A0F6431"/>
    <w:lvl w:ilvl="0" w:tentative="0">
      <w:start w:val="1"/>
      <w:numFmt w:val="decimal"/>
      <w:suff w:val="space"/>
      <w:lvlText w:val="%1."/>
      <w:lvlJc w:val="left"/>
    </w:lvl>
  </w:abstractNum>
  <w:abstractNum w:abstractNumId="27">
    <w:nsid w:val="7B164E20"/>
    <w:multiLevelType w:val="multilevel"/>
    <w:tmpl w:val="7B164E20"/>
    <w:lvl w:ilvl="0" w:tentative="0">
      <w:start w:val="3"/>
      <w:numFmt w:val="decimal"/>
      <w:lvlText w:val="%1."/>
      <w:lvlJc w:val="left"/>
      <w:pPr>
        <w:ind w:left="420" w:hanging="420"/>
      </w:pPr>
      <w:rPr>
        <w:rFonts w:hint="eastAsia"/>
      </w:rPr>
    </w:lvl>
    <w:lvl w:ilvl="1" w:tentative="0">
      <w:start w:val="1"/>
      <w:numFmt w:val="lowerLetter"/>
      <w:pStyle w:val="3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7EDC1C16"/>
    <w:multiLevelType w:val="multilevel"/>
    <w:tmpl w:val="7EDC1C16"/>
    <w:lvl w:ilvl="0" w:tentative="0">
      <w:start w:val="1"/>
      <w:numFmt w:val="decimalEnclosedCircle"/>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12"/>
  </w:num>
  <w:num w:numId="2">
    <w:abstractNumId w:val="15"/>
  </w:num>
  <w:num w:numId="3">
    <w:abstractNumId w:val="8"/>
  </w:num>
  <w:num w:numId="4">
    <w:abstractNumId w:val="13"/>
  </w:num>
  <w:num w:numId="5">
    <w:abstractNumId w:val="11"/>
  </w:num>
  <w:num w:numId="6">
    <w:abstractNumId w:val="9"/>
  </w:num>
  <w:num w:numId="7">
    <w:abstractNumId w:val="16"/>
  </w:num>
  <w:num w:numId="8">
    <w:abstractNumId w:val="10"/>
  </w:num>
  <w:num w:numId="9">
    <w:abstractNumId w:val="27"/>
  </w:num>
  <w:num w:numId="10">
    <w:abstractNumId w:val="20"/>
  </w:num>
  <w:num w:numId="11">
    <w:abstractNumId w:val="0"/>
  </w:num>
  <w:num w:numId="12">
    <w:abstractNumId w:val="14"/>
  </w:num>
  <w:num w:numId="13">
    <w:abstractNumId w:val="19"/>
  </w:num>
  <w:num w:numId="14">
    <w:abstractNumId w:val="7"/>
  </w:num>
  <w:num w:numId="15">
    <w:abstractNumId w:val="23"/>
  </w:num>
  <w:num w:numId="16">
    <w:abstractNumId w:val="24"/>
  </w:num>
  <w:num w:numId="17">
    <w:abstractNumId w:val="25"/>
  </w:num>
  <w:num w:numId="18">
    <w:abstractNumId w:val="17"/>
  </w:num>
  <w:num w:numId="19">
    <w:abstractNumId w:val="18"/>
  </w:num>
  <w:num w:numId="20">
    <w:abstractNumId w:val="26"/>
  </w:num>
  <w:num w:numId="21">
    <w:abstractNumId w:val="2"/>
  </w:num>
  <w:num w:numId="22">
    <w:abstractNumId w:val="6"/>
  </w:num>
  <w:num w:numId="23">
    <w:abstractNumId w:val="4"/>
  </w:num>
  <w:num w:numId="24">
    <w:abstractNumId w:val="3"/>
  </w:num>
  <w:num w:numId="25">
    <w:abstractNumId w:val="1"/>
  </w:num>
  <w:num w:numId="26">
    <w:abstractNumId w:val="5"/>
  </w:num>
  <w:num w:numId="27">
    <w:abstractNumId w:val="22"/>
  </w:num>
  <w:num w:numId="28">
    <w:abstractNumId w:val="2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ZTIwMzk0ZDJmMWY4YmRlOTk5ZmJlYWU0ZTU2MDQifQ=="/>
  </w:docVars>
  <w:rsids>
    <w:rsidRoot w:val="00E83D6D"/>
    <w:rsid w:val="000024CA"/>
    <w:rsid w:val="00005E4D"/>
    <w:rsid w:val="00006989"/>
    <w:rsid w:val="0000747D"/>
    <w:rsid w:val="0001093C"/>
    <w:rsid w:val="0001621F"/>
    <w:rsid w:val="00020893"/>
    <w:rsid w:val="000214FE"/>
    <w:rsid w:val="0002154D"/>
    <w:rsid w:val="0002245E"/>
    <w:rsid w:val="00024AAE"/>
    <w:rsid w:val="000261BF"/>
    <w:rsid w:val="000271B9"/>
    <w:rsid w:val="0002748D"/>
    <w:rsid w:val="00030137"/>
    <w:rsid w:val="0003515B"/>
    <w:rsid w:val="000366E5"/>
    <w:rsid w:val="000415C2"/>
    <w:rsid w:val="00043536"/>
    <w:rsid w:val="00044794"/>
    <w:rsid w:val="000504C5"/>
    <w:rsid w:val="00050F62"/>
    <w:rsid w:val="00057613"/>
    <w:rsid w:val="000577A9"/>
    <w:rsid w:val="0006139C"/>
    <w:rsid w:val="00063A95"/>
    <w:rsid w:val="00065AF3"/>
    <w:rsid w:val="000671D8"/>
    <w:rsid w:val="00070E42"/>
    <w:rsid w:val="00071A4E"/>
    <w:rsid w:val="00072BC4"/>
    <w:rsid w:val="000776CA"/>
    <w:rsid w:val="00080962"/>
    <w:rsid w:val="000819C3"/>
    <w:rsid w:val="0008384E"/>
    <w:rsid w:val="000843BA"/>
    <w:rsid w:val="000860B2"/>
    <w:rsid w:val="00090BD5"/>
    <w:rsid w:val="000931EA"/>
    <w:rsid w:val="00096C24"/>
    <w:rsid w:val="000A119E"/>
    <w:rsid w:val="000A364C"/>
    <w:rsid w:val="000B1470"/>
    <w:rsid w:val="000B2A31"/>
    <w:rsid w:val="000C33BB"/>
    <w:rsid w:val="000C4A1B"/>
    <w:rsid w:val="000C781A"/>
    <w:rsid w:val="000D2628"/>
    <w:rsid w:val="000D41BD"/>
    <w:rsid w:val="000D7368"/>
    <w:rsid w:val="000D7A22"/>
    <w:rsid w:val="000E044E"/>
    <w:rsid w:val="000E05C9"/>
    <w:rsid w:val="000E0717"/>
    <w:rsid w:val="000E569B"/>
    <w:rsid w:val="000E7254"/>
    <w:rsid w:val="000E7BE0"/>
    <w:rsid w:val="000F2BFB"/>
    <w:rsid w:val="000F2D2A"/>
    <w:rsid w:val="000F359E"/>
    <w:rsid w:val="000F7335"/>
    <w:rsid w:val="000F7D9A"/>
    <w:rsid w:val="0010031F"/>
    <w:rsid w:val="001008D5"/>
    <w:rsid w:val="001023B0"/>
    <w:rsid w:val="00105A0B"/>
    <w:rsid w:val="001123A7"/>
    <w:rsid w:val="00113B4D"/>
    <w:rsid w:val="00115494"/>
    <w:rsid w:val="00116555"/>
    <w:rsid w:val="0011718A"/>
    <w:rsid w:val="00117959"/>
    <w:rsid w:val="00121E68"/>
    <w:rsid w:val="00122AA0"/>
    <w:rsid w:val="00133569"/>
    <w:rsid w:val="0013462C"/>
    <w:rsid w:val="00136BAC"/>
    <w:rsid w:val="001377E9"/>
    <w:rsid w:val="001463B8"/>
    <w:rsid w:val="00147FF9"/>
    <w:rsid w:val="001511E6"/>
    <w:rsid w:val="00155778"/>
    <w:rsid w:val="00161A28"/>
    <w:rsid w:val="00163161"/>
    <w:rsid w:val="00165845"/>
    <w:rsid w:val="00165CA1"/>
    <w:rsid w:val="00167570"/>
    <w:rsid w:val="00170610"/>
    <w:rsid w:val="001710B3"/>
    <w:rsid w:val="00172363"/>
    <w:rsid w:val="0017239B"/>
    <w:rsid w:val="00180650"/>
    <w:rsid w:val="001813BA"/>
    <w:rsid w:val="001826BC"/>
    <w:rsid w:val="001857CB"/>
    <w:rsid w:val="001873FF"/>
    <w:rsid w:val="00187AF3"/>
    <w:rsid w:val="00193D0F"/>
    <w:rsid w:val="0019433D"/>
    <w:rsid w:val="00194EB0"/>
    <w:rsid w:val="001952B4"/>
    <w:rsid w:val="001A0A6A"/>
    <w:rsid w:val="001A3128"/>
    <w:rsid w:val="001A331E"/>
    <w:rsid w:val="001A4D84"/>
    <w:rsid w:val="001A747A"/>
    <w:rsid w:val="001A7762"/>
    <w:rsid w:val="001A7A86"/>
    <w:rsid w:val="001B0CDE"/>
    <w:rsid w:val="001B1EF2"/>
    <w:rsid w:val="001B207C"/>
    <w:rsid w:val="001B3254"/>
    <w:rsid w:val="001B325B"/>
    <w:rsid w:val="001B3851"/>
    <w:rsid w:val="001B5A83"/>
    <w:rsid w:val="001C470C"/>
    <w:rsid w:val="001D2998"/>
    <w:rsid w:val="001D2ED1"/>
    <w:rsid w:val="001D32A2"/>
    <w:rsid w:val="001D547C"/>
    <w:rsid w:val="001D5CA7"/>
    <w:rsid w:val="001D6CC8"/>
    <w:rsid w:val="001D772B"/>
    <w:rsid w:val="001E4E35"/>
    <w:rsid w:val="001E4FCA"/>
    <w:rsid w:val="001E580D"/>
    <w:rsid w:val="001E682D"/>
    <w:rsid w:val="001E6A55"/>
    <w:rsid w:val="001F2A6B"/>
    <w:rsid w:val="001F3F10"/>
    <w:rsid w:val="001F54F7"/>
    <w:rsid w:val="001F6EDE"/>
    <w:rsid w:val="00204EA9"/>
    <w:rsid w:val="00206DB3"/>
    <w:rsid w:val="00206DC7"/>
    <w:rsid w:val="00211102"/>
    <w:rsid w:val="002166C4"/>
    <w:rsid w:val="00220B79"/>
    <w:rsid w:val="002226B3"/>
    <w:rsid w:val="002238DB"/>
    <w:rsid w:val="0022407A"/>
    <w:rsid w:val="00226C23"/>
    <w:rsid w:val="002274BB"/>
    <w:rsid w:val="002305E5"/>
    <w:rsid w:val="00230C1E"/>
    <w:rsid w:val="002319CD"/>
    <w:rsid w:val="00233D0D"/>
    <w:rsid w:val="00235020"/>
    <w:rsid w:val="00235A8D"/>
    <w:rsid w:val="00236E3D"/>
    <w:rsid w:val="00237492"/>
    <w:rsid w:val="0024138D"/>
    <w:rsid w:val="00243558"/>
    <w:rsid w:val="0025135A"/>
    <w:rsid w:val="00251832"/>
    <w:rsid w:val="002521C0"/>
    <w:rsid w:val="00253294"/>
    <w:rsid w:val="00254117"/>
    <w:rsid w:val="00254177"/>
    <w:rsid w:val="00255579"/>
    <w:rsid w:val="00255D20"/>
    <w:rsid w:val="002563FF"/>
    <w:rsid w:val="00257761"/>
    <w:rsid w:val="00260A67"/>
    <w:rsid w:val="0026222B"/>
    <w:rsid w:val="002646FE"/>
    <w:rsid w:val="0026542B"/>
    <w:rsid w:val="00265E92"/>
    <w:rsid w:val="002679CD"/>
    <w:rsid w:val="00271857"/>
    <w:rsid w:val="0027297D"/>
    <w:rsid w:val="00274AFF"/>
    <w:rsid w:val="00274F62"/>
    <w:rsid w:val="00275A54"/>
    <w:rsid w:val="00275C73"/>
    <w:rsid w:val="00275E51"/>
    <w:rsid w:val="002761BE"/>
    <w:rsid w:val="00284104"/>
    <w:rsid w:val="0028531B"/>
    <w:rsid w:val="0028643C"/>
    <w:rsid w:val="002864D2"/>
    <w:rsid w:val="00286E1A"/>
    <w:rsid w:val="002877CE"/>
    <w:rsid w:val="0029426A"/>
    <w:rsid w:val="00296F52"/>
    <w:rsid w:val="00297CAC"/>
    <w:rsid w:val="002A14B7"/>
    <w:rsid w:val="002A51DF"/>
    <w:rsid w:val="002A6223"/>
    <w:rsid w:val="002B3901"/>
    <w:rsid w:val="002B4767"/>
    <w:rsid w:val="002B4E92"/>
    <w:rsid w:val="002B50E1"/>
    <w:rsid w:val="002B51AB"/>
    <w:rsid w:val="002B73BE"/>
    <w:rsid w:val="002B785F"/>
    <w:rsid w:val="002C4FDF"/>
    <w:rsid w:val="002C6413"/>
    <w:rsid w:val="002C6BFA"/>
    <w:rsid w:val="002C76D4"/>
    <w:rsid w:val="002D222C"/>
    <w:rsid w:val="002D30BB"/>
    <w:rsid w:val="002D4250"/>
    <w:rsid w:val="002D46FF"/>
    <w:rsid w:val="002D4CC8"/>
    <w:rsid w:val="002D4F3F"/>
    <w:rsid w:val="002D5BA7"/>
    <w:rsid w:val="002D6D66"/>
    <w:rsid w:val="002E5A1F"/>
    <w:rsid w:val="002E5FF8"/>
    <w:rsid w:val="002E74C8"/>
    <w:rsid w:val="002E7F24"/>
    <w:rsid w:val="002F7843"/>
    <w:rsid w:val="003003A6"/>
    <w:rsid w:val="003012AA"/>
    <w:rsid w:val="00301443"/>
    <w:rsid w:val="00302353"/>
    <w:rsid w:val="00303BC8"/>
    <w:rsid w:val="00303CCC"/>
    <w:rsid w:val="00303EF1"/>
    <w:rsid w:val="003062DF"/>
    <w:rsid w:val="00306FB4"/>
    <w:rsid w:val="003241BC"/>
    <w:rsid w:val="0032516A"/>
    <w:rsid w:val="00334D52"/>
    <w:rsid w:val="00340919"/>
    <w:rsid w:val="003522F3"/>
    <w:rsid w:val="0035715C"/>
    <w:rsid w:val="003624D9"/>
    <w:rsid w:val="003650E0"/>
    <w:rsid w:val="0037060B"/>
    <w:rsid w:val="0038148F"/>
    <w:rsid w:val="00384792"/>
    <w:rsid w:val="00392333"/>
    <w:rsid w:val="003A0592"/>
    <w:rsid w:val="003A4E7C"/>
    <w:rsid w:val="003A5B1B"/>
    <w:rsid w:val="003A73C1"/>
    <w:rsid w:val="003B15A7"/>
    <w:rsid w:val="003B160C"/>
    <w:rsid w:val="003B3F03"/>
    <w:rsid w:val="003B66C6"/>
    <w:rsid w:val="003B66C8"/>
    <w:rsid w:val="003C0190"/>
    <w:rsid w:val="003C059D"/>
    <w:rsid w:val="003C1D50"/>
    <w:rsid w:val="003C2341"/>
    <w:rsid w:val="003C2CD6"/>
    <w:rsid w:val="003C36AF"/>
    <w:rsid w:val="003C5C25"/>
    <w:rsid w:val="003D0664"/>
    <w:rsid w:val="003D44FC"/>
    <w:rsid w:val="003D55EC"/>
    <w:rsid w:val="003D6B97"/>
    <w:rsid w:val="003D71B0"/>
    <w:rsid w:val="003E306B"/>
    <w:rsid w:val="003E4BEB"/>
    <w:rsid w:val="003E4CC0"/>
    <w:rsid w:val="003E5513"/>
    <w:rsid w:val="003E6A09"/>
    <w:rsid w:val="003E6DE1"/>
    <w:rsid w:val="003F176E"/>
    <w:rsid w:val="003F3907"/>
    <w:rsid w:val="003F6ADB"/>
    <w:rsid w:val="00401228"/>
    <w:rsid w:val="00403905"/>
    <w:rsid w:val="0040424D"/>
    <w:rsid w:val="004048EF"/>
    <w:rsid w:val="004049F9"/>
    <w:rsid w:val="004059DC"/>
    <w:rsid w:val="00406519"/>
    <w:rsid w:val="004070A8"/>
    <w:rsid w:val="00407E12"/>
    <w:rsid w:val="0041043F"/>
    <w:rsid w:val="00415A2E"/>
    <w:rsid w:val="00417FD5"/>
    <w:rsid w:val="00421122"/>
    <w:rsid w:val="00421F3D"/>
    <w:rsid w:val="0042676D"/>
    <w:rsid w:val="00432C4A"/>
    <w:rsid w:val="004403D9"/>
    <w:rsid w:val="00440A8B"/>
    <w:rsid w:val="004422B2"/>
    <w:rsid w:val="00443B6F"/>
    <w:rsid w:val="004446E2"/>
    <w:rsid w:val="0044579D"/>
    <w:rsid w:val="00450EE3"/>
    <w:rsid w:val="00451CD2"/>
    <w:rsid w:val="00452D49"/>
    <w:rsid w:val="004564DD"/>
    <w:rsid w:val="00457DCB"/>
    <w:rsid w:val="0046102C"/>
    <w:rsid w:val="0046116F"/>
    <w:rsid w:val="00462D13"/>
    <w:rsid w:val="004635A0"/>
    <w:rsid w:val="0046536A"/>
    <w:rsid w:val="00466F08"/>
    <w:rsid w:val="0046736E"/>
    <w:rsid w:val="00467D11"/>
    <w:rsid w:val="004722D6"/>
    <w:rsid w:val="004757EF"/>
    <w:rsid w:val="00477448"/>
    <w:rsid w:val="00477B23"/>
    <w:rsid w:val="00482F4E"/>
    <w:rsid w:val="0048717C"/>
    <w:rsid w:val="004877B2"/>
    <w:rsid w:val="00491ACB"/>
    <w:rsid w:val="00493D74"/>
    <w:rsid w:val="00496A6F"/>
    <w:rsid w:val="00496CCA"/>
    <w:rsid w:val="004A10AF"/>
    <w:rsid w:val="004A204B"/>
    <w:rsid w:val="004A2DFA"/>
    <w:rsid w:val="004A3C54"/>
    <w:rsid w:val="004A48AD"/>
    <w:rsid w:val="004A60D2"/>
    <w:rsid w:val="004A7A82"/>
    <w:rsid w:val="004B0076"/>
    <w:rsid w:val="004B0DB4"/>
    <w:rsid w:val="004B4096"/>
    <w:rsid w:val="004B46CD"/>
    <w:rsid w:val="004B4C57"/>
    <w:rsid w:val="004B51E1"/>
    <w:rsid w:val="004B66DD"/>
    <w:rsid w:val="004C2778"/>
    <w:rsid w:val="004C2AEB"/>
    <w:rsid w:val="004C3879"/>
    <w:rsid w:val="004C65F8"/>
    <w:rsid w:val="004C75D1"/>
    <w:rsid w:val="004D1BF5"/>
    <w:rsid w:val="004D3E1A"/>
    <w:rsid w:val="004D4CCC"/>
    <w:rsid w:val="004D52FF"/>
    <w:rsid w:val="004D63CC"/>
    <w:rsid w:val="004D7F9F"/>
    <w:rsid w:val="004E1186"/>
    <w:rsid w:val="004E2EE8"/>
    <w:rsid w:val="004E3DA2"/>
    <w:rsid w:val="004E46FB"/>
    <w:rsid w:val="004F0271"/>
    <w:rsid w:val="004F1E99"/>
    <w:rsid w:val="004F3F5C"/>
    <w:rsid w:val="004F4052"/>
    <w:rsid w:val="004F4EC8"/>
    <w:rsid w:val="004F720C"/>
    <w:rsid w:val="004F732D"/>
    <w:rsid w:val="00501332"/>
    <w:rsid w:val="005017E6"/>
    <w:rsid w:val="0050382D"/>
    <w:rsid w:val="00505252"/>
    <w:rsid w:val="00505C09"/>
    <w:rsid w:val="00507642"/>
    <w:rsid w:val="0051015E"/>
    <w:rsid w:val="00514D33"/>
    <w:rsid w:val="005211D7"/>
    <w:rsid w:val="00524B1C"/>
    <w:rsid w:val="0052532D"/>
    <w:rsid w:val="00531333"/>
    <w:rsid w:val="00531663"/>
    <w:rsid w:val="00542F78"/>
    <w:rsid w:val="00550033"/>
    <w:rsid w:val="005507B9"/>
    <w:rsid w:val="00552B34"/>
    <w:rsid w:val="005536C5"/>
    <w:rsid w:val="00554181"/>
    <w:rsid w:val="005563C0"/>
    <w:rsid w:val="00556D85"/>
    <w:rsid w:val="00557CB7"/>
    <w:rsid w:val="00560151"/>
    <w:rsid w:val="00565AE5"/>
    <w:rsid w:val="00565B5B"/>
    <w:rsid w:val="00573E74"/>
    <w:rsid w:val="00573F88"/>
    <w:rsid w:val="00580788"/>
    <w:rsid w:val="00581411"/>
    <w:rsid w:val="005825EC"/>
    <w:rsid w:val="00583E79"/>
    <w:rsid w:val="0058544E"/>
    <w:rsid w:val="0059008F"/>
    <w:rsid w:val="00591FE6"/>
    <w:rsid w:val="0059311A"/>
    <w:rsid w:val="005961D6"/>
    <w:rsid w:val="005970A1"/>
    <w:rsid w:val="00597ABC"/>
    <w:rsid w:val="005A06D6"/>
    <w:rsid w:val="005A59BE"/>
    <w:rsid w:val="005A5B30"/>
    <w:rsid w:val="005A6ED6"/>
    <w:rsid w:val="005A7296"/>
    <w:rsid w:val="005A7DE6"/>
    <w:rsid w:val="005B4352"/>
    <w:rsid w:val="005B5505"/>
    <w:rsid w:val="005B7F00"/>
    <w:rsid w:val="005C141D"/>
    <w:rsid w:val="005C1489"/>
    <w:rsid w:val="005C4271"/>
    <w:rsid w:val="005C4932"/>
    <w:rsid w:val="005C6858"/>
    <w:rsid w:val="005C6BEB"/>
    <w:rsid w:val="005D01CF"/>
    <w:rsid w:val="005D191E"/>
    <w:rsid w:val="005D5A67"/>
    <w:rsid w:val="005D721F"/>
    <w:rsid w:val="005F3A8B"/>
    <w:rsid w:val="005F5489"/>
    <w:rsid w:val="005F5F7B"/>
    <w:rsid w:val="00604796"/>
    <w:rsid w:val="00607113"/>
    <w:rsid w:val="00607752"/>
    <w:rsid w:val="0061239F"/>
    <w:rsid w:val="00615565"/>
    <w:rsid w:val="006162F4"/>
    <w:rsid w:val="00617136"/>
    <w:rsid w:val="00617760"/>
    <w:rsid w:val="00622E28"/>
    <w:rsid w:val="006243FE"/>
    <w:rsid w:val="00624A17"/>
    <w:rsid w:val="00627FDE"/>
    <w:rsid w:val="00630357"/>
    <w:rsid w:val="00632DB3"/>
    <w:rsid w:val="00636AAE"/>
    <w:rsid w:val="00637B5B"/>
    <w:rsid w:val="00644B73"/>
    <w:rsid w:val="00645B96"/>
    <w:rsid w:val="00647C10"/>
    <w:rsid w:val="00650744"/>
    <w:rsid w:val="006535F5"/>
    <w:rsid w:val="00656D33"/>
    <w:rsid w:val="00660122"/>
    <w:rsid w:val="0066048C"/>
    <w:rsid w:val="00661D4C"/>
    <w:rsid w:val="00665BEB"/>
    <w:rsid w:val="00666591"/>
    <w:rsid w:val="0067030E"/>
    <w:rsid w:val="0067071E"/>
    <w:rsid w:val="00670832"/>
    <w:rsid w:val="00670DA1"/>
    <w:rsid w:val="006733F0"/>
    <w:rsid w:val="00675264"/>
    <w:rsid w:val="00677269"/>
    <w:rsid w:val="00682383"/>
    <w:rsid w:val="00686921"/>
    <w:rsid w:val="00686A08"/>
    <w:rsid w:val="0068747B"/>
    <w:rsid w:val="006911A9"/>
    <w:rsid w:val="00692F78"/>
    <w:rsid w:val="006932A8"/>
    <w:rsid w:val="0069497D"/>
    <w:rsid w:val="00696E9B"/>
    <w:rsid w:val="006A0A0E"/>
    <w:rsid w:val="006A0CC0"/>
    <w:rsid w:val="006A39E1"/>
    <w:rsid w:val="006A41A3"/>
    <w:rsid w:val="006A7AB1"/>
    <w:rsid w:val="006B07C8"/>
    <w:rsid w:val="006B13F8"/>
    <w:rsid w:val="006B3EAC"/>
    <w:rsid w:val="006B601D"/>
    <w:rsid w:val="006B70D4"/>
    <w:rsid w:val="006C2B1F"/>
    <w:rsid w:val="006C2F75"/>
    <w:rsid w:val="006C44B6"/>
    <w:rsid w:val="006C7BAB"/>
    <w:rsid w:val="006D2C51"/>
    <w:rsid w:val="006D7C3C"/>
    <w:rsid w:val="006E2265"/>
    <w:rsid w:val="006E5945"/>
    <w:rsid w:val="006F286B"/>
    <w:rsid w:val="006F2E97"/>
    <w:rsid w:val="006F44B2"/>
    <w:rsid w:val="006F4B67"/>
    <w:rsid w:val="006F5212"/>
    <w:rsid w:val="006F77A9"/>
    <w:rsid w:val="00700E6A"/>
    <w:rsid w:val="00707B0F"/>
    <w:rsid w:val="00707CB0"/>
    <w:rsid w:val="007102BB"/>
    <w:rsid w:val="00710555"/>
    <w:rsid w:val="00711075"/>
    <w:rsid w:val="00712EDD"/>
    <w:rsid w:val="00714BA9"/>
    <w:rsid w:val="00717CE2"/>
    <w:rsid w:val="00723347"/>
    <w:rsid w:val="00727447"/>
    <w:rsid w:val="00727AB1"/>
    <w:rsid w:val="00731EC3"/>
    <w:rsid w:val="007324A6"/>
    <w:rsid w:val="007337E5"/>
    <w:rsid w:val="00733BDB"/>
    <w:rsid w:val="00733DCE"/>
    <w:rsid w:val="00735D71"/>
    <w:rsid w:val="007412F6"/>
    <w:rsid w:val="00745A6F"/>
    <w:rsid w:val="0074782A"/>
    <w:rsid w:val="00747B1F"/>
    <w:rsid w:val="0075092F"/>
    <w:rsid w:val="00754DA7"/>
    <w:rsid w:val="00756A42"/>
    <w:rsid w:val="00763003"/>
    <w:rsid w:val="00765961"/>
    <w:rsid w:val="007675CF"/>
    <w:rsid w:val="0077124B"/>
    <w:rsid w:val="007737D0"/>
    <w:rsid w:val="00774E1A"/>
    <w:rsid w:val="00775B09"/>
    <w:rsid w:val="00776F4C"/>
    <w:rsid w:val="00781185"/>
    <w:rsid w:val="00781661"/>
    <w:rsid w:val="0078356F"/>
    <w:rsid w:val="00786A1C"/>
    <w:rsid w:val="00791710"/>
    <w:rsid w:val="0079224C"/>
    <w:rsid w:val="00794466"/>
    <w:rsid w:val="00794A6B"/>
    <w:rsid w:val="0079648B"/>
    <w:rsid w:val="00796853"/>
    <w:rsid w:val="007A11E9"/>
    <w:rsid w:val="007A4292"/>
    <w:rsid w:val="007A5DB7"/>
    <w:rsid w:val="007A61FE"/>
    <w:rsid w:val="007A7796"/>
    <w:rsid w:val="007B00FC"/>
    <w:rsid w:val="007B0231"/>
    <w:rsid w:val="007B08DD"/>
    <w:rsid w:val="007B2823"/>
    <w:rsid w:val="007B485D"/>
    <w:rsid w:val="007B4AAE"/>
    <w:rsid w:val="007B6342"/>
    <w:rsid w:val="007B6D8A"/>
    <w:rsid w:val="007C1AAB"/>
    <w:rsid w:val="007C4560"/>
    <w:rsid w:val="007C7712"/>
    <w:rsid w:val="007C783A"/>
    <w:rsid w:val="007D47D7"/>
    <w:rsid w:val="007D58F9"/>
    <w:rsid w:val="007D7E62"/>
    <w:rsid w:val="007E42E0"/>
    <w:rsid w:val="007E53D4"/>
    <w:rsid w:val="007E63DD"/>
    <w:rsid w:val="007E69F5"/>
    <w:rsid w:val="007E7608"/>
    <w:rsid w:val="007F131B"/>
    <w:rsid w:val="007F34FD"/>
    <w:rsid w:val="007F4424"/>
    <w:rsid w:val="007F6A2A"/>
    <w:rsid w:val="008010D5"/>
    <w:rsid w:val="00801275"/>
    <w:rsid w:val="0080146B"/>
    <w:rsid w:val="00801E6B"/>
    <w:rsid w:val="008036C7"/>
    <w:rsid w:val="00804E0B"/>
    <w:rsid w:val="00804E5F"/>
    <w:rsid w:val="00806A2B"/>
    <w:rsid w:val="00806E09"/>
    <w:rsid w:val="00810EA5"/>
    <w:rsid w:val="00811697"/>
    <w:rsid w:val="00811C78"/>
    <w:rsid w:val="008140F2"/>
    <w:rsid w:val="008146EB"/>
    <w:rsid w:val="00815BC0"/>
    <w:rsid w:val="00817563"/>
    <w:rsid w:val="00821CBF"/>
    <w:rsid w:val="0082236F"/>
    <w:rsid w:val="00824E80"/>
    <w:rsid w:val="00825562"/>
    <w:rsid w:val="00830875"/>
    <w:rsid w:val="00831985"/>
    <w:rsid w:val="00833C27"/>
    <w:rsid w:val="0083417B"/>
    <w:rsid w:val="008351EB"/>
    <w:rsid w:val="00837F87"/>
    <w:rsid w:val="00841234"/>
    <w:rsid w:val="00844AD0"/>
    <w:rsid w:val="00846711"/>
    <w:rsid w:val="008469AF"/>
    <w:rsid w:val="008512FD"/>
    <w:rsid w:val="00851309"/>
    <w:rsid w:val="008517E0"/>
    <w:rsid w:val="00855B9B"/>
    <w:rsid w:val="0085647E"/>
    <w:rsid w:val="00860007"/>
    <w:rsid w:val="00860029"/>
    <w:rsid w:val="00860787"/>
    <w:rsid w:val="008608E8"/>
    <w:rsid w:val="00860F37"/>
    <w:rsid w:val="0086423B"/>
    <w:rsid w:val="00867781"/>
    <w:rsid w:val="00870467"/>
    <w:rsid w:val="00875611"/>
    <w:rsid w:val="00875B89"/>
    <w:rsid w:val="00876014"/>
    <w:rsid w:val="00880B09"/>
    <w:rsid w:val="00883176"/>
    <w:rsid w:val="00883BF1"/>
    <w:rsid w:val="00885B0B"/>
    <w:rsid w:val="008860EE"/>
    <w:rsid w:val="0088699F"/>
    <w:rsid w:val="008910B4"/>
    <w:rsid w:val="00891755"/>
    <w:rsid w:val="00894F02"/>
    <w:rsid w:val="008952C1"/>
    <w:rsid w:val="008A02F4"/>
    <w:rsid w:val="008A073A"/>
    <w:rsid w:val="008A17A0"/>
    <w:rsid w:val="008B0EFA"/>
    <w:rsid w:val="008B124B"/>
    <w:rsid w:val="008B371D"/>
    <w:rsid w:val="008B4238"/>
    <w:rsid w:val="008B54B5"/>
    <w:rsid w:val="008C0972"/>
    <w:rsid w:val="008C1E95"/>
    <w:rsid w:val="008C1F65"/>
    <w:rsid w:val="008C3C43"/>
    <w:rsid w:val="008C44B8"/>
    <w:rsid w:val="008C4D4F"/>
    <w:rsid w:val="008C5252"/>
    <w:rsid w:val="008D11B1"/>
    <w:rsid w:val="008D2B28"/>
    <w:rsid w:val="008D37CB"/>
    <w:rsid w:val="008D3890"/>
    <w:rsid w:val="008D41B2"/>
    <w:rsid w:val="008D44BB"/>
    <w:rsid w:val="008D6A98"/>
    <w:rsid w:val="008D7284"/>
    <w:rsid w:val="008E0837"/>
    <w:rsid w:val="008E0C03"/>
    <w:rsid w:val="008E3D54"/>
    <w:rsid w:val="008E509D"/>
    <w:rsid w:val="008F2AFD"/>
    <w:rsid w:val="008F2DA9"/>
    <w:rsid w:val="008F4F52"/>
    <w:rsid w:val="008F5EBC"/>
    <w:rsid w:val="008F700D"/>
    <w:rsid w:val="00902ADC"/>
    <w:rsid w:val="00903308"/>
    <w:rsid w:val="00903879"/>
    <w:rsid w:val="0090645D"/>
    <w:rsid w:val="00913009"/>
    <w:rsid w:val="00913098"/>
    <w:rsid w:val="00915161"/>
    <w:rsid w:val="0091636C"/>
    <w:rsid w:val="009178C2"/>
    <w:rsid w:val="009200E1"/>
    <w:rsid w:val="00923816"/>
    <w:rsid w:val="00924A85"/>
    <w:rsid w:val="009257EC"/>
    <w:rsid w:val="00925BA3"/>
    <w:rsid w:val="0092678C"/>
    <w:rsid w:val="00926FFA"/>
    <w:rsid w:val="0092721D"/>
    <w:rsid w:val="00931A79"/>
    <w:rsid w:val="009324D8"/>
    <w:rsid w:val="00932AB5"/>
    <w:rsid w:val="009345F7"/>
    <w:rsid w:val="00937F8B"/>
    <w:rsid w:val="00940F47"/>
    <w:rsid w:val="009430C1"/>
    <w:rsid w:val="00946C39"/>
    <w:rsid w:val="0095141C"/>
    <w:rsid w:val="00951B92"/>
    <w:rsid w:val="0095382A"/>
    <w:rsid w:val="00954666"/>
    <w:rsid w:val="00955A29"/>
    <w:rsid w:val="00956D29"/>
    <w:rsid w:val="009572B3"/>
    <w:rsid w:val="00957518"/>
    <w:rsid w:val="0096445E"/>
    <w:rsid w:val="00965A4D"/>
    <w:rsid w:val="00970235"/>
    <w:rsid w:val="00971272"/>
    <w:rsid w:val="009735C9"/>
    <w:rsid w:val="00974D08"/>
    <w:rsid w:val="00974FA6"/>
    <w:rsid w:val="00976602"/>
    <w:rsid w:val="00980B13"/>
    <w:rsid w:val="0098201F"/>
    <w:rsid w:val="00982673"/>
    <w:rsid w:val="0098509A"/>
    <w:rsid w:val="00985FC8"/>
    <w:rsid w:val="00987470"/>
    <w:rsid w:val="00987911"/>
    <w:rsid w:val="00996ECD"/>
    <w:rsid w:val="00997F32"/>
    <w:rsid w:val="009A1381"/>
    <w:rsid w:val="009A2C26"/>
    <w:rsid w:val="009A31F7"/>
    <w:rsid w:val="009A737D"/>
    <w:rsid w:val="009A7A19"/>
    <w:rsid w:val="009B3B47"/>
    <w:rsid w:val="009B7433"/>
    <w:rsid w:val="009C0CD5"/>
    <w:rsid w:val="009C3DC1"/>
    <w:rsid w:val="009C4D63"/>
    <w:rsid w:val="009C7DEA"/>
    <w:rsid w:val="009D4644"/>
    <w:rsid w:val="009D4FDF"/>
    <w:rsid w:val="009D52E3"/>
    <w:rsid w:val="009D5C06"/>
    <w:rsid w:val="009D5E2F"/>
    <w:rsid w:val="009E04E0"/>
    <w:rsid w:val="009E226B"/>
    <w:rsid w:val="009E6750"/>
    <w:rsid w:val="009E6CEC"/>
    <w:rsid w:val="009F49E3"/>
    <w:rsid w:val="009F5F06"/>
    <w:rsid w:val="00A0073C"/>
    <w:rsid w:val="00A00E18"/>
    <w:rsid w:val="00A01EB6"/>
    <w:rsid w:val="00A05300"/>
    <w:rsid w:val="00A06671"/>
    <w:rsid w:val="00A07448"/>
    <w:rsid w:val="00A10905"/>
    <w:rsid w:val="00A10CFE"/>
    <w:rsid w:val="00A1192C"/>
    <w:rsid w:val="00A12323"/>
    <w:rsid w:val="00A12C42"/>
    <w:rsid w:val="00A14850"/>
    <w:rsid w:val="00A203B7"/>
    <w:rsid w:val="00A21461"/>
    <w:rsid w:val="00A22A20"/>
    <w:rsid w:val="00A2487F"/>
    <w:rsid w:val="00A3048B"/>
    <w:rsid w:val="00A30831"/>
    <w:rsid w:val="00A30A11"/>
    <w:rsid w:val="00A31485"/>
    <w:rsid w:val="00A31933"/>
    <w:rsid w:val="00A3774F"/>
    <w:rsid w:val="00A37CA3"/>
    <w:rsid w:val="00A41402"/>
    <w:rsid w:val="00A41F93"/>
    <w:rsid w:val="00A4471C"/>
    <w:rsid w:val="00A46C60"/>
    <w:rsid w:val="00A47D8D"/>
    <w:rsid w:val="00A5048F"/>
    <w:rsid w:val="00A51C6E"/>
    <w:rsid w:val="00A5209D"/>
    <w:rsid w:val="00A619C5"/>
    <w:rsid w:val="00A63F8F"/>
    <w:rsid w:val="00A70E9C"/>
    <w:rsid w:val="00A71130"/>
    <w:rsid w:val="00A712D3"/>
    <w:rsid w:val="00A73209"/>
    <w:rsid w:val="00A737FA"/>
    <w:rsid w:val="00A74356"/>
    <w:rsid w:val="00A800FB"/>
    <w:rsid w:val="00A8032B"/>
    <w:rsid w:val="00A8178B"/>
    <w:rsid w:val="00A81C2B"/>
    <w:rsid w:val="00A84014"/>
    <w:rsid w:val="00A8553C"/>
    <w:rsid w:val="00A85E84"/>
    <w:rsid w:val="00A9102F"/>
    <w:rsid w:val="00A91F43"/>
    <w:rsid w:val="00A94846"/>
    <w:rsid w:val="00A95D1A"/>
    <w:rsid w:val="00A971BA"/>
    <w:rsid w:val="00A9762A"/>
    <w:rsid w:val="00A97F27"/>
    <w:rsid w:val="00AA0FCF"/>
    <w:rsid w:val="00AA188E"/>
    <w:rsid w:val="00AA345C"/>
    <w:rsid w:val="00AA3FCD"/>
    <w:rsid w:val="00AA4267"/>
    <w:rsid w:val="00AA5AA0"/>
    <w:rsid w:val="00AA5F7E"/>
    <w:rsid w:val="00AA6B9C"/>
    <w:rsid w:val="00AA7D85"/>
    <w:rsid w:val="00AB1C3E"/>
    <w:rsid w:val="00AB2415"/>
    <w:rsid w:val="00AB3FA5"/>
    <w:rsid w:val="00AB49F0"/>
    <w:rsid w:val="00AB51F4"/>
    <w:rsid w:val="00AB67EB"/>
    <w:rsid w:val="00AB6E8B"/>
    <w:rsid w:val="00AB7573"/>
    <w:rsid w:val="00AC012D"/>
    <w:rsid w:val="00AC20D3"/>
    <w:rsid w:val="00AC3ABA"/>
    <w:rsid w:val="00AC4AF7"/>
    <w:rsid w:val="00AC5CB3"/>
    <w:rsid w:val="00AC65D0"/>
    <w:rsid w:val="00AD4DFD"/>
    <w:rsid w:val="00AD595C"/>
    <w:rsid w:val="00AE07AD"/>
    <w:rsid w:val="00AE5688"/>
    <w:rsid w:val="00AE59C8"/>
    <w:rsid w:val="00AE5BC6"/>
    <w:rsid w:val="00AE6F09"/>
    <w:rsid w:val="00AE71EE"/>
    <w:rsid w:val="00AF3013"/>
    <w:rsid w:val="00AF43C6"/>
    <w:rsid w:val="00AF4ED6"/>
    <w:rsid w:val="00B000AD"/>
    <w:rsid w:val="00B029D4"/>
    <w:rsid w:val="00B0523F"/>
    <w:rsid w:val="00B059BB"/>
    <w:rsid w:val="00B0702E"/>
    <w:rsid w:val="00B13205"/>
    <w:rsid w:val="00B13225"/>
    <w:rsid w:val="00B149B3"/>
    <w:rsid w:val="00B15B93"/>
    <w:rsid w:val="00B17DCC"/>
    <w:rsid w:val="00B21032"/>
    <w:rsid w:val="00B258B8"/>
    <w:rsid w:val="00B31684"/>
    <w:rsid w:val="00B31DC9"/>
    <w:rsid w:val="00B31F3A"/>
    <w:rsid w:val="00B320C7"/>
    <w:rsid w:val="00B32AAD"/>
    <w:rsid w:val="00B33888"/>
    <w:rsid w:val="00B34A7D"/>
    <w:rsid w:val="00B35ED9"/>
    <w:rsid w:val="00B4159B"/>
    <w:rsid w:val="00B42EF3"/>
    <w:rsid w:val="00B43E20"/>
    <w:rsid w:val="00B44578"/>
    <w:rsid w:val="00B46594"/>
    <w:rsid w:val="00B52F1E"/>
    <w:rsid w:val="00B60DC6"/>
    <w:rsid w:val="00B62B3B"/>
    <w:rsid w:val="00B635DC"/>
    <w:rsid w:val="00B713BD"/>
    <w:rsid w:val="00B744DF"/>
    <w:rsid w:val="00B76A10"/>
    <w:rsid w:val="00B77434"/>
    <w:rsid w:val="00B806D8"/>
    <w:rsid w:val="00B82999"/>
    <w:rsid w:val="00B91897"/>
    <w:rsid w:val="00B948DA"/>
    <w:rsid w:val="00B94D4D"/>
    <w:rsid w:val="00BA0063"/>
    <w:rsid w:val="00BA2310"/>
    <w:rsid w:val="00BA3130"/>
    <w:rsid w:val="00BA31A3"/>
    <w:rsid w:val="00BA4366"/>
    <w:rsid w:val="00BA53B2"/>
    <w:rsid w:val="00BA7907"/>
    <w:rsid w:val="00BB2880"/>
    <w:rsid w:val="00BB4AD1"/>
    <w:rsid w:val="00BB6AA6"/>
    <w:rsid w:val="00BB7D3C"/>
    <w:rsid w:val="00BC03D6"/>
    <w:rsid w:val="00BC11CF"/>
    <w:rsid w:val="00BC3136"/>
    <w:rsid w:val="00BC38D9"/>
    <w:rsid w:val="00BC6678"/>
    <w:rsid w:val="00BD2005"/>
    <w:rsid w:val="00BD2139"/>
    <w:rsid w:val="00BD30C7"/>
    <w:rsid w:val="00BD30F1"/>
    <w:rsid w:val="00BD602C"/>
    <w:rsid w:val="00BD608C"/>
    <w:rsid w:val="00BD63DE"/>
    <w:rsid w:val="00BD6B4D"/>
    <w:rsid w:val="00BE0382"/>
    <w:rsid w:val="00BE3D9A"/>
    <w:rsid w:val="00BF2D28"/>
    <w:rsid w:val="00BF53A6"/>
    <w:rsid w:val="00BF55CD"/>
    <w:rsid w:val="00BF7715"/>
    <w:rsid w:val="00BF7E88"/>
    <w:rsid w:val="00C01973"/>
    <w:rsid w:val="00C079E3"/>
    <w:rsid w:val="00C13145"/>
    <w:rsid w:val="00C1344C"/>
    <w:rsid w:val="00C136D0"/>
    <w:rsid w:val="00C13788"/>
    <w:rsid w:val="00C140E9"/>
    <w:rsid w:val="00C201DF"/>
    <w:rsid w:val="00C2530F"/>
    <w:rsid w:val="00C2689D"/>
    <w:rsid w:val="00C26F0F"/>
    <w:rsid w:val="00C30096"/>
    <w:rsid w:val="00C327AB"/>
    <w:rsid w:val="00C34D83"/>
    <w:rsid w:val="00C35C9F"/>
    <w:rsid w:val="00C35D8E"/>
    <w:rsid w:val="00C405D6"/>
    <w:rsid w:val="00C4092E"/>
    <w:rsid w:val="00C42662"/>
    <w:rsid w:val="00C44F43"/>
    <w:rsid w:val="00C4793E"/>
    <w:rsid w:val="00C51C81"/>
    <w:rsid w:val="00C51EA4"/>
    <w:rsid w:val="00C522D2"/>
    <w:rsid w:val="00C52B43"/>
    <w:rsid w:val="00C538F9"/>
    <w:rsid w:val="00C54EDA"/>
    <w:rsid w:val="00C56123"/>
    <w:rsid w:val="00C561C6"/>
    <w:rsid w:val="00C56593"/>
    <w:rsid w:val="00C617E9"/>
    <w:rsid w:val="00C62158"/>
    <w:rsid w:val="00C626FF"/>
    <w:rsid w:val="00C63502"/>
    <w:rsid w:val="00C73C6E"/>
    <w:rsid w:val="00C7604A"/>
    <w:rsid w:val="00C76480"/>
    <w:rsid w:val="00C76AEB"/>
    <w:rsid w:val="00C77A68"/>
    <w:rsid w:val="00C9260D"/>
    <w:rsid w:val="00C96E6A"/>
    <w:rsid w:val="00CA0199"/>
    <w:rsid w:val="00CA06E8"/>
    <w:rsid w:val="00CA0961"/>
    <w:rsid w:val="00CA3EB4"/>
    <w:rsid w:val="00CA4995"/>
    <w:rsid w:val="00CA4D3F"/>
    <w:rsid w:val="00CA563F"/>
    <w:rsid w:val="00CA5C2C"/>
    <w:rsid w:val="00CB33AA"/>
    <w:rsid w:val="00CB34AF"/>
    <w:rsid w:val="00CB7619"/>
    <w:rsid w:val="00CC60B5"/>
    <w:rsid w:val="00CC6804"/>
    <w:rsid w:val="00CD677B"/>
    <w:rsid w:val="00CE6FD4"/>
    <w:rsid w:val="00CE6FEE"/>
    <w:rsid w:val="00CE7B86"/>
    <w:rsid w:val="00CF35B6"/>
    <w:rsid w:val="00CF4AB1"/>
    <w:rsid w:val="00D03834"/>
    <w:rsid w:val="00D06380"/>
    <w:rsid w:val="00D07CF5"/>
    <w:rsid w:val="00D10919"/>
    <w:rsid w:val="00D12103"/>
    <w:rsid w:val="00D1221B"/>
    <w:rsid w:val="00D13196"/>
    <w:rsid w:val="00D14987"/>
    <w:rsid w:val="00D1573E"/>
    <w:rsid w:val="00D168DA"/>
    <w:rsid w:val="00D17CC1"/>
    <w:rsid w:val="00D2162E"/>
    <w:rsid w:val="00D21BA8"/>
    <w:rsid w:val="00D23543"/>
    <w:rsid w:val="00D2368C"/>
    <w:rsid w:val="00D26E15"/>
    <w:rsid w:val="00D311E0"/>
    <w:rsid w:val="00D319E6"/>
    <w:rsid w:val="00D31A25"/>
    <w:rsid w:val="00D31F95"/>
    <w:rsid w:val="00D345EC"/>
    <w:rsid w:val="00D35EC7"/>
    <w:rsid w:val="00D3628A"/>
    <w:rsid w:val="00D36AA6"/>
    <w:rsid w:val="00D37FEF"/>
    <w:rsid w:val="00D43DC1"/>
    <w:rsid w:val="00D444D8"/>
    <w:rsid w:val="00D531A2"/>
    <w:rsid w:val="00D533A7"/>
    <w:rsid w:val="00D5573F"/>
    <w:rsid w:val="00D56D58"/>
    <w:rsid w:val="00D56F3A"/>
    <w:rsid w:val="00D57DAE"/>
    <w:rsid w:val="00D57E0E"/>
    <w:rsid w:val="00D700C3"/>
    <w:rsid w:val="00D719F1"/>
    <w:rsid w:val="00D74CEF"/>
    <w:rsid w:val="00D75B5F"/>
    <w:rsid w:val="00D7764F"/>
    <w:rsid w:val="00D77B64"/>
    <w:rsid w:val="00D77D9E"/>
    <w:rsid w:val="00D80B64"/>
    <w:rsid w:val="00D82863"/>
    <w:rsid w:val="00D83C74"/>
    <w:rsid w:val="00D84650"/>
    <w:rsid w:val="00D869DA"/>
    <w:rsid w:val="00D87C46"/>
    <w:rsid w:val="00D87F06"/>
    <w:rsid w:val="00D9224A"/>
    <w:rsid w:val="00D9274F"/>
    <w:rsid w:val="00D92B4C"/>
    <w:rsid w:val="00D94F65"/>
    <w:rsid w:val="00DA1E06"/>
    <w:rsid w:val="00DA5411"/>
    <w:rsid w:val="00DA5992"/>
    <w:rsid w:val="00DA5DBA"/>
    <w:rsid w:val="00DB00DA"/>
    <w:rsid w:val="00DB216E"/>
    <w:rsid w:val="00DB431C"/>
    <w:rsid w:val="00DB467F"/>
    <w:rsid w:val="00DB471C"/>
    <w:rsid w:val="00DC05BF"/>
    <w:rsid w:val="00DC4319"/>
    <w:rsid w:val="00DC4385"/>
    <w:rsid w:val="00DC5075"/>
    <w:rsid w:val="00DC7132"/>
    <w:rsid w:val="00DD1B37"/>
    <w:rsid w:val="00DD2F6D"/>
    <w:rsid w:val="00DD4FF8"/>
    <w:rsid w:val="00DD5069"/>
    <w:rsid w:val="00DE3B83"/>
    <w:rsid w:val="00DE52F4"/>
    <w:rsid w:val="00DE5E5A"/>
    <w:rsid w:val="00DE6C89"/>
    <w:rsid w:val="00DE72D9"/>
    <w:rsid w:val="00DE74C1"/>
    <w:rsid w:val="00DF0379"/>
    <w:rsid w:val="00DF52FB"/>
    <w:rsid w:val="00DF5565"/>
    <w:rsid w:val="00E00AA8"/>
    <w:rsid w:val="00E02FC3"/>
    <w:rsid w:val="00E05858"/>
    <w:rsid w:val="00E0675D"/>
    <w:rsid w:val="00E06BBA"/>
    <w:rsid w:val="00E07EA3"/>
    <w:rsid w:val="00E12572"/>
    <w:rsid w:val="00E12727"/>
    <w:rsid w:val="00E13C3E"/>
    <w:rsid w:val="00E1595A"/>
    <w:rsid w:val="00E15B60"/>
    <w:rsid w:val="00E20F6D"/>
    <w:rsid w:val="00E226FD"/>
    <w:rsid w:val="00E25556"/>
    <w:rsid w:val="00E27997"/>
    <w:rsid w:val="00E31C52"/>
    <w:rsid w:val="00E32CC2"/>
    <w:rsid w:val="00E34033"/>
    <w:rsid w:val="00E359A9"/>
    <w:rsid w:val="00E36A63"/>
    <w:rsid w:val="00E370ED"/>
    <w:rsid w:val="00E41F13"/>
    <w:rsid w:val="00E430DD"/>
    <w:rsid w:val="00E4371A"/>
    <w:rsid w:val="00E43BC8"/>
    <w:rsid w:val="00E44446"/>
    <w:rsid w:val="00E45EB0"/>
    <w:rsid w:val="00E51323"/>
    <w:rsid w:val="00E62376"/>
    <w:rsid w:val="00E62393"/>
    <w:rsid w:val="00E62821"/>
    <w:rsid w:val="00E632DA"/>
    <w:rsid w:val="00E65D45"/>
    <w:rsid w:val="00E67261"/>
    <w:rsid w:val="00E6751E"/>
    <w:rsid w:val="00E71010"/>
    <w:rsid w:val="00E730EC"/>
    <w:rsid w:val="00E815C6"/>
    <w:rsid w:val="00E83D6D"/>
    <w:rsid w:val="00E841BF"/>
    <w:rsid w:val="00E842ED"/>
    <w:rsid w:val="00E8452D"/>
    <w:rsid w:val="00E86A1A"/>
    <w:rsid w:val="00E87CB7"/>
    <w:rsid w:val="00E915C6"/>
    <w:rsid w:val="00E91CA1"/>
    <w:rsid w:val="00E925A4"/>
    <w:rsid w:val="00E9325F"/>
    <w:rsid w:val="00EA012D"/>
    <w:rsid w:val="00EA0D69"/>
    <w:rsid w:val="00EA101E"/>
    <w:rsid w:val="00EA6503"/>
    <w:rsid w:val="00EB05CB"/>
    <w:rsid w:val="00EB0D5B"/>
    <w:rsid w:val="00EB29E2"/>
    <w:rsid w:val="00EB2C8F"/>
    <w:rsid w:val="00EB2DE6"/>
    <w:rsid w:val="00EC15FE"/>
    <w:rsid w:val="00EC1ABC"/>
    <w:rsid w:val="00EC3409"/>
    <w:rsid w:val="00EC6CF8"/>
    <w:rsid w:val="00ED1D84"/>
    <w:rsid w:val="00ED3A31"/>
    <w:rsid w:val="00ED44CA"/>
    <w:rsid w:val="00ED4C08"/>
    <w:rsid w:val="00ED749F"/>
    <w:rsid w:val="00ED7D6F"/>
    <w:rsid w:val="00EE115E"/>
    <w:rsid w:val="00EE189D"/>
    <w:rsid w:val="00EE4E89"/>
    <w:rsid w:val="00EF1F7A"/>
    <w:rsid w:val="00EF42A1"/>
    <w:rsid w:val="00EF5332"/>
    <w:rsid w:val="00EF5818"/>
    <w:rsid w:val="00F00B7D"/>
    <w:rsid w:val="00F00C30"/>
    <w:rsid w:val="00F00E7F"/>
    <w:rsid w:val="00F0142C"/>
    <w:rsid w:val="00F0155B"/>
    <w:rsid w:val="00F0451D"/>
    <w:rsid w:val="00F06A27"/>
    <w:rsid w:val="00F128AF"/>
    <w:rsid w:val="00F13CB9"/>
    <w:rsid w:val="00F170E0"/>
    <w:rsid w:val="00F172BF"/>
    <w:rsid w:val="00F24F2C"/>
    <w:rsid w:val="00F30F3C"/>
    <w:rsid w:val="00F31E7C"/>
    <w:rsid w:val="00F34AFD"/>
    <w:rsid w:val="00F34F94"/>
    <w:rsid w:val="00F368D5"/>
    <w:rsid w:val="00F37A7F"/>
    <w:rsid w:val="00F423C7"/>
    <w:rsid w:val="00F42A52"/>
    <w:rsid w:val="00F44645"/>
    <w:rsid w:val="00F45C7B"/>
    <w:rsid w:val="00F462CB"/>
    <w:rsid w:val="00F464D2"/>
    <w:rsid w:val="00F46516"/>
    <w:rsid w:val="00F510F0"/>
    <w:rsid w:val="00F51289"/>
    <w:rsid w:val="00F547B3"/>
    <w:rsid w:val="00F5496B"/>
    <w:rsid w:val="00F56DA8"/>
    <w:rsid w:val="00F60C0B"/>
    <w:rsid w:val="00F62541"/>
    <w:rsid w:val="00F6630A"/>
    <w:rsid w:val="00F667D2"/>
    <w:rsid w:val="00F6689A"/>
    <w:rsid w:val="00F71B91"/>
    <w:rsid w:val="00F72524"/>
    <w:rsid w:val="00F75A66"/>
    <w:rsid w:val="00F81F5F"/>
    <w:rsid w:val="00F8219C"/>
    <w:rsid w:val="00F8350A"/>
    <w:rsid w:val="00F84CCD"/>
    <w:rsid w:val="00F85C25"/>
    <w:rsid w:val="00F913DD"/>
    <w:rsid w:val="00F917B9"/>
    <w:rsid w:val="00FA05ED"/>
    <w:rsid w:val="00FA1399"/>
    <w:rsid w:val="00FA190D"/>
    <w:rsid w:val="00FA3A15"/>
    <w:rsid w:val="00FA7FB9"/>
    <w:rsid w:val="00FB15F0"/>
    <w:rsid w:val="00FB3705"/>
    <w:rsid w:val="00FB55E1"/>
    <w:rsid w:val="00FB68BB"/>
    <w:rsid w:val="00FB7363"/>
    <w:rsid w:val="00FC263C"/>
    <w:rsid w:val="00FC4107"/>
    <w:rsid w:val="00FC4DC0"/>
    <w:rsid w:val="00FC6622"/>
    <w:rsid w:val="00FC7817"/>
    <w:rsid w:val="00FD024D"/>
    <w:rsid w:val="00FD5875"/>
    <w:rsid w:val="00FD768A"/>
    <w:rsid w:val="00FE088B"/>
    <w:rsid w:val="00FE18CE"/>
    <w:rsid w:val="00FE20A2"/>
    <w:rsid w:val="00FE42D5"/>
    <w:rsid w:val="00FE51EB"/>
    <w:rsid w:val="00FE6032"/>
    <w:rsid w:val="00FE6E6D"/>
    <w:rsid w:val="00FF0593"/>
    <w:rsid w:val="00FF12CA"/>
    <w:rsid w:val="00FF2F56"/>
    <w:rsid w:val="00FF3CE3"/>
    <w:rsid w:val="00FF478A"/>
    <w:rsid w:val="051174DC"/>
    <w:rsid w:val="062F59AA"/>
    <w:rsid w:val="0817778D"/>
    <w:rsid w:val="0822685D"/>
    <w:rsid w:val="083818C6"/>
    <w:rsid w:val="0B1735CD"/>
    <w:rsid w:val="0C992E66"/>
    <w:rsid w:val="0D206ADC"/>
    <w:rsid w:val="0D4855DC"/>
    <w:rsid w:val="0E4C0D05"/>
    <w:rsid w:val="0E846235"/>
    <w:rsid w:val="0F57435D"/>
    <w:rsid w:val="10710D74"/>
    <w:rsid w:val="10BC218D"/>
    <w:rsid w:val="11DF27D1"/>
    <w:rsid w:val="11E078E4"/>
    <w:rsid w:val="121B764F"/>
    <w:rsid w:val="124F7DAD"/>
    <w:rsid w:val="13AB136F"/>
    <w:rsid w:val="1451270C"/>
    <w:rsid w:val="14521776"/>
    <w:rsid w:val="147C6004"/>
    <w:rsid w:val="16764AFF"/>
    <w:rsid w:val="17254E91"/>
    <w:rsid w:val="19172829"/>
    <w:rsid w:val="194E4F0F"/>
    <w:rsid w:val="1A3657A6"/>
    <w:rsid w:val="1BD030DF"/>
    <w:rsid w:val="1C194AE8"/>
    <w:rsid w:val="1C491350"/>
    <w:rsid w:val="1D0D3533"/>
    <w:rsid w:val="1E075207"/>
    <w:rsid w:val="1E3F6A78"/>
    <w:rsid w:val="1E935BAD"/>
    <w:rsid w:val="1EF85BDC"/>
    <w:rsid w:val="1F9C6311"/>
    <w:rsid w:val="1FA60DD7"/>
    <w:rsid w:val="20890A53"/>
    <w:rsid w:val="22553740"/>
    <w:rsid w:val="24D47306"/>
    <w:rsid w:val="24EE130C"/>
    <w:rsid w:val="25012D6C"/>
    <w:rsid w:val="255676EF"/>
    <w:rsid w:val="27CD4BAE"/>
    <w:rsid w:val="2961623A"/>
    <w:rsid w:val="2A8D26BB"/>
    <w:rsid w:val="2B425003"/>
    <w:rsid w:val="2C1E3C6A"/>
    <w:rsid w:val="2C2C125C"/>
    <w:rsid w:val="2C3326B9"/>
    <w:rsid w:val="2C76110E"/>
    <w:rsid w:val="2C9C23B8"/>
    <w:rsid w:val="2CC1076E"/>
    <w:rsid w:val="2D7769BD"/>
    <w:rsid w:val="2E17071E"/>
    <w:rsid w:val="2ED81174"/>
    <w:rsid w:val="2EE31FF3"/>
    <w:rsid w:val="30760FCC"/>
    <w:rsid w:val="32DA3C5A"/>
    <w:rsid w:val="32DC55BA"/>
    <w:rsid w:val="331B765D"/>
    <w:rsid w:val="346E5E0F"/>
    <w:rsid w:val="347C4F14"/>
    <w:rsid w:val="36AA1FB1"/>
    <w:rsid w:val="37B67995"/>
    <w:rsid w:val="39CF6A29"/>
    <w:rsid w:val="3A0C3554"/>
    <w:rsid w:val="3AE57B9E"/>
    <w:rsid w:val="3AFC74DE"/>
    <w:rsid w:val="3BAC12DA"/>
    <w:rsid w:val="3BCA7E24"/>
    <w:rsid w:val="3BFC3493"/>
    <w:rsid w:val="3CEB0E12"/>
    <w:rsid w:val="3D5660DF"/>
    <w:rsid w:val="3E8A0502"/>
    <w:rsid w:val="3FD6873B"/>
    <w:rsid w:val="3FF3076A"/>
    <w:rsid w:val="404C1170"/>
    <w:rsid w:val="40F75EF9"/>
    <w:rsid w:val="40FD6220"/>
    <w:rsid w:val="41A655A9"/>
    <w:rsid w:val="41F368AC"/>
    <w:rsid w:val="427D1648"/>
    <w:rsid w:val="42992203"/>
    <w:rsid w:val="42E20186"/>
    <w:rsid w:val="44B00772"/>
    <w:rsid w:val="490E5A67"/>
    <w:rsid w:val="493A4AAE"/>
    <w:rsid w:val="49BA1D04"/>
    <w:rsid w:val="4A98641A"/>
    <w:rsid w:val="4AD83CB8"/>
    <w:rsid w:val="4D4C34C7"/>
    <w:rsid w:val="4E725CD8"/>
    <w:rsid w:val="4E814D9B"/>
    <w:rsid w:val="4F764366"/>
    <w:rsid w:val="52481FEA"/>
    <w:rsid w:val="53937294"/>
    <w:rsid w:val="54581483"/>
    <w:rsid w:val="547C33CE"/>
    <w:rsid w:val="55F10680"/>
    <w:rsid w:val="569110DA"/>
    <w:rsid w:val="569B6EDB"/>
    <w:rsid w:val="57985811"/>
    <w:rsid w:val="57EF6381"/>
    <w:rsid w:val="582A546F"/>
    <w:rsid w:val="5B6D0D13"/>
    <w:rsid w:val="5B892397"/>
    <w:rsid w:val="5C2C0458"/>
    <w:rsid w:val="5D0E05B6"/>
    <w:rsid w:val="5F8B75CB"/>
    <w:rsid w:val="5FBB4BE1"/>
    <w:rsid w:val="6098175A"/>
    <w:rsid w:val="60D32ED2"/>
    <w:rsid w:val="620D4BAF"/>
    <w:rsid w:val="658B0713"/>
    <w:rsid w:val="65F43E3F"/>
    <w:rsid w:val="668F652E"/>
    <w:rsid w:val="67D23610"/>
    <w:rsid w:val="68227BAA"/>
    <w:rsid w:val="69CA064C"/>
    <w:rsid w:val="69F05C67"/>
    <w:rsid w:val="6A9B71F6"/>
    <w:rsid w:val="6AE32E1B"/>
    <w:rsid w:val="6B482BE2"/>
    <w:rsid w:val="6B63067C"/>
    <w:rsid w:val="6DA3557A"/>
    <w:rsid w:val="6DC17BB2"/>
    <w:rsid w:val="6E2062DB"/>
    <w:rsid w:val="6E6223E7"/>
    <w:rsid w:val="6F545612"/>
    <w:rsid w:val="6F5C6C7D"/>
    <w:rsid w:val="6FFC69A7"/>
    <w:rsid w:val="72C37B09"/>
    <w:rsid w:val="7357222B"/>
    <w:rsid w:val="739791D7"/>
    <w:rsid w:val="73EB44C0"/>
    <w:rsid w:val="74382DA2"/>
    <w:rsid w:val="744D4DE6"/>
    <w:rsid w:val="747F58E7"/>
    <w:rsid w:val="749654C4"/>
    <w:rsid w:val="780802FA"/>
    <w:rsid w:val="787B63C5"/>
    <w:rsid w:val="7A491436"/>
    <w:rsid w:val="7B256B32"/>
    <w:rsid w:val="7B6FC0EF"/>
    <w:rsid w:val="7C02143A"/>
    <w:rsid w:val="7DAB141B"/>
    <w:rsid w:val="7EBB435B"/>
    <w:rsid w:val="7F925548"/>
    <w:rsid w:val="7FDF1963"/>
    <w:rsid w:val="E9DF813A"/>
    <w:rsid w:val="EF7FF6B9"/>
    <w:rsid w:val="FDFD10DA"/>
    <w:rsid w:val="FFB7E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9"/>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4"/>
    <w:qFormat/>
    <w:uiPriority w:val="0"/>
    <w:pPr>
      <w:tabs>
        <w:tab w:val="left" w:pos="567"/>
      </w:tabs>
      <w:spacing w:before="120" w:line="22" w:lineRule="atLeast"/>
    </w:pPr>
    <w:rPr>
      <w:rFonts w:ascii="宋体" w:hAnsi="宋体"/>
      <w:sz w:val="24"/>
    </w:rPr>
  </w:style>
  <w:style w:type="paragraph" w:styleId="6">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link w:val="73"/>
    <w:qFormat/>
    <w:uiPriority w:val="99"/>
    <w:pPr>
      <w:spacing w:after="120"/>
    </w:pPr>
    <w:rPr>
      <w:sz w:val="16"/>
      <w:szCs w:val="16"/>
    </w:rPr>
  </w:style>
  <w:style w:type="paragraph" w:styleId="18">
    <w:name w:val="Body Text Indent"/>
    <w:basedOn w:val="1"/>
    <w:link w:val="75"/>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6"/>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7"/>
    <w:qFormat/>
    <w:uiPriority w:val="99"/>
    <w:pPr>
      <w:ind w:left="100" w:leftChars="2500"/>
    </w:pPr>
    <w:rPr>
      <w:rFonts w:ascii="仿宋_GB2312" w:hAnsi="宋体" w:eastAsia="仿宋_GB2312"/>
      <w:color w:val="000000"/>
      <w:sz w:val="24"/>
    </w:rPr>
  </w:style>
  <w:style w:type="paragraph" w:styleId="26">
    <w:name w:val="Body Text Indent 2"/>
    <w:basedOn w:val="1"/>
    <w:link w:val="78"/>
    <w:qFormat/>
    <w:uiPriority w:val="0"/>
    <w:pPr>
      <w:spacing w:line="360" w:lineRule="auto"/>
      <w:ind w:firstLine="560" w:firstLineChars="200"/>
    </w:pPr>
    <w:rPr>
      <w:rFonts w:ascii="宋体" w:hAnsi="宋体" w:eastAsia="仿宋_GB2312" w:cs="宋体"/>
      <w:sz w:val="28"/>
      <w:szCs w:val="28"/>
    </w:rPr>
  </w:style>
  <w:style w:type="paragraph" w:styleId="27">
    <w:name w:val="Balloon Text"/>
    <w:basedOn w:val="1"/>
    <w:link w:val="79"/>
    <w:qFormat/>
    <w:uiPriority w:val="99"/>
    <w:rPr>
      <w:sz w:val="18"/>
      <w:szCs w:val="18"/>
    </w:rPr>
  </w:style>
  <w:style w:type="paragraph" w:styleId="28">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unhideWhenUsed/>
    <w:qFormat/>
    <w:uiPriority w:val="0"/>
    <w:pPr>
      <w:ind w:left="200" w:hanging="200" w:hangingChars="200"/>
      <w:contextualSpacing/>
    </w:pPr>
  </w:style>
  <w:style w:type="paragraph" w:styleId="33">
    <w:name w:val="footnote text"/>
    <w:basedOn w:val="1"/>
    <w:link w:val="269"/>
    <w:qFormat/>
    <w:uiPriority w:val="0"/>
    <w:pPr>
      <w:suppressAutoHyphens/>
      <w:snapToGrid w:val="0"/>
      <w:jc w:val="left"/>
    </w:pPr>
    <w:rPr>
      <w:rFonts w:ascii="Calibri" w:hAnsi="Calibri" w:eastAsia="等线"/>
      <w:sz w:val="18"/>
      <w:szCs w:val="18"/>
    </w:rPr>
  </w:style>
  <w:style w:type="paragraph" w:styleId="34">
    <w:name w:val="toc 6"/>
    <w:basedOn w:val="1"/>
    <w:next w:val="1"/>
    <w:qFormat/>
    <w:uiPriority w:val="0"/>
    <w:pPr>
      <w:ind w:left="2100" w:leftChars="1000"/>
    </w:pPr>
  </w:style>
  <w:style w:type="paragraph" w:styleId="35">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0"/>
    <w:pPr>
      <w:spacing w:line="360" w:lineRule="auto"/>
      <w:ind w:left="840" w:hanging="420"/>
    </w:pPr>
    <w:rPr>
      <w:kern w:val="0"/>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72"/>
    <w:unhideWhenUsed/>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4"/>
    <w:qFormat/>
    <w:uiPriority w:val="0"/>
    <w:pPr>
      <w:jc w:val="center"/>
      <w:outlineLvl w:val="0"/>
    </w:pPr>
    <w:rPr>
      <w:b/>
      <w:sz w:val="32"/>
      <w:szCs w:val="20"/>
    </w:rPr>
  </w:style>
  <w:style w:type="paragraph" w:styleId="44">
    <w:name w:val="annotation subject"/>
    <w:basedOn w:val="16"/>
    <w:next w:val="16"/>
    <w:link w:val="85"/>
    <w:qFormat/>
    <w:uiPriority w:val="99"/>
    <w:rPr>
      <w:b/>
      <w:bCs/>
    </w:rPr>
  </w:style>
  <w:style w:type="paragraph" w:styleId="45">
    <w:name w:val="Body Text First Indent"/>
    <w:basedOn w:val="2"/>
    <w:link w:val="266"/>
    <w:unhideWhenUsed/>
    <w:qFormat/>
    <w:uiPriority w:val="0"/>
    <w:pPr>
      <w:spacing w:before="0" w:after="120" w:line="276" w:lineRule="auto"/>
    </w:pPr>
    <w:rPr>
      <w:rFonts w:ascii="Times New Roman" w:hAnsi="Times New Roman"/>
      <w:sz w:val="21"/>
    </w:rPr>
  </w:style>
  <w:style w:type="paragraph" w:styleId="46">
    <w:name w:val="Body Text First Indent 2"/>
    <w:basedOn w:val="18"/>
    <w:link w:val="87"/>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styleId="58">
    <w:name w:val="footnote reference"/>
    <w:unhideWhenUsed/>
    <w:qFormat/>
    <w:uiPriority w:val="0"/>
    <w:rPr>
      <w:vertAlign w:val="superscript"/>
    </w:rPr>
  </w:style>
  <w:style w:type="paragraph" w:customStyle="1" w:styleId="59">
    <w:name w:val="1"/>
    <w:link w:val="201"/>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60">
    <w:name w:val="List Paragraph1"/>
    <w:basedOn w:val="1"/>
    <w:qFormat/>
    <w:uiPriority w:val="0"/>
    <w:pPr>
      <w:ind w:firstLine="420" w:firstLineChars="200"/>
    </w:pPr>
    <w:rPr>
      <w:rFonts w:ascii="Calibri" w:hAnsi="Calibri"/>
      <w:szCs w:val="22"/>
    </w:rPr>
  </w:style>
  <w:style w:type="character" w:customStyle="1" w:styleId="61">
    <w:name w:val="标题 1 字符"/>
    <w:link w:val="3"/>
    <w:qFormat/>
    <w:uiPriority w:val="0"/>
    <w:rPr>
      <w:rFonts w:ascii="宋体"/>
      <w:b/>
      <w:kern w:val="44"/>
      <w:sz w:val="32"/>
    </w:rPr>
  </w:style>
  <w:style w:type="character" w:customStyle="1" w:styleId="62">
    <w:name w:val="标题 2 字符"/>
    <w:link w:val="4"/>
    <w:qFormat/>
    <w:uiPriority w:val="0"/>
    <w:rPr>
      <w:rFonts w:ascii="Arial" w:hAnsi="Arial" w:eastAsia="黑体"/>
      <w:b/>
      <w:sz w:val="30"/>
      <w:lang w:val="en-US" w:eastAsia="zh-CN" w:bidi="ar-SA"/>
    </w:rPr>
  </w:style>
  <w:style w:type="character" w:customStyle="1" w:styleId="63">
    <w:name w:val="正文缩进 字符"/>
    <w:link w:val="6"/>
    <w:qFormat/>
    <w:uiPriority w:val="0"/>
    <w:rPr>
      <w:rFonts w:ascii="宋体" w:eastAsia="宋体"/>
      <w:kern w:val="2"/>
      <w:sz w:val="24"/>
      <w:szCs w:val="24"/>
      <w:lang w:val="en-US" w:eastAsia="zh-CN" w:bidi="ar-SA"/>
    </w:rPr>
  </w:style>
  <w:style w:type="character" w:customStyle="1" w:styleId="64">
    <w:name w:val="标题 3 字符"/>
    <w:link w:val="5"/>
    <w:qFormat/>
    <w:uiPriority w:val="0"/>
    <w:rPr>
      <w:rFonts w:ascii="宋体" w:eastAsia="宋体"/>
      <w:b/>
      <w:sz w:val="24"/>
      <w:u w:val="single"/>
      <w:lang w:val="en-US" w:eastAsia="zh-CN" w:bidi="ar-SA"/>
    </w:rPr>
  </w:style>
  <w:style w:type="character" w:customStyle="1" w:styleId="65">
    <w:name w:val="标题 4 字符"/>
    <w:link w:val="7"/>
    <w:qFormat/>
    <w:uiPriority w:val="0"/>
    <w:rPr>
      <w:rFonts w:ascii="Arial" w:hAnsi="Arial" w:eastAsia="黑体"/>
      <w:b/>
      <w:sz w:val="28"/>
    </w:rPr>
  </w:style>
  <w:style w:type="character" w:customStyle="1" w:styleId="66">
    <w:name w:val="标题 5 字符"/>
    <w:link w:val="8"/>
    <w:qFormat/>
    <w:uiPriority w:val="0"/>
    <w:rPr>
      <w:b/>
      <w:sz w:val="28"/>
    </w:rPr>
  </w:style>
  <w:style w:type="character" w:customStyle="1" w:styleId="67">
    <w:name w:val="标题 6 字符"/>
    <w:link w:val="9"/>
    <w:qFormat/>
    <w:uiPriority w:val="0"/>
    <w:rPr>
      <w:rFonts w:ascii="Arial" w:hAnsi="Arial" w:eastAsia="黑体"/>
      <w:b/>
      <w:sz w:val="24"/>
    </w:rPr>
  </w:style>
  <w:style w:type="character" w:customStyle="1" w:styleId="68">
    <w:name w:val="标题 7 字符"/>
    <w:link w:val="10"/>
    <w:qFormat/>
    <w:uiPriority w:val="0"/>
    <w:rPr>
      <w:b/>
      <w:sz w:val="24"/>
    </w:rPr>
  </w:style>
  <w:style w:type="character" w:customStyle="1" w:styleId="69">
    <w:name w:val="标题 8 字符"/>
    <w:link w:val="11"/>
    <w:qFormat/>
    <w:uiPriority w:val="0"/>
    <w:rPr>
      <w:rFonts w:ascii="Arial" w:hAnsi="Arial" w:eastAsia="黑体"/>
      <w:sz w:val="24"/>
    </w:rPr>
  </w:style>
  <w:style w:type="character" w:customStyle="1" w:styleId="70">
    <w:name w:val="标题 9 字符"/>
    <w:link w:val="12"/>
    <w:qFormat/>
    <w:uiPriority w:val="0"/>
    <w:rPr>
      <w:rFonts w:ascii="Arial" w:hAnsi="Arial" w:eastAsia="黑体"/>
      <w:sz w:val="21"/>
    </w:rPr>
  </w:style>
  <w:style w:type="character" w:customStyle="1" w:styleId="71">
    <w:name w:val="文档结构图 字符"/>
    <w:link w:val="15"/>
    <w:qFormat/>
    <w:uiPriority w:val="0"/>
    <w:rPr>
      <w:kern w:val="2"/>
      <w:sz w:val="21"/>
      <w:szCs w:val="24"/>
      <w:shd w:val="clear" w:color="auto" w:fill="000080"/>
    </w:rPr>
  </w:style>
  <w:style w:type="character" w:customStyle="1" w:styleId="72">
    <w:name w:val="批注文字 字符1"/>
    <w:link w:val="16"/>
    <w:qFormat/>
    <w:uiPriority w:val="99"/>
    <w:rPr>
      <w:kern w:val="2"/>
      <w:sz w:val="21"/>
      <w:szCs w:val="24"/>
    </w:rPr>
  </w:style>
  <w:style w:type="character" w:customStyle="1" w:styleId="73">
    <w:name w:val="正文文本 3 字符"/>
    <w:link w:val="17"/>
    <w:qFormat/>
    <w:uiPriority w:val="0"/>
    <w:rPr>
      <w:kern w:val="2"/>
      <w:sz w:val="16"/>
      <w:szCs w:val="16"/>
    </w:rPr>
  </w:style>
  <w:style w:type="character" w:customStyle="1" w:styleId="74">
    <w:name w:val="正文文本 字符"/>
    <w:link w:val="2"/>
    <w:qFormat/>
    <w:uiPriority w:val="99"/>
    <w:rPr>
      <w:rFonts w:ascii="宋体" w:hAnsi="宋体"/>
      <w:kern w:val="2"/>
      <w:sz w:val="24"/>
      <w:szCs w:val="24"/>
    </w:rPr>
  </w:style>
  <w:style w:type="character" w:customStyle="1" w:styleId="75">
    <w:name w:val="正文文本缩进 字符"/>
    <w:link w:val="18"/>
    <w:qFormat/>
    <w:uiPriority w:val="0"/>
    <w:rPr>
      <w:rFonts w:eastAsia="宋体"/>
      <w:kern w:val="2"/>
      <w:sz w:val="24"/>
      <w:szCs w:val="24"/>
      <w:lang w:val="en-US" w:eastAsia="zh-CN" w:bidi="ar-SA"/>
    </w:rPr>
  </w:style>
  <w:style w:type="character" w:customStyle="1" w:styleId="76">
    <w:name w:val="纯文本 字符2"/>
    <w:link w:val="23"/>
    <w:qFormat/>
    <w:uiPriority w:val="0"/>
    <w:rPr>
      <w:rFonts w:hint="eastAsia" w:ascii="宋体" w:hAnsi="Courier New" w:eastAsia="宋体" w:cs="宋体"/>
      <w:kern w:val="2"/>
      <w:sz w:val="21"/>
    </w:rPr>
  </w:style>
  <w:style w:type="character" w:customStyle="1" w:styleId="77">
    <w:name w:val="日期 字符"/>
    <w:link w:val="25"/>
    <w:qFormat/>
    <w:uiPriority w:val="99"/>
    <w:rPr>
      <w:rFonts w:ascii="仿宋_GB2312" w:hAnsi="宋体" w:eastAsia="仿宋_GB2312"/>
      <w:color w:val="000000"/>
      <w:kern w:val="2"/>
      <w:sz w:val="24"/>
      <w:szCs w:val="24"/>
    </w:rPr>
  </w:style>
  <w:style w:type="character" w:customStyle="1" w:styleId="78">
    <w:name w:val="正文文本缩进 2 字符"/>
    <w:link w:val="26"/>
    <w:qFormat/>
    <w:uiPriority w:val="0"/>
    <w:rPr>
      <w:rFonts w:ascii="宋体" w:hAnsi="宋体" w:eastAsia="仿宋_GB2312" w:cs="宋体"/>
      <w:kern w:val="2"/>
      <w:sz w:val="28"/>
      <w:szCs w:val="28"/>
    </w:rPr>
  </w:style>
  <w:style w:type="character" w:customStyle="1" w:styleId="79">
    <w:name w:val="批注框文本 字符1"/>
    <w:link w:val="27"/>
    <w:qFormat/>
    <w:uiPriority w:val="99"/>
    <w:rPr>
      <w:kern w:val="2"/>
      <w:sz w:val="18"/>
      <w:szCs w:val="18"/>
    </w:rPr>
  </w:style>
  <w:style w:type="character" w:customStyle="1" w:styleId="80">
    <w:name w:val="页脚 字符1"/>
    <w:link w:val="28"/>
    <w:qFormat/>
    <w:uiPriority w:val="99"/>
    <w:rPr>
      <w:rFonts w:ascii="宋体" w:eastAsia="宋体"/>
      <w:sz w:val="18"/>
      <w:lang w:val="en-US" w:eastAsia="zh-CN" w:bidi="ar-SA"/>
    </w:rPr>
  </w:style>
  <w:style w:type="character" w:customStyle="1" w:styleId="81">
    <w:name w:val="页眉 字符1"/>
    <w:link w:val="29"/>
    <w:qFormat/>
    <w:uiPriority w:val="0"/>
    <w:rPr>
      <w:rFonts w:eastAsia="宋体"/>
      <w:kern w:val="2"/>
      <w:sz w:val="18"/>
      <w:szCs w:val="18"/>
      <w:lang w:val="en-US" w:eastAsia="zh-CN" w:bidi="ar-SA"/>
    </w:rPr>
  </w:style>
  <w:style w:type="character" w:customStyle="1" w:styleId="82">
    <w:name w:val="正文文本缩进 3 字符"/>
    <w:link w:val="35"/>
    <w:qFormat/>
    <w:uiPriority w:val="0"/>
    <w:rPr>
      <w:rFonts w:ascii="宋体"/>
      <w:sz w:val="24"/>
    </w:rPr>
  </w:style>
  <w:style w:type="character" w:customStyle="1" w:styleId="83">
    <w:name w:val="HTML 预设格式 字符"/>
    <w:link w:val="40"/>
    <w:qFormat/>
    <w:uiPriority w:val="0"/>
    <w:rPr>
      <w:rFonts w:ascii="宋体" w:hAnsi="宋体" w:cs="宋体"/>
      <w:sz w:val="24"/>
      <w:szCs w:val="24"/>
    </w:rPr>
  </w:style>
  <w:style w:type="character" w:customStyle="1" w:styleId="84">
    <w:name w:val="标题 字符"/>
    <w:link w:val="43"/>
    <w:qFormat/>
    <w:uiPriority w:val="0"/>
    <w:rPr>
      <w:b/>
      <w:kern w:val="2"/>
      <w:sz w:val="32"/>
    </w:rPr>
  </w:style>
  <w:style w:type="character" w:customStyle="1" w:styleId="85">
    <w:name w:val="批注主题 字符"/>
    <w:link w:val="44"/>
    <w:qFormat/>
    <w:uiPriority w:val="99"/>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正文文本首行缩进 2 字符"/>
    <w:link w:val="4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表段落 字符"/>
    <w:link w:val="103"/>
    <w:qFormat/>
    <w:uiPriority w:val="34"/>
    <w:rPr>
      <w:rFonts w:ascii="宋体" w:hAnsi="宋体"/>
      <w:b/>
      <w:kern w:val="2"/>
      <w:sz w:val="28"/>
      <w:szCs w:val="28"/>
    </w:rPr>
  </w:style>
  <w:style w:type="paragraph" w:customStyle="1" w:styleId="103">
    <w:name w:val="列表段落1"/>
    <w:basedOn w:val="1"/>
    <w:link w:val="102"/>
    <w:qFormat/>
    <w:uiPriority w:val="34"/>
    <w:pPr>
      <w:spacing w:line="500" w:lineRule="exact"/>
      <w:ind w:firstLine="562" w:firstLineChars="200"/>
      <w:contextualSpacing/>
    </w:pPr>
    <w:rPr>
      <w:rFonts w:ascii="宋体" w:hAnsi="宋体"/>
      <w:b/>
      <w:sz w:val="28"/>
      <w:szCs w:val="28"/>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0">
    <w:name w:val="Char Char1"/>
    <w:basedOn w:val="15"/>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6"/>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2"/>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7">
    <w:name w:val="列出段落1"/>
    <w:basedOn w:val="1"/>
    <w:link w:val="282"/>
    <w:qFormat/>
    <w:uiPriority w:val="0"/>
    <w:pPr>
      <w:spacing w:line="360" w:lineRule="auto"/>
      <w:ind w:firstLine="562" w:firstLineChars="200"/>
    </w:pPr>
    <w:rPr>
      <w:rFonts w:ascii="宋体" w:hAnsi="宋体"/>
      <w:b/>
      <w:sz w:val="28"/>
      <w:szCs w:val="28"/>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link w:val="258"/>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59"/>
    <w:qFormat/>
    <w:uiPriority w:val="0"/>
    <w:rPr>
      <w:kern w:val="2"/>
      <w:sz w:val="21"/>
      <w:szCs w:val="24"/>
      <w:lang w:val="zh-CN" w:eastAsia="zh-CN"/>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6"/>
    <w:link w:val="21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6"/>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99"/>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0"/>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content-right_8zs40"/>
    <w:qFormat/>
    <w:uiPriority w:val="0"/>
  </w:style>
  <w:style w:type="character" w:customStyle="1" w:styleId="255">
    <w:name w:val="批注框文本 字符"/>
    <w:qFormat/>
    <w:uiPriority w:val="99"/>
    <w:rPr>
      <w:rFonts w:ascii="等线" w:hAnsi="等线" w:eastAsia="宋体" w:cs="Times New Roman"/>
      <w:kern w:val="2"/>
      <w:sz w:val="18"/>
      <w:szCs w:val="18"/>
      <w:lang w:val="en-US" w:eastAsia="zh-CN" w:bidi="ar-SA"/>
    </w:rPr>
  </w:style>
  <w:style w:type="paragraph" w:customStyle="1" w:styleId="256">
    <w:name w:val="功能点标示1"/>
    <w:basedOn w:val="1"/>
    <w:qFormat/>
    <w:uiPriority w:val="0"/>
    <w:pPr>
      <w:numPr>
        <w:ilvl w:val="0"/>
        <w:numId w:val="8"/>
      </w:numPr>
      <w:spacing w:line="360" w:lineRule="auto"/>
      <w:jc w:val="left"/>
    </w:pPr>
    <w:rPr>
      <w:rFonts w:ascii="等线" w:hAnsi="等线" w:eastAsia="等线"/>
      <w:sz w:val="24"/>
    </w:rPr>
  </w:style>
  <w:style w:type="character" w:customStyle="1" w:styleId="257">
    <w:name w:val="Ò³Ã¼ Char Char"/>
    <w:qFormat/>
    <w:uiPriority w:val="0"/>
    <w:rPr>
      <w:sz w:val="18"/>
      <w:szCs w:val="18"/>
    </w:rPr>
  </w:style>
  <w:style w:type="character" w:customStyle="1" w:styleId="258">
    <w:name w:val="无间隔 字符"/>
    <w:link w:val="199"/>
    <w:qFormat/>
    <w:uiPriority w:val="1"/>
    <w:rPr>
      <w:kern w:val="2"/>
      <w:sz w:val="21"/>
      <w:szCs w:val="24"/>
    </w:rPr>
  </w:style>
  <w:style w:type="character" w:customStyle="1" w:styleId="259">
    <w:name w:val="页脚 字符"/>
    <w:qFormat/>
    <w:uiPriority w:val="99"/>
    <w:rPr>
      <w:rFonts w:ascii="宋体" w:eastAsia="宋体"/>
      <w:sz w:val="18"/>
      <w:lang w:val="en-US" w:eastAsia="zh-CN" w:bidi="ar-SA"/>
    </w:rPr>
  </w:style>
  <w:style w:type="character" w:customStyle="1" w:styleId="260">
    <w:name w:val="List Paragraph Char"/>
    <w:link w:val="261"/>
    <w:qFormat/>
    <w:locked/>
    <w:uiPriority w:val="0"/>
    <w:rPr>
      <w:kern w:val="2"/>
      <w:sz w:val="21"/>
      <w:szCs w:val="21"/>
    </w:rPr>
  </w:style>
  <w:style w:type="paragraph" w:customStyle="1" w:styleId="261">
    <w:name w:val="列出段落3"/>
    <w:basedOn w:val="1"/>
    <w:link w:val="260"/>
    <w:qFormat/>
    <w:uiPriority w:val="0"/>
    <w:pPr>
      <w:ind w:firstLine="420" w:firstLineChars="200"/>
    </w:pPr>
    <w:rPr>
      <w:szCs w:val="21"/>
    </w:rPr>
  </w:style>
  <w:style w:type="paragraph" w:customStyle="1" w:styleId="26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63">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64">
    <w:name w:val="页眉 字符"/>
    <w:qFormat/>
    <w:uiPriority w:val="99"/>
    <w:rPr>
      <w:rFonts w:eastAsia="宋体"/>
      <w:kern w:val="2"/>
      <w:sz w:val="18"/>
      <w:szCs w:val="18"/>
      <w:lang w:val="en-US" w:eastAsia="zh-CN" w:bidi="ar-SA"/>
    </w:rPr>
  </w:style>
  <w:style w:type="character" w:customStyle="1" w:styleId="265">
    <w:name w:val="标题 2 Char1"/>
    <w:qFormat/>
    <w:uiPriority w:val="0"/>
    <w:rPr>
      <w:rFonts w:ascii="Arial" w:hAnsi="Arial" w:eastAsia="黑体"/>
      <w:b/>
      <w:sz w:val="30"/>
      <w:lang w:val="en-US" w:eastAsia="zh-CN" w:bidi="ar-SA"/>
    </w:rPr>
  </w:style>
  <w:style w:type="character" w:customStyle="1" w:styleId="266">
    <w:name w:val="正文文本首行缩进 字符"/>
    <w:basedOn w:val="74"/>
    <w:link w:val="45"/>
    <w:qFormat/>
    <w:uiPriority w:val="0"/>
    <w:rPr>
      <w:rFonts w:ascii="宋体" w:hAnsi="宋体"/>
      <w:kern w:val="2"/>
      <w:sz w:val="21"/>
      <w:szCs w:val="24"/>
    </w:rPr>
  </w:style>
  <w:style w:type="paragraph" w:customStyle="1" w:styleId="267">
    <w:name w:val="样式 首行缩进:  2 字符"/>
    <w:basedOn w:val="1"/>
    <w:link w:val="268"/>
    <w:qFormat/>
    <w:uiPriority w:val="0"/>
    <w:pPr>
      <w:spacing w:line="360" w:lineRule="auto"/>
      <w:ind w:firstLine="480" w:firstLineChars="200"/>
    </w:pPr>
    <w:rPr>
      <w:rFonts w:cs="宋体"/>
      <w:sz w:val="28"/>
      <w:szCs w:val="20"/>
    </w:rPr>
  </w:style>
  <w:style w:type="character" w:customStyle="1" w:styleId="268">
    <w:name w:val="样式 首行缩进:  2 字符 Char"/>
    <w:link w:val="267"/>
    <w:qFormat/>
    <w:locked/>
    <w:uiPriority w:val="0"/>
    <w:rPr>
      <w:rFonts w:cs="宋体"/>
      <w:kern w:val="2"/>
      <w:sz w:val="28"/>
    </w:rPr>
  </w:style>
  <w:style w:type="character" w:customStyle="1" w:styleId="269">
    <w:name w:val="脚注文本 字符"/>
    <w:basedOn w:val="50"/>
    <w:link w:val="33"/>
    <w:qFormat/>
    <w:uiPriority w:val="99"/>
    <w:rPr>
      <w:rFonts w:ascii="Calibri" w:hAnsi="Calibri" w:eastAsia="等线"/>
      <w:kern w:val="2"/>
      <w:sz w:val="18"/>
      <w:szCs w:val="18"/>
    </w:rPr>
  </w:style>
  <w:style w:type="paragraph" w:customStyle="1" w:styleId="270">
    <w:name w:val="MM Topic 1"/>
    <w:basedOn w:val="3"/>
    <w:qFormat/>
    <w:uiPriority w:val="0"/>
    <w:pPr>
      <w:suppressAutoHyphens/>
    </w:pPr>
    <w:rPr>
      <w:rFonts w:hAnsi="Calibri"/>
    </w:rPr>
  </w:style>
  <w:style w:type="paragraph" w:customStyle="1" w:styleId="271">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72">
    <w:name w:val="正文文本 2 字符"/>
    <w:basedOn w:val="50"/>
    <w:link w:val="39"/>
    <w:qFormat/>
    <w:uiPriority w:val="0"/>
    <w:rPr>
      <w:kern w:val="2"/>
      <w:sz w:val="21"/>
      <w:szCs w:val="24"/>
    </w:rPr>
  </w:style>
  <w:style w:type="character" w:customStyle="1" w:styleId="273">
    <w:name w:val="标题 1 Char"/>
    <w:qFormat/>
    <w:uiPriority w:val="0"/>
    <w:rPr>
      <w:rFonts w:ascii="Times New Roman" w:hAnsi="Times New Roman" w:eastAsia="宋体" w:cs="Times New Roman"/>
      <w:b/>
      <w:bCs/>
      <w:kern w:val="44"/>
      <w:sz w:val="44"/>
      <w:szCs w:val="44"/>
    </w:rPr>
  </w:style>
  <w:style w:type="character" w:customStyle="1" w:styleId="274">
    <w:name w:val="正文文本缩进 2 Char"/>
    <w:qFormat/>
    <w:uiPriority w:val="0"/>
    <w:rPr>
      <w:rFonts w:ascii="宋体" w:hAnsi="Times New Roman" w:eastAsia="宋体" w:cs="Times New Roman"/>
      <w:kern w:val="0"/>
      <w:sz w:val="24"/>
      <w:szCs w:val="20"/>
    </w:rPr>
  </w:style>
  <w:style w:type="paragraph" w:customStyle="1" w:styleId="275">
    <w:name w:val="_Style 272"/>
    <w:basedOn w:val="1"/>
    <w:next w:val="1"/>
    <w:qFormat/>
    <w:uiPriority w:val="0"/>
    <w:pPr>
      <w:ind w:left="840" w:leftChars="400"/>
    </w:pPr>
    <w:rPr>
      <w:szCs w:val="20"/>
    </w:rPr>
  </w:style>
  <w:style w:type="character" w:customStyle="1" w:styleId="276">
    <w:name w:val="批注框文本 Char"/>
    <w:semiHidden/>
    <w:qFormat/>
    <w:uiPriority w:val="0"/>
    <w:rPr>
      <w:rFonts w:ascii="Times New Roman" w:hAnsi="Times New Roman" w:eastAsia="宋体" w:cs="Times New Roman"/>
      <w:sz w:val="18"/>
      <w:szCs w:val="18"/>
    </w:rPr>
  </w:style>
  <w:style w:type="character" w:customStyle="1" w:styleId="277">
    <w:name w:val="正文文本 Char"/>
    <w:qFormat/>
    <w:uiPriority w:val="0"/>
    <w:rPr>
      <w:rFonts w:ascii="Times New Roman" w:hAnsi="Times New Roman" w:eastAsia="宋体" w:cs="Times New Roman"/>
      <w:szCs w:val="20"/>
    </w:rPr>
  </w:style>
  <w:style w:type="character" w:customStyle="1" w:styleId="278">
    <w:name w:val="脚注文本 Char"/>
    <w:qFormat/>
    <w:uiPriority w:val="0"/>
    <w:rPr>
      <w:rFonts w:ascii="Times New Roman" w:hAnsi="Times New Roman" w:eastAsia="宋体" w:cs="Times New Roman"/>
      <w:sz w:val="18"/>
      <w:szCs w:val="18"/>
    </w:rPr>
  </w:style>
  <w:style w:type="character" w:customStyle="1" w:styleId="279">
    <w:name w:val="正文文本 2 Char"/>
    <w:qFormat/>
    <w:uiPriority w:val="0"/>
    <w:rPr>
      <w:rFonts w:ascii="Times New Roman" w:hAnsi="Times New Roman" w:eastAsia="宋体" w:cs="Times New Roman"/>
      <w:kern w:val="0"/>
      <w:szCs w:val="20"/>
    </w:rPr>
  </w:style>
  <w:style w:type="character" w:customStyle="1" w:styleId="280">
    <w:name w:val="批注主题 Char"/>
    <w:qFormat/>
    <w:uiPriority w:val="0"/>
    <w:rPr>
      <w:rFonts w:ascii="Times New Roman" w:hAnsi="Times New Roman" w:eastAsia="宋体" w:cs="Times New Roman"/>
      <w:b/>
      <w:bCs/>
      <w:szCs w:val="20"/>
    </w:rPr>
  </w:style>
  <w:style w:type="paragraph" w:customStyle="1" w:styleId="281">
    <w:name w:val="修订5"/>
    <w:hidden/>
    <w:semiHidden/>
    <w:qFormat/>
    <w:uiPriority w:val="99"/>
    <w:pPr>
      <w:spacing w:after="160" w:line="278" w:lineRule="auto"/>
    </w:pPr>
    <w:rPr>
      <w:rFonts w:ascii="Times New Roman" w:hAnsi="Times New Roman" w:eastAsia="宋体" w:cs="Times New Roman"/>
      <w:kern w:val="2"/>
      <w:sz w:val="21"/>
      <w:lang w:val="en-US" w:eastAsia="zh-CN" w:bidi="ar-SA"/>
    </w:rPr>
  </w:style>
  <w:style w:type="character" w:customStyle="1" w:styleId="282">
    <w:name w:val="列出段落 Char1"/>
    <w:link w:val="187"/>
    <w:qFormat/>
    <w:uiPriority w:val="34"/>
    <w:rPr>
      <w:rFonts w:ascii="宋体" w:hAnsi="宋体"/>
      <w:b/>
      <w:kern w:val="2"/>
      <w:sz w:val="28"/>
      <w:szCs w:val="28"/>
    </w:rPr>
  </w:style>
  <w:style w:type="paragraph" w:customStyle="1" w:styleId="283">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4">
    <w:name w:val="修订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5">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6">
    <w:name w:val="修订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7">
    <w:name w:val="修订10"/>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288">
    <w:name w:val="List Paragraph"/>
    <w:basedOn w:val="1"/>
    <w:unhideWhenUsed/>
    <w:qFormat/>
    <w:uiPriority w:val="34"/>
    <w:pPr>
      <w:ind w:firstLine="420" w:firstLineChars="200"/>
    </w:pPr>
  </w:style>
  <w:style w:type="character" w:customStyle="1" w:styleId="289">
    <w:name w:val="NormalCharacter"/>
    <w:semiHidden/>
    <w:qFormat/>
    <w:uiPriority w:val="0"/>
  </w:style>
  <w:style w:type="paragraph" w:customStyle="1" w:styleId="290">
    <w:name w:val="修订1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91">
    <w:name w:val="样式1"/>
    <w:basedOn w:val="1"/>
    <w:next w:val="1"/>
    <w:qFormat/>
    <w:uiPriority w:val="0"/>
    <w:pPr>
      <w:tabs>
        <w:tab w:val="left" w:pos="720"/>
      </w:tabs>
      <w:adjustRightInd w:val="0"/>
      <w:spacing w:after="0" w:line="240" w:lineRule="auto"/>
      <w:ind w:left="720" w:hanging="720"/>
      <w:textAlignment w:val="baseline"/>
    </w:pPr>
    <w:rPr>
      <w:rFonts w:ascii="宋体" w:hAnsi="宋体"/>
      <w:kern w:val="0"/>
      <w:szCs w:val="21"/>
    </w:rPr>
  </w:style>
  <w:style w:type="character" w:customStyle="1" w:styleId="292">
    <w:name w:val="纯文本 Char"/>
    <w:basedOn w:val="50"/>
    <w:qFormat/>
    <w:uiPriority w:val="0"/>
    <w:rPr>
      <w:rFonts w:ascii="宋体" w:hAnsi="Courier New" w:eastAsia="宋体" w:cs="Courier New"/>
      <w:szCs w:val="21"/>
    </w:rPr>
  </w:style>
  <w:style w:type="character" w:customStyle="1" w:styleId="293">
    <w:name w:val="日期 Char1"/>
    <w:basedOn w:val="50"/>
    <w:semiHidden/>
    <w:qFormat/>
    <w:uiPriority w:val="99"/>
  </w:style>
  <w:style w:type="paragraph" w:customStyle="1" w:styleId="294">
    <w:name w:val="p0"/>
    <w:basedOn w:val="1"/>
    <w:qFormat/>
    <w:uiPriority w:val="0"/>
    <w:pPr>
      <w:widowControl/>
      <w:suppressAutoHyphens/>
      <w:autoSpaceDN w:val="0"/>
      <w:spacing w:before="100" w:beforeAutospacing="1" w:after="100" w:afterAutospacing="1" w:line="240" w:lineRule="auto"/>
      <w:jc w:val="left"/>
      <w:textAlignment w:val="baseline"/>
    </w:pPr>
    <w:rPr>
      <w:rFonts w:ascii="宋体" w:hAnsi="宋体" w:cs="宋体"/>
      <w:kern w:val="0"/>
      <w:sz w:val="24"/>
    </w:rPr>
  </w:style>
  <w:style w:type="paragraph" w:customStyle="1" w:styleId="295">
    <w:name w:val="无间隔2"/>
    <w:qFormat/>
    <w:uiPriority w:val="99"/>
    <w:pPr>
      <w:widowControl w:val="0"/>
      <w:spacing w:after="160" w:line="278" w:lineRule="auto"/>
      <w:jc w:val="both"/>
    </w:pPr>
    <w:rPr>
      <w:rFonts w:ascii="Calibri" w:hAnsi="Calibri" w:eastAsia="宋体" w:cs="Times New Roman"/>
      <w:kern w:val="2"/>
      <w:sz w:val="21"/>
      <w:szCs w:val="21"/>
      <w:lang w:val="en-US" w:eastAsia="zh-CN" w:bidi="ar-SA"/>
    </w:rPr>
  </w:style>
  <w:style w:type="paragraph" w:customStyle="1" w:styleId="296">
    <w:name w:val="pf0"/>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97">
    <w:name w:val="font31"/>
    <w:basedOn w:val="50"/>
    <w:qFormat/>
    <w:uiPriority w:val="0"/>
    <w:rPr>
      <w:rFonts w:hint="default" w:ascii="仿宋" w:hAnsi="仿宋" w:eastAsia="仿宋" w:cs="仿宋"/>
      <w:b/>
      <w:color w:val="000000"/>
      <w:sz w:val="22"/>
      <w:szCs w:val="22"/>
      <w:u w:val="none"/>
    </w:rPr>
  </w:style>
  <w:style w:type="character" w:customStyle="1" w:styleId="298">
    <w:name w:val="font11"/>
    <w:basedOn w:val="50"/>
    <w:qFormat/>
    <w:uiPriority w:val="0"/>
    <w:rPr>
      <w:rFonts w:hint="default" w:ascii="仿宋" w:hAnsi="仿宋" w:eastAsia="仿宋" w:cs="仿宋"/>
      <w:b/>
      <w:color w:val="000000"/>
      <w:sz w:val="22"/>
      <w:szCs w:val="22"/>
      <w:u w:val="none"/>
      <w:vertAlign w:val="superscript"/>
    </w:rPr>
  </w:style>
  <w:style w:type="paragraph" w:customStyle="1" w:styleId="299">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00">
    <w:name w:val="font10"/>
    <w:basedOn w:val="1"/>
    <w:qFormat/>
    <w:uiPriority w:val="0"/>
    <w:pPr>
      <w:widowControl/>
      <w:spacing w:before="100" w:beforeAutospacing="1" w:after="100" w:afterAutospacing="1" w:line="240" w:lineRule="auto"/>
      <w:jc w:val="left"/>
    </w:pPr>
    <w:rPr>
      <w:rFonts w:ascii="Calibri" w:hAnsi="Calibri" w:cs="Calibri"/>
      <w:color w:val="000000"/>
      <w:kern w:val="0"/>
      <w:sz w:val="24"/>
    </w:rPr>
  </w:style>
  <w:style w:type="paragraph" w:customStyle="1" w:styleId="301">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2">
    <w:name w:val="font13"/>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303">
    <w:name w:val="font14"/>
    <w:basedOn w:val="1"/>
    <w:qFormat/>
    <w:uiPriority w:val="0"/>
    <w:pPr>
      <w:widowControl/>
      <w:spacing w:before="100" w:beforeAutospacing="1" w:after="100" w:afterAutospacing="1" w:line="240" w:lineRule="auto"/>
      <w:jc w:val="left"/>
    </w:pPr>
    <w:rPr>
      <w:rFonts w:ascii="PMingLiU" w:hAnsi="PMingLiU" w:eastAsia="PMingLiU" w:cs="宋体"/>
      <w:kern w:val="0"/>
      <w:sz w:val="18"/>
      <w:szCs w:val="18"/>
    </w:rPr>
  </w:style>
  <w:style w:type="paragraph" w:customStyle="1" w:styleId="30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10">
    <w:name w:val="xl7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2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1">
    <w:name w:val="xl8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2">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4">
    <w:name w:val="xl8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w:hAnsi="Arial" w:cs="Arial"/>
      <w:kern w:val="0"/>
      <w:sz w:val="24"/>
    </w:rPr>
  </w:style>
  <w:style w:type="paragraph" w:customStyle="1" w:styleId="329">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0">
    <w:name w:val="xl9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2">
    <w:name w:val="xl92"/>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3">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4">
    <w:name w:val="xl94"/>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5">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7">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9">
    <w:name w:val="xl99"/>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0">
    <w:name w:val="xl100"/>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1">
    <w:name w:val="xl101"/>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2">
    <w:name w:val="xl102"/>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3">
    <w:name w:val="xl103"/>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4">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45">
    <w:name w:val="列出段落 字符"/>
    <w:link w:val="346"/>
    <w:qFormat/>
    <w:uiPriority w:val="0"/>
    <w:rPr>
      <w:kern w:val="2"/>
      <w:sz w:val="21"/>
    </w:rPr>
  </w:style>
  <w:style w:type="paragraph" w:customStyle="1" w:styleId="346">
    <w:name w:val="列表段落2"/>
    <w:basedOn w:val="1"/>
    <w:link w:val="345"/>
    <w:qFormat/>
    <w:uiPriority w:val="34"/>
    <w:pPr>
      <w:spacing w:after="0" w:line="360" w:lineRule="auto"/>
      <w:ind w:firstLine="420" w:firstLineChars="200"/>
    </w:pPr>
    <w:rPr>
      <w:szCs w:val="20"/>
    </w:rPr>
  </w:style>
  <w:style w:type="character" w:customStyle="1" w:styleId="347">
    <w:name w:val="apple-converted-space"/>
    <w:basedOn w:val="50"/>
    <w:qFormat/>
    <w:uiPriority w:val="0"/>
  </w:style>
  <w:style w:type="paragraph" w:customStyle="1" w:styleId="348">
    <w:name w:val="标题3"/>
    <w:basedOn w:val="1"/>
    <w:link w:val="349"/>
    <w:qFormat/>
    <w:uiPriority w:val="0"/>
    <w:pPr>
      <w:keepNext/>
      <w:keepLines/>
      <w:widowControl/>
      <w:spacing w:after="0" w:line="360" w:lineRule="auto"/>
      <w:jc w:val="left"/>
      <w:outlineLvl w:val="0"/>
    </w:pPr>
    <w:rPr>
      <w:rFonts w:ascii="宋体" w:hAnsi="宋体" w:cs="宋体"/>
      <w:b/>
      <w:bCs/>
      <w:kern w:val="44"/>
      <w:sz w:val="44"/>
      <w:szCs w:val="44"/>
    </w:rPr>
  </w:style>
  <w:style w:type="character" w:customStyle="1" w:styleId="349">
    <w:name w:val="标题3 字符"/>
    <w:basedOn w:val="50"/>
    <w:link w:val="348"/>
    <w:qFormat/>
    <w:uiPriority w:val="0"/>
    <w:rPr>
      <w:rFonts w:ascii="宋体" w:hAnsi="宋体" w:cs="宋体"/>
      <w:b/>
      <w:bCs/>
      <w:kern w:val="44"/>
      <w:sz w:val="44"/>
      <w:szCs w:val="44"/>
    </w:rPr>
  </w:style>
  <w:style w:type="character" w:customStyle="1" w:styleId="350">
    <w:name w:val="正文文本 字符1"/>
    <w:qFormat/>
    <w:uiPriority w:val="99"/>
    <w:rPr>
      <w:rFonts w:ascii="宋体" w:hAnsi="宋体" w:cs="Times New Roman"/>
      <w:szCs w:val="24"/>
    </w:rPr>
  </w:style>
  <w:style w:type="paragraph" w:customStyle="1" w:styleId="351">
    <w:name w:val="列出段落11"/>
    <w:basedOn w:val="1"/>
    <w:qFormat/>
    <w:uiPriority w:val="0"/>
    <w:pPr>
      <w:spacing w:after="0" w:line="240" w:lineRule="auto"/>
      <w:ind w:firstLine="420" w:firstLineChars="200"/>
    </w:pPr>
    <w:rPr>
      <w:rFonts w:ascii="Calibri" w:hAnsi="Calibri" w:cs="宋体"/>
      <w:szCs w:val="22"/>
    </w:rPr>
  </w:style>
  <w:style w:type="table" w:customStyle="1" w:styleId="352">
    <w:name w:val="网格型1"/>
    <w:basedOn w:val="47"/>
    <w:qFormat/>
    <w:uiPriority w:val="39"/>
    <w:rPr>
      <w:rFonts w:ascii="Arial" w:hAnsi="Arial"/>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3">
    <w:name w:val="修订1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4">
    <w:name w:val="修订1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5">
    <w:name w:val="2级原标题"/>
    <w:basedOn w:val="356"/>
    <w:qFormat/>
    <w:uiPriority w:val="0"/>
    <w:pPr>
      <w:keepLines/>
      <w:numPr>
        <w:ilvl w:val="1"/>
        <w:numId w:val="9"/>
      </w:numPr>
      <w:spacing w:before="240" w:after="120" w:line="360" w:lineRule="auto"/>
      <w:ind w:firstLine="0" w:firstLineChars="0"/>
      <w:contextualSpacing/>
      <w:jc w:val="left"/>
      <w:outlineLvl w:val="1"/>
    </w:pPr>
    <w:rPr>
      <w:b/>
      <w:kern w:val="0"/>
      <w:sz w:val="32"/>
      <w:szCs w:val="36"/>
      <w:lang w:eastAsia="en-US" w:bidi="en-US"/>
    </w:rPr>
  </w:style>
  <w:style w:type="paragraph" w:customStyle="1" w:styleId="356">
    <w:name w:val="列表段落3"/>
    <w:basedOn w:val="1"/>
    <w:qFormat/>
    <w:uiPriority w:val="34"/>
    <w:pPr>
      <w:spacing w:after="0" w:line="240" w:lineRule="auto"/>
      <w:ind w:firstLine="420" w:firstLineChars="200"/>
    </w:pPr>
    <w:rPr>
      <w:rFonts w:ascii="Calibri" w:hAnsi="Calibri" w:cs="宋体"/>
      <w:szCs w:val="22"/>
    </w:rPr>
  </w:style>
  <w:style w:type="character" w:customStyle="1" w:styleId="357">
    <w:name w:val="未处理的提及1"/>
    <w:basedOn w:val="50"/>
    <w:semiHidden/>
    <w:unhideWhenUsed/>
    <w:qFormat/>
    <w:uiPriority w:val="99"/>
    <w:rPr>
      <w:color w:val="605E5C"/>
      <w:shd w:val="clear" w:color="auto" w:fill="E1DFDD"/>
    </w:rPr>
  </w:style>
  <w:style w:type="paragraph" w:customStyle="1" w:styleId="358">
    <w:name w:val="修订1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59">
    <w:name w:val="未处理的提及2"/>
    <w:basedOn w:val="50"/>
    <w:semiHidden/>
    <w:unhideWhenUsed/>
    <w:qFormat/>
    <w:uiPriority w:val="99"/>
    <w:rPr>
      <w:color w:val="605E5C"/>
      <w:shd w:val="clear" w:color="auto" w:fill="E1DFDD"/>
    </w:rPr>
  </w:style>
  <w:style w:type="paragraph" w:customStyle="1" w:styleId="360">
    <w:name w:val="修订1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1">
    <w:name w:val="修订1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2">
    <w:name w:val="未处理的提及3"/>
    <w:basedOn w:val="50"/>
    <w:semiHidden/>
    <w:unhideWhenUsed/>
    <w:qFormat/>
    <w:uiPriority w:val="99"/>
    <w:rPr>
      <w:color w:val="605E5C"/>
      <w:shd w:val="clear" w:color="auto" w:fill="E1DFDD"/>
    </w:rPr>
  </w:style>
  <w:style w:type="paragraph" w:customStyle="1" w:styleId="363">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364">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365">
    <w:name w:val="修订18"/>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6">
    <w:name w:val="修订1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7">
    <w:name w:val="未处理的提及4"/>
    <w:basedOn w:val="50"/>
    <w:semiHidden/>
    <w:unhideWhenUsed/>
    <w:qFormat/>
    <w:uiPriority w:val="99"/>
    <w:rPr>
      <w:color w:val="605E5C"/>
      <w:shd w:val="clear" w:color="auto" w:fill="E1DFDD"/>
    </w:rPr>
  </w:style>
  <w:style w:type="character" w:customStyle="1" w:styleId="368">
    <w:name w:val="Unresolved Mention"/>
    <w:basedOn w:val="50"/>
    <w:semiHidden/>
    <w:unhideWhenUsed/>
    <w:qFormat/>
    <w:uiPriority w:val="99"/>
    <w:rPr>
      <w:color w:val="605E5C"/>
      <w:shd w:val="clear" w:color="auto" w:fill="E1DFDD"/>
    </w:rPr>
  </w:style>
  <w:style w:type="character" w:customStyle="1" w:styleId="369">
    <w:name w:val="font01"/>
    <w:basedOn w:val="50"/>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16155</Words>
  <Characters>17024</Characters>
  <Lines>2304</Lines>
  <Paragraphs>2200</Paragraphs>
  <TotalTime>129</TotalTime>
  <ScaleCrop>false</ScaleCrop>
  <LinksUpToDate>false</LinksUpToDate>
  <CharactersWithSpaces>17317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2025-02-21T14:17:00Z</dcterms:created>
  <dc:creator>崔丽丽</dc:creator>
  <cp:lastModifiedBy>admin</cp:lastModifiedBy>
  <dcterms:modified xsi:type="dcterms:W3CDTF">2026-04-13T12:02:54Z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282DF4F71D034E4795736C5BAE337DFA_13</vt:lpwstr>
  </property>
  <property fmtid="{D5CDD505-2E9C-101B-9397-08002B2CF9AE}" pid="4" name="KSOTemplateDocerSaveRecord">
    <vt:lpwstr>eyJoZGlkIjoiOGM5MDU3NzIzOWFiNTc4MmFlNTIxZGY5ZGM4NDgxZjQiLCJ1c2VySWQiOiIzODc4MjgwMjAifQ==</vt:lpwstr>
  </property>
</Properties>
</file>