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eastAsia="宋体" w:cs="宋体"/>
          <w:color w:val="auto"/>
          <w:sz w:val="58"/>
          <w:szCs w:val="58"/>
          <w:highlight w:val="none"/>
        </w:rPr>
      </w:pP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公开招标文件</w:t>
      </w:r>
    </w:p>
    <w:p>
      <w:pPr>
        <w:tabs>
          <w:tab w:val="left" w:pos="3240"/>
          <w:tab w:val="left" w:pos="3420"/>
        </w:tabs>
        <w:spacing w:line="360" w:lineRule="auto"/>
        <w:jc w:val="left"/>
        <w:rPr>
          <w:rFonts w:hint="eastAsia" w:ascii="宋体" w:hAnsi="宋体" w:eastAsia="宋体" w:cs="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u w:val="single"/>
          <w:lang w:eastAsia="zh-CN"/>
        </w:rPr>
        <w:t>中央转移支付项目（强制免疫）兽用疫苗采购项目</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u w:val="single"/>
        </w:rPr>
        <w:t xml:space="preserve"> 11000026210200168189-XM001 </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采购人：</w:t>
      </w:r>
      <w:r>
        <w:rPr>
          <w:rFonts w:hint="eastAsia" w:ascii="宋体" w:hAnsi="宋体" w:eastAsia="宋体" w:cs="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r>
        <w:rPr>
          <w:rFonts w:hint="eastAsia" w:ascii="宋体" w:hAnsi="宋体" w:eastAsia="宋体" w:cs="宋体"/>
          <w:bCs/>
          <w:color w:val="auto"/>
          <w:sz w:val="36"/>
          <w:szCs w:val="36"/>
          <w:highlight w:val="none"/>
        </w:rPr>
        <w:t>采购代理机构：</w:t>
      </w:r>
      <w:r>
        <w:rPr>
          <w:rFonts w:hint="eastAsia" w:ascii="宋体" w:hAnsi="宋体" w:eastAsia="宋体" w:cs="宋体"/>
          <w:color w:val="auto"/>
          <w:sz w:val="36"/>
          <w:szCs w:val="36"/>
          <w:highlight w:val="none"/>
          <w:u w:val="single"/>
        </w:rPr>
        <w:t>北京国泰建中管理咨询有限公司</w:t>
      </w: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widowControl/>
        <w:jc w:val="left"/>
        <w:rPr>
          <w:rFonts w:hint="eastAsia" w:ascii="宋体" w:hAnsi="宋体" w:eastAsia="宋体" w:cs="宋体"/>
          <w:b/>
          <w:bCs/>
          <w:color w:val="auto"/>
          <w:sz w:val="44"/>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192872474"/>
      <w:bookmarkStart w:id="1" w:name="_Toc99301418"/>
      <w:r>
        <w:rPr>
          <w:rFonts w:hint="eastAsia" w:ascii="宋体" w:hAnsi="宋体" w:eastAsia="宋体" w:cs="宋体"/>
          <w:b/>
          <w:color w:val="auto"/>
          <w:sz w:val="36"/>
          <w:szCs w:val="36"/>
          <w:highlight w:val="none"/>
        </w:rPr>
        <w:t>目      录</w:t>
      </w:r>
      <w:bookmarkEnd w:id="0"/>
      <w:bookmarkEnd w:id="1"/>
    </w:p>
    <w:p>
      <w:pPr>
        <w:rPr>
          <w:rFonts w:hint="eastAsia" w:ascii="宋体" w:hAnsi="宋体" w:eastAsia="宋体" w:cs="宋体"/>
          <w:color w:val="auto"/>
          <w:highlight w:val="none"/>
        </w:rPr>
      </w:pP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"1-1"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"_Toc192872474"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目      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"_Toc192872475"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"_Toc192872476"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"_Toc192872477"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第三章   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"_Toc192872478"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第四章   评标方法和评标标准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"_Toc192872479"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第五章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"_Toc192872480"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第六章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"_Toc192872481"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第七章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fldChar w:fldCharType="end"/>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bookmarkStart w:id="2" w:name="_Toc192872475"/>
      <w:r>
        <w:rPr>
          <w:rFonts w:hint="eastAsia" w:ascii="宋体" w:hAnsi="宋体" w:eastAsia="宋体" w:cs="宋体"/>
          <w:b/>
          <w:color w:val="auto"/>
          <w:sz w:val="36"/>
          <w:szCs w:val="36"/>
          <w:highlight w:val="none"/>
        </w:rPr>
        <w:t>第一章   投标邀请</w:t>
      </w:r>
      <w:bookmarkEnd w:id="2"/>
    </w:p>
    <w:p>
      <w:pPr>
        <w:pStyle w:val="4"/>
        <w:spacing w:before="0" w:line="360" w:lineRule="auto"/>
        <w:jc w:val="left"/>
        <w:rPr>
          <w:rFonts w:hint="eastAsia" w:ascii="宋体" w:hAnsi="宋体" w:eastAsia="宋体" w:cs="宋体"/>
          <w:color w:val="auto"/>
          <w:sz w:val="24"/>
          <w:szCs w:val="24"/>
          <w:highlight w:val="none"/>
        </w:rPr>
      </w:pPr>
      <w:bookmarkStart w:id="3" w:name="_Toc35393790"/>
      <w:bookmarkStart w:id="4" w:name="_Toc28359079"/>
      <w:bookmarkStart w:id="5" w:name="_Toc28359002"/>
      <w:bookmarkStart w:id="6" w:name="_Toc35393621"/>
      <w:bookmarkStart w:id="7" w:name="_Hlk24379207"/>
      <w:r>
        <w:rPr>
          <w:rFonts w:hint="eastAsia" w:ascii="宋体" w:hAnsi="宋体" w:eastAsia="宋体" w:cs="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 项目名称：</w:t>
      </w:r>
      <w:r>
        <w:rPr>
          <w:rFonts w:hint="eastAsia" w:ascii="宋体" w:hAnsi="宋体" w:eastAsia="宋体" w:cs="宋体"/>
          <w:color w:val="auto"/>
          <w:sz w:val="24"/>
          <w:highlight w:val="none"/>
          <w:u w:val="single"/>
          <w:lang w:eastAsia="zh-CN"/>
        </w:rPr>
        <w:t>中央转移支付项目（强制免疫）兽用疫苗采购项目</w:t>
      </w:r>
      <w:r>
        <w:rPr>
          <w:rFonts w:hint="eastAsia" w:ascii="宋体" w:hAnsi="宋体" w:eastAsia="宋体" w:cs="宋体"/>
          <w:color w:val="auto"/>
          <w:sz w:val="24"/>
          <w:highlight w:val="none"/>
          <w:u w:val="single"/>
        </w:rPr>
        <w:t xml:space="preserve"> </w:t>
      </w:r>
    </w:p>
    <w:p>
      <w:pPr>
        <w:spacing w:line="360" w:lineRule="auto"/>
        <w:ind w:firstLine="960" w:firstLineChars="4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none"/>
          <w:lang w:val="en-US" w:eastAsia="zh-CN"/>
        </w:rPr>
        <w:t>分包</w:t>
      </w:r>
      <w:r>
        <w:rPr>
          <w:rFonts w:hint="eastAsia" w:ascii="宋体" w:hAnsi="宋体" w:eastAsia="宋体" w:cs="宋体"/>
          <w:color w:val="auto"/>
          <w:sz w:val="24"/>
          <w:highlight w:val="none"/>
          <w:u w:val="none"/>
          <w:lang w:val="en-US" w:eastAsia="zh-CN"/>
        </w:rPr>
        <w:t>名称：</w:t>
      </w:r>
      <w:r>
        <w:rPr>
          <w:rFonts w:hint="eastAsia" w:ascii="宋体" w:hAnsi="宋体" w:eastAsia="宋体" w:cs="宋体"/>
          <w:color w:val="auto"/>
          <w:sz w:val="24"/>
          <w:highlight w:val="none"/>
          <w:u w:val="single"/>
          <w:lang w:val="en-US" w:eastAsia="zh-CN"/>
        </w:rPr>
        <w:t>第二包</w:t>
      </w:r>
    </w:p>
    <w:bookmarkEnd w:id="7"/>
    <w:p>
      <w:pPr>
        <w:numPr>
          <w:ilvl w:val="0"/>
          <w:numId w:val="1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项目编号：11000026210200168189-XM001</w:t>
      </w:r>
      <w:r>
        <w:rPr>
          <w:rFonts w:hint="eastAsia" w:ascii="宋体" w:hAnsi="宋体" w:eastAsia="宋体" w:cs="宋体"/>
          <w:color w:val="auto"/>
          <w:sz w:val="24"/>
          <w:highlight w:val="none"/>
          <w:lang w:val="en-US" w:eastAsia="zh-CN"/>
        </w:rPr>
        <w:t xml:space="preserve"> </w:t>
      </w:r>
    </w:p>
    <w:p>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包号：02</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 项目总预算金额：</w:t>
      </w:r>
      <w:r>
        <w:rPr>
          <w:rFonts w:hint="eastAsia" w:ascii="宋体" w:hAnsi="宋体" w:eastAsia="宋体" w:cs="宋体"/>
          <w:color w:val="auto"/>
          <w:sz w:val="24"/>
          <w:highlight w:val="none"/>
          <w:u w:val="single"/>
          <w:lang w:val="en-US" w:eastAsia="zh-CN"/>
        </w:rPr>
        <w:t>155</w:t>
      </w:r>
      <w:r>
        <w:rPr>
          <w:rFonts w:hint="eastAsia" w:ascii="宋体" w:hAnsi="宋体" w:eastAsia="宋体" w:cs="宋体"/>
          <w:color w:val="auto"/>
          <w:sz w:val="24"/>
          <w:highlight w:val="none"/>
        </w:rPr>
        <w:t xml:space="preserve">万元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本包次采购预算：</w:t>
      </w:r>
      <w:r>
        <w:rPr>
          <w:rFonts w:hint="eastAsia" w:ascii="宋体" w:hAnsi="宋体" w:eastAsia="宋体" w:cs="宋体"/>
          <w:color w:val="auto"/>
          <w:sz w:val="24"/>
          <w:highlight w:val="none"/>
          <w:u w:val="single"/>
          <w:lang w:val="en-US" w:eastAsia="zh-CN"/>
        </w:rPr>
        <w:t>102.8</w:t>
      </w:r>
      <w:r>
        <w:rPr>
          <w:rFonts w:hint="eastAsia" w:ascii="宋体" w:hAnsi="宋体" w:eastAsia="宋体" w:cs="宋体"/>
          <w:color w:val="auto"/>
          <w:sz w:val="24"/>
          <w:highlight w:val="none"/>
        </w:rPr>
        <w:t>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采购需求简述： </w:t>
      </w:r>
    </w:p>
    <w:tbl>
      <w:tblPr>
        <w:tblStyle w:val="47"/>
        <w:tblW w:w="835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583"/>
        <w:gridCol w:w="1450"/>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包号</w:t>
            </w:r>
          </w:p>
        </w:tc>
        <w:tc>
          <w:tcPr>
            <w:tcW w:w="35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bookmarkStart w:id="397" w:name="_GoBack"/>
            <w:bookmarkEnd w:id="397"/>
            <w:r>
              <w:rPr>
                <w:rFonts w:hint="eastAsia" w:ascii="宋体" w:hAnsi="宋体" w:eastAsia="宋体" w:cs="宋体"/>
                <w:color w:val="auto"/>
                <w:sz w:val="24"/>
                <w:highlight w:val="none"/>
              </w:rPr>
              <w:t>标的名称</w:t>
            </w:r>
          </w:p>
        </w:tc>
        <w:tc>
          <w:tcPr>
            <w:tcW w:w="145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采购数量</w:t>
            </w:r>
          </w:p>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（万毫升）</w:t>
            </w:r>
          </w:p>
        </w:tc>
        <w:tc>
          <w:tcPr>
            <w:tcW w:w="26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71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p>
        </w:tc>
        <w:tc>
          <w:tcPr>
            <w:tcW w:w="35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口蹄疫O型、A型二价灭活疫苗</w:t>
            </w:r>
          </w:p>
        </w:tc>
        <w:tc>
          <w:tcPr>
            <w:tcW w:w="145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80</w:t>
            </w:r>
          </w:p>
        </w:tc>
        <w:tc>
          <w:tcPr>
            <w:tcW w:w="26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50m1/瓶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71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p>
        </w:tc>
        <w:tc>
          <w:tcPr>
            <w:tcW w:w="35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口蹄疫O型灭活疫苗</w:t>
            </w:r>
          </w:p>
        </w:tc>
        <w:tc>
          <w:tcPr>
            <w:tcW w:w="145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6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50ml/瓶、 100ml/瓶（猪用、牛羊用）</w:t>
            </w:r>
          </w:p>
        </w:tc>
      </w:tr>
    </w:tbl>
    <w:p>
      <w:pPr>
        <w:tabs>
          <w:tab w:val="left" w:pos="312"/>
        </w:tabs>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注：本项目不接受进口产品投标</w:t>
      </w:r>
      <w:r>
        <w:rPr>
          <w:rFonts w:hint="eastAsia" w:ascii="宋体" w:hAnsi="宋体" w:eastAsia="宋体" w:cs="宋体"/>
          <w:color w:val="auto"/>
          <w:sz w:val="24"/>
          <w:highlight w:val="none"/>
          <w:lang w:eastAsia="zh-CN"/>
        </w:rPr>
        <w:t>，如果年内农业农村部统一要求更换毒株，则新毒株的疫苗等效</w:t>
      </w:r>
      <w:r>
        <w:rPr>
          <w:rFonts w:hint="eastAsia" w:ascii="宋体" w:hAnsi="宋体" w:eastAsia="宋体" w:cs="宋体"/>
          <w:color w:val="auto"/>
          <w:sz w:val="24"/>
          <w:highlight w:val="none"/>
        </w:rPr>
        <w:t>。</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合同履行期限：2027年4月底前完成。供应商接到供货通知2日内或按要求时限，将货物运达采购人库房并将货物卸到指定位置。</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本项目是否接受联合体投标：□是  ■否。</w:t>
      </w:r>
    </w:p>
    <w:p>
      <w:pPr>
        <w:pStyle w:val="4"/>
        <w:spacing w:before="0" w:line="360" w:lineRule="auto"/>
        <w:jc w:val="left"/>
        <w:rPr>
          <w:rFonts w:hint="eastAsia" w:ascii="宋体" w:hAnsi="宋体" w:eastAsia="宋体" w:cs="宋体"/>
          <w:color w:val="auto"/>
          <w:sz w:val="24"/>
          <w:szCs w:val="24"/>
          <w:highlight w:val="none"/>
        </w:rPr>
      </w:pPr>
      <w:bookmarkStart w:id="8" w:name="_Toc35393791"/>
      <w:bookmarkStart w:id="9" w:name="_Toc28359003"/>
      <w:bookmarkStart w:id="10" w:name="_Toc28359080"/>
      <w:bookmarkStart w:id="11" w:name="_Toc35393622"/>
      <w:r>
        <w:rPr>
          <w:rFonts w:hint="eastAsia" w:ascii="宋体" w:hAnsi="宋体" w:eastAsia="宋体" w:cs="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highlight w:val="none"/>
        </w:rPr>
      </w:pPr>
      <w:bookmarkStart w:id="12" w:name="_Toc28359004"/>
      <w:bookmarkStart w:id="13" w:name="_Toc28359081"/>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本项目不专门面向中小企业预留采购份额。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本项目专门面向</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中小□小微企业采购</w:t>
      </w:r>
      <w:r>
        <w:rPr>
          <w:rFonts w:hint="eastAsia" w:ascii="宋体" w:hAnsi="宋体" w:eastAsia="宋体" w:cs="宋体"/>
          <w:color w:val="auto"/>
          <w:sz w:val="24"/>
          <w:highlight w:val="none"/>
        </w:rPr>
        <w:t>。即：提供的货物全部由符合政策要求的中小企业制造。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_。</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1）单位负责人为同一人或者存在控股、管理关系的不同单位，不得同时参加</w:t>
      </w:r>
      <w:r>
        <w:rPr>
          <w:rFonts w:hint="eastAsia" w:ascii="宋体" w:hAnsi="宋体" w:eastAsia="宋体" w:cs="宋体"/>
          <w:color w:val="auto"/>
          <w:sz w:val="24"/>
          <w:highlight w:val="none"/>
          <w:lang w:val="en-US" w:eastAsia="zh-CN"/>
        </w:rPr>
        <w:t>同一标段</w:t>
      </w:r>
      <w:r>
        <w:rPr>
          <w:rFonts w:hint="eastAsia" w:ascii="宋体" w:hAnsi="宋体" w:eastAsia="宋体" w:cs="宋体"/>
          <w:color w:val="auto"/>
          <w:sz w:val="24"/>
          <w:highlight w:val="none"/>
        </w:rPr>
        <w:t>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eastAsia="宋体" w:cs="宋体"/>
          <w:color w:val="auto"/>
          <w:sz w:val="24"/>
          <w:highlight w:val="none"/>
        </w:rPr>
      </w:pPr>
      <w:bookmarkStart w:id="14" w:name="_Hlk192493146"/>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具有农业农村部门颁发的兽药生产许可证。</w:t>
      </w:r>
    </w:p>
    <w:p>
      <w:pPr>
        <w:spacing w:line="360" w:lineRule="auto"/>
        <w:ind w:left="1077" w:leftChars="51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②投标人须具备所投各疫苗品种(毒株)的有效兽药产品批准文号（涉及农业农村部统一变更某产品名称和毒株的，变更后的产品批准文号文件同样有效）。</w:t>
      </w:r>
    </w:p>
    <w:p>
      <w:pPr>
        <w:spacing w:line="360" w:lineRule="auto"/>
        <w:ind w:left="1048" w:leftChars="499"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具有农业农村部门颁发的中华人民共和国兽药GMP证书。</w:t>
      </w:r>
    </w:p>
    <w:bookmarkEnd w:id="12"/>
    <w:bookmarkEnd w:id="13"/>
    <w:bookmarkEnd w:id="14"/>
    <w:p>
      <w:pPr>
        <w:pStyle w:val="4"/>
        <w:widowControl/>
        <w:spacing w:before="0" w:line="360" w:lineRule="auto"/>
        <w:jc w:val="left"/>
        <w:rPr>
          <w:rFonts w:hint="eastAsia" w:ascii="宋体" w:hAnsi="宋体" w:eastAsia="宋体" w:cs="宋体"/>
          <w:color w:val="auto"/>
          <w:sz w:val="24"/>
          <w:szCs w:val="24"/>
          <w:highlight w:val="none"/>
        </w:rPr>
      </w:pPr>
      <w:bookmarkStart w:id="15" w:name="_Toc35393792"/>
      <w:bookmarkStart w:id="16" w:name="_Toc35393623"/>
      <w:r>
        <w:rPr>
          <w:rFonts w:hint="eastAsia" w:ascii="宋体" w:hAnsi="宋体" w:eastAsia="宋体" w:cs="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日8：</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0至202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16</w:t>
      </w:r>
      <w:r>
        <w:rPr>
          <w:rFonts w:hint="eastAsia" w:ascii="宋体" w:hAnsi="宋体" w:eastAsia="宋体" w:cs="宋体"/>
          <w:color w:val="auto"/>
          <w:sz w:val="24"/>
          <w:highlight w:val="none"/>
          <w:u w:val="single"/>
        </w:rPr>
        <w:t>：00_</w:t>
      </w:r>
      <w:r>
        <w:rPr>
          <w:rFonts w:hint="eastAsia" w:ascii="宋体" w:hAnsi="宋体" w:eastAsia="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pPr>
        <w:pStyle w:val="4"/>
        <w:widowControl/>
        <w:spacing w:before="0" w:line="360" w:lineRule="auto"/>
        <w:jc w:val="left"/>
        <w:rPr>
          <w:rFonts w:hint="eastAsia" w:ascii="宋体" w:hAnsi="宋体" w:eastAsia="宋体" w:cs="宋体"/>
          <w:color w:val="auto"/>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投标截止时间、开标时间：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月</w:t>
      </w:r>
      <w:r>
        <w:rPr>
          <w:rFonts w:hint="eastAsia" w:ascii="宋体" w:hAnsi="宋体" w:cs="宋体"/>
          <w:b/>
          <w:bCs/>
          <w:color w:val="auto"/>
          <w:sz w:val="24"/>
          <w:highlight w:val="none"/>
          <w:u w:val="single"/>
          <w:lang w:val="en-US" w:eastAsia="zh-CN"/>
        </w:rPr>
        <w:t>7</w:t>
      </w:r>
      <w:r>
        <w:rPr>
          <w:rFonts w:hint="eastAsia" w:ascii="宋体" w:hAnsi="宋体" w:eastAsia="宋体" w:cs="宋体"/>
          <w:b/>
          <w:bCs/>
          <w:color w:val="auto"/>
          <w:sz w:val="24"/>
          <w:highlight w:val="none"/>
          <w:u w:val="single"/>
        </w:rPr>
        <w:t>日09点30分</w:t>
      </w:r>
      <w:r>
        <w:rPr>
          <w:rFonts w:hint="eastAsia" w:ascii="宋体" w:hAnsi="宋体" w:eastAsia="宋体" w:cs="宋体"/>
          <w:b/>
          <w:bCs/>
          <w:color w:val="auto"/>
          <w:sz w:val="24"/>
          <w:highlight w:val="none"/>
        </w:rPr>
        <w:t>（北京时间）</w:t>
      </w:r>
      <w:r>
        <w:rPr>
          <w:rFonts w:hint="eastAsia" w:ascii="宋体" w:hAnsi="宋体" w:eastAsia="宋体" w:cs="宋体"/>
          <w:b/>
          <w:bCs/>
          <w:iCs/>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地点：北京市政府采购电子交易平台</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方式：供应商持CA数字认证证书或电子营业执照登录北京市政府采购电子交易平台（http://zbcg-bjzc.zhongcy.com/bjczj-portal-site/index.htmL#/home）参与电子开标。</w:t>
      </w:r>
    </w:p>
    <w:p>
      <w:pPr>
        <w:pStyle w:val="4"/>
        <w:spacing w:before="0" w:line="360" w:lineRule="auto"/>
        <w:jc w:val="left"/>
        <w:rPr>
          <w:rFonts w:hint="eastAsia" w:ascii="宋体" w:hAnsi="宋体" w:eastAsia="宋体" w:cs="宋体"/>
          <w:color w:val="auto"/>
          <w:sz w:val="24"/>
          <w:szCs w:val="24"/>
          <w:highlight w:val="none"/>
        </w:rPr>
      </w:pPr>
      <w:bookmarkStart w:id="21" w:name="_Toc35393625"/>
      <w:bookmarkStart w:id="22" w:name="_Toc28359084"/>
      <w:bookmarkStart w:id="23" w:name="_Toc28359007"/>
      <w:bookmarkStart w:id="24" w:name="_Toc35393794"/>
      <w:r>
        <w:rPr>
          <w:rFonts w:hint="eastAsia" w:ascii="宋体" w:hAnsi="宋体" w:eastAsia="宋体" w:cs="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pPr>
        <w:pStyle w:val="4"/>
        <w:spacing w:before="0" w:line="360" w:lineRule="auto"/>
        <w:jc w:val="left"/>
        <w:rPr>
          <w:rFonts w:hint="eastAsia" w:ascii="宋体" w:hAnsi="宋体" w:eastAsia="宋体" w:cs="宋体"/>
          <w:color w:val="auto"/>
          <w:sz w:val="24"/>
          <w:szCs w:val="24"/>
          <w:highlight w:val="none"/>
        </w:rPr>
      </w:pPr>
      <w:bookmarkStart w:id="25" w:name="_Toc35393626"/>
      <w:bookmarkStart w:id="26" w:name="_Toc35393795"/>
      <w:r>
        <w:rPr>
          <w:rFonts w:hint="eastAsia" w:ascii="宋体" w:hAnsi="宋体" w:eastAsia="宋体" w:cs="宋体"/>
          <w:color w:val="auto"/>
          <w:sz w:val="24"/>
          <w:szCs w:val="24"/>
          <w:highlight w:val="none"/>
        </w:rPr>
        <w:t>六、其他补充事宜</w:t>
      </w:r>
      <w:bookmarkEnd w:id="25"/>
      <w:bookmarkEnd w:id="26"/>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2.本项目采用</w:t>
      </w:r>
      <w:r>
        <w:rPr>
          <w:rFonts w:hint="eastAsia" w:ascii="宋体" w:hAnsi="宋体" w:eastAsia="宋体" w:cs="宋体"/>
          <w:b/>
          <w:bCs/>
          <w:color w:val="auto"/>
          <w:sz w:val="24"/>
          <w:highlight w:val="none"/>
        </w:rPr>
        <w:t>全流程电子化采购方式</w:t>
      </w:r>
      <w:r>
        <w:rPr>
          <w:rFonts w:hint="eastAsia" w:ascii="宋体" w:hAnsi="宋体" w:eastAsia="宋体" w:cs="宋体"/>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宋体" w:hAnsi="宋体" w:eastAsia="宋体" w:cs="宋体"/>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3.2注册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 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3.5编制电子投标文件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投标人应使用电子投标客户端编制电子投标文件并进行线上投标，投标人电子投标文件需要加密并加盖电子签章</w:t>
      </w:r>
      <w:r>
        <w:rPr>
          <w:rFonts w:hint="eastAsia" w:ascii="宋体" w:hAnsi="宋体" w:eastAsia="宋体" w:cs="宋体"/>
          <w:bCs/>
          <w:color w:val="auto"/>
          <w:sz w:val="24"/>
          <w:highlight w:val="none"/>
        </w:rPr>
        <w:t>，如无法按照要求在电子投标文件中加盖电子签章和加密，请及时通过技术支持服务热线联系技术人员</w:t>
      </w:r>
      <w:r>
        <w:rPr>
          <w:rFonts w:hint="eastAsia" w:ascii="宋体" w:hAnsi="宋体" w:eastAsia="宋体" w:cs="宋体"/>
          <w:color w:val="auto"/>
          <w:sz w:val="24"/>
          <w:highlight w:val="none"/>
        </w:rPr>
        <w:t>。</w:t>
      </w:r>
    </w:p>
    <w:p>
      <w:pPr>
        <w:widowControl/>
        <w:spacing w:line="360" w:lineRule="auto"/>
        <w:ind w:firstLine="480" w:firstLineChars="200"/>
        <w:jc w:val="left"/>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lang w:val="zh-TW" w:eastAsia="zh-TW"/>
        </w:rPr>
        <w:t>3.6</w:t>
      </w:r>
      <w:r>
        <w:rPr>
          <w:rFonts w:hint="eastAsia" w:ascii="宋体" w:hAnsi="宋体" w:eastAsia="宋体" w:cs="宋体"/>
          <w:color w:val="auto"/>
          <w:sz w:val="24"/>
          <w:highlight w:val="none"/>
          <w:lang w:val="zh-TW"/>
        </w:rPr>
        <w:t>提交电子投标文件</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投标人应于</w:t>
      </w:r>
      <w:r>
        <w:rPr>
          <w:rFonts w:hint="eastAsia" w:ascii="宋体" w:hAnsi="宋体" w:eastAsia="宋体" w:cs="宋体"/>
          <w:b/>
          <w:bCs/>
          <w:color w:val="auto"/>
          <w:sz w:val="24"/>
          <w:highlight w:val="none"/>
        </w:rPr>
        <w:t>投标截止时间前</w:t>
      </w:r>
      <w:r>
        <w:rPr>
          <w:rFonts w:hint="eastAsia" w:ascii="宋体" w:hAnsi="宋体" w:eastAsia="宋体" w:cs="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eastAsia="宋体" w:cs="宋体"/>
          <w:b/>
          <w:color w:val="auto"/>
          <w:sz w:val="24"/>
          <w:highlight w:val="none"/>
          <w:lang w:eastAsia="zh-TW"/>
        </w:rPr>
      </w:pPr>
      <w:r>
        <w:rPr>
          <w:rFonts w:hint="eastAsia" w:ascii="宋体" w:hAnsi="宋体" w:eastAsia="宋体" w:cs="宋体"/>
          <w:b/>
          <w:color w:val="auto"/>
          <w:sz w:val="24"/>
          <w:highlight w:val="none"/>
          <w:lang w:val="zh-TW"/>
        </w:rPr>
        <w:t>3.</w:t>
      </w:r>
      <w:r>
        <w:rPr>
          <w:rFonts w:hint="eastAsia" w:ascii="宋体" w:hAnsi="宋体" w:eastAsia="宋体" w:cs="宋体"/>
          <w:b/>
          <w:color w:val="auto"/>
          <w:sz w:val="24"/>
          <w:highlight w:val="none"/>
          <w:lang w:val="zh-TW" w:eastAsia="zh-TW"/>
        </w:rPr>
        <w:t>7</w:t>
      </w:r>
      <w:r>
        <w:rPr>
          <w:rFonts w:hint="eastAsia" w:ascii="宋体" w:hAnsi="宋体" w:eastAsia="宋体" w:cs="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eastAsia="zh-TW" w:bidi="ar"/>
        </w:rPr>
      </w:pPr>
      <w:r>
        <w:rPr>
          <w:rFonts w:hint="eastAsia" w:ascii="宋体" w:hAnsi="宋体" w:eastAsia="宋体" w:cs="宋体"/>
          <w:b/>
          <w:bCs/>
          <w:color w:val="auto"/>
          <w:sz w:val="24"/>
          <w:highlight w:val="none"/>
          <w:lang w:val="zh-TW" w:eastAsia="zh-TW" w:bidi="ar"/>
        </w:rPr>
        <w:t>3.7.1</w:t>
      </w:r>
      <w:r>
        <w:rPr>
          <w:rFonts w:hint="eastAsia" w:ascii="宋体" w:hAnsi="宋体" w:eastAsia="宋体" w:cs="宋体"/>
          <w:b/>
          <w:bCs/>
          <w:color w:val="auto"/>
          <w:sz w:val="24"/>
          <w:highlight w:val="none"/>
          <w:lang w:val="zh-TW" w:bidi="ar"/>
        </w:rPr>
        <w:t>投标人可以远程使用</w:t>
      </w:r>
      <w:r>
        <w:rPr>
          <w:rFonts w:hint="eastAsia" w:ascii="宋体" w:hAnsi="宋体" w:eastAsia="宋体" w:cs="宋体"/>
          <w:b/>
          <w:bCs/>
          <w:color w:val="auto"/>
          <w:sz w:val="24"/>
          <w:highlight w:val="none"/>
          <w:lang w:val="zh-TW" w:eastAsia="zh-TW" w:bidi="ar"/>
        </w:rPr>
        <w:t>CA</w:t>
      </w:r>
      <w:r>
        <w:rPr>
          <w:rFonts w:hint="eastAsia" w:ascii="宋体" w:hAnsi="宋体" w:eastAsia="宋体" w:cs="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3</w:t>
      </w:r>
      <w:r>
        <w:rPr>
          <w:rFonts w:hint="eastAsia" w:ascii="宋体" w:hAnsi="宋体" w:eastAsia="宋体" w:cs="宋体"/>
          <w:b/>
          <w:bCs/>
          <w:color w:val="auto"/>
          <w:sz w:val="24"/>
          <w:highlight w:val="none"/>
          <w:lang w:val="zh-TW" w:eastAsia="zh-TW" w:bidi="ar"/>
        </w:rPr>
        <w:t>.7.2</w:t>
      </w:r>
      <w:r>
        <w:rPr>
          <w:rFonts w:hint="eastAsia" w:ascii="宋体" w:hAnsi="宋体" w:eastAsia="宋体" w:cs="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4"/>
        <w:spacing w:before="0" w:line="360" w:lineRule="auto"/>
        <w:jc w:val="left"/>
        <w:rPr>
          <w:rFonts w:hint="eastAsia" w:ascii="宋体" w:hAnsi="宋体" w:eastAsia="宋体" w:cs="宋体"/>
          <w:color w:val="auto"/>
          <w:sz w:val="24"/>
          <w:szCs w:val="24"/>
          <w:highlight w:val="none"/>
        </w:rPr>
      </w:pPr>
      <w:bookmarkStart w:id="27" w:name="_Toc35393627"/>
      <w:bookmarkStart w:id="28" w:name="_Toc35393796"/>
      <w:bookmarkStart w:id="29" w:name="_Toc28359085"/>
      <w:bookmarkStart w:id="30" w:name="_Toc28359008"/>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spacing w:line="360" w:lineRule="auto"/>
        <w:ind w:left="1079" w:leftChars="371" w:hanging="300" w:hangingChars="125"/>
        <w:jc w:val="left"/>
        <w:rPr>
          <w:rFonts w:hint="eastAsia" w:ascii="宋体" w:hAnsi="宋体" w:eastAsia="宋体" w:cs="宋体"/>
          <w:color w:val="auto"/>
          <w:sz w:val="24"/>
          <w:highlight w:val="none"/>
        </w:rPr>
      </w:pPr>
      <w:bookmarkStart w:id="31" w:name="_Hlk192493199"/>
      <w:bookmarkStart w:id="32" w:name="_Toc28359009"/>
      <w:bookmarkStart w:id="33" w:name="_Toc28359086"/>
      <w:r>
        <w:rPr>
          <w:rFonts w:hint="eastAsia" w:ascii="宋体" w:hAnsi="宋体" w:eastAsia="宋体" w:cs="宋体"/>
          <w:color w:val="auto"/>
          <w:sz w:val="24"/>
          <w:highlight w:val="none"/>
        </w:rPr>
        <w:t>名    称：</w:t>
      </w:r>
      <w:bookmarkStart w:id="34" w:name="OLE_LINK56"/>
      <w:r>
        <w:rPr>
          <w:rFonts w:hint="eastAsia" w:ascii="宋体" w:hAnsi="宋体" w:eastAsia="宋体" w:cs="宋体"/>
          <w:color w:val="auto"/>
          <w:sz w:val="24"/>
          <w:highlight w:val="none"/>
          <w:u w:val="single"/>
        </w:rPr>
        <w:t>北京市动物疫病预防控制中心</w:t>
      </w:r>
      <w:bookmarkEnd w:id="34"/>
      <w:r>
        <w:rPr>
          <w:rFonts w:hint="eastAsia" w:ascii="宋体" w:hAnsi="宋体" w:eastAsia="宋体" w:cs="宋体"/>
          <w:color w:val="auto"/>
          <w:sz w:val="24"/>
          <w:highlight w:val="none"/>
          <w:u w:val="single"/>
        </w:rPr>
        <w:t xml:space="preserve">  _</w:t>
      </w:r>
    </w:p>
    <w:p>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35" w:name="OLE_LINK5"/>
      <w:r>
        <w:rPr>
          <w:rFonts w:hint="eastAsia" w:ascii="宋体" w:hAnsi="宋体" w:eastAsia="宋体" w:cs="宋体"/>
          <w:color w:val="auto"/>
          <w:sz w:val="24"/>
          <w:highlight w:val="none"/>
          <w:u w:val="single"/>
        </w:rPr>
        <w:t>北京市大兴区祥瑞大街19号</w:t>
      </w:r>
      <w:bookmarkEnd w:id="35"/>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End w:id="31"/>
      <w:r>
        <w:rPr>
          <w:rFonts w:hint="eastAsia" w:ascii="宋体" w:hAnsi="宋体" w:eastAsia="宋体" w:cs="宋体"/>
          <w:color w:val="auto"/>
          <w:sz w:val="24"/>
          <w:highlight w:val="none"/>
          <w:u w:val="single"/>
        </w:rPr>
        <w:t>010-60275513</w:t>
      </w:r>
    </w:p>
    <w:p>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eastAsia="宋体" w:cs="宋体"/>
          <w:color w:val="auto"/>
          <w:sz w:val="24"/>
          <w:highlight w:val="none"/>
        </w:rPr>
      </w:pPr>
      <w:bookmarkStart w:id="36" w:name="_Toc28359087"/>
      <w:bookmarkStart w:id="37" w:name="_Toc28359010"/>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北京国泰建中管理咨询有限公司__</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bookmarkStart w:id="38" w:name="OLE_LINK4"/>
      <w:r>
        <w:rPr>
          <w:rFonts w:hint="eastAsia" w:ascii="宋体" w:hAnsi="宋体" w:eastAsia="宋体" w:cs="宋体"/>
          <w:color w:val="auto"/>
          <w:sz w:val="24"/>
          <w:highlight w:val="none"/>
          <w:u w:val="single"/>
        </w:rPr>
        <w:t>北京市海淀区成府路270号中科科仪院内6号楼3层</w:t>
      </w:r>
      <w:bookmarkEnd w:id="38"/>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Start w:id="39" w:name="OLE_LINK7"/>
      <w:bookmarkStart w:id="40" w:name="OLE_LINK6"/>
      <w:r>
        <w:rPr>
          <w:rFonts w:hint="eastAsia" w:ascii="宋体" w:hAnsi="宋体" w:eastAsia="宋体" w:cs="宋体"/>
          <w:color w:val="auto"/>
          <w:sz w:val="24"/>
          <w:highlight w:val="none"/>
          <w:u w:val="single"/>
        </w:rPr>
        <w:t>010-68001293/68001559</w:t>
      </w:r>
      <w:bookmarkEnd w:id="39"/>
      <w:r>
        <w:rPr>
          <w:rFonts w:hint="eastAsia" w:ascii="宋体" w:hAnsi="宋体" w:eastAsia="宋体" w:cs="宋体"/>
          <w:color w:val="auto"/>
          <w:sz w:val="24"/>
          <w:highlight w:val="none"/>
          <w:u w:val="single"/>
        </w:rPr>
        <w:t xml:space="preserve"> </w:t>
      </w:r>
      <w:bookmarkEnd w:id="40"/>
    </w:p>
    <w:p>
      <w:pPr>
        <w:spacing w:line="360" w:lineRule="auto"/>
        <w:ind w:firstLine="723" w:firstLineChars="3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6"/>
      <w:bookmarkEnd w:id="37"/>
    </w:p>
    <w:p>
      <w:pPr>
        <w:pStyle w:val="23"/>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highlight w:val="none"/>
          <w:u w:val="single"/>
        </w:rPr>
        <w:t>于元惠、张敏、杜子一、张伟</w:t>
      </w:r>
    </w:p>
    <w:p>
      <w:pPr>
        <w:pStyle w:val="23"/>
        <w:spacing w:line="360" w:lineRule="auto"/>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010-68001293/68001559 </w:t>
      </w:r>
    </w:p>
    <w:p>
      <w:pPr>
        <w:pStyle w:val="23"/>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1" w:name="_Toc150774783"/>
      <w:bookmarkStart w:id="42" w:name="_Toc305158854"/>
      <w:bookmarkStart w:id="43" w:name="_Toc264969275"/>
      <w:bookmarkStart w:id="44" w:name="_Toc192872476"/>
      <w:bookmarkStart w:id="45" w:name="_Toc512937850"/>
      <w:bookmarkStart w:id="46" w:name="_Toc353825548"/>
      <w:bookmarkStart w:id="47" w:name="_Toc127151777"/>
      <w:bookmarkStart w:id="48" w:name="_Toc127161488"/>
      <w:bookmarkStart w:id="49" w:name="_Toc226965856"/>
      <w:bookmarkStart w:id="50" w:name="_Toc265228423"/>
      <w:bookmarkStart w:id="51" w:name="_Toc195842950"/>
      <w:bookmarkStart w:id="52" w:name="_Toc305158928"/>
      <w:bookmarkStart w:id="53" w:name="_Toc353873938"/>
      <w:r>
        <w:rPr>
          <w:rFonts w:hint="eastAsia" w:ascii="宋体" w:hAnsi="宋体" w:eastAsia="宋体" w:cs="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宋体" w:hAnsi="宋体" w:eastAsia="宋体" w:cs="宋体"/>
          <w:color w:val="auto"/>
          <w:sz w:val="28"/>
          <w:highlight w:val="none"/>
        </w:rPr>
      </w:pPr>
      <w:bookmarkStart w:id="54" w:name="_Toc127151519"/>
      <w:bookmarkStart w:id="55" w:name="_Toc151193833"/>
      <w:bookmarkStart w:id="56" w:name="_Toc520356144"/>
      <w:bookmarkStart w:id="57" w:name="_Toc164229360"/>
      <w:bookmarkStart w:id="58" w:name="_Toc150480757"/>
      <w:bookmarkStart w:id="59" w:name="_Toc164351613"/>
      <w:bookmarkStart w:id="60" w:name="_Toc151190146"/>
      <w:bookmarkStart w:id="61" w:name="_Toc226337215"/>
      <w:bookmarkStart w:id="62" w:name="_Toc164608788"/>
      <w:bookmarkStart w:id="63" w:name="_Toc149720812"/>
      <w:bookmarkStart w:id="64" w:name="_Toc150774619"/>
      <w:bookmarkStart w:id="65" w:name="_Toc226965709"/>
      <w:bookmarkStart w:id="66" w:name="_Toc151193617"/>
      <w:bookmarkStart w:id="67" w:name="_Toc142311021"/>
      <w:bookmarkStart w:id="68" w:name="_Toc151193689"/>
      <w:bookmarkStart w:id="69" w:name="_Toc150509270"/>
      <w:bookmarkStart w:id="70" w:name="_Toc127161433"/>
      <w:bookmarkStart w:id="71" w:name="_Toc164608633"/>
      <w:bookmarkStart w:id="72" w:name="_Toc151193761"/>
      <w:bookmarkStart w:id="73" w:name="_Toc164229214"/>
      <w:bookmarkStart w:id="74" w:name="_Toc195842884"/>
      <w:bookmarkStart w:id="75" w:name="_Toc150774724"/>
      <w:bookmarkStart w:id="76" w:name="_Toc151193907"/>
      <w:bookmarkStart w:id="77" w:name="_Toc226309763"/>
      <w:bookmarkStart w:id="78" w:name="_Toc226965792"/>
      <w:bookmarkStart w:id="79" w:name="_Toc127151720"/>
      <w:r>
        <w:rPr>
          <w:rFonts w:hint="eastAsia" w:ascii="宋体" w:hAnsi="宋体" w:eastAsia="宋体" w:cs="宋体"/>
          <w:color w:val="auto"/>
          <w:sz w:val="28"/>
          <w:highlight w:val="none"/>
        </w:rPr>
        <w:t>投标人须知资料表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本表是对投标人须知的具体补充和修改，如有矛盾，均以本资料表为准。标记“</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512"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6609"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是否属于科研仪器设备采购项目：</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p>
        </w:tc>
        <w:tc>
          <w:tcPr>
            <w:tcW w:w="6609" w:type="dxa"/>
            <w:vAlign w:val="center"/>
          </w:tcPr>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关于核心产品本项目不适用。</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本项目本包次为单一产品采购项目。</w:t>
            </w:r>
          </w:p>
          <w:p>
            <w:pPr>
              <w:adjustRightInd w:val="0"/>
              <w:snapToGrid w:val="0"/>
              <w:spacing w:after="0" w:line="360" w:lineRule="auto"/>
              <w:rPr>
                <w:rFonts w:hint="eastAsia" w:ascii="宋体" w:hAnsi="宋体" w:eastAsia="宋体" w:cs="宋体"/>
                <w:b/>
                <w:bCs/>
                <w:color w:val="auto"/>
                <w:sz w:val="24"/>
                <w:highlight w:val="none"/>
                <w:lang w:eastAsia="zh-CN"/>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本包次为非单一产品采购项目，</w:t>
            </w:r>
            <w:r>
              <w:rPr>
                <w:rFonts w:hint="eastAsia" w:ascii="宋体" w:hAnsi="宋体" w:eastAsia="宋体" w:cs="宋体"/>
                <w:b/>
                <w:bCs/>
                <w:color w:val="auto"/>
                <w:sz w:val="24"/>
                <w:highlight w:val="none"/>
              </w:rPr>
              <w:t>核心产品为：</w:t>
            </w:r>
            <w:r>
              <w:rPr>
                <w:rFonts w:hint="eastAsia" w:ascii="宋体" w:hAnsi="宋体" w:eastAsia="宋体" w:cs="宋体"/>
                <w:b/>
                <w:bCs/>
                <w:color w:val="auto"/>
                <w:sz w:val="24"/>
                <w:highlight w:val="none"/>
                <w:u w:val="single"/>
                <w:lang w:val="en-US" w:eastAsia="zh-CN"/>
              </w:rPr>
              <w:t>口蹄疫O型、A型二价灭活疫苗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不组织</w:t>
            </w:r>
          </w:p>
          <w:p>
            <w:pPr>
              <w:adjustRightInd w:val="0"/>
              <w:snapToGrid w:val="0"/>
              <w:spacing w:after="0" w:line="360" w:lineRule="auto"/>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□组织，考察时间：__年_月_日_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不召开</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□召开，召开时间：__年_月_日_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投标样品递交：</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6609" w:type="dxa"/>
            <w:vAlign w:val="center"/>
          </w:tcPr>
          <w:p>
            <w:pPr>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1"/>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342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lef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标的名称</w:t>
                  </w:r>
                </w:p>
              </w:tc>
              <w:tc>
                <w:tcPr>
                  <w:tcW w:w="2990" w:type="dxa"/>
                  <w:tcBorders>
                    <w:top w:val="single" w:color="auto" w:sz="4" w:space="0"/>
                    <w:left w:val="single" w:color="auto" w:sz="4" w:space="0"/>
                    <w:bottom w:val="single" w:color="auto" w:sz="4" w:space="0"/>
                    <w:right w:val="single" w:color="auto" w:sz="4" w:space="0"/>
                  </w:tcBorders>
                  <w:vAlign w:val="center"/>
                </w:tcPr>
                <w:p>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421"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口蹄疫O型、A型二价灭活疫苗</w:t>
                  </w:r>
                </w:p>
                <w:p>
                  <w:pPr>
                    <w:spacing w:after="0" w:line="240" w:lineRule="atLeas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口蹄疫O型灭活疫苗</w:t>
                  </w:r>
                </w:p>
              </w:tc>
              <w:tc>
                <w:tcPr>
                  <w:tcW w:w="2990" w:type="dxa"/>
                  <w:tcBorders>
                    <w:top w:val="single" w:color="auto" w:sz="4" w:space="0"/>
                    <w:left w:val="single" w:color="auto" w:sz="4" w:space="0"/>
                    <w:bottom w:val="single" w:color="auto" w:sz="4" w:space="0"/>
                    <w:right w:val="single" w:color="auto" w:sz="4" w:space="0"/>
                  </w:tcBorders>
                  <w:vAlign w:val="center"/>
                </w:tcPr>
                <w:p>
                  <w:pPr>
                    <w:spacing w:after="0" w:line="240" w:lineRule="atLeas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工业（制造业）</w:t>
                  </w:r>
                </w:p>
              </w:tc>
            </w:tr>
          </w:tbl>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512" w:type="dxa"/>
            <w:vMerge w:val="restart"/>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本项目不收取保证金）</w:t>
            </w:r>
          </w:p>
        </w:tc>
        <w:tc>
          <w:tcPr>
            <w:tcW w:w="6609" w:type="dxa"/>
            <w:vAlign w:val="center"/>
          </w:tcPr>
          <w:p>
            <w:pPr>
              <w:pStyle w:val="23"/>
              <w:adjustRightInd w:val="0"/>
              <w:snapToGrid w:val="0"/>
              <w:spacing w:after="0"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szCs w:val="24"/>
                <w:highlight w:val="none"/>
              </w:rPr>
              <w:t>投标保证金金额：</w:t>
            </w:r>
            <w:r>
              <w:rPr>
                <w:rFonts w:hint="eastAsia" w:hAnsi="宋体" w:cs="宋体"/>
                <w:b/>
                <w:bCs/>
                <w:color w:val="auto"/>
                <w:sz w:val="24"/>
                <w:szCs w:val="24"/>
                <w:highlight w:val="none"/>
                <w:u w:val="single"/>
                <w:lang w:val="en-US" w:eastAsia="zh-CN"/>
              </w:rPr>
              <w:t>/</w:t>
            </w:r>
            <w:r>
              <w:rPr>
                <w:rFonts w:hint="eastAsia" w:ascii="宋体" w:hAnsi="宋体" w:eastAsia="宋体" w:cs="宋体"/>
                <w:b/>
                <w:bCs/>
                <w:color w:val="auto"/>
                <w:sz w:val="24"/>
                <w:highlight w:val="none"/>
                <w:u w:val="single"/>
              </w:rPr>
              <w:t>元</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投标保证金收受人信息：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招标代理机构银行账户信息：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：531902429310101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投标保证金可以不予退还的其他情形：</w:t>
            </w:r>
          </w:p>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r>
              <w:rPr>
                <w:rFonts w:hint="eastAsia" w:ascii="宋体" w:hAnsi="宋体" w:eastAsia="宋体" w:cs="宋体"/>
                <w:color w:val="auto"/>
                <w:sz w:val="24"/>
                <w:szCs w:val="24"/>
                <w:highlight w:val="none"/>
                <w:u w:val="single"/>
              </w:rPr>
              <w:t xml:space="preserve"> 详见投标人须知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自提交投标文件的截止之日起算</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5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6609" w:type="dxa"/>
            <w:vAlign w:val="center"/>
          </w:tcPr>
          <w:p>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解密时间：</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分钟</w:t>
            </w:r>
            <w:r>
              <w:rPr>
                <w:rFonts w:hint="eastAsia" w:ascii="宋体" w:hAnsi="宋体" w:eastAsia="宋体" w:cs="宋体"/>
                <w:i/>
                <w:iCs/>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512" w:type="dxa"/>
            <w:vAlign w:val="center"/>
          </w:tcPr>
          <w:p>
            <w:pPr>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6609" w:type="dxa"/>
            <w:vAlign w:val="center"/>
          </w:tcPr>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中标候选人并列的，采购人是否委托评标委员会确定中标人：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p>
            <w:pPr>
              <w:pStyle w:val="23"/>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中标候选人并列的，按照以下方式确定中标人：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■得分且投标报价均相同的，以</w:t>
            </w:r>
            <w:r>
              <w:rPr>
                <w:rFonts w:hint="eastAsia" w:ascii="宋体" w:hAnsi="宋体" w:eastAsia="宋体" w:cs="宋体"/>
                <w:color w:val="auto"/>
                <w:sz w:val="24"/>
                <w:highlight w:val="none"/>
                <w:u w:val="single"/>
              </w:rPr>
              <w:t xml:space="preserve"> 评审因素的量化指标评审 </w:t>
            </w:r>
            <w:r>
              <w:rPr>
                <w:rFonts w:hint="eastAsia" w:ascii="宋体" w:hAnsi="宋体" w:eastAsia="宋体" w:cs="宋体"/>
                <w:color w:val="auto"/>
                <w:sz w:val="24"/>
                <w:highlight w:val="none"/>
              </w:rPr>
              <w:t>得分高者为中标人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25.5</w:t>
            </w:r>
          </w:p>
        </w:tc>
        <w:tc>
          <w:tcPr>
            <w:tcW w:w="1512" w:type="dxa"/>
            <w:vAlign w:val="center"/>
          </w:tcPr>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分包</w:t>
            </w:r>
          </w:p>
        </w:tc>
        <w:tc>
          <w:tcPr>
            <w:tcW w:w="6609" w:type="dxa"/>
            <w:vAlign w:val="center"/>
          </w:tcPr>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本项目的非主体、非关键性工作是否允许分包： </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■不允许</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□允许，具体要求：</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（1）可以分包履行的具体内容：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（2）允许分包的金额或者比例：</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（3）其他要求：</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w:t>
            </w:r>
            <w:r>
              <w:rPr>
                <w:rFonts w:hint="eastAsia" w:ascii="宋体" w:hAnsi="宋体" w:eastAsia="宋体" w:cs="宋体"/>
                <w:color w:val="auto"/>
                <w:sz w:val="24"/>
                <w:highlight w:val="none"/>
                <w:u w:val="single"/>
              </w:rPr>
              <w:t>Word版、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"mailto:盖章后电子版均需发电子邮箱至bjgtjz@126.com/"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sz w:val="24"/>
                <w:highlight w:val="none"/>
              </w:rPr>
              <w:t>盖章后电子版均需发电子邮箱至bjgtjz@126.com/</w:t>
            </w:r>
            <w:r>
              <w:rPr>
                <w:rStyle w:val="55"/>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w:t>
            </w:r>
            <w:r>
              <w:rPr>
                <w:rFonts w:hint="eastAsia" w:ascii="宋体" w:hAnsi="宋体" w:eastAsia="宋体" w:cs="宋体"/>
                <w:color w:val="auto"/>
                <w:sz w:val="24"/>
                <w:highlight w:val="none"/>
                <w:u w:val="single"/>
              </w:rPr>
              <w:t xml:space="preserve"> 招标部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010-68001293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北京市海淀区成府路270号中科科仪院内6号楼3层</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收费标准：</w:t>
            </w:r>
            <w:r>
              <w:rPr>
                <w:rFonts w:hint="eastAsia" w:ascii="宋体" w:hAnsi="宋体" w:eastAsia="宋体" w:cs="宋体"/>
                <w:color w:val="auto"/>
                <w:sz w:val="24"/>
                <w:highlight w:val="none"/>
                <w:u w:val="single"/>
              </w:rPr>
              <w:t>_详见投标人须知条款27.2__</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缴纳时间：</w:t>
            </w:r>
            <w:r>
              <w:rPr>
                <w:rFonts w:hint="eastAsia" w:ascii="宋体" w:hAnsi="宋体" w:eastAsia="宋体" w:cs="宋体"/>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eastAsia="宋体" w:cs="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bookmarkStart w:id="80" w:name="_Toc353873662"/>
      <w:bookmarkStart w:id="81" w:name="_Toc142311019"/>
      <w:bookmarkStart w:id="82" w:name="_Toc226965790"/>
      <w:bookmarkStart w:id="83" w:name="_Toc305158785"/>
      <w:bookmarkStart w:id="84" w:name="_Toc127151517"/>
      <w:bookmarkStart w:id="85" w:name="_Toc226337213"/>
      <w:bookmarkStart w:id="86" w:name="_Toc150774722"/>
      <w:bookmarkStart w:id="87" w:name="_Toc195842882"/>
      <w:bookmarkStart w:id="88" w:name="_Toc264969207"/>
      <w:bookmarkStart w:id="89" w:name="_Toc265228355"/>
      <w:bookmarkStart w:id="90" w:name="_Toc353825542"/>
      <w:bookmarkStart w:id="91" w:name="_Toc150480755"/>
      <w:bookmarkStart w:id="92" w:name="_Toc353873932"/>
      <w:bookmarkStart w:id="93" w:name="_Toc305158859"/>
      <w:r>
        <w:rPr>
          <w:rFonts w:hint="eastAsia" w:ascii="宋体" w:hAnsi="宋体" w:eastAsia="宋体" w:cs="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hint="eastAsia" w:ascii="宋体" w:hAnsi="宋体" w:eastAsia="宋体" w:cs="宋体"/>
          <w:color w:val="auto"/>
          <w:sz w:val="28"/>
          <w:highlight w:val="none"/>
        </w:rPr>
      </w:pPr>
      <w:bookmarkStart w:id="94" w:name="_Toc520356143"/>
      <w:bookmarkStart w:id="95" w:name="_Toc127151518"/>
      <w:r>
        <w:rPr>
          <w:rFonts w:hint="eastAsia" w:ascii="宋体" w:hAnsi="宋体" w:eastAsia="宋体" w:cs="宋体"/>
          <w:color w:val="auto"/>
          <w:sz w:val="28"/>
          <w:highlight w:val="none"/>
        </w:rPr>
        <w:tab/>
      </w:r>
      <w:bookmarkStart w:id="96" w:name="_Toc226337214"/>
      <w:bookmarkStart w:id="97" w:name="_Toc195842883"/>
      <w:bookmarkStart w:id="98" w:name="_Toc305158786"/>
      <w:bookmarkStart w:id="99" w:name="_Toc151193760"/>
      <w:bookmarkStart w:id="100" w:name="_Toc150774618"/>
      <w:bookmarkStart w:id="101" w:name="_Toc150774723"/>
      <w:bookmarkStart w:id="102" w:name="_Toc151190145"/>
      <w:bookmarkStart w:id="103" w:name="_Toc151193616"/>
      <w:bookmarkStart w:id="104" w:name="_Toc226309762"/>
      <w:bookmarkStart w:id="105" w:name="_Toc142311020"/>
      <w:bookmarkStart w:id="106" w:name="_Toc151193906"/>
      <w:bookmarkStart w:id="107" w:name="_Toc305158860"/>
      <w:bookmarkStart w:id="108" w:name="_Toc151193688"/>
      <w:bookmarkStart w:id="109" w:name="_Toc151193832"/>
      <w:bookmarkStart w:id="110" w:name="_Toc265228356"/>
      <w:bookmarkStart w:id="111" w:name="_Toc150509269"/>
      <w:bookmarkStart w:id="112" w:name="_Toc264969208"/>
      <w:bookmarkStart w:id="113" w:name="_Toc150480756"/>
      <w:bookmarkStart w:id="114" w:name="_Toc226965791"/>
      <w:bookmarkStart w:id="115" w:name="_Toc226965708"/>
      <w:r>
        <w:rPr>
          <w:rFonts w:hint="eastAsia" w:ascii="宋体" w:hAnsi="宋体" w:eastAsia="宋体" w:cs="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16" w:name="_Toc305158787"/>
      <w:bookmarkStart w:id="117" w:name="_Toc264969209"/>
      <w:bookmarkStart w:id="118" w:name="_Toc305158861"/>
      <w:bookmarkStart w:id="119" w:name="_Toc265228357"/>
      <w:r>
        <w:rPr>
          <w:rFonts w:hint="eastAsia" w:ascii="宋体" w:hAnsi="宋体" w:eastAsia="宋体" w:cs="宋体"/>
          <w:color w:val="auto"/>
          <w:sz w:val="24"/>
          <w:highlight w:val="none"/>
        </w:rPr>
        <w:t>采购人、采购代理机构、投标人</w:t>
      </w:r>
      <w:bookmarkEnd w:id="116"/>
      <w:bookmarkEnd w:id="117"/>
      <w:bookmarkEnd w:id="118"/>
      <w:bookmarkEnd w:id="119"/>
      <w:r>
        <w:rPr>
          <w:rFonts w:hint="eastAsia" w:ascii="宋体" w:hAnsi="宋体" w:eastAsia="宋体" w:cs="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投标人（也称“投标人”、“申请人”）：指向采购人提供货物、工程或者服务的法人、其他组织或者自然人。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20" w:name="_Toc150774725"/>
      <w:bookmarkStart w:id="121" w:name="_Toc265228358"/>
      <w:bookmarkStart w:id="122" w:name="_Toc195842885"/>
      <w:bookmarkStart w:id="123" w:name="_Toc150509271"/>
      <w:bookmarkStart w:id="124" w:name="_Toc151193908"/>
      <w:bookmarkStart w:id="125" w:name="_Toc151193834"/>
      <w:bookmarkStart w:id="126" w:name="_Toc127151721"/>
      <w:bookmarkStart w:id="127" w:name="_Toc164229361"/>
      <w:bookmarkStart w:id="128" w:name="_Toc151193762"/>
      <w:bookmarkStart w:id="129" w:name="_Toc127151520"/>
      <w:bookmarkStart w:id="130" w:name="_Toc226965793"/>
      <w:bookmarkStart w:id="131" w:name="_Toc142311022"/>
      <w:bookmarkStart w:id="132" w:name="_Toc164229215"/>
      <w:bookmarkStart w:id="133" w:name="_Toc127161434"/>
      <w:bookmarkStart w:id="134" w:name="_Toc164351614"/>
      <w:bookmarkStart w:id="135" w:name="_Toc151190147"/>
      <w:bookmarkStart w:id="136" w:name="_Toc164608789"/>
      <w:bookmarkStart w:id="137" w:name="_Toc305158788"/>
      <w:bookmarkStart w:id="138" w:name="_Toc150480758"/>
      <w:bookmarkStart w:id="139" w:name="_Toc226965710"/>
      <w:bookmarkStart w:id="140" w:name="_Toc226337216"/>
      <w:bookmarkStart w:id="141" w:name="_Toc149720813"/>
      <w:bookmarkStart w:id="142" w:name="_Toc226309764"/>
      <w:bookmarkStart w:id="143" w:name="_Toc305158862"/>
      <w:bookmarkStart w:id="144" w:name="_Toc151193690"/>
      <w:bookmarkStart w:id="145" w:name="_Toc151193618"/>
      <w:bookmarkStart w:id="146" w:name="_Toc150774620"/>
      <w:bookmarkStart w:id="147" w:name="_Toc264969210"/>
      <w:bookmarkStart w:id="148" w:name="_Toc164608634"/>
      <w:r>
        <w:rPr>
          <w:rFonts w:hint="eastAsia" w:ascii="宋体" w:hAnsi="宋体" w:eastAsia="宋体" w:cs="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8"/>
          <w:highlight w:val="none"/>
        </w:rPr>
      </w:pPr>
      <w:r>
        <w:rPr>
          <w:rFonts w:hint="eastAsia" w:ascii="宋体" w:hAnsi="宋体" w:eastAsia="宋体" w:cs="宋体"/>
          <w:color w:val="auto"/>
          <w:sz w:val="24"/>
          <w:highlight w:val="none"/>
        </w:rPr>
        <w:t>若《投标人须知资料表》中规定了组织现场考察、召开开标前答疑会，则投标人应按要求在规定的时间和地点参加。</w:t>
      </w:r>
      <w:bookmarkStart w:id="149" w:name="_Toc264969212"/>
      <w:bookmarkStart w:id="150" w:name="_Toc151193836"/>
      <w:bookmarkStart w:id="151" w:name="_Toc127151522"/>
      <w:bookmarkStart w:id="152" w:name="_Toc226337218"/>
      <w:bookmarkStart w:id="153" w:name="_Toc226965795"/>
      <w:bookmarkStart w:id="154" w:name="_Toc151193764"/>
      <w:bookmarkStart w:id="155" w:name="_Toc265228360"/>
      <w:bookmarkStart w:id="156" w:name="_Toc305158864"/>
      <w:bookmarkStart w:id="157" w:name="_Toc151193620"/>
      <w:bookmarkStart w:id="158" w:name="_Toc150774727"/>
      <w:bookmarkStart w:id="159" w:name="_Toc151193692"/>
      <w:bookmarkStart w:id="160" w:name="_Toc151193910"/>
      <w:bookmarkStart w:id="161" w:name="_Toc142311024"/>
      <w:bookmarkStart w:id="162" w:name="_Toc520356146"/>
      <w:bookmarkStart w:id="163" w:name="_Toc195842887"/>
      <w:bookmarkStart w:id="164" w:name="_Toc150509273"/>
      <w:bookmarkStart w:id="165" w:name="_Toc305158790"/>
      <w:bookmarkStart w:id="166" w:name="_Toc151190149"/>
      <w:bookmarkStart w:id="167" w:name="_Toc150774622"/>
      <w:bookmarkStart w:id="168" w:name="_Toc226309766"/>
      <w:bookmarkStart w:id="169" w:name="_Toc226965712"/>
      <w:bookmarkStart w:id="170" w:name="_Toc150480760"/>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本项目是否要求投标人提供样品，以及样品制作的标准和要求、是否需要随样品提交相关检测报告、样品的递交与退还等要求见《投标人须知资料表》。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eastAsia="宋体" w:cs="宋体"/>
          <w:color w:val="auto"/>
          <w:sz w:val="24"/>
          <w:highlight w:val="none"/>
        </w:rPr>
      </w:pPr>
      <w:bookmarkStart w:id="171" w:name="_Hlk217316762"/>
      <w:r>
        <w:rPr>
          <w:rFonts w:hint="eastAsia" w:ascii="宋体" w:hAnsi="宋体" w:eastAsia="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ascii="宋体" w:hAnsi="宋体" w:eastAsia="宋体" w:cs="宋体"/>
          <w:color w:val="auto"/>
          <w:sz w:val="24"/>
          <w:highlight w:val="none"/>
        </w:rPr>
        <w:t>，落实本国产品</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 xml:space="preserve">享受 </w:t>
      </w:r>
      <w:r>
        <w:rPr>
          <w:rFonts w:hint="eastAsia" w:ascii="宋体" w:hAnsi="宋体"/>
          <w:color w:val="auto"/>
          <w:sz w:val="24"/>
          <w:highlight w:val="none"/>
        </w:rPr>
        <w:t>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lang w:val="en-US" w:eastAsia="zh-CN"/>
        </w:rPr>
        <w:t xml:space="preserve"> </w:t>
      </w:r>
      <w:r>
        <w:rPr>
          <w:rFonts w:ascii="宋体" w:hAnsi="宋体"/>
          <w:color w:val="auto"/>
          <w:sz w:val="24"/>
          <w:highlight w:val="none"/>
        </w:rPr>
        <w:t>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288"/>
        <w:numPr>
          <w:ilvl w:val="2"/>
          <w:numId w:val="12"/>
        </w:numPr>
        <w:snapToGrid w:val="0"/>
        <w:spacing w:line="360" w:lineRule="auto"/>
        <w:ind w:firstLineChars="0"/>
        <w:rPr>
          <w:rFonts w:hint="eastAsia" w:ascii="宋体" w:hAnsi="宋体"/>
          <w:vanish/>
          <w:color w:val="auto"/>
          <w:sz w:val="24"/>
          <w:highlight w:val="none"/>
        </w:rPr>
      </w:pP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p>
      <w:pPr>
        <w:tabs>
          <w:tab w:val="left" w:pos="900"/>
          <w:tab w:val="left" w:pos="1980"/>
          <w:tab w:val="left" w:pos="2014"/>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招标文件构成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投标文件的编制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投标范围、投标文件中计量单位的使用及投标语言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投标文件构成</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投标报价</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投标保证金</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投标人应按《投标人须知资料表》中规定的金额及要求交纳投标保证金。</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投标有效期</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r>
        <w:rPr>
          <w:rFonts w:ascii="宋体" w:hAnsi="宋体"/>
          <w:b/>
          <w:color w:val="auto"/>
          <w:sz w:val="24"/>
          <w:highlight w:val="none"/>
        </w:rPr>
        <w:t>投标文件的签署、盖章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投标截止时间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投标文件的修改与撤回</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五   开标、资格审查及评标</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评标委员会</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六   确定中标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中标公告与中标通知书</w:t>
      </w:r>
    </w:p>
    <w:p>
      <w:pPr>
        <w:numPr>
          <w:ilvl w:val="1"/>
          <w:numId w:val="15"/>
        </w:numPr>
        <w:tabs>
          <w:tab w:val="left" w:pos="1080"/>
          <w:tab w:val="left" w:pos="1589"/>
          <w:tab w:val="left" w:pos="2014"/>
        </w:tabs>
        <w:snapToGrid w:val="0"/>
        <w:spacing w:after="0" w:line="360" w:lineRule="auto"/>
        <w:ind w:left="1077" w:hanging="720"/>
        <w:jc w:val="left"/>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w:t>
      </w:r>
      <w:r>
        <w:rPr>
          <w:rFonts w:hint="eastAsia" w:ascii="宋体" w:hAnsi="宋体"/>
          <w:color w:val="auto"/>
          <w:kern w:val="0"/>
          <w:sz w:val="24"/>
          <w:highlight w:val="none"/>
        </w:rPr>
        <w:t xml:space="preserve">           </w:t>
      </w:r>
      <w:r>
        <w:rPr>
          <w:rFonts w:hint="default" w:ascii="宋体" w:hAnsi="宋体"/>
          <w:color w:val="auto"/>
          <w:kern w:val="2"/>
          <w:sz w:val="24"/>
          <w:highlight w:val="none"/>
          <w:lang w:val="en-US" w:eastAsia="zh-CN"/>
        </w:rPr>
        <w:t xml:space="preserve">  </w:t>
      </w:r>
      <w:r>
        <w:rPr>
          <w:rFonts w:ascii="宋体" w:hAnsi="宋体"/>
          <w:color w:val="auto"/>
          <w:kern w:val="0"/>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项目采购采用最低评标（审）价法的，公告中标、成交结果时应当同时公告因落实政府采购政策等原因进行价格扣除后中标、成交投标人的评审报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签订合同</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eastAsia="宋体" w:cs="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olor w:val="auto"/>
          <w:sz w:val="24"/>
          <w:highlight w:val="none"/>
        </w:rPr>
        <w:t>。</w:t>
      </w:r>
    </w:p>
    <w:p>
      <w:pPr>
        <w:numPr>
          <w:ilvl w:val="0"/>
          <w:numId w:val="15"/>
        </w:numPr>
        <w:tabs>
          <w:tab w:val="left" w:pos="360"/>
          <w:tab w:val="left"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bookmarkStart w:id="172" w:name="_Toc265228392"/>
      <w:bookmarkStart w:id="173" w:name="_Toc226965827"/>
      <w:bookmarkStart w:id="174" w:name="_Toc353873664"/>
      <w:bookmarkStart w:id="175" w:name="_Toc226337250"/>
      <w:bookmarkStart w:id="176" w:name="_Toc353873934"/>
      <w:bookmarkStart w:id="177" w:name="_Toc142311056"/>
      <w:bookmarkStart w:id="178" w:name="_Toc264969244"/>
      <w:bookmarkStart w:id="179" w:name="_Toc127151554"/>
      <w:bookmarkStart w:id="180" w:name="_Toc150480792"/>
      <w:bookmarkStart w:id="181" w:name="_Toc305158896"/>
      <w:bookmarkStart w:id="182" w:name="_Toc150774759"/>
      <w:bookmarkStart w:id="183" w:name="_Toc305158822"/>
      <w:bookmarkStart w:id="184" w:name="_Toc353825544"/>
      <w:r>
        <w:rPr>
          <w:rFonts w:hint="eastAsia" w:ascii="宋体" w:hAnsi="宋体" w:eastAsia="宋体" w:cs="宋体"/>
          <w:color w:val="auto"/>
          <w:sz w:val="24"/>
          <w:highlight w:val="none"/>
        </w:rPr>
        <w:t>27.1收费对象、收费标准及缴纳时间见《投标人须知资料表》。由中标人支付的，中标人须一次性向采购代理机构缴纳代理费，投标报价应包含代理费用。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27.2</w:t>
      </w:r>
      <w:r>
        <w:rPr>
          <w:rFonts w:hint="eastAsia" w:ascii="宋体" w:hAnsi="宋体" w:eastAsia="宋体" w:cs="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trPr>
        <w:tc>
          <w:tcPr>
            <w:tcW w:w="2968" w:type="dxa"/>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74520" cy="238760"/>
                      <wp:effectExtent l="635" t="4445" r="10795" b="23495"/>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74520" cy="23876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18.8pt;width:147.6pt;z-index:251659264;mso-width-relative:page;mso-height-relative:page;" filled="f" stroked="t" coordsize="21600,21600" o:gfxdata="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gETz2AAAAAkBAAAPAAAAAAAAAAEA&#10;IAAAACIAAABkcnMvZG93bnJldi54bWxQSwECFAAUAAAACACHTuJAWj/LYdYBAABqAwAADgAAAAAA&#10;AAABACAAAAAn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 xml:space="preserve">                  费率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中标（成交）金额</w:t>
            </w:r>
          </w:p>
        </w:tc>
        <w:tc>
          <w:tcPr>
            <w:tcW w:w="1560" w:type="dxa"/>
            <w:vAlign w:val="center"/>
          </w:tcPr>
          <w:p>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9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0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100～200万元（含）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200～500万元（含）</w:t>
            </w:r>
          </w:p>
        </w:tc>
        <w:tc>
          <w:tcPr>
            <w:tcW w:w="1560" w:type="dxa"/>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100万元以下的项目收取定额代理费，其中：</w:t>
            </w:r>
          </w:p>
          <w:p>
            <w:pPr>
              <w:ind w:right="569" w:rightChars="2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p>
    <w:p>
      <w:pPr>
        <w:pStyle w:val="23"/>
        <w:spacing w:line="360" w:lineRule="auto"/>
        <w:jc w:val="center"/>
        <w:outlineLvl w:val="0"/>
        <w:rPr>
          <w:rFonts w:hint="eastAsia" w:ascii="宋体" w:hAnsi="宋体" w:eastAsia="宋体" w:cs="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185" w:name="_Toc192872477"/>
      <w:r>
        <w:rPr>
          <w:rFonts w:hint="eastAsia" w:ascii="宋体" w:hAnsi="宋体" w:eastAsia="宋体" w:cs="宋体"/>
          <w:b/>
          <w:color w:val="auto"/>
          <w:sz w:val="36"/>
          <w:szCs w:val="36"/>
          <w:highlight w:val="none"/>
        </w:rPr>
        <w:t xml:space="preserve">第三章   </w:t>
      </w:r>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b/>
          <w:color w:val="auto"/>
          <w:sz w:val="36"/>
          <w:szCs w:val="36"/>
          <w:highlight w:val="none"/>
        </w:rPr>
        <w:t>资格审查</w:t>
      </w:r>
      <w:bookmarkEnd w:id="185"/>
      <w:bookmarkStart w:id="186" w:name="_Toc487900382"/>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187" w:name="_Toc99301422"/>
      <w:r>
        <w:rPr>
          <w:rFonts w:hint="eastAsia" w:ascii="宋体" w:hAnsi="宋体" w:eastAsia="宋体" w:cs="宋体"/>
          <w:b/>
          <w:color w:val="auto"/>
          <w:sz w:val="24"/>
          <w:highlight w:val="none"/>
        </w:rPr>
        <w:t>一、资格审查程序</w:t>
      </w:r>
      <w:bookmarkEnd w:id="187"/>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301"/>
        <w:gridCol w:w="464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bookmarkStart w:id="188" w:name="_Hlt487972895"/>
            <w:bookmarkEnd w:id="188"/>
            <w:r>
              <w:rPr>
                <w:rFonts w:hint="eastAsia" w:ascii="宋体" w:hAnsi="宋体" w:eastAsia="宋体" w:cs="宋体"/>
                <w:b/>
                <w:color w:val="auto"/>
                <w:sz w:val="24"/>
                <w:highlight w:val="none"/>
              </w:rPr>
              <w:t>序号</w:t>
            </w:r>
          </w:p>
        </w:tc>
        <w:tc>
          <w:tcPr>
            <w:tcW w:w="2301"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644"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89" w:name="OLE_LINK12"/>
            <w:r>
              <w:rPr>
                <w:rFonts w:hint="eastAsia" w:ascii="宋体" w:hAnsi="宋体" w:eastAsia="宋体" w:cs="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189"/>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7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0" w:name="OLE_LINK11"/>
            <w:r>
              <w:rPr>
                <w:rFonts w:hint="eastAsia" w:ascii="宋体" w:hAnsi="宋体" w:eastAsia="宋体" w:cs="宋体"/>
                <w:color w:val="auto"/>
                <w:sz w:val="24"/>
                <w:highlight w:val="none"/>
              </w:rPr>
              <w:t>提供了符合招标文件要求的《投标人资格声明书》。</w:t>
            </w:r>
            <w:bookmarkEnd w:id="190"/>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1" w:name="OLE_LINK50"/>
            <w:r>
              <w:rPr>
                <w:rFonts w:hint="eastAsia" w:ascii="宋体" w:hAnsi="宋体" w:eastAsia="宋体" w:cs="宋体"/>
                <w:color w:val="auto"/>
                <w:sz w:val="24"/>
                <w:highlight w:val="none"/>
              </w:rPr>
              <w:t>投标人信用记录</w:t>
            </w:r>
            <w:bookmarkEnd w:id="191"/>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截止时点：投标截止时间以后、资格审查阶段采购人或采购代理机构的实际查询时间；</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2" w:name="OLE_LINK10"/>
            <w:r>
              <w:rPr>
                <w:rFonts w:hint="eastAsia" w:ascii="宋体" w:hAnsi="宋体" w:eastAsia="宋体" w:cs="宋体"/>
                <w:color w:val="auto"/>
                <w:sz w:val="24"/>
                <w:highlight w:val="none"/>
              </w:rPr>
              <w:t>特定资格要求</w:t>
            </w:r>
            <w:bookmarkEnd w:id="192"/>
          </w:p>
        </w:tc>
        <w:tc>
          <w:tcPr>
            <w:tcW w:w="4644" w:type="dxa"/>
            <w:vAlign w:val="center"/>
          </w:tcPr>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投标人需具有农业农村部门颁发的兽药生产许可证。</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投标人须具备所投各疫苗品种(毒株)的有效兽药产品批准文号（涉及农业农村部统一变更某产品名称和毒株的，变更后的产品批准文号文件同样有效）。</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投标人需具有农业农村部门颁发的中华人民共和国兽药GMP证书。</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提供证明文件的电子件或电子证照加盖投标人公章；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301" w:type="dxa"/>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464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在规定期限内通过北京市政府采购电子交易平台获取所参与包的招标文件。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186"/>
    </w:tbl>
    <w:p>
      <w:pPr>
        <w:widowControl/>
        <w:jc w:val="left"/>
        <w:rPr>
          <w:rFonts w:hint="eastAsia" w:ascii="宋体" w:hAnsi="宋体" w:eastAsia="宋体" w:cs="宋体"/>
          <w:color w:val="auto"/>
          <w:sz w:val="24"/>
          <w:highlight w:val="none"/>
        </w:rPr>
      </w:pPr>
      <w:bookmarkStart w:id="193" w:name="_Toc353873940"/>
      <w:bookmarkStart w:id="194" w:name="_Toc226965858"/>
      <w:bookmarkStart w:id="195" w:name="_Toc353825550"/>
      <w:bookmarkStart w:id="196" w:name="_Toc127161490"/>
      <w:bookmarkStart w:id="197" w:name="_Toc127151779"/>
      <w:r>
        <w:rPr>
          <w:rFonts w:hint="eastAsia" w:ascii="宋体" w:hAnsi="宋体" w:eastAsia="宋体" w:cs="宋体"/>
          <w:color w:val="auto"/>
          <w:sz w:val="24"/>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198" w:name="_Toc192872478"/>
      <w:r>
        <w:rPr>
          <w:rFonts w:hint="eastAsia" w:ascii="宋体" w:hAnsi="宋体" w:eastAsia="宋体" w:cs="宋体"/>
          <w:b/>
          <w:color w:val="auto"/>
          <w:sz w:val="36"/>
          <w:szCs w:val="36"/>
          <w:highlight w:val="none"/>
        </w:rPr>
        <w:t xml:space="preserve">第四章   </w:t>
      </w:r>
      <w:bookmarkEnd w:id="193"/>
      <w:bookmarkEnd w:id="194"/>
      <w:bookmarkEnd w:id="195"/>
      <w:bookmarkEnd w:id="196"/>
      <w:bookmarkEnd w:id="197"/>
      <w:bookmarkStart w:id="199" w:name="_Hlt164229061"/>
      <w:bookmarkEnd w:id="199"/>
      <w:r>
        <w:rPr>
          <w:rFonts w:hint="eastAsia" w:ascii="宋体" w:hAnsi="宋体" w:eastAsia="宋体" w:cs="宋体"/>
          <w:b/>
          <w:color w:val="auto"/>
          <w:sz w:val="36"/>
          <w:szCs w:val="36"/>
          <w:highlight w:val="none"/>
        </w:rPr>
        <w:t>评标方法和评标标准</w:t>
      </w:r>
      <w:bookmarkEnd w:id="198"/>
    </w:p>
    <w:p>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bookmarkStart w:id="200" w:name="_Toc150774746"/>
      <w:bookmarkStart w:id="201" w:name="_Toc226965731"/>
      <w:bookmarkStart w:id="202" w:name="_Toc151193711"/>
      <w:bookmarkStart w:id="203" w:name="_Toc164608655"/>
      <w:bookmarkStart w:id="204" w:name="_Toc164351635"/>
      <w:bookmarkStart w:id="205" w:name="_Toc149720834"/>
      <w:bookmarkStart w:id="206" w:name="_Toc151193639"/>
      <w:bookmarkStart w:id="207" w:name="_Toc151193855"/>
      <w:bookmarkStart w:id="208" w:name="_Toc164608810"/>
      <w:bookmarkStart w:id="209" w:name="_Toc150774641"/>
      <w:bookmarkStart w:id="210" w:name="_Toc164229382"/>
      <w:bookmarkStart w:id="211" w:name="_Toc142311043"/>
      <w:bookmarkStart w:id="212" w:name="_Toc127151742"/>
      <w:bookmarkStart w:id="213" w:name="_Toc305158809"/>
      <w:bookmarkStart w:id="214" w:name="_Toc151193929"/>
      <w:bookmarkStart w:id="215" w:name="_Toc150509292"/>
      <w:bookmarkStart w:id="216" w:name="_Toc127161455"/>
      <w:bookmarkStart w:id="217" w:name="_Toc195842906"/>
      <w:bookmarkStart w:id="218" w:name="_Toc226337237"/>
      <w:bookmarkStart w:id="219" w:name="_Toc226965814"/>
      <w:bookmarkStart w:id="220" w:name="_Toc305158883"/>
      <w:bookmarkStart w:id="221" w:name="_Toc164229236"/>
      <w:bookmarkStart w:id="222" w:name="_Toc264969231"/>
      <w:bookmarkStart w:id="223" w:name="_Toc265228379"/>
      <w:bookmarkStart w:id="224" w:name="_Toc151190168"/>
      <w:bookmarkStart w:id="225" w:name="_Toc151193783"/>
      <w:bookmarkStart w:id="226" w:name="_Toc127151541"/>
      <w:bookmarkStart w:id="227" w:name="_Toc226309785"/>
      <w:bookmarkStart w:id="228" w:name="_Toc150480779"/>
      <w:bookmarkStart w:id="229" w:name="_Toc353873941"/>
      <w:bookmarkStart w:id="230" w:name="_Toc353825551"/>
      <w:bookmarkStart w:id="231" w:name="_Toc353825545"/>
      <w:bookmarkStart w:id="232" w:name="_Toc226337251"/>
      <w:bookmarkStart w:id="233" w:name="_Toc127151555"/>
      <w:bookmarkStart w:id="234" w:name="_Toc264969245"/>
      <w:bookmarkStart w:id="235" w:name="_Toc150480793"/>
      <w:bookmarkStart w:id="236" w:name="_Toc226965828"/>
      <w:bookmarkStart w:id="237" w:name="_Toc353873665"/>
      <w:bookmarkStart w:id="238" w:name="_Toc150774760"/>
      <w:bookmarkStart w:id="239" w:name="_Toc353873935"/>
      <w:bookmarkStart w:id="240" w:name="_Toc305158823"/>
      <w:bookmarkStart w:id="241" w:name="_Toc142311057"/>
      <w:bookmarkStart w:id="242" w:name="_Toc265228393"/>
      <w:bookmarkStart w:id="243" w:name="_Toc305158897"/>
      <w:bookmarkStart w:id="244" w:name="_Toc195842920"/>
      <w:r>
        <w:rPr>
          <w:rFonts w:hint="eastAsia" w:ascii="宋体" w:hAnsi="宋体" w:eastAsia="宋体" w:cs="宋体"/>
          <w:color w:val="auto"/>
          <w:sz w:val="24"/>
          <w:highlight w:val="none"/>
        </w:rPr>
        <w:t>投标文件的符合性审查</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5" w:name="_Toc520356167"/>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符合性审查要求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6" w:name="_Hlk196842304"/>
            <w:r>
              <w:rPr>
                <w:rFonts w:hint="eastAsia" w:ascii="宋体" w:hAnsi="宋体" w:eastAsia="宋体" w:cs="宋体"/>
                <w:color w:val="auto"/>
                <w:kern w:val="0"/>
                <w:sz w:val="24"/>
                <w:highlight w:val="none"/>
              </w:rPr>
              <w:t>1</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按招标文件要求提供授权委托书；</w:t>
            </w:r>
          </w:p>
        </w:tc>
      </w:tr>
      <w:bookmarkEnd w:id="2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47" w:name="OLE_LINK13"/>
            <w:r>
              <w:rPr>
                <w:rFonts w:hint="eastAsia" w:ascii="宋体" w:hAnsi="宋体" w:eastAsia="宋体" w:cs="宋体"/>
                <w:color w:val="auto"/>
                <w:kern w:val="0"/>
                <w:sz w:val="24"/>
                <w:highlight w:val="none"/>
              </w:rPr>
              <w:t>投标完整性</w:t>
            </w:r>
            <w:bookmarkEnd w:id="247"/>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8" w:name="_Hlk196842154"/>
            <w:r>
              <w:rPr>
                <w:rFonts w:hint="eastAsia" w:ascii="宋体" w:hAnsi="宋体" w:eastAsia="宋体" w:cs="宋体"/>
                <w:color w:val="auto"/>
                <w:kern w:val="0"/>
                <w:sz w:val="24"/>
                <w:highlight w:val="none"/>
              </w:rPr>
              <w:t>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49" w:name="OLE_LINK28"/>
            <w:r>
              <w:rPr>
                <w:rFonts w:hint="eastAsia" w:ascii="宋体" w:hAnsi="宋体" w:eastAsia="宋体" w:cs="宋体"/>
                <w:color w:val="auto"/>
                <w:kern w:val="0"/>
                <w:sz w:val="24"/>
                <w:highlight w:val="none"/>
              </w:rPr>
              <w:t>投标报价未</w:t>
            </w:r>
            <w:r>
              <w:rPr>
                <w:rFonts w:hint="eastAsia" w:ascii="宋体" w:hAnsi="宋体" w:eastAsia="宋体" w:cs="宋体"/>
                <w:color w:val="auto"/>
                <w:sz w:val="24"/>
                <w:highlight w:val="none"/>
              </w:rPr>
              <w:t>超过招标文件中规定的项目/采购包预算金额或者项目/采购包最高限价</w:t>
            </w:r>
            <w:r>
              <w:rPr>
                <w:rFonts w:hint="eastAsia" w:ascii="宋体" w:hAnsi="宋体" w:eastAsia="宋体" w:cs="宋体"/>
                <w:color w:val="auto"/>
                <w:kern w:val="0"/>
                <w:sz w:val="24"/>
                <w:highlight w:val="none"/>
              </w:rPr>
              <w:t>；</w:t>
            </w:r>
            <w:bookmarkEnd w:id="249"/>
          </w:p>
        </w:tc>
      </w:tr>
      <w:bookmarkEnd w:id="2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投标文件未</w:t>
            </w:r>
            <w:r>
              <w:rPr>
                <w:rFonts w:hint="eastAsia" w:ascii="宋体" w:hAnsi="宋体" w:eastAsia="宋体" w:cs="宋体"/>
                <w:color w:val="auto"/>
                <w:sz w:val="24"/>
                <w:highlight w:val="none"/>
              </w:rPr>
              <w:t>出现可选择性或可调整的报价（招标文件另有规定的除外）</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0" w:name="_Hlk196842161"/>
            <w:r>
              <w:rPr>
                <w:rFonts w:hint="eastAsia" w:ascii="宋体" w:hAnsi="宋体" w:eastAsia="宋体" w:cs="宋体"/>
                <w:color w:val="auto"/>
                <w:kern w:val="0"/>
                <w:sz w:val="24"/>
                <w:highlight w:val="none"/>
              </w:rPr>
              <w:t>5</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投标文件中承诺的投标有效期满足招标文件中载明的投标有效期的；</w:t>
            </w:r>
          </w:p>
        </w:tc>
      </w:tr>
      <w:bookmarkEnd w:id="2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1" w:name="_Hlk201755809"/>
            <w:r>
              <w:rPr>
                <w:rFonts w:hint="eastAsia" w:ascii="宋体" w:hAnsi="宋体" w:eastAsia="宋体" w:cs="宋体"/>
                <w:color w:val="auto"/>
                <w:kern w:val="0"/>
                <w:sz w:val="24"/>
                <w:highlight w:val="none"/>
              </w:rPr>
              <w:t>6</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2" w:name="OLE_LINK55"/>
            <w:r>
              <w:rPr>
                <w:rFonts w:hint="eastAsia" w:ascii="宋体" w:hAnsi="宋体" w:eastAsia="宋体" w:cs="宋体"/>
                <w:color w:val="auto"/>
                <w:kern w:val="0"/>
                <w:sz w:val="24"/>
                <w:highlight w:val="none"/>
              </w:rPr>
              <w:t>标记为“实质性格式”的文件均按招标文件要求提供且签署、盖章的；</w:t>
            </w:r>
            <w:bookmarkEnd w:id="252"/>
          </w:p>
        </w:tc>
      </w:tr>
      <w:bookmark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3" w:name="OLE_LINK24"/>
            <w:r>
              <w:rPr>
                <w:rFonts w:hint="eastAsia" w:ascii="宋体" w:hAnsi="宋体" w:eastAsia="宋体" w:cs="宋体"/>
                <w:color w:val="auto"/>
                <w:sz w:val="24"/>
                <w:highlight w:val="none"/>
              </w:rPr>
              <w:t>★号技术参数响应</w:t>
            </w:r>
            <w:bookmarkEnd w:id="253"/>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746"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报价的修正（如有）</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bookmarkStart w:id="254" w:name="OLE_LINK54"/>
            <w:r>
              <w:rPr>
                <w:rFonts w:hint="eastAsia" w:ascii="宋体" w:hAnsi="宋体" w:eastAsia="宋体" w:cs="宋体"/>
                <w:color w:val="auto"/>
                <w:sz w:val="24"/>
                <w:highlight w:val="none"/>
              </w:rPr>
              <w:t>不涉及报价修正，或投标文件报价出现前后不一致时，投标人对修正后的报价予以确认；（如有）</w:t>
            </w:r>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eastAsia="zh-CN"/>
              </w:rPr>
            </w:pPr>
            <w:bookmarkStart w:id="255" w:name="_Hlk201755829"/>
            <w:r>
              <w:rPr>
                <w:rFonts w:hint="eastAsia" w:ascii="宋体" w:hAnsi="宋体" w:eastAsia="宋体" w:cs="宋体"/>
                <w:color w:val="auto"/>
                <w:kern w:val="0"/>
                <w:sz w:val="24"/>
                <w:highlight w:val="none"/>
                <w:lang w:val="en-US" w:eastAsia="zh-CN"/>
              </w:rPr>
              <w:t>9</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6" w:name="OLE_LINK18"/>
            <w:r>
              <w:rPr>
                <w:rFonts w:hint="eastAsia" w:ascii="宋体" w:hAnsi="宋体" w:eastAsia="宋体" w:cs="宋体"/>
                <w:color w:val="auto"/>
                <w:kern w:val="0"/>
                <w:sz w:val="24"/>
                <w:highlight w:val="none"/>
              </w:rPr>
              <w:t>进口产品</w:t>
            </w:r>
            <w:bookmarkEnd w:id="256"/>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7" w:name="OLE_LINK26"/>
            <w:r>
              <w:rPr>
                <w:rFonts w:hint="eastAsia" w:ascii="宋体" w:hAnsi="宋体" w:eastAsia="宋体" w:cs="宋体"/>
                <w:color w:val="auto"/>
                <w:kern w:val="0"/>
                <w:sz w:val="24"/>
                <w:highlight w:val="none"/>
              </w:rPr>
              <w:t>招标文件不接受进口产品投标的内容时，投标人所投产品不含进口产品；</w:t>
            </w:r>
            <w:bookmarkEnd w:id="257"/>
          </w:p>
        </w:tc>
      </w:tr>
      <w:bookmark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58" w:name="OLE_LINK19"/>
            <w:r>
              <w:rPr>
                <w:rFonts w:hint="eastAsia" w:ascii="宋体" w:hAnsi="宋体" w:eastAsia="宋体" w:cs="宋体"/>
                <w:color w:val="auto"/>
                <w:kern w:val="0"/>
                <w:sz w:val="24"/>
                <w:highlight w:val="none"/>
              </w:rPr>
              <w:t>公平竞争</w:t>
            </w:r>
            <w:bookmarkEnd w:id="258"/>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9" w:name="OLE_LINK25"/>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dstrike/>
                <w:color w:val="auto"/>
                <w:kern w:val="0"/>
                <w:sz w:val="24"/>
                <w:highlight w:val="none"/>
                <w:lang w:val="en-US" w:eastAsia="zh-CN"/>
              </w:rPr>
            </w:pPr>
            <w:bookmarkStart w:id="260" w:name="_Hlk196842191"/>
            <w:r>
              <w:rPr>
                <w:rFonts w:hint="eastAsia" w:ascii="宋体" w:hAnsi="宋体" w:eastAsia="宋体" w:cs="宋体"/>
                <w:color w:val="auto"/>
                <w:kern w:val="0"/>
                <w:sz w:val="24"/>
                <w:highlight w:val="none"/>
                <w:lang w:val="en-US" w:eastAsia="zh-CN"/>
              </w:rPr>
              <w:t>11</w:t>
            </w:r>
          </w:p>
        </w:tc>
        <w:tc>
          <w:tcPr>
            <w:tcW w:w="1746" w:type="dxa"/>
            <w:vAlign w:val="center"/>
          </w:tcPr>
          <w:p>
            <w:pPr>
              <w:widowControl/>
              <w:spacing w:after="0" w:line="240" w:lineRule="auto"/>
              <w:jc w:val="left"/>
              <w:rPr>
                <w:rFonts w:hint="eastAsia" w:ascii="宋体" w:hAnsi="宋体" w:eastAsia="宋体" w:cs="宋体"/>
                <w:dstrike/>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w:t>
            </w:r>
            <w:r>
              <w:rPr>
                <w:rFonts w:hint="eastAsia" w:ascii="宋体" w:hAnsi="宋体" w:eastAsia="宋体" w:cs="宋体"/>
                <w:color w:val="auto"/>
                <w:sz w:val="24"/>
                <w:highlight w:val="none"/>
              </w:rPr>
              <w:t>（如有）</w:t>
            </w:r>
          </w:p>
        </w:tc>
        <w:tc>
          <w:tcPr>
            <w:tcW w:w="6475" w:type="dxa"/>
            <w:vAlign w:val="center"/>
          </w:tcPr>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eastAsia="宋体" w:cs="宋体"/>
                <w:dstrike/>
                <w:color w:val="auto"/>
                <w:sz w:val="24"/>
                <w:highlight w:val="none"/>
              </w:rPr>
            </w:pPr>
            <w:r>
              <w:rPr>
                <w:rFonts w:hint="eastAsia" w:ascii="宋体" w:hAnsi="宋体" w:eastAsia="宋体" w:cs="宋体"/>
                <w:color w:val="auto"/>
                <w:kern w:val="0"/>
                <w:sz w:val="24"/>
                <w:highlight w:val="none"/>
              </w:rPr>
              <w:t>3）项目中涉及涂料、胶黏剂、油墨、清洗剂等挥发性有机物产品，且属于强制性标准的，供应商应执行符合本市和国家的 VOCs 含量限制标准。</w:t>
            </w:r>
          </w:p>
        </w:tc>
      </w:tr>
      <w:bookmark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1" w:name="_Hlk196842245"/>
            <w:r>
              <w:rPr>
                <w:rFonts w:hint="eastAsia" w:ascii="宋体" w:hAnsi="宋体" w:eastAsia="宋体" w:cs="宋体"/>
                <w:color w:val="auto"/>
                <w:kern w:val="0"/>
                <w:sz w:val="24"/>
                <w:highlight w:val="none"/>
                <w:lang w:val="en-US" w:eastAsia="zh-CN"/>
              </w:rPr>
              <w:t>12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62" w:name="OLE_LINK22"/>
            <w:r>
              <w:rPr>
                <w:rFonts w:hint="eastAsia" w:ascii="宋体" w:hAnsi="宋体" w:eastAsia="宋体" w:cs="宋体"/>
                <w:color w:val="auto"/>
                <w:kern w:val="0"/>
                <w:sz w:val="24"/>
                <w:highlight w:val="none"/>
              </w:rPr>
              <w:t>附加条件</w:t>
            </w:r>
            <w:bookmarkEnd w:id="262"/>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3" w:name="_Hlk201755858"/>
            <w:r>
              <w:rPr>
                <w:rFonts w:hint="eastAsia" w:ascii="宋体" w:hAnsi="宋体" w:eastAsia="宋体" w:cs="宋体"/>
                <w:color w:val="auto"/>
                <w:kern w:val="0"/>
                <w:sz w:val="24"/>
                <w:highlight w:val="none"/>
                <w:lang w:val="en-US" w:eastAsia="zh-CN"/>
              </w:rPr>
              <w:t>14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投标人、投标文件不存在不符合法律、法规和招标文件规定的其他无效情形。</w:t>
            </w:r>
          </w:p>
        </w:tc>
      </w:tr>
      <w:bookmarkEnd w:id="263"/>
    </w:tbl>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bookmarkStart w:id="264" w:name="_Hlk220085436"/>
      <w:r>
        <w:rPr>
          <w:rFonts w:hint="eastAsia" w:ascii="宋体" w:hAnsi="宋体" w:eastAsia="宋体" w:cs="宋体"/>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%的，即投标（响应）报价&lt;采购项目最高限价×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color w:val="auto"/>
          <w:sz w:val="24"/>
          <w:highlight w:val="none"/>
        </w:rPr>
        <w:t>无效投标（响应）</w:t>
      </w:r>
      <w:r>
        <w:rPr>
          <w:rFonts w:hint="eastAsia" w:ascii="宋体" w:hAnsi="宋体" w:eastAsia="宋体" w:cs="宋体"/>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bookmarkStart w:id="265" w:name="_Hlk190337965"/>
      <w:r>
        <w:rPr>
          <w:rFonts w:hint="eastAsia" w:ascii="宋体" w:hAnsi="宋体" w:eastAsia="宋体" w:cs="宋体"/>
          <w:color w:val="auto"/>
          <w:sz w:val="24"/>
          <w:highlight w:val="none"/>
        </w:rPr>
        <w:t xml:space="preserve"> 上述投标（响应）报价指按照本章2.4修正后的报价</w:t>
      </w:r>
      <w:bookmarkEnd w:id="265"/>
      <w:r>
        <w:rPr>
          <w:rFonts w:hint="eastAsia" w:ascii="宋体" w:hAnsi="宋体" w:eastAsia="宋体" w:cs="宋体"/>
          <w:color w:val="auto"/>
          <w:sz w:val="24"/>
          <w:highlight w:val="none"/>
        </w:rPr>
        <w:t>。</w:t>
      </w:r>
    </w:p>
    <w:bookmarkEnd w:id="264"/>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auto"/>
          <w:sz w:val="24"/>
          <w:highlight w:val="none"/>
          <w:u w:val="single"/>
        </w:rPr>
        <w:t>4</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29"/>
      <w:bookmarkEnd w:id="230"/>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■其他方式，具体要求：__</w:t>
      </w:r>
      <w:r>
        <w:rPr>
          <w:rFonts w:hint="eastAsia" w:ascii="宋体" w:hAnsi="宋体" w:eastAsia="宋体" w:cs="宋体"/>
          <w:color w:val="auto"/>
          <w:sz w:val="24"/>
          <w:highlight w:val="none"/>
          <w:u w:val="single"/>
        </w:rPr>
        <w:t>_/</w:t>
      </w:r>
      <w:r>
        <w:rPr>
          <w:rFonts w:hint="eastAsia" w:ascii="宋体" w:hAnsi="宋体" w:eastAsia="宋体" w:cs="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w:t>
      </w:r>
      <w:r>
        <w:rPr>
          <w:rFonts w:hint="eastAsia" w:ascii="宋体" w:hAnsi="宋体" w:eastAsia="宋体" w:cs="宋体"/>
          <w:color w:val="auto"/>
          <w:sz w:val="24"/>
          <w:highlight w:val="none"/>
          <w:u w:val="single"/>
          <w:lang w:val="en-US" w:eastAsia="zh-CN"/>
        </w:rPr>
        <w:t>详见评分细则</w:t>
      </w:r>
      <w:r>
        <w:rPr>
          <w:rFonts w:hint="eastAsia" w:ascii="宋体" w:hAnsi="宋体" w:eastAsia="宋体" w:cs="宋体"/>
          <w:color w:val="auto"/>
          <w:sz w:val="24"/>
          <w:highlight w:val="none"/>
        </w:rPr>
        <w:t>。</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66" w:name="_Toc226309790"/>
      <w:bookmarkStart w:id="267" w:name="_Toc127151747"/>
      <w:bookmarkStart w:id="268" w:name="_Toc150774646"/>
      <w:bookmarkStart w:id="269" w:name="_Toc226965819"/>
      <w:bookmarkStart w:id="270" w:name="_Toc151190173"/>
      <w:bookmarkStart w:id="271" w:name="_Toc150774751"/>
      <w:bookmarkStart w:id="272" w:name="_Toc151193860"/>
      <w:bookmarkStart w:id="273" w:name="_Toc164229241"/>
      <w:bookmarkStart w:id="274" w:name="_Toc149720839"/>
      <w:bookmarkStart w:id="275" w:name="_Toc264969236"/>
      <w:bookmarkStart w:id="276" w:name="_Toc164608660"/>
      <w:bookmarkStart w:id="277" w:name="_Toc164608815"/>
      <w:bookmarkStart w:id="278" w:name="_Toc164229387"/>
      <w:bookmarkStart w:id="279" w:name="_Toc305158888"/>
      <w:bookmarkStart w:id="280" w:name="_Toc305158814"/>
      <w:bookmarkStart w:id="281" w:name="_Toc520356170"/>
      <w:bookmarkStart w:id="282" w:name="_Toc151193716"/>
      <w:bookmarkStart w:id="283" w:name="_Toc151193644"/>
      <w:bookmarkStart w:id="284" w:name="_Toc151193788"/>
      <w:bookmarkStart w:id="285" w:name="_Ref467307010"/>
      <w:bookmarkStart w:id="286" w:name="_Toc226337242"/>
      <w:bookmarkStart w:id="287" w:name="_Toc265228384"/>
      <w:bookmarkStart w:id="288" w:name="_Toc127161460"/>
      <w:bookmarkStart w:id="289" w:name="_Toc226965736"/>
      <w:bookmarkStart w:id="290" w:name="_Toc150509297"/>
      <w:bookmarkStart w:id="291" w:name="_Toc164351640"/>
      <w:bookmarkStart w:id="292" w:name="_Toc150480784"/>
      <w:bookmarkStart w:id="293" w:name="_Toc127151546"/>
      <w:bookmarkStart w:id="294" w:name="_Toc151193934"/>
      <w:bookmarkStart w:id="295" w:name="_Toc195842911"/>
      <w:bookmarkStart w:id="296" w:name="_Toc142311048"/>
      <w:r>
        <w:rPr>
          <w:rFonts w:hint="eastAsia" w:ascii="宋体" w:hAnsi="宋体" w:eastAsia="宋体" w:cs="宋体"/>
          <w:color w:val="auto"/>
          <w:sz w:val="24"/>
          <w:highlight w:val="none"/>
        </w:rPr>
        <w:t>中标候选人名单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其他方式，具体要求：</w:t>
      </w:r>
      <w:r>
        <w:rPr>
          <w:rFonts w:hint="eastAsia" w:ascii="宋体" w:hAnsi="宋体" w:eastAsia="宋体" w:cs="宋体"/>
          <w:color w:val="auto"/>
          <w:sz w:val="24"/>
          <w:szCs w:val="24"/>
          <w:highlight w:val="none"/>
          <w:u w:val="single"/>
        </w:rPr>
        <w:t>_按投标报价由低到高顺序排列。得分且投标报价相同的，按量化指标（技术评分）由高到低顺序排列。_</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评标委员会在评标过程中发现投标人有行贿、提供虚假材料或者串通等违法行为时，应当及时向财政部门报告。</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tabs>
          <w:tab w:val="left" w:pos="360"/>
          <w:tab w:val="left" w:pos="900"/>
        </w:tabs>
        <w:snapToGrid w:val="0"/>
        <w:spacing w:after="0"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价格评分标准（共30分）</w:t>
      </w:r>
    </w:p>
    <w:tbl>
      <w:tblPr>
        <w:tblStyle w:val="47"/>
        <w:tblW w:w="8153" w:type="dxa"/>
        <w:jc w:val="center"/>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19"/>
        <w:gridCol w:w="712"/>
        <w:gridCol w:w="5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3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1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1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18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3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71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185" w:type="dxa"/>
            <w:noWrap/>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基准价= 满足招标文件要求且投标价格最低的投标总价</w:t>
            </w:r>
          </w:p>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其他投标人的价格分按照下列公式计算：</w:t>
            </w:r>
          </w:p>
          <w:p>
            <w:pPr>
              <w:keepNext w:val="0"/>
              <w:keepLines w:val="0"/>
              <w:pageBreakBefore w:val="0"/>
              <w:widowControl w:val="0"/>
              <w:tabs>
                <w:tab w:val="left" w:pos="420"/>
                <w:tab w:val="left" w:pos="540"/>
                <w:tab w:val="left" w:pos="6045"/>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投标报价得分=（评标基准价 / 投标报价）×30</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实力和信誉详细评分表（15分）</w:t>
      </w:r>
    </w:p>
    <w:tbl>
      <w:tblPr>
        <w:tblStyle w:val="47"/>
        <w:tblW w:w="8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452"/>
        <w:gridCol w:w="883"/>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14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研发能力</w:t>
            </w:r>
          </w:p>
        </w:tc>
        <w:tc>
          <w:tcPr>
            <w:tcW w:w="8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14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投标人具有疫苗相关的在研发平台、技术成果、成果转化等能力，具有安全性和免疫效力优势的创新技术与产品。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具备完善、成体系的自主研发能力且方式技术科学、全面、合理，拥有国家级企业技术中心，重点实验室或博士后科研工作站等研发平台，具有权威性，广泛应用程度高得2分；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具备一定得自主研发能力但缺乏科学性和广泛应用得1分；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自主研发能力弱，不具备成型的体系和经验得0分。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5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8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14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生产能力强，产品质量稳定。以2025年取得相应疫苗合格的批次签发的数量判定（</w:t>
            </w:r>
            <w:r>
              <w:rPr>
                <w:rFonts w:hint="eastAsia" w:ascii="宋体" w:hAnsi="宋体" w:eastAsia="宋体" w:cs="宋体"/>
                <w:color w:val="auto"/>
                <w:sz w:val="24"/>
                <w:szCs w:val="24"/>
                <w:highlight w:val="none"/>
                <w:lang w:val="en-US" w:eastAsia="zh-CN"/>
              </w:rPr>
              <w:t>投标单位提供</w:t>
            </w:r>
            <w:r>
              <w:rPr>
                <w:rFonts w:hint="eastAsia" w:ascii="宋体" w:hAnsi="宋体" w:eastAsia="宋体" w:cs="宋体"/>
                <w:color w:val="auto"/>
                <w:sz w:val="24"/>
                <w:szCs w:val="24"/>
                <w:highlight w:val="none"/>
              </w:rPr>
              <w:t>中国兽医药品监察所网站查询结果截图，并按签发日期统计）。</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口蹄疫疫苗：按口蹄疫O型、A型二价灭活疫苗批签发数量计算。</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≥20个，得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≥12-19个，得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≥5-11个，得2分；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个，不得分。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45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用户反馈及验收证明</w:t>
            </w:r>
          </w:p>
        </w:tc>
        <w:tc>
          <w:tcPr>
            <w:tcW w:w="8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514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提供2025年以来同产品的</w:t>
            </w:r>
            <w:r>
              <w:rPr>
                <w:rFonts w:hint="eastAsia" w:ascii="宋体" w:hAnsi="宋体" w:cs="宋体"/>
                <w:color w:val="auto"/>
                <w:sz w:val="24"/>
                <w:szCs w:val="24"/>
                <w:highlight w:val="none"/>
                <w:lang w:eastAsia="zh-CN"/>
              </w:rPr>
              <w:t>不同</w:t>
            </w:r>
            <w:r>
              <w:rPr>
                <w:rFonts w:hint="eastAsia" w:ascii="宋体" w:hAnsi="宋体" w:eastAsia="宋体" w:cs="宋体"/>
                <w:color w:val="auto"/>
                <w:sz w:val="24"/>
                <w:szCs w:val="24"/>
                <w:highlight w:val="none"/>
              </w:rPr>
              <w:t>用户</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使用反馈</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验收证明</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1.提供5份及以上，且结论均为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2.提供3-4份，</w:t>
            </w:r>
            <w:r>
              <w:rPr>
                <w:rFonts w:hint="eastAsia" w:ascii="宋体" w:hAnsi="宋体" w:cs="宋体"/>
                <w:color w:val="auto"/>
                <w:sz w:val="24"/>
                <w:szCs w:val="24"/>
                <w:highlight w:val="none"/>
                <w:lang w:val="en-US" w:eastAsia="zh-CN"/>
              </w:rPr>
              <w:t>或结果有“不满意”、“不合格”,或提供材料不全面，</w:t>
            </w:r>
            <w:r>
              <w:rPr>
                <w:rFonts w:hint="eastAsia" w:ascii="宋体" w:hAnsi="宋体" w:eastAsia="宋体" w:cs="宋体"/>
                <w:color w:val="auto"/>
                <w:sz w:val="24"/>
                <w:szCs w:val="24"/>
                <w:highlight w:val="none"/>
              </w:rPr>
              <w:t>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3.提供少于3份，不得分。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45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认证及证书情况</w:t>
            </w:r>
          </w:p>
        </w:tc>
        <w:tc>
          <w:tcPr>
            <w:tcW w:w="8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14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取得</w:t>
            </w:r>
            <w:r>
              <w:rPr>
                <w:rFonts w:hint="eastAsia" w:ascii="宋体" w:hAnsi="宋体" w:eastAsia="宋体" w:cs="宋体"/>
                <w:color w:val="auto"/>
                <w:sz w:val="24"/>
                <w:szCs w:val="24"/>
                <w:highlight w:val="none"/>
              </w:rPr>
              <w:t>疫苗产品新兽药注册证书的，得1分；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(2)同时通过ISO9001质量管理体系认证，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ISO14001环境管理体系认证，ISO45001职业健康安全管理体系认证的，得1分；通过其中任意2项的，得0.5分。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注：需提供有效证书</w:t>
            </w:r>
            <w:r>
              <w:rPr>
                <w:rFonts w:hint="eastAsia" w:ascii="宋体" w:hAnsi="宋体" w:cs="宋体"/>
                <w:color w:val="auto"/>
                <w:sz w:val="24"/>
                <w:szCs w:val="24"/>
                <w:highlight w:val="none"/>
                <w:lang w:val="en-US" w:eastAsia="zh-CN"/>
              </w:rPr>
              <w:t>电子件</w:t>
            </w:r>
            <w:r>
              <w:rPr>
                <w:rFonts w:hint="eastAsia" w:ascii="宋体" w:hAnsi="宋体" w:eastAsia="宋体" w:cs="宋体"/>
                <w:color w:val="auto"/>
                <w:sz w:val="24"/>
                <w:szCs w:val="24"/>
                <w:highlight w:val="none"/>
              </w:rPr>
              <w:t>并加盖公章。</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货物的技术性能（35分）</w:t>
      </w:r>
    </w:p>
    <w:tbl>
      <w:tblPr>
        <w:tblStyle w:val="47"/>
        <w:tblW w:w="8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709"/>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56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2" w:hRule="atLeast"/>
          <w:jc w:val="center"/>
        </w:trPr>
        <w:tc>
          <w:tcPr>
            <w:tcW w:w="56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货物的技术参数是否满足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1.技术参数响应情况</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技术参数完全满足招标文件要求的，得10分。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每有一项非关键参数负偏离，扣2分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扣完为止。关键参数(毒株，工艺，安全性，有效性，有效期)负偏离的，本项得0分。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2.冷链运输保障方案</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提供详细的冷链运输保障方案，包括</w:t>
            </w:r>
            <w:r>
              <w:rPr>
                <w:rFonts w:hint="eastAsia" w:ascii="宋体" w:hAnsi="宋体" w:cs="宋体"/>
                <w:color w:val="auto"/>
                <w:sz w:val="24"/>
                <w:szCs w:val="24"/>
                <w:highlight w:val="none"/>
                <w:lang w:eastAsia="zh-CN"/>
              </w:rPr>
              <w:t>保温设施、运输总时长控制、</w:t>
            </w:r>
            <w:r>
              <w:rPr>
                <w:rFonts w:hint="eastAsia" w:ascii="宋体" w:hAnsi="宋体" w:eastAsia="宋体" w:cs="宋体"/>
                <w:color w:val="auto"/>
                <w:sz w:val="24"/>
                <w:szCs w:val="24"/>
                <w:highlight w:val="none"/>
              </w:rPr>
              <w:t>温控设备，温度记录，应急预案等，方案科学可行得3分；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方案不完整得1分；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3.生产设施与生物材料保障</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提供实验动物房，生物材料来源，检测设施设备等证明材料，齐全得2分；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部分提供得1分；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atLeast"/>
          <w:jc w:val="center"/>
        </w:trPr>
        <w:tc>
          <w:tcPr>
            <w:tcW w:w="56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货物的先进性、工艺生产、安全可靠性</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1.原材料质量控制：</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提供主要原材料(</w:t>
            </w:r>
            <w:r>
              <w:rPr>
                <w:rFonts w:hint="eastAsia" w:ascii="宋体" w:hAnsi="宋体" w:cs="宋体"/>
                <w:color w:val="auto"/>
                <w:sz w:val="24"/>
                <w:szCs w:val="24"/>
                <w:highlight w:val="none"/>
                <w:lang w:eastAsia="zh-CN"/>
              </w:rPr>
              <w:t>佐剂，</w:t>
            </w:r>
            <w:r>
              <w:rPr>
                <w:rFonts w:hint="eastAsia" w:ascii="宋体" w:hAnsi="宋体" w:eastAsia="宋体" w:cs="宋体"/>
                <w:color w:val="auto"/>
                <w:sz w:val="24"/>
                <w:szCs w:val="24"/>
                <w:highlight w:val="none"/>
              </w:rPr>
              <w:t>细胞系，</w:t>
            </w:r>
            <w:r>
              <w:rPr>
                <w:rFonts w:hint="eastAsia" w:ascii="宋体" w:hAnsi="宋体" w:cs="宋体"/>
                <w:color w:val="auto"/>
                <w:sz w:val="24"/>
                <w:szCs w:val="24"/>
                <w:highlight w:val="none"/>
                <w:lang w:eastAsia="zh-CN"/>
              </w:rPr>
              <w:t>种毒、细胞培养材料、实验动物</w:t>
            </w:r>
            <w:r>
              <w:rPr>
                <w:rFonts w:hint="eastAsia" w:ascii="宋体" w:hAnsi="宋体" w:eastAsia="宋体" w:cs="宋体"/>
                <w:color w:val="auto"/>
                <w:sz w:val="24"/>
                <w:szCs w:val="24"/>
                <w:highlight w:val="none"/>
              </w:rPr>
              <w:t>)的来源，检测报告及质量控制流程，完善得3分；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.生产工艺与设备：</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具备完整的疫苗生产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储存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检测设施(含实验动物房)，能充分满足采购人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使用、运输的需求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并提供相关证明，得4分；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具有一定的自主生产和储存能力得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.质量内控标准：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在国家标准基础上，制定更严格的内控标准(如内毒素含量，效力检验值等)，并提供证明材料，</w:t>
            </w:r>
            <w:r>
              <w:rPr>
                <w:rFonts w:hint="eastAsia" w:ascii="宋体" w:hAnsi="宋体" w:cs="宋体"/>
                <w:color w:val="auto"/>
                <w:sz w:val="24"/>
                <w:szCs w:val="24"/>
                <w:highlight w:val="none"/>
                <w:lang w:val="en-US" w:eastAsia="zh-CN"/>
              </w:rPr>
              <w:t>内控制度完善合理</w:t>
            </w:r>
            <w:r>
              <w:rPr>
                <w:rFonts w:hint="eastAsia" w:ascii="宋体" w:hAnsi="宋体" w:eastAsia="宋体" w:cs="宋体"/>
                <w:color w:val="auto"/>
                <w:sz w:val="24"/>
                <w:szCs w:val="24"/>
                <w:highlight w:val="none"/>
              </w:rPr>
              <w:t>得3分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内容制度基本完善缺乏可行性得1分；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0" w:hRule="atLeast"/>
          <w:jc w:val="center"/>
        </w:trPr>
        <w:tc>
          <w:tcPr>
            <w:tcW w:w="56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检测结果</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提供2025年取得</w:t>
            </w:r>
            <w:r>
              <w:rPr>
                <w:rFonts w:hint="eastAsia" w:ascii="宋体" w:hAnsi="宋体" w:cs="宋体"/>
                <w:color w:val="auto"/>
                <w:sz w:val="24"/>
                <w:szCs w:val="24"/>
                <w:highlight w:val="none"/>
                <w:lang w:eastAsia="zh-CN"/>
              </w:rPr>
              <w:t>核心产品</w:t>
            </w:r>
            <w:r>
              <w:rPr>
                <w:rFonts w:hint="eastAsia" w:ascii="宋体" w:hAnsi="宋体" w:eastAsia="宋体" w:cs="宋体"/>
                <w:color w:val="auto"/>
                <w:sz w:val="24"/>
                <w:szCs w:val="24"/>
                <w:highlight w:val="none"/>
              </w:rPr>
              <w:t>合格的连续5个批次签发报告，评定其效力、理化指标</w:t>
            </w:r>
            <w:r>
              <w:rPr>
                <w:rFonts w:hint="eastAsia" w:ascii="宋体" w:hAnsi="宋体" w:cs="宋体"/>
                <w:color w:val="auto"/>
                <w:sz w:val="24"/>
                <w:szCs w:val="24"/>
                <w:highlight w:val="none"/>
                <w:lang w:eastAsia="zh-CN"/>
              </w:rPr>
              <w:t>。要求为：</w:t>
            </w:r>
            <w:r>
              <w:rPr>
                <w:rFonts w:hint="eastAsia" w:ascii="宋体" w:hAnsi="宋体" w:eastAsia="宋体" w:cs="宋体"/>
                <w:color w:val="auto"/>
                <w:sz w:val="24"/>
                <w:szCs w:val="24"/>
                <w:highlight w:val="none"/>
              </w:rPr>
              <w:t>黏度</w:t>
            </w:r>
            <w:r>
              <w:rPr>
                <w:rFonts w:hint="eastAsia" w:ascii="宋体" w:hAnsi="宋体" w:cs="宋体"/>
                <w:color w:val="auto"/>
                <w:sz w:val="24"/>
                <w:szCs w:val="24"/>
                <w:highlight w:val="none"/>
                <w:lang w:eastAsia="zh-CN"/>
              </w:rPr>
              <w:t>批次间差异小</w:t>
            </w:r>
            <w:r>
              <w:rPr>
                <w:rFonts w:hint="eastAsia" w:ascii="宋体" w:hAnsi="宋体" w:eastAsia="宋体" w:cs="宋体"/>
                <w:color w:val="auto"/>
                <w:sz w:val="24"/>
                <w:szCs w:val="24"/>
                <w:highlight w:val="none"/>
              </w:rPr>
              <w:t>、总蛋白</w:t>
            </w:r>
            <w:r>
              <w:rPr>
                <w:rFonts w:hint="eastAsia" w:ascii="宋体" w:hAnsi="宋体" w:cs="宋体"/>
                <w:color w:val="auto"/>
                <w:sz w:val="24"/>
                <w:szCs w:val="24"/>
                <w:highlight w:val="none"/>
                <w:lang w:eastAsia="zh-CN"/>
              </w:rPr>
              <w:t>含量低</w:t>
            </w:r>
            <w:r>
              <w:rPr>
                <w:rFonts w:hint="eastAsia" w:ascii="宋体" w:hAnsi="宋体" w:eastAsia="宋体" w:cs="宋体"/>
                <w:color w:val="auto"/>
                <w:sz w:val="24"/>
                <w:szCs w:val="24"/>
                <w:highlight w:val="none"/>
              </w:rPr>
              <w:t>、PD50值</w:t>
            </w:r>
            <w:r>
              <w:rPr>
                <w:rFonts w:hint="eastAsia" w:ascii="宋体" w:hAnsi="宋体" w:cs="宋体"/>
                <w:color w:val="auto"/>
                <w:sz w:val="24"/>
                <w:szCs w:val="24"/>
                <w:highlight w:val="none"/>
                <w:lang w:eastAsia="zh-CN"/>
              </w:rPr>
              <w:t>高且批次间差异小</w:t>
            </w:r>
            <w:r>
              <w:rPr>
                <w:rFonts w:hint="eastAsia" w:ascii="宋体" w:hAnsi="宋体" w:eastAsia="宋体" w:cs="宋体"/>
                <w:color w:val="auto"/>
                <w:sz w:val="24"/>
                <w:szCs w:val="24"/>
                <w:highlight w:val="none"/>
              </w:rPr>
              <w:t>、内毒素</w:t>
            </w:r>
            <w:r>
              <w:rPr>
                <w:rFonts w:hint="eastAsia" w:ascii="宋体" w:hAnsi="宋体" w:cs="宋体"/>
                <w:color w:val="auto"/>
                <w:sz w:val="24"/>
                <w:szCs w:val="24"/>
                <w:highlight w:val="none"/>
                <w:lang w:eastAsia="zh-CN"/>
              </w:rPr>
              <w:t>含量低</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整体优于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要求，批次间</w:t>
            </w:r>
            <w:r>
              <w:rPr>
                <w:rFonts w:hint="eastAsia" w:ascii="宋体" w:hAnsi="宋体" w:cs="宋体"/>
                <w:color w:val="auto"/>
                <w:sz w:val="24"/>
                <w:szCs w:val="24"/>
                <w:highlight w:val="none"/>
                <w:lang w:val="en-US" w:eastAsia="zh-CN"/>
              </w:rPr>
              <w:t>较一致</w:t>
            </w:r>
            <w:r>
              <w:rPr>
                <w:rFonts w:hint="eastAsia" w:ascii="宋体" w:hAnsi="宋体" w:eastAsia="宋体" w:cs="宋体"/>
                <w:color w:val="auto"/>
                <w:sz w:val="24"/>
                <w:szCs w:val="24"/>
                <w:highlight w:val="none"/>
              </w:rPr>
              <w:t>，体现优良的质量和较高的稳定性</w:t>
            </w:r>
            <w:r>
              <w:rPr>
                <w:rFonts w:hint="eastAsia" w:ascii="宋体" w:hAnsi="宋体" w:eastAsia="宋体" w:cs="宋体"/>
                <w:color w:val="auto"/>
                <w:sz w:val="24"/>
                <w:szCs w:val="24"/>
                <w:highlight w:val="none"/>
                <w:lang w:val="en-US" w:eastAsia="zh-CN"/>
              </w:rPr>
              <w:t>得10分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检测报告齐全，批次间差异较小，满足或基本满足本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要求，体现较高的产品质量</w:t>
            </w:r>
            <w:r>
              <w:rPr>
                <w:rFonts w:hint="eastAsia" w:ascii="宋体" w:hAnsi="宋体" w:eastAsia="宋体" w:cs="宋体"/>
                <w:color w:val="auto"/>
                <w:sz w:val="24"/>
                <w:szCs w:val="24"/>
                <w:highlight w:val="none"/>
                <w:lang w:val="en-US" w:eastAsia="zh-CN"/>
              </w:rPr>
              <w:t>得7分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齐全，批次间差异较大，部分非关键指标不满足本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得3分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报告不齐全，批次间差异极大，多个批次、多个指标或个别关键指标不满足本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p>
        </w:tc>
      </w:tr>
    </w:tbl>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售后服务质量（20分）</w:t>
      </w:r>
    </w:p>
    <w:tbl>
      <w:tblPr>
        <w:tblStyle w:val="47"/>
        <w:tblW w:w="8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26"/>
        <w:gridCol w:w="733"/>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22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701"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6"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售后服务响应、不良反应处理。</w:t>
            </w:r>
          </w:p>
        </w:tc>
        <w:tc>
          <w:tcPr>
            <w:tcW w:w="733"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22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机构规模大、人员齐全，能对售后服务做出及时的响应，得3分；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有常驻机构但机构规模实力欠缺，人员配备不足，得1分；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无常驻机构不得分。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2.承诺售后服务响应时间：</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接到采购方通知后24小时内到达现场，得2分；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48小时内到达，得1分；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超过48小时不得分。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701"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1426"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733"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522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不良反应赔付及时、全额、便捷，保证出现疫情或产品出现大规模不良反应等突发事件时能及时处理，且应对措施完善可行性高，对过敏反应处理措施到位得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措施基本可行，对过敏反应处理措施部分到位得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不能做到不良反应时及时、全额赔付，出现疫情或产品出现大规模不良反应等突发事件时的应急方案不完善，不具备可行性得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5"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7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22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(1)提供详细的技术支持方案(含免疫程序，效果评估，技术指导等)，科学全面得3分；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方案简略得1分；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(2)承诺每年提供不少于2次现场技术培训或入户指导，得2分。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(3)技术人员配备：</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投入本项目的</w:t>
            </w:r>
            <w:r>
              <w:rPr>
                <w:rFonts w:hint="eastAsia" w:ascii="宋体" w:hAnsi="宋体" w:cs="宋体"/>
                <w:color w:val="auto"/>
                <w:sz w:val="24"/>
                <w:szCs w:val="24"/>
                <w:highlight w:val="none"/>
                <w:lang w:val="en-US" w:eastAsia="zh-CN"/>
              </w:rPr>
              <w:t>人员力量雄厚，技术全面，整体团队2人及以上且具备</w:t>
            </w:r>
            <w:r>
              <w:rPr>
                <w:rFonts w:hint="eastAsia" w:ascii="宋体" w:hAnsi="宋体" w:eastAsia="宋体" w:cs="宋体"/>
                <w:color w:val="auto"/>
                <w:sz w:val="24"/>
                <w:szCs w:val="24"/>
                <w:highlight w:val="none"/>
              </w:rPr>
              <w:t>高级技术职称，得2分；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技术力量薄弱，人员相对较少</w:t>
            </w:r>
            <w:r>
              <w:rPr>
                <w:rFonts w:hint="eastAsia" w:ascii="宋体" w:hAnsi="宋体" w:eastAsia="宋体" w:cs="宋体"/>
                <w:color w:val="auto"/>
                <w:sz w:val="24"/>
                <w:szCs w:val="24"/>
                <w:highlight w:val="none"/>
              </w:rPr>
              <w:t>，得1分</w:t>
            </w:r>
            <w:r>
              <w:rPr>
                <w:rFonts w:hint="eastAsia" w:ascii="宋体" w:hAnsi="宋体" w:cs="宋体"/>
                <w:color w:val="auto"/>
                <w:sz w:val="24"/>
                <w:szCs w:val="24"/>
                <w:highlight w:val="none"/>
                <w:lang w:eastAsia="zh-CN"/>
              </w:rPr>
              <w:t>。</w:t>
            </w:r>
          </w:p>
        </w:tc>
      </w:tr>
    </w:tbl>
    <w:p>
      <w:pPr>
        <w:rPr>
          <w:rFonts w:hint="eastAsia" w:ascii="宋体" w:hAnsi="宋体" w:eastAsia="宋体" w:cs="宋体"/>
          <w:b/>
          <w:color w:val="auto"/>
          <w:sz w:val="24"/>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7" w:name="_Toc192872479"/>
      <w:r>
        <w:rPr>
          <w:rFonts w:hint="eastAsia" w:ascii="宋体" w:hAnsi="宋体" w:eastAsia="宋体" w:cs="宋体"/>
          <w:b/>
          <w:color w:val="auto"/>
          <w:sz w:val="36"/>
          <w:szCs w:val="36"/>
          <w:highlight w:val="none"/>
        </w:rPr>
        <w:t>第五章   采购需求</w:t>
      </w:r>
      <w:bookmarkEnd w:id="297"/>
    </w:p>
    <w:p>
      <w:pPr>
        <w:pStyle w:val="187"/>
        <w:numPr>
          <w:ilvl w:val="0"/>
          <w:numId w:val="19"/>
        </w:numPr>
        <w:spacing w:after="0"/>
        <w:ind w:firstLineChars="0"/>
        <w:contextualSpacing/>
        <w:rPr>
          <w:rFonts w:hint="eastAsia" w:ascii="宋体" w:hAnsi="宋体" w:eastAsia="宋体" w:cs="宋体"/>
          <w:b w:val="0"/>
          <w:color w:val="auto"/>
          <w:sz w:val="28"/>
          <w:szCs w:val="28"/>
          <w:highlight w:val="none"/>
        </w:rPr>
      </w:pPr>
      <w:r>
        <w:rPr>
          <w:rFonts w:hint="eastAsia" w:ascii="宋体" w:hAnsi="宋体" w:eastAsia="宋体" w:cs="宋体"/>
          <w:color w:val="auto"/>
          <w:sz w:val="28"/>
          <w:szCs w:val="28"/>
          <w:highlight w:val="none"/>
        </w:rPr>
        <w:t>货物需求</w:t>
      </w:r>
    </w:p>
    <w:p>
      <w:pPr>
        <w:pStyle w:val="288"/>
        <w:spacing w:line="560" w:lineRule="exact"/>
        <w:ind w:firstLine="48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（一）口蹄疫O型A型二价灭活疫苗</w:t>
      </w:r>
    </w:p>
    <w:p>
      <w:pPr>
        <w:pStyle w:val="288"/>
        <w:spacing w:line="560" w:lineRule="exact"/>
        <w:ind w:firstLine="482"/>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口蹄疫O型、A型二价灭活疫苗（O/MYA98/BY/2010株+Re-A/WH/09株）</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【主要成份与含量】  含有灭活的口蹄疫O型O/MYA98/BY/2010株、A型Re-A/WH/09株病毒，每1ml疫苗中含有O型和A型总146S含量应不低于1.0μg，每0.2ml病毒液中病毒含量O型、A型分别不低于10</w:t>
      </w:r>
      <w:r>
        <w:rPr>
          <w:rFonts w:hint="eastAsia" w:ascii="宋体" w:hAnsi="宋体" w:eastAsia="宋体" w:cs="宋体"/>
          <w:color w:val="auto"/>
          <w:sz w:val="28"/>
          <w:szCs w:val="28"/>
          <w:highlight w:val="none"/>
          <w:vertAlign w:val="superscript"/>
        </w:rPr>
        <w:t>7.5</w:t>
      </w:r>
      <w:r>
        <w:rPr>
          <w:rFonts w:hint="eastAsia" w:ascii="宋体" w:hAnsi="宋体" w:eastAsia="宋体" w:cs="宋体"/>
          <w:color w:val="auto"/>
          <w:sz w:val="28"/>
          <w:szCs w:val="28"/>
          <w:highlight w:val="none"/>
        </w:rPr>
        <w:t>LD</w:t>
      </w:r>
      <w:r>
        <w:rPr>
          <w:rFonts w:hint="eastAsia" w:ascii="宋体" w:hAnsi="宋体" w:eastAsia="宋体" w:cs="宋体"/>
          <w:color w:val="auto"/>
          <w:sz w:val="28"/>
          <w:szCs w:val="28"/>
          <w:highlight w:val="none"/>
          <w:vertAlign w:val="subscript"/>
        </w:rPr>
        <w:t>50</w:t>
      </w:r>
      <w:r>
        <w:rPr>
          <w:rFonts w:hint="eastAsia" w:ascii="宋体" w:hAnsi="宋体" w:eastAsia="宋体" w:cs="宋体"/>
          <w:color w:val="auto"/>
          <w:sz w:val="28"/>
          <w:szCs w:val="28"/>
          <w:highlight w:val="none"/>
        </w:rPr>
        <w:t>和10</w:t>
      </w:r>
      <w:r>
        <w:rPr>
          <w:rFonts w:hint="eastAsia" w:ascii="宋体" w:hAnsi="宋体" w:eastAsia="宋体" w:cs="宋体"/>
          <w:color w:val="auto"/>
          <w:sz w:val="28"/>
          <w:szCs w:val="28"/>
          <w:highlight w:val="none"/>
          <w:vertAlign w:val="superscript"/>
        </w:rPr>
        <w:t>7.0</w:t>
      </w:r>
      <w:r>
        <w:rPr>
          <w:rFonts w:hint="eastAsia" w:ascii="宋体" w:hAnsi="宋体" w:eastAsia="宋体" w:cs="宋体"/>
          <w:color w:val="auto"/>
          <w:sz w:val="28"/>
          <w:szCs w:val="28"/>
          <w:highlight w:val="none"/>
        </w:rPr>
        <w:t>LD</w:t>
      </w:r>
      <w:r>
        <w:rPr>
          <w:rFonts w:hint="eastAsia" w:ascii="宋体" w:hAnsi="宋体" w:eastAsia="宋体" w:cs="宋体"/>
          <w:color w:val="auto"/>
          <w:sz w:val="28"/>
          <w:szCs w:val="28"/>
          <w:highlight w:val="none"/>
          <w:vertAlign w:val="subscript"/>
        </w:rPr>
        <w:t>50</w:t>
      </w:r>
      <w:r>
        <w:rPr>
          <w:rFonts w:hint="eastAsia" w:ascii="宋体" w:hAnsi="宋体" w:eastAsia="宋体" w:cs="宋体"/>
          <w:color w:val="auto"/>
          <w:sz w:val="28"/>
          <w:szCs w:val="28"/>
          <w:highlight w:val="none"/>
        </w:rPr>
        <w:t>或O型、A型1ml病毒液中病毒含量分别不低于10</w:t>
      </w:r>
      <w:r>
        <w:rPr>
          <w:rFonts w:hint="eastAsia" w:ascii="宋体" w:hAnsi="宋体" w:eastAsia="宋体" w:cs="宋体"/>
          <w:color w:val="auto"/>
          <w:sz w:val="28"/>
          <w:szCs w:val="28"/>
          <w:highlight w:val="none"/>
          <w:vertAlign w:val="superscript"/>
        </w:rPr>
        <w:t>7.5</w:t>
      </w:r>
      <w:r>
        <w:rPr>
          <w:rFonts w:hint="eastAsia" w:ascii="宋体" w:hAnsi="宋体" w:eastAsia="宋体" w:cs="宋体"/>
          <w:color w:val="auto"/>
          <w:sz w:val="28"/>
          <w:szCs w:val="28"/>
          <w:highlight w:val="none"/>
        </w:rPr>
        <w:t>TCID</w:t>
      </w:r>
      <w:r>
        <w:rPr>
          <w:rFonts w:hint="eastAsia" w:ascii="宋体" w:hAnsi="宋体" w:eastAsia="宋体" w:cs="宋体"/>
          <w:color w:val="auto"/>
          <w:sz w:val="28"/>
          <w:szCs w:val="28"/>
          <w:highlight w:val="none"/>
          <w:vertAlign w:val="subscript"/>
        </w:rPr>
        <w:t>50</w:t>
      </w:r>
      <w:r>
        <w:rPr>
          <w:rFonts w:hint="eastAsia" w:ascii="宋体" w:hAnsi="宋体" w:eastAsia="宋体" w:cs="宋体"/>
          <w:color w:val="auto"/>
          <w:sz w:val="28"/>
          <w:szCs w:val="28"/>
          <w:highlight w:val="none"/>
        </w:rPr>
        <w:t>和10</w:t>
      </w:r>
      <w:r>
        <w:rPr>
          <w:rFonts w:hint="eastAsia" w:ascii="宋体" w:hAnsi="宋体" w:eastAsia="宋体" w:cs="宋体"/>
          <w:color w:val="auto"/>
          <w:sz w:val="28"/>
          <w:szCs w:val="28"/>
          <w:highlight w:val="none"/>
          <w:vertAlign w:val="superscript"/>
        </w:rPr>
        <w:t>7.5</w:t>
      </w:r>
      <w:r>
        <w:rPr>
          <w:rFonts w:hint="eastAsia" w:ascii="宋体" w:hAnsi="宋体" w:eastAsia="宋体" w:cs="宋体"/>
          <w:color w:val="auto"/>
          <w:sz w:val="28"/>
          <w:szCs w:val="28"/>
          <w:highlight w:val="none"/>
        </w:rPr>
        <w:t>TCID</w:t>
      </w:r>
      <w:r>
        <w:rPr>
          <w:rFonts w:hint="eastAsia" w:ascii="宋体" w:hAnsi="宋体" w:eastAsia="宋体" w:cs="宋体"/>
          <w:color w:val="auto"/>
          <w:sz w:val="28"/>
          <w:szCs w:val="28"/>
          <w:highlight w:val="none"/>
          <w:vertAlign w:val="subscript"/>
        </w:rPr>
        <w:t>50</w:t>
      </w:r>
      <w:r>
        <w:rPr>
          <w:rFonts w:hint="eastAsia" w:ascii="宋体" w:hAnsi="宋体" w:eastAsia="宋体" w:cs="宋体"/>
          <w:color w:val="auto"/>
          <w:sz w:val="28"/>
          <w:szCs w:val="28"/>
          <w:highlight w:val="none"/>
        </w:rPr>
        <w:t>。</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【性状】  乳白色略带粘滞性乳液。</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剂型：为双相油乳剂(W／O／W)。用一清洁吸管，吸取少许疫苗滴于清洁冷水表面，应呈云雾状扩散。</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黏度：用1ml吸管(出口内径为1.2mm)吸取25℃左右的疫苗1m</w:t>
      </w:r>
      <w:r>
        <w:rPr>
          <w:rFonts w:hint="eastAsia" w:ascii="宋体" w:hAnsi="宋体" w:cs="宋体"/>
          <w:color w:val="auto"/>
          <w:sz w:val="28"/>
          <w:szCs w:val="28"/>
          <w:highlight w:val="none"/>
          <w:lang w:val="en-US" w:eastAsia="zh-CN"/>
        </w:rPr>
        <w:t>l</w:t>
      </w:r>
      <w:r>
        <w:rPr>
          <w:rFonts w:hint="eastAsia" w:ascii="宋体" w:hAnsi="宋体" w:eastAsia="宋体" w:cs="宋体"/>
          <w:color w:val="auto"/>
          <w:sz w:val="28"/>
          <w:szCs w:val="28"/>
          <w:highlight w:val="none"/>
        </w:rPr>
        <w:t>，令其垂直自然流出0.4ml，所需时间应在5秒以内。</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按照国家标准规定的动力黏度法测定疫苗运动黏度，运动黏度应不大于70c</w:t>
      </w:r>
      <w:r>
        <w:rPr>
          <w:rFonts w:hint="eastAsia" w:ascii="宋体" w:hAnsi="宋体" w:cs="宋体"/>
          <w:color w:val="auto"/>
          <w:sz w:val="28"/>
          <w:szCs w:val="28"/>
          <w:highlight w:val="none"/>
          <w:lang w:val="en-US" w:eastAsia="zh-CN"/>
        </w:rPr>
        <w:t>P</w:t>
      </w:r>
      <w:r>
        <w:rPr>
          <w:rFonts w:hint="eastAsia" w:ascii="宋体" w:hAnsi="宋体" w:eastAsia="宋体" w:cs="宋体"/>
          <w:color w:val="auto"/>
          <w:sz w:val="28"/>
          <w:szCs w:val="28"/>
          <w:highlight w:val="none"/>
        </w:rPr>
        <w:t>。</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稳定性：吸取疫苗10ml加入离心管中，以3000r／min离心15分钟，水相析出不超过0.5ml。</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【无菌检验】按现行《中国兽药典》附录进行检验，应无菌生长。</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【内毒素检验】按现行《中国兽药典》附录进行检验，应内毒素&lt;10EU/ml。</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【安全检验】符合国家兽药质量标准。</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【杂蛋白含量】总蛋白含量每ml疫苗不高于300</w:t>
      </w:r>
      <w:r>
        <w:rPr>
          <w:rFonts w:hint="eastAsia" w:ascii="方正书宋_GBK" w:hAnsi="方正书宋_GBK" w:eastAsia="方正书宋_GBK" w:cs="方正书宋_GBK"/>
          <w:color w:val="auto"/>
          <w:sz w:val="28"/>
          <w:szCs w:val="28"/>
          <w:highlight w:val="none"/>
        </w:rPr>
        <w:t>μ</w:t>
      </w:r>
      <w:r>
        <w:rPr>
          <w:rFonts w:hint="eastAsia" w:ascii="宋体" w:hAnsi="宋体" w:eastAsia="宋体" w:cs="宋体"/>
          <w:color w:val="auto"/>
          <w:sz w:val="28"/>
          <w:szCs w:val="28"/>
          <w:highlight w:val="none"/>
        </w:rPr>
        <w:t>g。</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【效力检验】符合农业部标准。</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【作用与用途】  用于预防牛、羊O型和A型口蹄疫。免疫期为6个月。</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【用法与用量】  肌肉注射。每头牛1ml，每只羊0.5ml。</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【不良反应】 （1）正常反应  注射动物精神、食欲正常，注射局部无明显变化，泌乳正常，仅体温一过性升高，1日内恢复，无其他可见临床体征变化。一般不良反应  个别动物注射部位轻微肿胀、体温升高持续0.5～1℃、减食或停食1～2顿，奶牛可出现一过性泌乳量减少，随着时间延长，症状逐渐减轻、消失。严重不良反应  因品种、个体的差异，个别牛接种后可能会出现因过敏原引起的急性过敏反应（如焦躁不安、呼吸加快、肌肉振颤、可视黏膜充血、瘤胃鼓气、鼻腔出血等，甚至因抢救不及时而死亡；少数怀孕母牛可能出现流产）。</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 50m</w:t>
      </w:r>
      <w:r>
        <w:rPr>
          <w:rFonts w:hint="eastAsia" w:ascii="宋体" w:hAnsi="宋体" w:cs="宋体"/>
          <w:color w:val="auto"/>
          <w:sz w:val="28"/>
          <w:szCs w:val="28"/>
          <w:highlight w:val="none"/>
          <w:lang w:val="en-US" w:eastAsia="zh-CN"/>
        </w:rPr>
        <w:t>l</w:t>
      </w:r>
      <w:r>
        <w:rPr>
          <w:rFonts w:hint="eastAsia" w:ascii="宋体" w:hAnsi="宋体" w:eastAsia="宋体" w:cs="宋体"/>
          <w:color w:val="auto"/>
          <w:sz w:val="28"/>
          <w:szCs w:val="28"/>
          <w:highlight w:val="none"/>
        </w:rPr>
        <w:t>/瓶。</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【贮藏与有效期】  </w:t>
      </w:r>
      <w:r>
        <w:rPr>
          <w:rFonts w:hint="eastAsia" w:ascii="宋体" w:hAnsi="宋体" w:eastAsia="宋体" w:cs="宋体"/>
          <w:b/>
          <w:bCs/>
          <w:color w:val="auto"/>
          <w:sz w:val="28"/>
          <w:szCs w:val="28"/>
          <w:highlight w:val="none"/>
        </w:rPr>
        <w:t>2～8℃保存，有效期为12个月。</w:t>
      </w:r>
    </w:p>
    <w:p>
      <w:pPr>
        <w:pStyle w:val="288"/>
        <w:spacing w:line="560" w:lineRule="exact"/>
        <w:ind w:firstLine="480"/>
        <w:rPr>
          <w:rFonts w:hint="eastAsia" w:ascii="宋体" w:hAnsi="宋体" w:eastAsia="宋体" w:cs="宋体"/>
          <w:color w:val="auto"/>
          <w:sz w:val="24"/>
          <w:szCs w:val="24"/>
          <w:highlight w:val="none"/>
        </w:rPr>
      </w:pPr>
    </w:p>
    <w:p>
      <w:pPr>
        <w:pStyle w:val="288"/>
        <w:spacing w:line="560" w:lineRule="exact"/>
        <w:ind w:firstLine="480"/>
        <w:rPr>
          <w:rFonts w:hint="eastAsia" w:ascii="宋体" w:hAnsi="宋体" w:eastAsia="宋体" w:cs="宋体"/>
          <w:b/>
          <w:bCs/>
          <w:color w:val="auto"/>
          <w:sz w:val="24"/>
          <w:szCs w:val="24"/>
          <w:highlight w:val="none"/>
        </w:rPr>
        <w:sectPr>
          <w:footerReference r:id="rId9" w:type="default"/>
          <w:pgSz w:w="11907" w:h="16840"/>
          <w:pgMar w:top="1440" w:right="1797" w:bottom="1440" w:left="1797" w:header="851" w:footer="851" w:gutter="0"/>
          <w:cols w:space="720" w:num="1"/>
          <w:docGrid w:linePitch="462" w:charSpace="0"/>
        </w:sectPr>
      </w:pPr>
    </w:p>
    <w:p>
      <w:pPr>
        <w:pStyle w:val="288"/>
        <w:spacing w:line="56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（二）口蹄疫</w:t>
      </w:r>
      <w:r>
        <w:rPr>
          <w:rFonts w:hint="eastAsia" w:ascii="宋体" w:hAnsi="宋体" w:cs="宋体"/>
          <w:b/>
          <w:bCs/>
          <w:color w:val="auto"/>
          <w:sz w:val="24"/>
          <w:szCs w:val="24"/>
          <w:highlight w:val="none"/>
          <w:lang w:val="en-US" w:eastAsia="zh-CN"/>
        </w:rPr>
        <w:t>O</w:t>
      </w:r>
      <w:r>
        <w:rPr>
          <w:rFonts w:hint="eastAsia" w:ascii="宋体" w:hAnsi="宋体" w:eastAsia="宋体" w:cs="宋体"/>
          <w:b/>
          <w:bCs/>
          <w:color w:val="auto"/>
          <w:sz w:val="24"/>
          <w:szCs w:val="24"/>
          <w:highlight w:val="none"/>
        </w:rPr>
        <w:t>型灭活疫苗（</w:t>
      </w:r>
      <w:r>
        <w:rPr>
          <w:rFonts w:hint="eastAsia" w:ascii="宋体" w:hAnsi="宋体" w:cs="宋体"/>
          <w:b/>
          <w:bCs/>
          <w:color w:val="auto"/>
          <w:sz w:val="24"/>
          <w:szCs w:val="24"/>
          <w:highlight w:val="none"/>
          <w:lang w:val="en-US" w:eastAsia="zh-CN"/>
        </w:rPr>
        <w:t>在</w:t>
      </w:r>
      <w:r>
        <w:rPr>
          <w:rFonts w:hint="eastAsia" w:ascii="宋体" w:hAnsi="宋体" w:eastAsia="宋体" w:cs="宋体"/>
          <w:b/>
          <w:bCs/>
          <w:color w:val="auto"/>
          <w:sz w:val="24"/>
          <w:szCs w:val="24"/>
          <w:highlight w:val="none"/>
        </w:rPr>
        <w:t>1、2、3</w:t>
      </w:r>
      <w:r>
        <w:rPr>
          <w:rFonts w:hint="eastAsia" w:ascii="宋体" w:hAnsi="宋体" w:cs="宋体"/>
          <w:b/>
          <w:bCs/>
          <w:color w:val="auto"/>
          <w:sz w:val="24"/>
          <w:szCs w:val="24"/>
          <w:highlight w:val="none"/>
          <w:lang w:val="en-US" w:eastAsia="zh-CN"/>
        </w:rPr>
        <w:t>项中选择一项满足其参数要求</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同时在</w:t>
      </w:r>
      <w:r>
        <w:rPr>
          <w:rFonts w:hint="eastAsia" w:ascii="宋体" w:hAnsi="宋体" w:eastAsia="宋体" w:cs="宋体"/>
          <w:b/>
          <w:bCs/>
          <w:color w:val="auto"/>
          <w:sz w:val="24"/>
          <w:szCs w:val="24"/>
          <w:highlight w:val="none"/>
        </w:rPr>
        <w:t>4和5中</w:t>
      </w:r>
      <w:r>
        <w:rPr>
          <w:rFonts w:hint="eastAsia" w:ascii="宋体" w:hAnsi="宋体" w:cs="宋体"/>
          <w:b/>
          <w:bCs/>
          <w:color w:val="auto"/>
          <w:sz w:val="24"/>
          <w:szCs w:val="24"/>
          <w:highlight w:val="none"/>
          <w:lang w:val="en-US" w:eastAsia="zh-CN"/>
        </w:rPr>
        <w:t>选择一项满足其参数要求</w:t>
      </w:r>
      <w:r>
        <w:rPr>
          <w:rFonts w:hint="eastAsia" w:ascii="宋体" w:hAnsi="宋体" w:eastAsia="宋体" w:cs="宋体"/>
          <w:b/>
          <w:bCs/>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1、猪口蹄疫O型灭活疫苗(O/Mya98/XJ/2010株+O/GX/09-7株)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剂型 水包油包水型(W/O/W)。取一清洁吸管，吸取少量疫苗滴于清洁冷水表面，应呈云雾状扩散。</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稳定性 吸取疫苗10ml加入离心管中，以3000转/分钟离心15分钟，管底析出的水相应不多于0.5ml。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黏度 按现行《中国兽药典》附录进行检验，应符合规定。</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【装量检查】按现行《中国兽药典》附录进行检验，应符合规定。</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【无菌检验】按现行《中国兽药典》附录进行检验，应无菌生长。</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【内毒素含量测定】按现行《农业部公告第2078号》进行细菌内毒素测定。每头份疫苗内毒素应不大于50EU。</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【总蛋白含量测定】</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按现行《农业部公告第2078号》进行总蛋白含量测定。每毫升疫苗总蛋白含量应不大于500</w:t>
      </w:r>
      <w:r>
        <w:rPr>
          <w:rFonts w:hint="eastAsia" w:ascii="方正书宋_GBK" w:hAnsi="方正书宋_GBK" w:eastAsia="方正书宋_GBK" w:cs="方正书宋_GBK"/>
          <w:color w:val="auto"/>
          <w:sz w:val="28"/>
          <w:szCs w:val="28"/>
          <w:highlight w:val="none"/>
        </w:rPr>
        <w:t>μ</w:t>
      </w:r>
      <w:r>
        <w:rPr>
          <w:rFonts w:hint="eastAsia" w:asciiTheme="minorEastAsia" w:hAnsiTheme="minorEastAsia" w:eastAsiaTheme="minorEastAsia" w:cstheme="minorEastAsia"/>
          <w:b w:val="0"/>
          <w:bCs w:val="0"/>
          <w:color w:val="auto"/>
          <w:sz w:val="28"/>
          <w:szCs w:val="28"/>
          <w:highlight w:val="none"/>
          <w:lang w:val="en-US" w:eastAsia="zh-CN"/>
        </w:rPr>
        <w:t>g。</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w:t>
      </w:r>
      <w:r>
        <w:rPr>
          <w:rFonts w:hint="eastAsia" w:asciiTheme="minorEastAsia" w:hAnsiTheme="minorEastAsia" w:eastAsiaTheme="minorEastAsia" w:cstheme="minorEastAsia"/>
          <w:b w:val="0"/>
          <w:bCs w:val="0"/>
          <w:color w:val="auto"/>
          <w:kern w:val="2"/>
          <w:sz w:val="28"/>
          <w:szCs w:val="28"/>
          <w:highlight w:val="none"/>
          <w:lang w:val="en-US" w:eastAsia="zh-CN" w:bidi="ar-SA"/>
        </w:rPr>
        <w:t>用于预防猪 O 型口蹄疫。免疫期为 4~6 个月。</w:t>
      </w:r>
    </w:p>
    <w:p>
      <w:pPr>
        <w:keepNext w:val="0"/>
        <w:keepLines w:val="0"/>
        <w:widowControl/>
        <w:suppressLineNumbers w:val="0"/>
        <w:ind w:firstLine="560" w:firstLineChars="200"/>
        <w:jc w:val="left"/>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【用法与用量】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接种途径：肌肉注射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接种部位：猪耳根后或臀部肌肉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剂量：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仔猪：35~45 日龄首免，每头 1mL；间隔 28~30 日加强免疫 1 次，每头 2mL。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育肥猪：首免每头 2mL。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种公猪：每年免疫 2 次，每头 2mL。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经产母猪：配种前免疫 1 次，每头 2mL；分娩后 1 个月加强免疫 1 次，每头 2mL。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【规格】50ml/瓶、 100ml/瓶。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【贮藏与有效期】2~8℃保存，有效期为12个月。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2、猪口蹄疫O型灭活疫苗(0ZK/93株+0R/80株)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乳白色或淡粉红色略带粘滞性均匀乳状液。</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【主要成份与含量】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含灭活的猪口蹄疫O型病毒0ZK/93株和OR/80株。灭活前各毒株每0.1ml病毒含量均应不低于2</w:t>
      </w:r>
      <w:r>
        <w:rPr>
          <w:rFonts w:hint="eastAsia" w:ascii="汉仪细圆B5" w:hAnsi="汉仪细圆B5" w:eastAsia="汉仪细圆B5" w:cs="汉仪细圆B5"/>
          <w:b w:val="0"/>
          <w:bCs w:val="0"/>
          <w:color w:val="auto"/>
          <w:sz w:val="28"/>
          <w:szCs w:val="28"/>
          <w:highlight w:val="none"/>
          <w:lang w:val="en-US" w:eastAsia="zh-CN"/>
        </w:rPr>
        <w:t>×</w:t>
      </w:r>
      <w:r>
        <w:rPr>
          <w:rFonts w:hint="eastAsia" w:asciiTheme="minorEastAsia" w:hAnsiTheme="minorEastAsia" w:eastAsiaTheme="minorEastAsia" w:cstheme="minorEastAsia"/>
          <w:b w:val="0"/>
          <w:bCs w:val="0"/>
          <w:color w:val="auto"/>
          <w:sz w:val="28"/>
          <w:szCs w:val="28"/>
          <w:highlight w:val="none"/>
          <w:lang w:val="en-US" w:eastAsia="zh-CN"/>
        </w:rPr>
        <w:t>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w:t>
      </w:r>
      <w:r>
        <w:rPr>
          <w:rFonts w:hint="eastAsia" w:asciiTheme="minorEastAsia" w:hAnsiTheme="minorEastAsia" w:eastAsiaTheme="minorEastAsia" w:cstheme="minorEastAsia"/>
          <w:b w:val="0"/>
          <w:bCs w:val="0"/>
          <w:color w:val="auto"/>
          <w:sz w:val="28"/>
          <w:szCs w:val="28"/>
          <w:highlight w:val="none"/>
          <w:lang w:val="en-US" w:eastAsia="zh-CN"/>
        </w:rPr>
        <w:t>TCID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或各毒株每0.2ml病毒含量均应不低2</w:t>
      </w:r>
      <w:r>
        <w:rPr>
          <w:rFonts w:hint="eastAsia" w:ascii="汉仪细圆B5" w:hAnsi="汉仪细圆B5" w:eastAsia="汉仪细圆B5" w:cs="汉仪细圆B5"/>
          <w:b w:val="0"/>
          <w:bCs w:val="0"/>
          <w:color w:val="auto"/>
          <w:sz w:val="28"/>
          <w:szCs w:val="28"/>
          <w:highlight w:val="none"/>
          <w:lang w:val="en-US" w:eastAsia="zh-CN"/>
        </w:rPr>
        <w:t>×</w:t>
      </w:r>
      <w:r>
        <w:rPr>
          <w:rFonts w:hint="eastAsia" w:asciiTheme="minorEastAsia" w:hAnsiTheme="minorEastAsia" w:eastAsiaTheme="minorEastAsia" w:cstheme="minorEastAsia"/>
          <w:b w:val="0"/>
          <w:bCs w:val="0"/>
          <w:color w:val="auto"/>
          <w:sz w:val="28"/>
          <w:szCs w:val="28"/>
          <w:highlight w:val="none"/>
          <w:lang w:val="en-US" w:eastAsia="zh-CN"/>
        </w:rPr>
        <w:t>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w:t>
      </w:r>
      <w:r>
        <w:rPr>
          <w:rFonts w:hint="eastAsia" w:asciiTheme="minorEastAsia" w:hAnsiTheme="minorEastAsia" w:eastAsiaTheme="minorEastAsia" w:cstheme="minorEastAsia"/>
          <w:b w:val="0"/>
          <w:bCs w:val="0"/>
          <w:color w:val="auto"/>
          <w:sz w:val="28"/>
          <w:szCs w:val="28"/>
          <w:highlight w:val="none"/>
          <w:lang w:val="en-US" w:eastAsia="zh-CN"/>
        </w:rPr>
        <w:t>LD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用于预防猪O型口蹄疫。注射疫苗后2~3周产生免疫力，免疫期为6个月。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【用法与用量】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耳根后部肌肉注射。体重10~25kg，每头接种1ml；25kg以上，每头接种2ml。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【规格】50ml/瓶、100ml/瓶。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【贮藏与有效期】2~8℃保存，有效期为12个月。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3、猪口蹄疫O型灭活疫苗(O/MYA98/BY/2010株)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【主要成分与含量】含灭活的口蹄疫O型病毒O/MYA98/BY/2010株，灭活前每1.0ml病毒液病毒含量≥10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7.5</w:t>
      </w:r>
      <w:r>
        <w:rPr>
          <w:rFonts w:hint="eastAsia" w:asciiTheme="minorEastAsia" w:hAnsiTheme="minorEastAsia" w:eastAsiaTheme="minorEastAsia" w:cstheme="minorEastAsia"/>
          <w:b w:val="0"/>
          <w:bCs w:val="0"/>
          <w:color w:val="auto"/>
          <w:sz w:val="28"/>
          <w:szCs w:val="28"/>
          <w:highlight w:val="none"/>
          <w:lang w:val="en-US" w:eastAsia="zh-CN"/>
        </w:rPr>
        <w:t>TCID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或0.2ml病毒液病毒含量≥10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7.5</w:t>
      </w:r>
      <w:r>
        <w:rPr>
          <w:rFonts w:hint="eastAsia" w:asciiTheme="minorEastAsia" w:hAnsiTheme="minorEastAsia" w:eastAsiaTheme="minorEastAsia" w:cstheme="minorEastAsia"/>
          <w:b w:val="0"/>
          <w:bCs w:val="0"/>
          <w:color w:val="auto"/>
          <w:sz w:val="28"/>
          <w:szCs w:val="28"/>
          <w:highlight w:val="none"/>
          <w:lang w:val="en-US" w:eastAsia="zh-CN"/>
        </w:rPr>
        <w:t>LD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黏度应不超过200cP。</w:t>
      </w:r>
      <w:r>
        <w:rPr>
          <w:rFonts w:hint="eastAsia" w:asciiTheme="minorEastAsia" w:hAnsiTheme="minorEastAsia" w:eastAsiaTheme="minorEastAsia" w:cstheme="minorEastAsia"/>
          <w:b w:val="0"/>
          <w:bCs w:val="0"/>
          <w:color w:val="auto"/>
          <w:sz w:val="28"/>
          <w:szCs w:val="28"/>
          <w:highlight w:val="none"/>
          <w:lang w:val="en-US" w:eastAsia="zh-CN"/>
        </w:rPr>
        <w:tab/>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每头份疫苗中内毒素含量应不超过5EU。</w:t>
      </w:r>
      <w:r>
        <w:rPr>
          <w:rFonts w:hint="eastAsia" w:asciiTheme="minorEastAsia" w:hAnsiTheme="minorEastAsia" w:eastAsiaTheme="minorEastAsia" w:cstheme="minorEastAsia"/>
          <w:b w:val="0"/>
          <w:bCs w:val="0"/>
          <w:color w:val="auto"/>
          <w:sz w:val="28"/>
          <w:szCs w:val="28"/>
          <w:highlight w:val="none"/>
          <w:lang w:val="en-US" w:eastAsia="zh-CN"/>
        </w:rPr>
        <w:tab/>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每毫升疫苗中总蛋白含量应不超过500μg。</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每头份疫苗应高于6个PD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每毫升疫苗中146S含量应不低于3.0μg。</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【性状】乳白色略带粘滞性乳状液。</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【作用与用途】用于预防猪O型口蹄疫。免疫产生期为免疫后21日，免疫期为6个月。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【用法与用量】耳根后肌肉注射，每头注射2.0ml。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【规格】50ml/瓶、100ml/瓶。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【贮藏与有效期】2～8℃保存，有效期为18个月。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4、口蹄疫O型灭活疫苗(OS株)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【主要成份与含量】含灭活的口蹄疫O型病毒，灭活前每0.1ml病毒含量应至少为10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w:t>
      </w:r>
      <w:r>
        <w:rPr>
          <w:rFonts w:hint="eastAsia" w:asciiTheme="minorEastAsia" w:hAnsiTheme="minorEastAsia" w:eastAsiaTheme="minorEastAsia" w:cstheme="minorEastAsia"/>
          <w:b w:val="0"/>
          <w:bCs w:val="0"/>
          <w:color w:val="auto"/>
          <w:sz w:val="28"/>
          <w:szCs w:val="28"/>
          <w:highlight w:val="none"/>
          <w:lang w:val="en-US" w:eastAsia="zh-CN"/>
        </w:rPr>
        <w:t>TCID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，或每0.2ml病毒含量应至少为10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w:t>
      </w:r>
      <w:r>
        <w:rPr>
          <w:rFonts w:hint="eastAsia" w:asciiTheme="minorEastAsia" w:hAnsiTheme="minorEastAsia" w:eastAsiaTheme="minorEastAsia" w:cstheme="minorEastAsia"/>
          <w:b w:val="0"/>
          <w:bCs w:val="0"/>
          <w:color w:val="auto"/>
          <w:sz w:val="28"/>
          <w:szCs w:val="28"/>
          <w:highlight w:val="none"/>
          <w:lang w:val="en-US" w:eastAsia="zh-CN"/>
        </w:rPr>
        <w:t>LD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【性状】略带粘滞性乳状液。</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【作用与用途】用于预防牛、羊、鹿和骆驼O型口蹄疫。免疫期为4~6个月。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【用法与用量】肌肉注射，牛、鹿和骆驼每头(峰)2ml，羊每只1ml。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【规格】50m1/瓶、100m1/瓶。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【贮藏与有效期】2~8℃保存，有效期为12个月。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5、口蹄疫O型灭活疫苗(OJMS株)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本品系用口蹄疫病毒O型病毒接种BHK21细胞培养，收获悬浮细胞培养物，经二乙烯亚胺(BEI)灭活，加矿物油佐剂混合乳化制成。用于预防牛、羊O型口蹄疫。</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【性状】外观 淡粉红色或乳白色略带粘滞性乳状液。</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剂型 水包油包水型。取一清洁吸管，吸取疫苗滴于清洁冷水表面，应呈云雾状扩散。</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稳定性 吸取疫苗10.0ml加入离心管中，以3000r/min离心15分钟，底部析出的水相应不超过0.5ml。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黏度 按现行《中国兽药典》附录进行测定，应符合规定。【内毒素含量测定】 吸取12ml疫苗放入15ml离心管中，置45~55℃水浴90分钟，然后在4℃条件下，以15000g离心10分钟，取水相5.0ml，按现行《中国兽药典》一部附录进行检验。每头份疫苗内毒素含量应不超过5EU。</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【装量检查】按现行《中国兽药典》附录进行检验，应符合规定。</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【无菌检验】按现行《中国兽药典》附录进行检验，应无菌生长。</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【总蛋白含量测定】按《农业部公告第2078号》进行总蛋白含量测定。每毫升疫苗中总蛋白含量应不超过500μg。</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用于预防牛、羊O型口蹄疫。免疫期为6个月。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【用法与用量】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肌肉注射。牛每头2.0ml，羊每只1.0ml。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【规格】50ml/瓶、100ml/瓶。</w:t>
      </w:r>
    </w:p>
    <w:p>
      <w:pPr>
        <w:ind w:firstLine="560" w:firstLineChars="20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【贮藏与有效期】2~8℃保存，有效期为12个月。</w:t>
      </w:r>
    </w:p>
    <w:p>
      <w:pPr>
        <w:pStyle w:val="2"/>
        <w:numPr>
          <w:ilvl w:val="-1"/>
          <w:numId w:val="0"/>
        </w:numPr>
        <w:jc w:val="both"/>
        <w:rPr>
          <w:rFonts w:hint="eastAsia" w:asciiTheme="minorEastAsia" w:hAnsiTheme="minorEastAsia" w:eastAsiaTheme="minorEastAsia" w:cstheme="minorEastAsia"/>
          <w:color w:val="auto"/>
          <w:highlight w:val="none"/>
          <w:lang w:val="en-US" w:eastAsia="zh-CN"/>
        </w:rPr>
      </w:pPr>
    </w:p>
    <w:p>
      <w:pPr>
        <w:pStyle w:val="288"/>
        <w:spacing w:line="560" w:lineRule="exact"/>
        <w:ind w:firstLine="480"/>
        <w:rPr>
          <w:rFonts w:hint="eastAsia" w:ascii="宋体" w:hAnsi="宋体" w:eastAsia="宋体" w:cs="宋体"/>
          <w:color w:val="auto"/>
          <w:sz w:val="24"/>
          <w:szCs w:val="24"/>
          <w:highlight w:val="none"/>
        </w:rPr>
      </w:pPr>
    </w:p>
    <w:p>
      <w:pPr>
        <w:pStyle w:val="187"/>
        <w:numPr>
          <w:ilvl w:val="0"/>
          <w:numId w:val="0"/>
        </w:numPr>
        <w:spacing w:after="0"/>
        <w:ind w:leftChars="0"/>
        <w:contextualSpacing/>
        <w:rPr>
          <w:rFonts w:hint="eastAsia" w:ascii="宋体" w:hAnsi="宋体" w:eastAsia="宋体" w:cs="宋体"/>
          <w:b w:val="0"/>
          <w:color w:val="auto"/>
          <w:sz w:val="24"/>
          <w:szCs w:val="24"/>
          <w:highlight w:val="none"/>
        </w:rPr>
      </w:pPr>
    </w:p>
    <w:p>
      <w:pPr>
        <w:spacing w:before="240" w:beforeLines="100"/>
        <w:rPr>
          <w:rFonts w:hint="eastAsia" w:ascii="宋体" w:hAnsi="宋体" w:eastAsia="宋体" w:cs="宋体"/>
          <w:b/>
          <w:color w:val="auto"/>
          <w:sz w:val="24"/>
          <w:highlight w:val="none"/>
        </w:rPr>
        <w:sectPr>
          <w:pgSz w:w="11907" w:h="16840"/>
          <w:pgMar w:top="1440" w:right="1797" w:bottom="1440" w:left="1797" w:header="851" w:footer="851" w:gutter="0"/>
          <w:cols w:space="720" w:num="1"/>
          <w:docGrid w:linePitch="462" w:charSpace="0"/>
        </w:sectPr>
      </w:pPr>
    </w:p>
    <w:p>
      <w:pPr>
        <w:spacing w:before="240" w:beforeLines="100"/>
        <w:rPr>
          <w:rFonts w:hint="eastAsia" w:ascii="宋体" w:hAnsi="宋体" w:eastAsia="宋体" w:cs="宋体"/>
          <w:color w:val="auto"/>
          <w:sz w:val="24"/>
          <w:highlight w:val="none"/>
        </w:rPr>
      </w:pPr>
      <w:r>
        <w:rPr>
          <w:rFonts w:hint="eastAsia" w:ascii="宋体" w:hAnsi="宋体" w:eastAsia="宋体" w:cs="宋体"/>
          <w:b/>
          <w:color w:val="auto"/>
          <w:sz w:val="24"/>
          <w:highlight w:val="none"/>
        </w:rPr>
        <w:t>二、商务要求</w:t>
      </w:r>
      <w:r>
        <w:rPr>
          <w:rFonts w:hint="eastAsia" w:ascii="宋体" w:hAnsi="宋体" w:eastAsia="宋体" w:cs="宋体"/>
          <w:color w:val="auto"/>
          <w:sz w:val="24"/>
          <w:highlight w:val="none"/>
        </w:rPr>
        <w:t>：</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1.交付（实施）的时间（期限）和地点（范围）</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确保运输过程符合疫苗储存温度(2~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1.2采购方根据需求情况，向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提出供货通知，明确货物的品名、数量和交货时间、地点、方式。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接到供货通知2日内或按要求时限，将货物运达采购方库房并将货物卸到指定位置。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在货物出库4小时内向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提交出货通知。货物从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库房运达采购方库房的时间不超过24小时。</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应随货物向采购方交付产品的检验报告、质量控制验收证明或其它报告证明材料。</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2.付款条件（进度和方式）</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采购协议签署后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支付50%货款；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提供50%货款实物后，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再付2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提供100%货款实物，并验收合格提供发票后，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支付剩余尾款。符合各笔支付条件时，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0个工作日内完成支付。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3.包装和运输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有特殊包装要求的物品，应按照物品说明书和外包装标志执行。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运输：本货物运输必须根据《兽用生物制品经营管理办法》等现行国家相关规定和行业规范进行。由供应商将货物运送到采购人指定地点，供应商负责办理冷链运输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建立并实施完善的冷链运输方案</w:t>
      </w:r>
      <w:r>
        <w:rPr>
          <w:rFonts w:hint="eastAsia" w:ascii="宋体" w:hAnsi="宋体" w:eastAsia="宋体" w:cs="宋体"/>
          <w:color w:val="auto"/>
          <w:sz w:val="24"/>
          <w:szCs w:val="24"/>
          <w:highlight w:val="none"/>
        </w:rPr>
        <w:t>。有关运输的一切费用由供应商承担。所有货物运抵现场的日期为交货日期。运输途中如发生</w:t>
      </w:r>
      <w:r>
        <w:rPr>
          <w:rFonts w:hint="eastAsia" w:ascii="宋体" w:hAnsi="宋体" w:cs="宋体"/>
          <w:color w:val="auto"/>
          <w:sz w:val="24"/>
          <w:szCs w:val="24"/>
          <w:highlight w:val="none"/>
          <w:lang w:eastAsia="zh-CN"/>
        </w:rPr>
        <w:t>包装破损、疫苗分层等情况</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或在途运输时间超过</w:t>
      </w:r>
      <w:r>
        <w:rPr>
          <w:rFonts w:hint="eastAsia" w:ascii="宋体" w:hAnsi="宋体" w:cs="宋体"/>
          <w:color w:val="auto"/>
          <w:sz w:val="24"/>
          <w:szCs w:val="24"/>
          <w:highlight w:val="none"/>
          <w:lang w:val="en-US" w:eastAsia="zh-CN"/>
        </w:rPr>
        <w:t>24小时，</w:t>
      </w:r>
      <w:r>
        <w:rPr>
          <w:rFonts w:hint="eastAsia" w:ascii="宋体" w:hAnsi="宋体" w:eastAsia="宋体" w:cs="宋体"/>
          <w:color w:val="auto"/>
          <w:sz w:val="24"/>
          <w:szCs w:val="24"/>
          <w:highlight w:val="none"/>
        </w:rPr>
        <w:t>该批次货物采购方有权拒收，相关损失及责任由供货方承担。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4.售后服务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4.1有效期按照技术参数的要求执行。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需建立完善的技术支持体系，如遇相关技术问题，</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须在6小时内及时响应，并提出解决方案，组织技术人员予以及时解决。</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根据采购方的需求，提供7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24小时技术支持热线，确保技术问题响应时间不超过2小时，解决方案提供时间不超过24小时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可提供培训方案、产品跟踪调查、入场入户技术指导、不良反应调查等技术支持。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其它</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1基本要求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此次采购货物设备是采购人经过论证评审后确实所需，投标人所投设备应符合采购人的实际需求，应满足重大动物疫病应急预案和相关技术方案的要求。产品须符合国家《兽药质量标准》最新版要求。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对货物的要求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采购标的需满足的性能、材料、结构、外观、质量、安全、技术规格、物理特性等要求：在投标文件中详细说明所提供货物的技术规格和参数，并提供佐证材料。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应保证货物是全新的、未使用过的，完全符合合同规定的质量、规格和性能要求的正品。</w:t>
      </w:r>
      <w:r>
        <w:rPr>
          <w:rFonts w:hint="eastAsia" w:ascii="宋体" w:hAnsi="宋体" w:eastAsia="宋体" w:cs="宋体"/>
          <w:color w:val="auto"/>
          <w:sz w:val="24"/>
          <w:highlight w:val="none"/>
        </w:rPr>
        <w:t>所投货物为成熟的产品，已在动物防疫中使用，并得到验证，受使用者认可。</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6.3采购标的需满足的服务标准、期限、效率等要求：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货物最终验收后的质量保证期内，投标人应对产品的所有质量问题（包括但不限于因设计、工艺或材料的缺陷而发生的任何故障等）负全责，因质量问题所产生的故障、事故、人身损害、经济损失等责任均由投标人承担，由此产生的所有费用也均由投标人负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1）对于采购方在验收、储存和基层单位在应用中发现的质量问题或疑为质量问题，投标人须配合做好分析，包括：按照甲方要求提交相关资料文件、协助开展现场调查、补充开展检测检验、退货或换货等。</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2）对货物的质量问题存在疑问或争议时，采购方可送同批次产品样品到指定的机构进行鉴定，鉴定费用由投标单位支付。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3）经鉴定确属质量问题，或者投标人对采购方的质疑不能在3个工作日内给予回复并协助解决问题的，采购方有权中止协议，并保留追究投标人法律责任的权利。</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6.4</w:t>
      </w:r>
      <w:r>
        <w:rPr>
          <w:rFonts w:hint="eastAsia" w:asciiTheme="minorEastAsia" w:hAnsiTheme="minorEastAsia" w:eastAsiaTheme="minorEastAsia"/>
          <w:color w:val="auto"/>
          <w:sz w:val="24"/>
          <w:highlight w:val="none"/>
        </w:rPr>
        <w:t>为落实政府采购政策需满足的要求：</w:t>
      </w:r>
    </w:p>
    <w:p>
      <w:pPr>
        <w:keepNext w:val="0"/>
        <w:keepLines w:val="0"/>
        <w:pageBreakBefore w:val="0"/>
        <w:widowControl/>
        <w:kinsoku/>
        <w:wordWrap/>
        <w:overflowPunct/>
        <w:topLinePunct w:val="0"/>
        <w:autoSpaceDE/>
        <w:autoSpaceDN/>
        <w:bidi w:val="0"/>
        <w:adjustRightInd w:val="0"/>
        <w:snapToGrid w:val="0"/>
        <w:spacing w:after="233" w:afterLines="50" w:line="480" w:lineRule="auto"/>
        <w:ind w:firstLine="480" w:firstLineChars="200"/>
        <w:contextualSpacing/>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6.5</w:t>
      </w:r>
      <w:r>
        <w:rPr>
          <w:rFonts w:hint="eastAsia" w:asciiTheme="minorEastAsia" w:hAnsiTheme="minorEastAsia" w:eastAsiaTheme="minorEastAsia"/>
          <w:color w:val="auto"/>
          <w:sz w:val="24"/>
          <w:highlight w:val="none"/>
        </w:rPr>
        <w:t>采购标的的其他技术、服务等要求：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w:t>
      </w:r>
      <w:r>
        <w:rPr>
          <w:rFonts w:hint="eastAsia" w:cs="宋体" w:asciiTheme="minorEastAsia" w:hAnsiTheme="minorEastAsia" w:eastAsiaTheme="minorEastAsia"/>
          <w:color w:val="auto"/>
          <w:sz w:val="24"/>
          <w:highlight w:val="none"/>
          <w:shd w:val="clear" w:color="auto" w:fill="FFFFFF"/>
          <w:lang w:eastAsia="zh-CN"/>
        </w:rPr>
        <w:t>投标人</w:t>
      </w:r>
      <w:r>
        <w:rPr>
          <w:rFonts w:hint="eastAsia" w:cs="宋体" w:asciiTheme="minorEastAsia" w:hAnsiTheme="minorEastAsia" w:eastAsiaTheme="minorEastAsia"/>
          <w:color w:val="auto"/>
          <w:sz w:val="24"/>
          <w:highlight w:val="none"/>
          <w:shd w:val="clear" w:color="auto" w:fill="FFFFFF"/>
        </w:rPr>
        <w:t>必须对可能发生的后果承担全部责任。</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6.6</w:t>
      </w:r>
      <w:r>
        <w:rPr>
          <w:rFonts w:hint="eastAsia" w:asciiTheme="minorEastAsia" w:hAnsiTheme="minorEastAsia" w:eastAsiaTheme="minorEastAsia"/>
          <w:color w:val="auto"/>
          <w:sz w:val="24"/>
          <w:highlight w:val="none"/>
        </w:rPr>
        <w:t xml:space="preserve"> 本项目</w:t>
      </w:r>
      <w:r>
        <w:rPr>
          <w:rFonts w:hint="eastAsia" w:asciiTheme="minorEastAsia" w:hAnsiTheme="minorEastAsia" w:eastAsiaTheme="minorEastAsia"/>
          <w:color w:val="auto"/>
          <w:sz w:val="24"/>
          <w:highlight w:val="none"/>
          <w:lang w:val="en-US" w:eastAsia="zh-CN"/>
        </w:rPr>
        <w:t>整体响应</w:t>
      </w:r>
      <w:r>
        <w:rPr>
          <w:rFonts w:hint="eastAsia" w:asciiTheme="minorEastAsia" w:hAnsiTheme="minorEastAsia" w:eastAsiaTheme="minorEastAsia"/>
          <w:color w:val="auto"/>
          <w:sz w:val="24"/>
          <w:highlight w:val="none"/>
        </w:rPr>
        <w:t>国家和北京市动物强制免疫技术方案的要求。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7、不良反应处理：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(1)投标人应建立不良反应应急处理机制，明确专人负责。采购方通报不良反应事件后，投标人须在2小时内响应，24小时内派技术人员到达现场协助调查处理。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(2)经鉴定确属疫苗质量问题导致的不良反应，投标人应承担全部救治费用及相关赔偿。</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(3)投标人须提供年度不良反应监测报告，作为履约评价依据。</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验收标准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到货时，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检查包装并随机打开外包装进行感官检查。如货物不满足以下任意一条要求的，可以退货，造成的全部损失由</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承担。</w:t>
      </w:r>
    </w:p>
    <w:p>
      <w:pPr>
        <w:keepNext w:val="0"/>
        <w:keepLines w:val="0"/>
        <w:pageBreakBefore w:val="0"/>
        <w:widowControl w:val="0"/>
        <w:kinsoku/>
        <w:wordWrap/>
        <w:overflowPunct/>
        <w:topLinePunct w:val="0"/>
        <w:autoSpaceDE/>
        <w:autoSpaceDN/>
        <w:bidi w:val="0"/>
        <w:adjustRightInd w:val="0"/>
        <w:snapToGrid w:val="0"/>
        <w:spacing w:after="233" w:afterLines="50"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1）货物内、外包装完整，不得破损，且符合包装有关规定。包装有破损的，甲方可要求整箱退货或者整批退货。</w:t>
      </w:r>
    </w:p>
    <w:p>
      <w:pPr>
        <w:keepNext w:val="0"/>
        <w:keepLines w:val="0"/>
        <w:pageBreakBefore w:val="0"/>
        <w:widowControl w:val="0"/>
        <w:kinsoku/>
        <w:wordWrap/>
        <w:overflowPunct/>
        <w:topLinePunct w:val="0"/>
        <w:autoSpaceDE/>
        <w:autoSpaceDN/>
        <w:bidi w:val="0"/>
        <w:adjustRightInd w:val="0"/>
        <w:snapToGrid w:val="0"/>
        <w:spacing w:after="233" w:afterLines="50"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2）货物生产厂家、品名、数量、规格符合项目合同和《出库单》。</w:t>
      </w:r>
    </w:p>
    <w:p>
      <w:pPr>
        <w:keepNext w:val="0"/>
        <w:keepLines w:val="0"/>
        <w:pageBreakBefore w:val="0"/>
        <w:widowControl w:val="0"/>
        <w:kinsoku/>
        <w:wordWrap/>
        <w:overflowPunct/>
        <w:topLinePunct w:val="0"/>
        <w:autoSpaceDE/>
        <w:autoSpaceDN/>
        <w:bidi w:val="0"/>
        <w:adjustRightInd w:val="0"/>
        <w:snapToGrid w:val="0"/>
        <w:spacing w:after="233" w:afterLines="50"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3）货物的批次检验报告符合兽医药管理、动物防疫相关要求和本项目招标文件要求，满足投标文件承诺。</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4）到货时或到货后，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可随时对货物随机抽验，货物应符合本合同约定的质量要求。</w:t>
      </w:r>
    </w:p>
    <w:p>
      <w:pPr>
        <w:pStyle w:val="23"/>
        <w:spacing w:line="360" w:lineRule="auto"/>
        <w:jc w:val="center"/>
        <w:rPr>
          <w:rFonts w:hint="eastAsia" w:ascii="宋体" w:hAnsi="宋体" w:eastAsia="宋体" w:cs="宋体"/>
          <w:b/>
          <w:color w:val="auto"/>
          <w:sz w:val="36"/>
          <w:szCs w:val="36"/>
          <w:highlight w:val="none"/>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8" w:name="_Toc192872480"/>
    </w:p>
    <w:p>
      <w:pPr>
        <w:pStyle w:val="23"/>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第六章   拟签订的合同文本</w:t>
      </w:r>
      <w:bookmarkEnd w:id="298"/>
    </w:p>
    <w:p>
      <w:pPr>
        <w:pStyle w:val="2"/>
        <w:spacing w:after="0"/>
        <w:jc w:val="center"/>
        <w:rPr>
          <w:rFonts w:hint="eastAsia" w:ascii="宋体" w:hAnsi="宋体" w:eastAsia="宋体" w:cs="宋体"/>
          <w:b/>
          <w:bCs/>
          <w:color w:val="auto"/>
          <w:spacing w:val="-20"/>
          <w:kern w:val="44"/>
          <w:sz w:val="48"/>
          <w:szCs w:val="48"/>
          <w:highlight w:val="none"/>
        </w:rPr>
      </w:pPr>
      <w:bookmarkStart w:id="299" w:name="_Toc3995"/>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（试行）</w:t>
      </w: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pPr>
        <w:rPr>
          <w:rFonts w:hint="eastAsia" w:ascii="宋体" w:hAnsi="宋体" w:eastAsia="宋体" w:cs="宋体"/>
          <w:color w:val="auto"/>
          <w:highlight w:val="none"/>
        </w:rPr>
      </w:pP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pP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使 用 说 明</w:t>
      </w:r>
    </w:p>
    <w:p>
      <w:pPr>
        <w:ind w:firstLine="640" w:firstLineChars="200"/>
        <w:rPr>
          <w:rFonts w:hint="eastAsia" w:ascii="宋体" w:hAnsi="宋体" w:eastAsia="宋体" w:cs="宋体"/>
          <w:color w:val="auto"/>
          <w:sz w:val="32"/>
          <w:szCs w:val="32"/>
          <w:highlight w:val="none"/>
        </w:rPr>
      </w:pP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eastAsia="宋体" w:cs="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299"/>
    <w:p>
      <w:pPr>
        <w:rPr>
          <w:rFonts w:hint="eastAsia" w:ascii="宋体" w:hAnsi="宋体" w:eastAsia="宋体" w:cs="宋体"/>
          <w:color w:val="auto"/>
          <w:sz w:val="28"/>
          <w:szCs w:val="28"/>
          <w:highlight w:val="none"/>
        </w:rPr>
      </w:pPr>
      <w:bookmarkStart w:id="300" w:name="_Toc22209"/>
    </w:p>
    <w:p>
      <w:pPr>
        <w:pStyle w:val="4"/>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300"/>
    </w:p>
    <w:p>
      <w:pPr>
        <w:rPr>
          <w:rFonts w:hint="eastAsia" w:ascii="宋体" w:hAnsi="宋体" w:eastAsia="宋体" w:cs="宋体"/>
          <w:b/>
          <w:bCs/>
          <w:color w:val="auto"/>
          <w:sz w:val="28"/>
          <w:szCs w:val="28"/>
          <w:highlight w:val="none"/>
        </w:rPr>
      </w:pP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（采购人、受采购人委托签订合同的单位或采购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文件约定的合同甲方）</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pPr>
        <w:spacing w:line="400" w:lineRule="exact"/>
        <w:rPr>
          <w:rFonts w:hint="eastAsia" w:ascii="宋体" w:hAnsi="宋体" w:eastAsia="宋体" w:cs="宋体"/>
          <w:color w:val="auto"/>
          <w:highlight w:val="none"/>
        </w:rPr>
      </w:pP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0"/>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pPr>
        <w:pStyle w:val="18"/>
        <w:numPr>
          <w:ilvl w:val="0"/>
          <w:numId w:val="21"/>
        </w:numPr>
        <w:adjustRightInd w:val="0"/>
        <w:snapToGrid w:val="0"/>
        <w:spacing w:after="0" w:line="400" w:lineRule="exact"/>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采购项目编号：</w:t>
      </w:r>
      <w:r>
        <w:rPr>
          <w:rFonts w:hint="eastAsia" w:ascii="宋体" w:hAnsi="宋体" w:eastAsia="宋体" w:cs="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pPr>
        <w:adjustRightInd w:val="0"/>
        <w:snapToGrid w:val="0"/>
        <w:spacing w:line="400" w:lineRule="exact"/>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分散采购</w:t>
      </w:r>
    </w:p>
    <w:p>
      <w:pPr>
        <w:pStyle w:val="363"/>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pStyle w:val="363"/>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363"/>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pStyle w:val="363"/>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iCs/>
          <w:color w:val="auto"/>
          <w:sz w:val="24"/>
          <w:szCs w:val="24"/>
          <w:highlight w:val="none"/>
        </w:rPr>
        <w:t>■</w:t>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187"/>
        <w:spacing w:line="400" w:lineRule="exact"/>
        <w:ind w:firstLine="42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采购协议签署后采购人向投标人支付50%货款；投标人提供50%货款实物后，采购人再付25%货款；投标人提供100%货款实物，并验收合格提供发票后，采购人支付剩余尾款。 </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pPr>
        <w:numPr>
          <w:ilvl w:val="0"/>
          <w:numId w:val="22"/>
        </w:num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w:t>
      </w:r>
      <w:r>
        <w:rPr>
          <w:rFonts w:hint="eastAsia" w:ascii="宋体" w:hAnsi="宋体" w:eastAsia="宋体" w:cs="宋体"/>
          <w:bCs/>
          <w:color w:val="auto"/>
          <w:sz w:val="24"/>
          <w:szCs w:val="24"/>
          <w:highlight w:val="none"/>
          <w:u w:val="single"/>
          <w:lang w:val="en"/>
        </w:rPr>
        <w:t>/分项验收的工作安排</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pPr>
        <w:pStyle w:val="187"/>
        <w:spacing w:line="400" w:lineRule="exact"/>
        <w:rPr>
          <w:rFonts w:hint="eastAsia" w:ascii="宋体" w:hAnsi="宋体" w:eastAsia="宋体" w:cs="宋体"/>
          <w:color w:val="auto"/>
          <w:sz w:val="24"/>
          <w:szCs w:val="24"/>
          <w:highlight w:val="none"/>
        </w:rPr>
      </w:pPr>
    </w:p>
    <w:p>
      <w:pPr>
        <w:rPr>
          <w:rFonts w:hint="eastAsia" w:ascii="宋体" w:hAnsi="宋体" w:eastAsia="宋体" w:cs="宋体"/>
          <w:b/>
          <w:bCs/>
          <w:color w:val="auto"/>
          <w:sz w:val="22"/>
          <w:szCs w:val="22"/>
          <w:highlight w:val="none"/>
        </w:rPr>
      </w:pPr>
      <w:r>
        <w:rPr>
          <w:rFonts w:hint="eastAsia" w:ascii="宋体" w:hAnsi="宋体" w:eastAsia="宋体" w:cs="宋体"/>
          <w:color w:val="auto"/>
          <w:sz w:val="22"/>
          <w:szCs w:val="28"/>
          <w:highlight w:val="none"/>
          <w:lang w:val="en"/>
        </w:rPr>
        <w:t xml:space="preserve">   </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甲方（采购人、受采购人委托签订合同的单位或采购文件约定的合同甲方）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ind w:firstLine="105" w:firstLineChars="4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eastAsia="宋体" w:cs="宋体"/>
                <w:color w:val="auto"/>
                <w:spacing w:val="20"/>
                <w:sz w:val="28"/>
                <w:szCs w:val="22"/>
                <w:highlight w:val="none"/>
              </w:rPr>
            </w:pPr>
            <w:r>
              <w:rPr>
                <w:rFonts w:hint="eastAsia" w:ascii="宋体" w:hAnsi="宋体" w:eastAsia="宋体" w:cs="宋体"/>
                <w:color w:val="auto"/>
                <w:sz w:val="28"/>
                <w:szCs w:val="22"/>
                <w:highlight w:val="none"/>
              </w:rPr>
              <w:t>注：涉及联合体或其他合同主体的信息应按上表格式加列。</w:t>
            </w:r>
          </w:p>
        </w:tc>
      </w:tr>
    </w:tbl>
    <w:p>
      <w:pPr>
        <w:pStyle w:val="4"/>
        <w:snapToGrid w:val="0"/>
        <w:spacing w:beforeLines="50"/>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u w:val="single"/>
        </w:rPr>
        <w:br w:type="page"/>
      </w:r>
      <w:bookmarkStart w:id="301" w:name="_Toc27624"/>
      <w:r>
        <w:rPr>
          <w:rFonts w:hint="eastAsia" w:ascii="宋体" w:hAnsi="宋体" w:eastAsia="宋体" w:cs="宋体"/>
          <w:b w:val="0"/>
          <w:color w:val="auto"/>
          <w:sz w:val="32"/>
          <w:szCs w:val="32"/>
          <w:highlight w:val="none"/>
        </w:rPr>
        <w:t>第二节 政府采购合同通用条款</w:t>
      </w:r>
      <w:bookmarkEnd w:id="301"/>
    </w:p>
    <w:p>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 xml:space="preserve">1. </w:t>
      </w:r>
      <w:r>
        <w:rPr>
          <w:rFonts w:hint="eastAsia" w:ascii="宋体" w:hAnsi="宋体" w:eastAsia="宋体" w:cs="宋体"/>
          <w:b/>
          <w:bCs/>
          <w:color w:val="auto"/>
          <w:sz w:val="28"/>
          <w:szCs w:val="28"/>
          <w:highlight w:val="none"/>
        </w:rPr>
        <w:t>定义</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1.1合同当事人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（3）其他合同主体是指除采购人和供应商以外，</w:t>
      </w:r>
      <w:r>
        <w:rPr>
          <w:rFonts w:hint="eastAsia" w:ascii="宋体" w:hAnsi="宋体" w:eastAsia="宋体" w:cs="宋体"/>
          <w:bCs/>
          <w:color w:val="auto"/>
          <w:sz w:val="22"/>
          <w:szCs w:val="22"/>
          <w:highlight w:val="none"/>
        </w:rPr>
        <w:t>依法参与合同缔结或履行，享有权利、承担义务的合同当事人</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1.2本合同下列术语应解释为：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（1）“合同”系指</w:t>
      </w:r>
      <w:r>
        <w:rPr>
          <w:rFonts w:hint="eastAsia" w:ascii="宋体" w:hAnsi="宋体" w:eastAsia="宋体" w:cs="宋体"/>
          <w:bCs/>
          <w:color w:val="auto"/>
          <w:sz w:val="22"/>
          <w:szCs w:val="22"/>
          <w:highlight w:val="none"/>
        </w:rPr>
        <w:t>合同当事人意思表示达成一致的任何协议，包括签署的</w:t>
      </w:r>
      <w:r>
        <w:rPr>
          <w:rFonts w:hint="eastAsia" w:ascii="宋体" w:hAnsi="宋体" w:eastAsia="宋体" w:cs="宋体"/>
          <w:color w:val="auto"/>
          <w:sz w:val="22"/>
          <w:szCs w:val="22"/>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技术资料和材料等。</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（4）“相关服务”系指根据合同规定，乙方应提供的与货物有关的技术、管理和</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义务。</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（7）其他术语解释，见【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numPr>
          <w:ilvl w:val="0"/>
          <w:numId w:val="23"/>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合同标的及金额</w:t>
      </w:r>
    </w:p>
    <w:p>
      <w:pPr>
        <w:autoSpaceDE w:val="0"/>
        <w:autoSpaceDN w:val="0"/>
        <w:adjustRightInd w:val="0"/>
        <w:snapToGrid w:val="0"/>
        <w:spacing w:line="400" w:lineRule="exact"/>
        <w:ind w:firstLine="440" w:firstLineChars="200"/>
        <w:jc w:val="left"/>
        <w:rPr>
          <w:rFonts w:hint="eastAsia" w:ascii="宋体" w:hAnsi="宋体" w:eastAsia="宋体" w:cs="宋体"/>
          <w:b/>
          <w:bCs/>
          <w:i/>
          <w:iCs/>
          <w:color w:val="auto"/>
          <w:sz w:val="22"/>
          <w:szCs w:val="22"/>
          <w:highlight w:val="none"/>
        </w:rPr>
      </w:pPr>
      <w:r>
        <w:rPr>
          <w:rFonts w:hint="eastAsia" w:ascii="宋体" w:hAnsi="宋体" w:eastAsia="宋体" w:cs="宋体"/>
          <w:color w:val="auto"/>
          <w:sz w:val="22"/>
          <w:szCs w:val="22"/>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任何费用。</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 履行合同的时间、地点和方式</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甲方的权利和义务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甲方有权要求乙方对缺陷部分予以修复，并按合同约定享有货物保修及其他合同约定的权利。</w:t>
      </w:r>
    </w:p>
    <w:p>
      <w:pPr>
        <w:snapToGrid w:val="0"/>
        <w:spacing w:line="40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4.4 甲方应当按照合同约定及时对交付的货物进行验收，未在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约定的期限内对乙方履约提出任何异议或者向乙方作出任何说明的，视为验收通过。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 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约定应由甲方承担的其他义务和责任。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 乙方的权利和义务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签署合同后，乙方应确定项目负责人（或项目联系人），负责与本合同有关的事务。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5.3乙方有权根据合同约定向甲方收取合同价款。</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约定应由乙方承担的其他义务和责任。</w:t>
      </w:r>
    </w:p>
    <w:p>
      <w:pPr>
        <w:numPr>
          <w:ilvl w:val="0"/>
          <w:numId w:val="24"/>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 甲乙双方应当按照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约定顺序履行合同义务；如果没有先后顺序的，应当同时履行。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 货物包装、运输、保险和交付要求</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本合同</w:t>
      </w:r>
      <w:r>
        <w:rPr>
          <w:rFonts w:hint="eastAsia" w:ascii="宋体" w:hAnsi="宋体" w:eastAsia="宋体" w:cs="宋体"/>
          <w:bCs/>
          <w:color w:val="auto"/>
          <w:sz w:val="22"/>
          <w:szCs w:val="22"/>
          <w:highlight w:val="none"/>
        </w:rPr>
        <w:t>涉及商品包装、快递包装的，</w:t>
      </w:r>
      <w:r>
        <w:rPr>
          <w:rFonts w:hint="eastAsia" w:ascii="宋体" w:hAnsi="宋体" w:eastAsia="宋体" w:cs="宋体"/>
          <w:color w:val="auto"/>
          <w:sz w:val="22"/>
          <w:szCs w:val="22"/>
          <w:highlight w:val="none"/>
        </w:rPr>
        <w:t>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包装应适应远距离运输、防潮、防震、防锈和防野蛮装卸等要求，确保货物安全无损地运抵</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约定的</w:t>
      </w:r>
      <w:r>
        <w:rPr>
          <w:rFonts w:hint="eastAsia" w:ascii="宋体" w:hAnsi="宋体" w:eastAsia="宋体" w:cs="宋体"/>
          <w:color w:val="auto"/>
          <w:sz w:val="22"/>
          <w:szCs w:val="22"/>
          <w:highlight w:val="none"/>
        </w:rPr>
        <w:t>指定现场。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 货物保险要求按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规定执行</w:t>
      </w:r>
      <w:r>
        <w:rPr>
          <w:rFonts w:hint="eastAsia" w:ascii="宋体" w:hAnsi="宋体" w:eastAsia="宋体" w:cs="宋体"/>
          <w:color w:val="auto"/>
          <w:sz w:val="22"/>
          <w:szCs w:val="22"/>
          <w:highlight w:val="none"/>
        </w:rPr>
        <w:t>。</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 乙方在运输到达之前应提前通知甲方，并提示货物运输装卸的注意事项，甲方配合乙方做好货物的接收工作。</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 质量标准和保证</w:t>
      </w:r>
    </w:p>
    <w:p>
      <w:pPr>
        <w:pStyle w:val="23"/>
        <w:adjustRightInd w:val="0"/>
        <w:snapToGrid w:val="0"/>
        <w:spacing w:line="400" w:lineRule="exact"/>
        <w:ind w:firstLine="440" w:firstLineChars="200"/>
        <w:jc w:val="left"/>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8.1 质量标准</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（2）采用中华人民共和国法定计量单位。</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（3）乙方所提供的货物应符合国家有关安全、环保、卫生的规定。</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 保证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规定或乙方书面承诺（两者以较长的为准）的质量保证期内，本保证保持有效。</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（2）在质量保证期内所发现的缺陷，甲方应尽快以书面形式通知乙方。</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（3）乙方收到通知后，应在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规定的响应时间内以合理的速度免费维修或更换有缺陷的货物或部件。</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 权利瑕疵担保</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乙方保证对其出售的货物享有合法的权利。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color w:val="auto"/>
          <w:sz w:val="22"/>
          <w:szCs w:val="16"/>
          <w:highlight w:val="none"/>
        </w:rPr>
        <w:t>乙方保证在交付的货物上不存在抵押权等担保物权。</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10. 知识产权保护</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乙方对其所销售的货物应当享有知识产权或经权利人合法授权，保证没有侵犯任何第三人的知识产权等权利。</w:t>
      </w:r>
      <w:bookmarkStart w:id="302" w:name="_Hlk163047038"/>
      <w:r>
        <w:rPr>
          <w:rFonts w:hint="eastAsia" w:ascii="宋体" w:hAnsi="宋体" w:eastAsia="宋体" w:cs="宋体"/>
          <w:color w:val="auto"/>
          <w:sz w:val="22"/>
          <w:szCs w:val="16"/>
          <w:highlight w:val="none"/>
        </w:rPr>
        <w:t>因违反前述约定对第三人构成侵权的，应当由乙方向第三人承担法律责任；甲方依法向第三人赔偿后，有权向乙方追偿。甲方有其他损失的，乙方应当赔偿</w:t>
      </w:r>
      <w:bookmarkEnd w:id="302"/>
      <w:r>
        <w:rPr>
          <w:rFonts w:hint="eastAsia" w:ascii="宋体" w:hAnsi="宋体" w:eastAsia="宋体" w:cs="宋体"/>
          <w:color w:val="auto"/>
          <w:sz w:val="22"/>
          <w:szCs w:val="22"/>
          <w:highlight w:val="none"/>
        </w:rPr>
        <w:t>。</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 保密义务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中约定。</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 合同价款支付</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合同价款支付按照国库集中支付制度及财政管理相关规定执行。</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sz w:val="22"/>
          <w:szCs w:val="22"/>
          <w:highlight w:val="none"/>
        </w:rPr>
        <w:t>政府采购合同专用条款</w:t>
      </w:r>
      <w:r>
        <w:rPr>
          <w:rFonts w:hint="eastAsia" w:ascii="宋体" w:hAnsi="宋体" w:eastAsia="宋体" w:cs="宋体"/>
          <w:color w:val="auto"/>
          <w:sz w:val="22"/>
          <w:szCs w:val="22"/>
          <w:highlight w:val="none"/>
        </w:rPr>
        <w:t>】中约定。</w:t>
      </w:r>
    </w:p>
    <w:p>
      <w:pPr>
        <w:pStyle w:val="2"/>
        <w:spacing w:after="0"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13. 履约保证金</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16"/>
          <w:highlight w:val="none"/>
        </w:rPr>
        <w:t>乙方应当以支票、汇票、本票或者金融机构、担保机构出具的保函等非现金形式提交。</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如果乙方出现</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约定情形的</w:t>
      </w:r>
      <w:r>
        <w:rPr>
          <w:rFonts w:hint="eastAsia" w:ascii="宋体" w:hAnsi="宋体" w:eastAsia="宋体" w:cs="宋体"/>
          <w:color w:val="auto"/>
          <w:sz w:val="22"/>
          <w:szCs w:val="22"/>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13.3 甲方在项目通过验收后按照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规定的时间内将履约保证金退还乙方；逾期退还的，乙方可要求甲方支付违约金，违约金按照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规定支付。</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14. </w:t>
      </w:r>
      <w:r>
        <w:rPr>
          <w:rFonts w:hint="eastAsia" w:ascii="宋体" w:hAnsi="宋体" w:eastAsia="宋体" w:cs="宋体"/>
          <w:b/>
          <w:color w:val="auto"/>
          <w:sz w:val="28"/>
          <w:szCs w:val="28"/>
          <w:highlight w:val="none"/>
        </w:rPr>
        <w:t>售后服务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除项目不涉及或采购活动中明确约定无须承担外，乙方还应提供下列服务：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（1）货物的现场移动、安装、调试、启动监督及技术支持；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（2）提供货物组装和维修所需的专用工具和辅助材料；</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22"/>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（4）在制造商所在地或指定现场就货物的安装、启动、运营、维护、废弃处置等对甲方操作人员进行培训</w:t>
      </w:r>
      <w:r>
        <w:rPr>
          <w:rFonts w:hint="eastAsia" w:ascii="宋体" w:hAnsi="宋体" w:eastAsia="宋体" w:cs="宋体"/>
          <w:color w:val="auto"/>
          <w:sz w:val="22"/>
          <w:szCs w:val="16"/>
          <w:highlight w:val="none"/>
        </w:rPr>
        <w:t>；</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（5）依照法律、行政法规的规定或者按照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规定由乙方提供的其他服务。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乙方提供的售后服务的费用已包含在合同价款中，甲方不再另行支付。</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 违约责任</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15.1质量瑕疵的违约责任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乙方提供的产品不符合合同约定的质量标准或存在产品质量缺陷，甲方有权要求乙方根据</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要求</w:t>
      </w:r>
      <w:r>
        <w:rPr>
          <w:rFonts w:hint="eastAsia" w:ascii="宋体" w:hAnsi="宋体" w:eastAsia="宋体" w:cs="宋体"/>
          <w:color w:val="auto"/>
          <w:sz w:val="22"/>
          <w:szCs w:val="22"/>
          <w:highlight w:val="none"/>
        </w:rPr>
        <w:t>及时修理、重作、更换，并承担由此给甲方造成的损失。</w:t>
      </w:r>
    </w:p>
    <w:p>
      <w:pPr>
        <w:autoSpaceDE w:val="0"/>
        <w:autoSpaceDN w:val="0"/>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15.2 迟延交货的违约责任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迟延支付的违约责任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甲方存在迟延支付乙方合同款项的，应当承担</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规定的逾期付款利息。</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15.4其他违约责任根据项目实际需要按</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规定执行。</w:t>
      </w:r>
    </w:p>
    <w:p>
      <w:pPr>
        <w:numPr>
          <w:ilvl w:val="0"/>
          <w:numId w:val="25"/>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合同变更、中止与终止</w:t>
      </w:r>
    </w:p>
    <w:p>
      <w:pPr>
        <w:adjustRightInd w:val="0"/>
        <w:snapToGrid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16.1合同的变更</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16.2合同的中止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（4）甲方不得以行政区划调整、政府换届、机构或者职能调整以及相关责任人更替为由中止合同。</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16.3合同的终止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（1）合同因有效期限届满而终止；</w:t>
      </w:r>
    </w:p>
    <w:p>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（2）乙方未按合同约定履行，构成根本性违约的，甲方有权终止合同，并追究乙方的违约责任。</w:t>
      </w:r>
    </w:p>
    <w:p>
      <w:pPr>
        <w:pStyle w:val="363"/>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16.4 </w:t>
      </w:r>
      <w:r>
        <w:rPr>
          <w:rFonts w:hint="eastAsia" w:ascii="宋体" w:hAnsi="宋体" w:eastAsia="宋体" w:cs="宋体"/>
          <w:color w:val="auto"/>
          <w:kern w:val="2"/>
          <w:sz w:val="22"/>
          <w:szCs w:val="22"/>
          <w:highlight w:val="none"/>
        </w:rPr>
        <w:t>涉及国家利益、社会公共利益的情形</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 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 不可抗力</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不可抗力是指合同双方不能预见、不能避免且不能克服的客观情况。</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19. 解决争议的方法</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 选择仲裁的，应在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中明确仲裁机构及仲裁地；通过诉讼方式解决的，可以在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20. 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20.1 </w:t>
      </w:r>
      <w:r>
        <w:rPr>
          <w:rFonts w:hint="eastAsia" w:ascii="宋体" w:hAnsi="宋体" w:eastAsia="宋体" w:cs="宋体"/>
          <w:color w:val="auto"/>
          <w:sz w:val="22"/>
          <w:szCs w:val="28"/>
          <w:highlight w:val="none"/>
          <w:lang w:val="en-GB"/>
        </w:rPr>
        <w:t>本合同应当按照规定执行政府采购政策。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本合同依法执行政府采购政策的方式和内容，属于合同履约验收的范围。</w:t>
      </w:r>
      <w:r>
        <w:rPr>
          <w:rFonts w:hint="eastAsia" w:ascii="宋体" w:hAnsi="宋体" w:eastAsia="宋体" w:cs="宋体"/>
          <w:color w:val="auto"/>
          <w:sz w:val="22"/>
          <w:szCs w:val="28"/>
          <w:highlight w:val="none"/>
        </w:rPr>
        <w:t>甲乙双方</w:t>
      </w:r>
      <w:r>
        <w:rPr>
          <w:rFonts w:hint="eastAsia" w:ascii="宋体" w:hAnsi="宋体" w:eastAsia="宋体" w:cs="宋体"/>
          <w:color w:val="auto"/>
          <w:sz w:val="22"/>
          <w:szCs w:val="28"/>
          <w:highlight w:val="none"/>
          <w:lang w:val="en-GB"/>
        </w:rPr>
        <w:t>未按规定要求执行政府采购政策造成损失的</w:t>
      </w:r>
      <w:r>
        <w:rPr>
          <w:rFonts w:hint="eastAsia" w:ascii="宋体" w:hAnsi="宋体" w:eastAsia="宋体" w:cs="宋体"/>
          <w:color w:val="auto"/>
          <w:sz w:val="22"/>
          <w:szCs w:val="22"/>
          <w:highlight w:val="none"/>
        </w:rPr>
        <w:t>，有过错的一方应当承担赔偿责任，双方都有过错的，各自承担相应的责任。</w:t>
      </w:r>
    </w:p>
    <w:p>
      <w:pPr>
        <w:pStyle w:val="2"/>
        <w:spacing w:after="0" w:line="400" w:lineRule="exact"/>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 法律适用</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通知</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22.3本合同一方给另一方的通知均应采用书面形式，传真或快递送到本合同中规定的对方的地址和办理签收手续。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22.4通知以送达之日或通知书中规定的生效之日起生效，两者中以较迟之日为准。</w:t>
      </w:r>
    </w:p>
    <w:p>
      <w:pPr>
        <w:numPr>
          <w:ilvl w:val="0"/>
          <w:numId w:val="26"/>
        </w:num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合同未尽事项</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23.1合同未尽事项见</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w:t>
      </w:r>
    </w:p>
    <w:p>
      <w:pPr>
        <w:adjustRightInd w:val="0"/>
        <w:snapToGrid w:val="0"/>
        <w:spacing w:line="4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22"/>
          <w:szCs w:val="22"/>
          <w:highlight w:val="none"/>
        </w:rPr>
        <w:t xml:space="preserve">    23.2 合同附件与合同正文具有同等的法律效力。</w:t>
      </w:r>
      <w:bookmarkStart w:id="303" w:name="_Toc20313"/>
    </w:p>
    <w:p>
      <w:pPr>
        <w:adjustRightInd w:val="0"/>
        <w:snapToGrid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snapToGrid w:val="0"/>
        <w:rPr>
          <w:rFonts w:hint="eastAsia" w:ascii="宋体" w:hAnsi="宋体" w:eastAsia="宋体" w:cs="宋体"/>
          <w:b w:val="0"/>
          <w:bCs/>
          <w:color w:val="auto"/>
          <w:sz w:val="32"/>
          <w:szCs w:val="32"/>
          <w:highlight w:val="none"/>
        </w:rPr>
      </w:pPr>
      <w:r>
        <w:rPr>
          <w:rFonts w:hint="eastAsia" w:ascii="宋体" w:hAnsi="宋体" w:eastAsia="宋体" w:cs="宋体"/>
          <w:b w:val="0"/>
          <w:color w:val="auto"/>
          <w:sz w:val="32"/>
          <w:szCs w:val="32"/>
          <w:highlight w:val="none"/>
        </w:rPr>
        <w:t>第三节 政府采购合同专用条款</w:t>
      </w:r>
      <w:bookmarkEnd w:id="303"/>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联合体具体要求</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第1.2（7）项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其他术语解释</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第4.6款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第5.4款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第6.1款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包装特殊要求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指定现场</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运输特殊要求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第8.2（1）项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质量保证期</w:t>
            </w:r>
          </w:p>
        </w:tc>
        <w:tc>
          <w:tcPr>
            <w:tcW w:w="5170" w:type="dxa"/>
            <w:vAlign w:val="center"/>
          </w:tcPr>
          <w:p>
            <w:pPr>
              <w:autoSpaceDE w:val="0"/>
              <w:autoSpaceDN w:val="0"/>
              <w:adjustRightInd w:val="0"/>
              <w:snapToGrid w:val="0"/>
              <w:spacing w:after="0" w:line="240" w:lineRule="atLeast"/>
              <w:ind w:firstLine="440" w:firstLineChars="200"/>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货物质量缺陷</w:t>
            </w:r>
          </w:p>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pStyle w:val="363"/>
              <w:snapToGrid w:val="0"/>
              <w:spacing w:after="0" w:line="240" w:lineRule="atLeast"/>
              <w:ind w:firstLine="0" w:firstLineChars="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第11.1款</w:t>
            </w:r>
          </w:p>
        </w:tc>
        <w:tc>
          <w:tcPr>
            <w:tcW w:w="1742" w:type="dxa"/>
            <w:vAlign w:val="center"/>
          </w:tcPr>
          <w:p>
            <w:pPr>
              <w:adjustRightInd w:val="0"/>
              <w:snapToGrid w:val="0"/>
              <w:spacing w:after="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合同价款支付时间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运行监督、维修期限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第14.1（5）项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货物回收的约定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第15.2（2）项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迟延交货赔偿费</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逾期付款利息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因本合同及合同有关事项发生的争议，按下列第</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种方式解决：</w:t>
            </w:r>
          </w:p>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（1）向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仲裁委员会申请仲裁，仲裁地点为</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w:t>
            </w:r>
          </w:p>
          <w:p>
            <w:pPr>
              <w:adjustRightInd w:val="0"/>
              <w:snapToGrid w:val="0"/>
              <w:spacing w:after="0" w:line="240" w:lineRule="atLeast"/>
              <w:jc w:val="left"/>
              <w:rPr>
                <w:rFonts w:hint="eastAsia" w:ascii="宋体" w:hAnsi="宋体" w:eastAsia="宋体" w:cs="宋体"/>
                <w:color w:val="auto"/>
                <w:sz w:val="22"/>
                <w:szCs w:val="22"/>
                <w:highlight w:val="none"/>
                <w:u w:val="single"/>
              </w:rPr>
            </w:pPr>
            <w:r>
              <w:rPr>
                <w:rFonts w:hint="eastAsia" w:ascii="宋体" w:hAnsi="宋体" w:eastAsia="宋体" w:cs="宋体"/>
                <w:iCs/>
                <w:color w:val="auto"/>
                <w:sz w:val="22"/>
                <w:szCs w:val="22"/>
                <w:highlight w:val="none"/>
              </w:rPr>
              <w:t>（2）向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第23.1款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其他专用条款</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bl>
    <w:p>
      <w:pPr>
        <w:rPr>
          <w:rFonts w:hint="eastAsia" w:ascii="宋体" w:hAnsi="宋体" w:eastAsia="宋体" w:cs="宋体"/>
          <w:color w:val="auto"/>
          <w:sz w:val="22"/>
          <w:szCs w:val="28"/>
          <w:highlight w:val="none"/>
        </w:rPr>
      </w:pPr>
    </w:p>
    <w:p>
      <w:pPr>
        <w:rPr>
          <w:rFonts w:hint="eastAsia" w:ascii="宋体" w:hAnsi="宋体" w:eastAsia="宋体" w:cs="宋体"/>
          <w:color w:val="auto"/>
          <w:highlight w:val="none"/>
        </w:rPr>
      </w:pPr>
    </w:p>
    <w:p>
      <w:pPr>
        <w:tabs>
          <w:tab w:val="left" w:pos="360"/>
          <w:tab w:val="left" w:pos="540"/>
        </w:tabs>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 xml:space="preserve">           </w:t>
      </w:r>
    </w:p>
    <w:p>
      <w:pPr>
        <w:widowControl/>
        <w:jc w:val="left"/>
        <w:rPr>
          <w:rFonts w:hint="eastAsia" w:ascii="宋体" w:hAnsi="宋体" w:eastAsia="宋体" w:cs="宋体"/>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304" w:name="_Toc192872481"/>
      <w:r>
        <w:rPr>
          <w:rFonts w:hint="eastAsia" w:ascii="宋体" w:hAnsi="宋体" w:eastAsia="宋体" w:cs="宋体"/>
          <w:b/>
          <w:color w:val="auto"/>
          <w:sz w:val="36"/>
          <w:szCs w:val="36"/>
          <w:highlight w:val="none"/>
        </w:rPr>
        <w:t>第七章   投标文件格式</w:t>
      </w:r>
      <w:bookmarkEnd w:id="304"/>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对于招标文件中标记了“实质性格式”文件的，</w:t>
      </w:r>
      <w:r>
        <w:rPr>
          <w:rFonts w:hint="eastAsia" w:ascii="宋体" w:hAnsi="宋体" w:eastAsia="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投标无效</w:t>
      </w:r>
      <w:r>
        <w:rPr>
          <w:rFonts w:hint="eastAsia" w:ascii="宋体" w:hAnsi="宋体" w:eastAsia="宋体" w:cs="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Cs/>
          <w:color w:val="auto"/>
          <w:sz w:val="36"/>
          <w:szCs w:val="36"/>
          <w:highlight w:val="none"/>
        </w:rPr>
        <w:t xml:space="preserve"> </w:t>
      </w:r>
      <w:r>
        <w:rPr>
          <w:rFonts w:hint="eastAsia" w:ascii="宋体" w:hAnsi="宋体" w:eastAsia="宋体" w:cs="宋体"/>
          <w:color w:val="auto"/>
          <w:sz w:val="24"/>
          <w:highlight w:val="none"/>
        </w:rPr>
        <w:br w:type="page"/>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keepNext/>
        <w:keepLines/>
        <w:autoSpaceDE w:val="0"/>
        <w:autoSpaceDN w:val="0"/>
        <w:adjustRightInd w:val="0"/>
        <w:spacing w:before="120" w:line="300" w:lineRule="auto"/>
        <w:jc w:val="left"/>
        <w:outlineLvl w:val="1"/>
        <w:rPr>
          <w:rFonts w:hint="eastAsia" w:ascii="宋体" w:hAnsi="宋体" w:eastAsia="宋体" w:cs="宋体"/>
          <w:b/>
          <w:color w:val="auto"/>
          <w:kern w:val="0"/>
          <w:sz w:val="30"/>
          <w:szCs w:val="20"/>
          <w:highlight w:val="none"/>
        </w:rPr>
      </w:pPr>
      <w:r>
        <w:rPr>
          <w:rFonts w:hint="eastAsia" w:ascii="宋体" w:hAnsi="宋体" w:eastAsia="宋体" w:cs="宋体"/>
          <w:b/>
          <w:color w:val="auto"/>
          <w:spacing w:val="20"/>
          <w:sz w:val="24"/>
          <w:highlight w:val="none"/>
        </w:rPr>
        <w:t>一、资格证明文件格式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投标文件（资格证明文件）</w:t>
      </w:r>
      <w:r>
        <w:rPr>
          <w:rFonts w:hint="eastAsia" w:ascii="宋体" w:hAnsi="宋体" w:eastAsia="宋体" w:cs="宋体"/>
          <w:b/>
          <w:color w:val="auto"/>
          <w:sz w:val="24"/>
          <w:highlight w:val="none"/>
        </w:rPr>
        <w:t>封面（非实质性格式）</w:t>
      </w:r>
    </w:p>
    <w:p>
      <w:pP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（资格证明文件）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投标人名称：</w:t>
      </w:r>
    </w:p>
    <w:p>
      <w:pPr>
        <w:spacing w:line="360" w:lineRule="auto"/>
        <w:ind w:firstLine="1445" w:firstLineChars="400"/>
        <w:jc w:val="left"/>
        <w:rPr>
          <w:rFonts w:hint="eastAsia" w:ascii="宋体" w:hAnsi="宋体" w:eastAsia="宋体" w:cs="宋体"/>
          <w:b/>
          <w:color w:val="auto"/>
          <w:spacing w:val="20"/>
          <w:sz w:val="32"/>
          <w:szCs w:val="32"/>
          <w:highlight w:val="none"/>
        </w:rPr>
      </w:pPr>
    </w:p>
    <w:p>
      <w:pPr>
        <w:rPr>
          <w:rFonts w:hint="eastAsia" w:ascii="宋体" w:hAnsi="宋体" w:eastAsia="宋体" w:cs="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eastAsia="宋体" w:cs="宋体"/>
          <w:b/>
          <w:bCs/>
          <w:color w:val="auto"/>
          <w:sz w:val="24"/>
          <w:szCs w:val="20"/>
          <w:highlight w:val="none"/>
        </w:rPr>
      </w:pPr>
      <w:r>
        <w:rPr>
          <w:rFonts w:hint="eastAsia" w:ascii="宋体" w:hAnsi="宋体" w:eastAsia="宋体" w:cs="宋体"/>
          <w:b/>
          <w:color w:val="auto"/>
          <w:sz w:val="24"/>
          <w:szCs w:val="20"/>
          <w:highlight w:val="none"/>
        </w:rPr>
        <w:t>1-1</w:t>
      </w:r>
      <w:r>
        <w:rPr>
          <w:rFonts w:hint="eastAsia" w:ascii="宋体" w:hAnsi="宋体" w:eastAsia="宋体" w:cs="宋体"/>
          <w:b/>
          <w:bCs/>
          <w:color w:val="auto"/>
          <w:sz w:val="24"/>
          <w:szCs w:val="20"/>
          <w:highlight w:val="none"/>
        </w:rPr>
        <w:t>营业执照等证明文件（实质性格式）</w:t>
      </w:r>
    </w:p>
    <w:p>
      <w:pPr>
        <w:rPr>
          <w:rFonts w:hint="eastAsia" w:ascii="宋体" w:hAnsi="宋体" w:eastAsia="宋体" w:cs="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eastAsia="宋体" w:cs="宋体"/>
          <w:b/>
          <w:bCs/>
          <w:color w:val="auto"/>
          <w:sz w:val="44"/>
          <w:szCs w:val="44"/>
          <w:highlight w:val="none"/>
        </w:rPr>
        <w:t>附营业执照电子件</w:t>
      </w:r>
    </w:p>
    <w:p>
      <w:pPr>
        <w:pStyle w:val="5"/>
        <w:rPr>
          <w:rFonts w:hint="eastAsia" w:ascii="宋体" w:hAnsi="宋体" w:eastAsia="宋体" w:cs="宋体"/>
          <w:bCs/>
          <w:color w:val="auto"/>
          <w:highlight w:val="none"/>
          <w:u w:val="none"/>
        </w:rPr>
      </w:pPr>
      <w:r>
        <w:rPr>
          <w:rFonts w:hint="eastAsia" w:ascii="宋体" w:hAnsi="宋体" w:eastAsia="宋体" w:cs="宋体"/>
          <w:color w:val="auto"/>
          <w:highlight w:val="none"/>
          <w:u w:val="none"/>
        </w:rPr>
        <w:t>1-2 投标人资格声明书（实质性格式）</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投标人资格声明书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在参与本次项目投标中，我单位承诺：</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adjustRightInd w:val="0"/>
        <w:snapToGrid w:val="0"/>
        <w:spacing w:after="0"/>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adjustRightInd w:val="0"/>
        <w:snapToGrid w:val="0"/>
        <w:spacing w:after="0"/>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keepNext w:val="0"/>
        <w:keepLines w:val="0"/>
        <w:pageBreakBefore w:val="0"/>
        <w:widowControl w:val="0"/>
        <w:kinsoku/>
        <w:wordWrap/>
        <w:overflowPunct/>
        <w:topLinePunct w:val="0"/>
        <w:bidi w:val="0"/>
        <w:adjustRightInd w:val="0"/>
        <w:snapToGrid w:val="0"/>
        <w:spacing w:after="0" w:line="36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highlight w:val="none"/>
        </w:rPr>
        <w:t>说明：投标人承诺不实的，依据《政府采购法》第七十七条“提供虚假材料谋取中标、成交的”有关规定予以处理。</w:t>
      </w:r>
    </w:p>
    <w:p>
      <w:pPr>
        <w:pStyle w:val="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本项目特定资格要求：</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ab/>
      </w:r>
    </w:p>
    <w:p>
      <w:pPr>
        <w:pStyle w:val="288"/>
        <w:widowControl/>
        <w:numPr>
          <w:ilvl w:val="0"/>
          <w:numId w:val="28"/>
        </w:numPr>
        <w:ind w:firstLineChars="0"/>
        <w:jc w:val="lef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投标人需</w:t>
      </w:r>
      <w:r>
        <w:rPr>
          <w:rFonts w:hint="eastAsia" w:ascii="宋体" w:hAnsi="宋体" w:eastAsia="宋体" w:cs="宋体"/>
          <w:b/>
          <w:bCs/>
          <w:color w:val="auto"/>
          <w:sz w:val="28"/>
          <w:szCs w:val="28"/>
          <w:highlight w:val="none"/>
        </w:rPr>
        <w:t>具有农业农村部门颁发的兽药生产许可证。</w:t>
      </w:r>
    </w:p>
    <w:p>
      <w:pPr>
        <w:pStyle w:val="288"/>
        <w:widowControl/>
        <w:ind w:left="922" w:firstLine="0" w:firstLineChars="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ind w:left="922" w:firstLine="0" w:firstLineChars="0"/>
        <w:rPr>
          <w:rFonts w:hint="eastAsia" w:ascii="宋体" w:hAnsi="宋体" w:eastAsia="宋体" w:cs="宋体"/>
          <w:b/>
          <w:color w:val="auto"/>
          <w:sz w:val="44"/>
          <w:szCs w:val="44"/>
          <w:highlight w:val="none"/>
        </w:rPr>
      </w:pPr>
    </w:p>
    <w:p>
      <w:pPr>
        <w:pStyle w:val="288"/>
        <w:widowControl/>
        <w:numPr>
          <w:ilvl w:val="0"/>
          <w:numId w:val="28"/>
        </w:numPr>
        <w:ind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投标人须具备所投各疫苗品种(毒株)的有效兽药产品批准文号（涉及农业农村部统一变更某产品名称和毒株的，变更后的产品批准文号文件同样有效）</w:t>
      </w:r>
    </w:p>
    <w:p>
      <w:pPr>
        <w:pStyle w:val="288"/>
        <w:widowControl/>
        <w:numPr>
          <w:ilvl w:val="0"/>
          <w:numId w:val="0"/>
        </w:numPr>
        <w:ind w:left="562" w:leftChars="0"/>
        <w:jc w:val="lef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numPr>
          <w:ilvl w:val="0"/>
          <w:numId w:val="0"/>
        </w:numPr>
        <w:ind w:left="562" w:leftChars="0"/>
        <w:jc w:val="left"/>
        <w:rPr>
          <w:rFonts w:hint="eastAsia" w:ascii="宋体" w:hAnsi="宋体" w:eastAsia="宋体" w:cs="宋体"/>
          <w:b/>
          <w:color w:val="auto"/>
          <w:sz w:val="44"/>
          <w:szCs w:val="44"/>
          <w:highlight w:val="none"/>
        </w:rPr>
      </w:pPr>
    </w:p>
    <w:p>
      <w:pPr>
        <w:pStyle w:val="288"/>
        <w:widowControl/>
        <w:numPr>
          <w:ilvl w:val="0"/>
          <w:numId w:val="28"/>
        </w:numPr>
        <w:ind w:firstLineChars="0"/>
        <w:jc w:val="left"/>
        <w:rPr>
          <w:rFonts w:hint="eastAsia" w:ascii="宋体" w:hAnsi="宋体" w:eastAsia="宋体" w:cs="宋体"/>
          <w:color w:val="auto"/>
          <w:sz w:val="24"/>
          <w:szCs w:val="20"/>
          <w:highlight w:val="none"/>
        </w:rPr>
      </w:pPr>
      <w:r>
        <w:rPr>
          <w:rFonts w:hint="eastAsia" w:ascii="宋体" w:hAnsi="宋体" w:cs="宋体"/>
          <w:b/>
          <w:bCs/>
          <w:color w:val="auto"/>
          <w:sz w:val="28"/>
          <w:szCs w:val="28"/>
          <w:highlight w:val="none"/>
          <w:lang w:val="en-US" w:eastAsia="zh-CN"/>
        </w:rPr>
        <w:t>投标人需</w:t>
      </w:r>
      <w:r>
        <w:rPr>
          <w:rFonts w:hint="eastAsia" w:ascii="宋体" w:hAnsi="宋体" w:eastAsia="宋体" w:cs="宋体"/>
          <w:b/>
          <w:bCs/>
          <w:color w:val="auto"/>
          <w:sz w:val="28"/>
          <w:szCs w:val="28"/>
          <w:highlight w:val="none"/>
        </w:rPr>
        <w:t>具有农业农村部门颁发的中华人民共和国兽药GMP证书。</w:t>
      </w:r>
    </w:p>
    <w:p>
      <w:pPr>
        <w:widowControl/>
        <w:ind w:firstLine="480" w:firstLineChars="200"/>
        <w:jc w:val="left"/>
        <w:rPr>
          <w:rFonts w:hint="eastAsia" w:ascii="宋体" w:hAnsi="宋体" w:eastAsia="宋体" w:cs="宋体"/>
          <w:color w:val="auto"/>
          <w:sz w:val="24"/>
          <w:szCs w:val="20"/>
          <w:highlight w:val="none"/>
        </w:rPr>
      </w:pPr>
    </w:p>
    <w:p>
      <w:pPr>
        <w:widowControl/>
        <w:jc w:val="center"/>
        <w:rPr>
          <w:rFonts w:hint="eastAsia" w:ascii="宋体" w:hAnsi="宋体" w:eastAsia="宋体" w:cs="宋体"/>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宋体" w:hAnsi="宋体" w:eastAsia="宋体" w:cs="宋体"/>
          <w:b/>
          <w:color w:val="auto"/>
          <w:spacing w:val="20"/>
          <w:sz w:val="24"/>
          <w:highlight w:val="none"/>
        </w:rPr>
      </w:pPr>
      <w:bookmarkStart w:id="305" w:name="_Hlk178254376"/>
      <w:r>
        <w:rPr>
          <w:rFonts w:hint="eastAsia" w:ascii="宋体" w:hAnsi="宋体" w:eastAsia="宋体" w:cs="宋体"/>
          <w:b/>
          <w:color w:val="auto"/>
          <w:spacing w:val="20"/>
          <w:sz w:val="24"/>
          <w:highlight w:val="none"/>
        </w:rPr>
        <w:t>二、商务技术文件格式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投标文件（商务技术文件）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（商务技术文件）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z w:val="24"/>
          <w:highlight w:val="none"/>
        </w:rPr>
      </w:pPr>
      <w:r>
        <w:rPr>
          <w:rFonts w:hint="eastAsia" w:ascii="宋体" w:hAnsi="宋体" w:eastAsia="宋体" w:cs="宋体"/>
          <w:b/>
          <w:color w:val="auto"/>
          <w:spacing w:val="20"/>
          <w:sz w:val="32"/>
          <w:szCs w:val="32"/>
          <w:highlight w:val="none"/>
        </w:rPr>
        <w:t>投标人名称：</w:t>
      </w:r>
      <w:r>
        <w:rPr>
          <w:rFonts w:hint="eastAsia" w:ascii="宋体" w:hAnsi="宋体" w:eastAsia="宋体" w:cs="宋体"/>
          <w:b/>
          <w:color w:val="auto"/>
          <w:sz w:val="24"/>
          <w:highlight w:val="none"/>
        </w:rPr>
        <w:br w:type="page"/>
      </w:r>
    </w:p>
    <w:p>
      <w:pPr>
        <w:spacing w:line="360" w:lineRule="auto"/>
        <w:outlineLvl w:val="2"/>
        <w:rPr>
          <w:rFonts w:hint="eastAsia" w:ascii="宋体" w:hAnsi="宋体" w:eastAsia="宋体" w:cs="宋体"/>
          <w:b/>
          <w:color w:val="auto"/>
          <w:sz w:val="24"/>
          <w:szCs w:val="20"/>
          <w:highlight w:val="none"/>
        </w:rPr>
      </w:pPr>
      <w:bookmarkStart w:id="306" w:name="_Hlt520274121"/>
      <w:bookmarkEnd w:id="306"/>
      <w:bookmarkStart w:id="307" w:name="_Hlt520274407"/>
      <w:bookmarkEnd w:id="307"/>
      <w:bookmarkStart w:id="308" w:name="_Hlt520350918"/>
      <w:bookmarkEnd w:id="308"/>
      <w:bookmarkStart w:id="309" w:name="_Hlt520355504"/>
      <w:bookmarkEnd w:id="309"/>
      <w:bookmarkStart w:id="310" w:name="_Hlt520273711"/>
      <w:bookmarkEnd w:id="310"/>
      <w:bookmarkStart w:id="311" w:name="_Hlt520271212"/>
      <w:bookmarkEnd w:id="311"/>
      <w:bookmarkStart w:id="312" w:name="_Hlt520274393"/>
      <w:bookmarkEnd w:id="312"/>
      <w:bookmarkStart w:id="313" w:name="_Hlt520274065"/>
      <w:bookmarkEnd w:id="313"/>
      <w:bookmarkStart w:id="314" w:name="_Hlt520343000"/>
      <w:bookmarkEnd w:id="314"/>
      <w:bookmarkStart w:id="315" w:name="_Hlt520343392"/>
      <w:bookmarkEnd w:id="315"/>
      <w:bookmarkStart w:id="316" w:name="_Ref467988698"/>
      <w:bookmarkStart w:id="317" w:name="_Toc480942349"/>
      <w:bookmarkStart w:id="318" w:name="_Toc127151556"/>
      <w:bookmarkStart w:id="319" w:name="_Toc520356217"/>
      <w:bookmarkStart w:id="320" w:name="_Toc150480794"/>
      <w:bookmarkStart w:id="321" w:name="_Toc226965746"/>
      <w:bookmarkStart w:id="322" w:name="_Toc195842921"/>
      <w:bookmarkStart w:id="323" w:name="_Toc142311058"/>
      <w:bookmarkStart w:id="324" w:name="_Toc226337252"/>
      <w:bookmarkStart w:id="325" w:name="_Toc226965829"/>
      <w:bookmarkStart w:id="326" w:name="_Toc226309800"/>
      <w:bookmarkStart w:id="327" w:name="_Toc150774761"/>
      <w:r>
        <w:rPr>
          <w:rFonts w:hint="eastAsia" w:ascii="宋体" w:hAnsi="宋体" w:eastAsia="宋体" w:cs="宋体"/>
          <w:b/>
          <w:color w:val="auto"/>
          <w:sz w:val="24"/>
          <w:highlight w:val="none"/>
        </w:rPr>
        <w:t>1投标</w:t>
      </w:r>
      <w:bookmarkEnd w:id="316"/>
      <w:bookmarkEnd w:id="317"/>
      <w:r>
        <w:rPr>
          <w:rFonts w:hint="eastAsia" w:ascii="宋体" w:hAnsi="宋体" w:eastAsia="宋体" w:cs="宋体"/>
          <w:b/>
          <w:color w:val="auto"/>
          <w:sz w:val="24"/>
          <w:highlight w:val="none"/>
        </w:rPr>
        <w:t>书</w:t>
      </w:r>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color w:val="auto"/>
          <w:sz w:val="24"/>
          <w:szCs w:val="20"/>
          <w:highlight w:val="none"/>
        </w:rPr>
        <w:t>（实质性格式）</w:t>
      </w: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）组织的招标活动，并对此项目进行投标。</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已详细审查全部招标文件</w:t>
      </w:r>
      <w:r>
        <w:rPr>
          <w:rFonts w:hint="eastAsia" w:ascii="宋体" w:hAnsi="宋体" w:eastAsia="宋体" w:cs="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（1）本投标有效期为自提交投标文件的截止之日起</w:t>
      </w:r>
      <w:r>
        <w:rPr>
          <w:rFonts w:hint="eastAsia" w:ascii="宋体" w:hAnsi="宋体" w:eastAsia="宋体" w:cs="宋体"/>
          <w:color w:val="auto"/>
          <w:sz w:val="24"/>
          <w:highlight w:val="none"/>
          <w:u w:val="single"/>
        </w:rPr>
        <w:t>_90_</w:t>
      </w:r>
      <w:r>
        <w:rPr>
          <w:rFonts w:hint="eastAsia" w:ascii="宋体" w:hAnsi="宋体" w:eastAsia="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w:t>
      </w:r>
      <w:r>
        <w:rPr>
          <w:rFonts w:hint="eastAsia" w:ascii="宋体" w:hAnsi="宋体" w:eastAsia="宋体" w:cs="宋体"/>
          <w:color w:val="auto"/>
          <w:sz w:val="24"/>
          <w:szCs w:val="20"/>
          <w:highlight w:val="none"/>
        </w:rPr>
        <w:t>___________</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投标人名称（加盖公章） ___________</w:t>
      </w:r>
    </w:p>
    <w:p>
      <w:pPr>
        <w:tabs>
          <w:tab w:val="left" w:pos="5580"/>
        </w:tabs>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bookmarkStart w:id="328" w:name="_Hlt520355938"/>
      <w:bookmarkEnd w:id="328"/>
      <w:bookmarkStart w:id="329" w:name="_Hlt520356243"/>
      <w:bookmarkEnd w:id="329"/>
      <w:bookmarkStart w:id="330" w:name="_Toc150774762"/>
      <w:bookmarkStart w:id="331" w:name="_Toc480942350"/>
      <w:bookmarkStart w:id="332" w:name="_Toc226337253"/>
      <w:bookmarkStart w:id="333" w:name="_Toc264969247"/>
      <w:bookmarkStart w:id="334" w:name="_Toc127151557"/>
      <w:bookmarkStart w:id="335" w:name="_Toc305158825"/>
      <w:bookmarkStart w:id="336" w:name="_Toc226965747"/>
      <w:bookmarkStart w:id="337" w:name="_Ref467988705"/>
      <w:bookmarkStart w:id="338" w:name="_Toc150480795"/>
      <w:bookmarkStart w:id="339" w:name="_Toc520356218"/>
      <w:bookmarkStart w:id="340" w:name="_Toc226965830"/>
      <w:bookmarkStart w:id="341" w:name="_Toc265228395"/>
      <w:bookmarkStart w:id="342" w:name="_Toc142311059"/>
      <w:bookmarkStart w:id="343" w:name="_Toc226309801"/>
      <w:bookmarkStart w:id="344" w:name="_Toc305158899"/>
      <w:bookmarkStart w:id="345" w:name="_Toc195842922"/>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授权委托书（实质性格式）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（姓名）系</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szCs w:val="20"/>
          <w:highlight w:val="none"/>
        </w:rPr>
        <w:t>（投标人名称）的法定代表人（单位负责人），现委托</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（姓名）为我方代理人。代理人根据授权，以我方名义签署、澄清确认、递交、撤回、修改</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）投标文件和处理有关事宜，其法律后果由我方承担。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委托期限：自本授权委托书签署之日起至投标有效期届满之日止。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法定代表人（单位负责人）（签字或签章或印鉴）：</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日期：_____年______月______日</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 xml:space="preserve">电子件。 </w:t>
      </w:r>
      <w:r>
        <w:rPr>
          <w:rFonts w:hint="eastAsia" w:ascii="宋体" w:hAnsi="宋体" w:eastAsia="宋体" w:cs="宋体"/>
          <w:color w:val="auto"/>
          <w:sz w:val="30"/>
          <w:szCs w:val="30"/>
          <w:highlight w:val="none"/>
        </w:rPr>
        <w:br w:type="page"/>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附：法定代表人（单位负责人）身份证明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rPr>
          <w:rFonts w:hint="eastAsia" w:ascii="宋体" w:hAnsi="宋体" w:eastAsia="宋体" w:cs="宋体"/>
          <w:color w:val="auto"/>
          <w:sz w:val="24"/>
          <w:highlight w:val="none"/>
          <w:u w:val="single"/>
        </w:rPr>
      </w:pP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姓名：____性别：____年龄：____职务：____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pacing w:val="-3"/>
          <w:highlight w:val="none"/>
        </w:rPr>
      </w:pPr>
      <w:r>
        <w:rPr>
          <w:rFonts w:hint="eastAsia" w:ascii="宋体" w:hAnsi="宋体" w:eastAsia="宋体" w:cs="宋体"/>
          <w:color w:val="auto"/>
          <w:highlight w:val="none"/>
        </w:rPr>
        <w:t>附：</w:t>
      </w:r>
      <w:r>
        <w:rPr>
          <w:rFonts w:hint="eastAsia" w:ascii="宋体" w:hAnsi="宋体" w:eastAsia="宋体" w:cs="宋体"/>
          <w:color w:val="auto"/>
          <w:szCs w:val="20"/>
          <w:highlight w:val="none"/>
        </w:rPr>
        <w:t>法定代表人（单位负责人）身份证或护照等身份证明文件电子件：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pStyle w:val="2"/>
        <w:kinsoku w:val="0"/>
        <w:overflowPunct w:val="0"/>
        <w:spacing w:line="583" w:lineRule="auto"/>
        <w:ind w:right="9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法定代表人（</w:t>
      </w:r>
      <w:r>
        <w:rPr>
          <w:rFonts w:hint="eastAsia" w:ascii="宋体" w:hAnsi="宋体" w:eastAsia="宋体" w:cs="宋体"/>
          <w:color w:val="auto"/>
          <w:highlight w:val="none"/>
        </w:rPr>
        <w:t>单位负责人</w:t>
      </w:r>
      <w:r>
        <w:rPr>
          <w:rFonts w:hint="eastAsia" w:ascii="宋体" w:hAnsi="宋体" w:eastAsia="宋体" w:cs="宋体"/>
          <w:color w:val="auto"/>
          <w:spacing w:val="-3"/>
          <w:highlight w:val="none"/>
        </w:rPr>
        <w:t>）（签字或签章或印鉴）：_______</w:t>
      </w:r>
    </w:p>
    <w:p>
      <w:pPr>
        <w:autoSpaceDE w:val="0"/>
        <w:autoSpaceDN w:val="0"/>
        <w:adjustRightInd w:val="0"/>
        <w:snapToGrid w:val="0"/>
        <w:spacing w:line="360" w:lineRule="auto"/>
        <w:rPr>
          <w:rFonts w:hint="eastAsia" w:ascii="宋体" w:hAnsi="宋体" w:eastAsia="宋体" w:cs="宋体"/>
          <w:color w:val="auto"/>
          <w:sz w:val="24"/>
          <w:highlight w:val="none"/>
        </w:rPr>
      </w:pPr>
    </w:p>
    <w:p>
      <w:pPr>
        <w:autoSpaceDE w:val="0"/>
        <w:autoSpaceDN w:val="0"/>
        <w:adjustRightInd w:val="0"/>
        <w:snapToGrid w:val="0"/>
        <w:spacing w:line="360" w:lineRule="auto"/>
        <w:rPr>
          <w:rFonts w:hint="eastAsia" w:ascii="宋体" w:hAnsi="宋体" w:eastAsia="宋体" w:cs="宋体"/>
          <w:i/>
          <w:color w:val="auto"/>
          <w:sz w:val="24"/>
          <w:szCs w:val="20"/>
          <w:highlight w:val="none"/>
          <w:u w:val="single"/>
        </w:rPr>
      </w:pPr>
      <w:r>
        <w:rPr>
          <w:rFonts w:hint="eastAsia" w:ascii="宋体" w:hAnsi="宋体" w:eastAsia="宋体" w:cs="宋体"/>
          <w:color w:val="auto"/>
          <w:sz w:val="24"/>
          <w:highlight w:val="none"/>
        </w:rPr>
        <w:t>日期：_____年______月______日</w:t>
      </w:r>
    </w:p>
    <w:p>
      <w:pPr>
        <w:pStyle w:val="5"/>
        <w:widowControl/>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3  </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Toc305158830"/>
      <w:bookmarkStart w:id="347" w:name="_Toc195842927"/>
      <w:bookmarkStart w:id="348" w:name="_Toc226337258"/>
      <w:bookmarkStart w:id="349" w:name="_Toc265228400"/>
      <w:bookmarkStart w:id="350" w:name="_Toc127151562"/>
      <w:bookmarkStart w:id="351" w:name="_Toc264969252"/>
      <w:bookmarkStart w:id="352" w:name="_Toc226965835"/>
      <w:bookmarkStart w:id="353" w:name="_Toc150480798"/>
      <w:bookmarkStart w:id="354" w:name="_Toc142311062"/>
      <w:bookmarkStart w:id="355" w:name="_Toc150774765"/>
      <w:bookmarkStart w:id="356" w:name="_Toc226965752"/>
      <w:bookmarkStart w:id="357" w:name="_Toc305158904"/>
      <w:bookmarkStart w:id="358" w:name="_Toc226309806"/>
      <w:bookmarkStart w:id="359" w:name="_Toc264969251"/>
      <w:bookmarkStart w:id="360" w:name="_Toc265228399"/>
      <w:bookmarkStart w:id="361" w:name="_Toc142311061"/>
      <w:bookmarkStart w:id="362" w:name="_Toc150774764"/>
      <w:bookmarkStart w:id="363" w:name="_Toc226309805"/>
      <w:bookmarkStart w:id="364" w:name="_Toc195842926"/>
      <w:bookmarkStart w:id="365" w:name="_Toc150480797"/>
      <w:bookmarkStart w:id="366" w:name="_Toc226965834"/>
      <w:bookmarkStart w:id="367" w:name="_Toc305158829"/>
      <w:bookmarkStart w:id="368" w:name="_Toc127151561"/>
      <w:bookmarkStart w:id="369" w:name="_Toc226337257"/>
      <w:bookmarkStart w:id="370" w:name="_Toc305158903"/>
      <w:bookmarkStart w:id="371" w:name="_Toc226965751"/>
      <w:r>
        <w:rPr>
          <w:rFonts w:hint="eastAsia" w:ascii="宋体" w:hAnsi="宋体" w:eastAsia="宋体" w:cs="宋体"/>
          <w:color w:val="auto"/>
          <w:highlight w:val="none"/>
        </w:rPr>
        <w:t>开标一览表（实质性格式）</w:t>
      </w:r>
    </w:p>
    <w:p>
      <w:pPr>
        <w:spacing w:line="360" w:lineRule="exact"/>
        <w:jc w:val="center"/>
        <w:rPr>
          <w:rFonts w:hint="eastAsia" w:ascii="宋体" w:hAnsi="宋体" w:eastAsia="宋体" w:cs="宋体"/>
          <w:b/>
          <w:color w:val="auto"/>
          <w:sz w:val="36"/>
          <w:szCs w:val="36"/>
          <w:highlight w:val="none"/>
        </w:rPr>
      </w:pPr>
      <w:bookmarkStart w:id="372" w:name="_Toc164608827"/>
      <w:bookmarkStart w:id="373" w:name="_Toc264969248"/>
      <w:bookmarkStart w:id="374" w:name="_Toc305158826"/>
      <w:bookmarkStart w:id="375" w:name="_Toc195842923"/>
      <w:bookmarkStart w:id="376" w:name="_Toc226965831"/>
      <w:bookmarkStart w:id="377" w:name="_Toc226337254"/>
      <w:bookmarkStart w:id="378" w:name="_Toc305158900"/>
      <w:bookmarkStart w:id="379" w:name="_Toc164608672"/>
      <w:bookmarkStart w:id="380" w:name="_Toc226965748"/>
      <w:bookmarkStart w:id="381" w:name="_Toc226309802"/>
      <w:bookmarkStart w:id="382" w:name="_Toc265228396"/>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bookmarkEnd w:id="372"/>
      <w:bookmarkEnd w:id="373"/>
      <w:bookmarkEnd w:id="374"/>
      <w:bookmarkEnd w:id="375"/>
      <w:bookmarkEnd w:id="376"/>
      <w:bookmarkEnd w:id="377"/>
      <w:bookmarkEnd w:id="378"/>
      <w:bookmarkEnd w:id="379"/>
      <w:bookmarkEnd w:id="380"/>
      <w:bookmarkEnd w:id="381"/>
      <w:bookmarkEnd w:id="382"/>
    </w:p>
    <w:p>
      <w:pPr>
        <w:tabs>
          <w:tab w:val="left" w:pos="1800"/>
          <w:tab w:val="left" w:pos="5580"/>
        </w:tabs>
        <w:spacing w:line="360" w:lineRule="auto"/>
        <w:ind w:firstLine="240" w:firstLineChars="100"/>
        <w:jc w:val="left"/>
        <w:rPr>
          <w:rFonts w:hint="eastAsia" w:ascii="宋体" w:hAnsi="宋体" w:eastAsia="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3957" w:type="dxa"/>
            <w:gridSpan w:val="2"/>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投标报价（元）</w:t>
            </w:r>
          </w:p>
        </w:tc>
        <w:tc>
          <w:tcPr>
            <w:tcW w:w="669"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1838"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c>
          <w:tcPr>
            <w:tcW w:w="669" w:type="dxa"/>
            <w:vMerge w:val="continue"/>
            <w:vAlign w:val="center"/>
          </w:tcPr>
          <w:p>
            <w:pPr>
              <w:tabs>
                <w:tab w:val="left" w:pos="5580"/>
              </w:tabs>
              <w:jc w:val="center"/>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color w:val="auto"/>
                <w:sz w:val="24"/>
                <w:highlight w:val="none"/>
              </w:rPr>
            </w:pPr>
          </w:p>
        </w:tc>
        <w:tc>
          <w:tcPr>
            <w:tcW w:w="1838" w:type="dxa"/>
            <w:vAlign w:val="center"/>
          </w:tcPr>
          <w:p>
            <w:pPr>
              <w:tabs>
                <w:tab w:val="left" w:pos="5580"/>
              </w:tabs>
              <w:jc w:val="center"/>
              <w:rPr>
                <w:rFonts w:hint="eastAsia" w:ascii="宋体" w:hAnsi="宋体" w:eastAsia="宋体" w:cs="宋体"/>
                <w:color w:val="auto"/>
                <w:sz w:val="24"/>
                <w:highlight w:val="none"/>
              </w:rPr>
            </w:pPr>
          </w:p>
        </w:tc>
        <w:tc>
          <w:tcPr>
            <w:tcW w:w="669" w:type="dxa"/>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日期：_____年______月______日   </w:t>
      </w:r>
      <w:bookmarkStart w:id="383" w:name="_Toc265228397"/>
      <w:bookmarkStart w:id="384" w:name="_Toc150774763"/>
      <w:bookmarkStart w:id="385" w:name="_Toc195842924"/>
      <w:bookmarkStart w:id="386" w:name="_Toc150480796"/>
      <w:bookmarkStart w:id="387" w:name="_Toc264969249"/>
      <w:bookmarkStart w:id="388" w:name="_Toc305158827"/>
      <w:bookmarkStart w:id="389" w:name="_Toc127151558"/>
      <w:bookmarkStart w:id="390" w:name="_Toc226337255"/>
      <w:bookmarkStart w:id="391" w:name="_Toc226309803"/>
      <w:bookmarkStart w:id="392" w:name="_Toc305158901"/>
      <w:bookmarkStart w:id="393" w:name="_Toc226965832"/>
      <w:bookmarkStart w:id="394" w:name="_Toc226965749"/>
      <w:bookmarkStart w:id="395" w:name="_Toc142311060"/>
    </w:p>
    <w:bookmarkEnd w:id="383"/>
    <w:bookmarkEnd w:id="384"/>
    <w:bookmarkEnd w:id="385"/>
    <w:bookmarkEnd w:id="386"/>
    <w:bookmarkEnd w:id="387"/>
    <w:bookmarkEnd w:id="388"/>
    <w:bookmarkEnd w:id="389"/>
    <w:bookmarkEnd w:id="390"/>
    <w:bookmarkEnd w:id="391"/>
    <w:bookmarkEnd w:id="392"/>
    <w:bookmarkEnd w:id="393"/>
    <w:bookmarkEnd w:id="394"/>
    <w:bookmarkEnd w:id="395"/>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  投标分项报价表（实质性格式）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投标分项报价表</w:t>
      </w:r>
    </w:p>
    <w:p>
      <w:pPr>
        <w:tabs>
          <w:tab w:val="left" w:pos="1800"/>
          <w:tab w:val="left" w:pos="5580"/>
        </w:tabs>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eastAsia="宋体" w:cs="宋体"/>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033"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标的名称</w:t>
            </w:r>
          </w:p>
        </w:tc>
        <w:tc>
          <w:tcPr>
            <w:tcW w:w="130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2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统一信用代码</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规模</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制造商所属性别</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外商投资类型</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产品产地</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00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815"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001"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总价（元）</w:t>
            </w:r>
          </w:p>
        </w:tc>
        <w:tc>
          <w:tcPr>
            <w:tcW w:w="1001" w:type="dxa"/>
            <w:vAlign w:val="center"/>
          </w:tcPr>
          <w:p>
            <w:pPr>
              <w:adjustRightInd w:val="0"/>
              <w:snapToGrid w:val="0"/>
              <w:jc w:val="left"/>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r>
        <w:rPr>
          <w:rFonts w:hint="eastAsia" w:ascii="宋体" w:hAnsi="宋体" w:eastAsia="宋体" w:cs="宋体"/>
          <w:b/>
          <w:bCs/>
          <w:color w:val="auto"/>
          <w:sz w:val="24"/>
          <w:szCs w:val="20"/>
          <w:highlight w:val="none"/>
        </w:rPr>
        <w:t>制造商规模列</w:t>
      </w:r>
      <w:r>
        <w:rPr>
          <w:rFonts w:hint="eastAsia" w:ascii="宋体" w:hAnsi="宋体" w:eastAsia="宋体" w:cs="宋体"/>
          <w:color w:val="auto"/>
          <w:sz w:val="24"/>
          <w:szCs w:val="20"/>
          <w:highlight w:val="none"/>
        </w:rPr>
        <w:t>应填写“大型”、“中型”、“小型”、“微型”或“其他”，且不应与《中小企业声明函》或《拟分包情况说明》中内容矛盾。</w:t>
      </w:r>
      <w:r>
        <w:rPr>
          <w:rFonts w:hint="eastAsia" w:ascii="宋体" w:hAnsi="宋体" w:eastAsia="宋体" w:cs="宋体"/>
          <w:b/>
          <w:bCs/>
          <w:color w:val="auto"/>
          <w:sz w:val="24"/>
          <w:szCs w:val="20"/>
          <w:highlight w:val="none"/>
        </w:rPr>
        <w:t>制造商所属性别</w:t>
      </w:r>
      <w:r>
        <w:rPr>
          <w:rFonts w:hint="eastAsia" w:ascii="宋体" w:hAnsi="宋体" w:eastAsia="宋体" w:cs="宋体"/>
          <w:color w:val="auto"/>
          <w:sz w:val="24"/>
          <w:szCs w:val="20"/>
          <w:highlight w:val="none"/>
        </w:rPr>
        <w:t>请填写“男”或“女”，</w:t>
      </w:r>
      <w:r>
        <w:rPr>
          <w:rFonts w:hint="eastAsia" w:ascii="宋体" w:hAnsi="宋体" w:eastAsia="宋体" w:cs="宋体"/>
          <w:color w:val="auto"/>
          <w:sz w:val="24"/>
          <w:highlight w:val="none"/>
        </w:rPr>
        <w:t>指拥有制造商51%以上绝对所有权的性别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绝对所有权拥有者可以是一个人，也可以是多人合计计算</w:t>
      </w:r>
      <w:r>
        <w:rPr>
          <w:rFonts w:hint="eastAsia" w:ascii="宋体" w:hAnsi="宋体" w:eastAsia="宋体" w:cs="宋体"/>
          <w:color w:val="auto"/>
          <w:sz w:val="24"/>
          <w:szCs w:val="20"/>
          <w:highlight w:val="none"/>
        </w:rPr>
        <w:t>。</w:t>
      </w:r>
      <w:r>
        <w:rPr>
          <w:rFonts w:hint="eastAsia" w:ascii="宋体" w:hAnsi="宋体" w:eastAsia="宋体" w:cs="宋体"/>
          <w:b/>
          <w:bCs/>
          <w:color w:val="auto"/>
          <w:sz w:val="24"/>
          <w:szCs w:val="20"/>
          <w:highlight w:val="none"/>
        </w:rPr>
        <w:t>外商投资类型</w:t>
      </w:r>
      <w:r>
        <w:rPr>
          <w:rFonts w:hint="eastAsia" w:ascii="宋体" w:hAnsi="宋体" w:eastAsia="宋体" w:cs="宋体"/>
          <w:color w:val="auto"/>
          <w:sz w:val="24"/>
          <w:szCs w:val="20"/>
          <w:highlight w:val="none"/>
        </w:rPr>
        <w:t>请填写“外商单独投资”、“外商部分投资”或“内资”。</w:t>
      </w:r>
      <w:r>
        <w:rPr>
          <w:rFonts w:hint="eastAsia" w:ascii="宋体" w:hAnsi="宋体" w:eastAsia="宋体" w:cs="宋体"/>
          <w:b/>
          <w:bCs/>
          <w:color w:val="auto"/>
          <w:sz w:val="24"/>
          <w:szCs w:val="20"/>
          <w:highlight w:val="none"/>
        </w:rPr>
        <w:t>产品产地列</w:t>
      </w:r>
      <w:r>
        <w:rPr>
          <w:rFonts w:hint="eastAsia" w:ascii="宋体" w:hAnsi="宋体" w:eastAsia="宋体" w:cs="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eastAsia="宋体" w:cs="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xml:space="preserve">：____________                                                </w:t>
      </w:r>
      <w:r>
        <w:rPr>
          <w:rFonts w:hint="eastAsia" w:ascii="宋体" w:hAnsi="宋体" w:eastAsia="宋体" w:cs="宋体"/>
          <w:color w:val="auto"/>
          <w:sz w:val="24"/>
          <w:szCs w:val="20"/>
          <w:highlight w:val="none"/>
        </w:rPr>
        <w:t>日期：_____年______月______日</w:t>
      </w:r>
    </w:p>
    <w:p>
      <w:pPr>
        <w:pStyle w:val="5"/>
        <w:snapToGrid w:val="0"/>
        <w:spacing w:before="25" w:after="25" w:line="360" w:lineRule="auto"/>
        <w:rPr>
          <w:rFonts w:hint="eastAsia" w:ascii="宋体" w:hAnsi="宋体" w:eastAsia="宋体" w:cs="宋体"/>
          <w:color w:val="auto"/>
          <w:highlight w:val="none"/>
        </w:rPr>
      </w:pPr>
      <w:r>
        <w:rPr>
          <w:rFonts w:hint="eastAsia" w:ascii="宋体" w:hAnsi="宋体" w:eastAsia="宋体" w:cs="宋体"/>
          <w:color w:val="auto"/>
          <w:highlight w:val="none"/>
        </w:rPr>
        <w:t>5  合同条款偏离表</w:t>
      </w:r>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宋体" w:hAnsi="宋体" w:eastAsia="宋体" w:cs="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eastAsia="宋体" w:cs="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如无偏离，仅选择无偏离即可；无偏离即为对合同条款中的所有要求，均视作投标人已对之理解和响应。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对合同条款中的所有要求，除本表所列明的所有偏离外，均视作投标人已对之理解和响应。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“偏离情况”列应据实填写“正偏离”或“负偏离”或“无偏离”。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color w:val="auto"/>
          <w:sz w:val="24"/>
          <w:szCs w:val="20"/>
          <w:highlight w:val="none"/>
        </w:rPr>
        <w:t xml:space="preserve">6  </w:t>
      </w:r>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color w:val="auto"/>
          <w:sz w:val="24"/>
          <w:szCs w:val="20"/>
          <w:highlight w:val="none"/>
        </w:rPr>
        <w:t>采购需求偏离表 （实质性格式）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eastAsia="宋体" w:cs="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对本项目采购需求的偏离情况（应进行选择，未选择投标无效）：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如无偏离，仅选择无偏离即可；无偏离即为对采购需求中的所有要求，均视作供应商已对之理解和响应。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w:t>
            </w:r>
            <w:r>
              <w:rPr>
                <w:rFonts w:hint="eastAsia" w:ascii="宋体" w:hAnsi="宋体" w:eastAsia="宋体" w:cs="宋体"/>
                <w:color w:val="auto"/>
                <w:sz w:val="24"/>
                <w:szCs w:val="21"/>
                <w:highlight w:val="none"/>
              </w:rPr>
              <w:t>采购需求</w:t>
            </w:r>
            <w:r>
              <w:rPr>
                <w:rFonts w:hint="eastAsia" w:ascii="宋体" w:hAnsi="宋体" w:eastAsia="宋体" w:cs="宋体"/>
                <w:color w:val="auto"/>
                <w:sz w:val="24"/>
                <w:highlight w:val="none"/>
              </w:rPr>
              <w:t>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对招标文件中的所有商务、技术要求，除本表所列明的所有偏离外，均视作供应商已对之理解和响应。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2.“偏离情况”列应据实填写“正偏离”或“负偏离”或“无偏离”。</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b/>
          <w:color w:val="auto"/>
          <w:sz w:val="24"/>
          <w:highlight w:val="none"/>
        </w:rPr>
      </w:pPr>
      <w:r>
        <w:rPr>
          <w:rFonts w:hint="eastAsia" w:ascii="宋体" w:hAnsi="宋体" w:eastAsia="宋体" w:cs="宋体"/>
          <w:color w:val="auto"/>
          <w:sz w:val="24"/>
          <w:szCs w:val="20"/>
          <w:highlight w:val="none"/>
        </w:rPr>
        <w:t xml:space="preserve">日期：_____年______月______日   </w:t>
      </w:r>
    </w:p>
    <w:p>
      <w:pPr>
        <w:numPr>
          <w:ilvl w:val="0"/>
          <w:numId w:val="29"/>
        </w:numPr>
        <w:tabs>
          <w:tab w:val="left" w:pos="360"/>
        </w:tabs>
        <w:snapToGrid w:val="0"/>
        <w:spacing w:line="360" w:lineRule="auto"/>
        <w:outlineLvl w:val="1"/>
        <w:rPr>
          <w:rFonts w:hint="eastAsia" w:ascii="宋体" w:hAnsi="宋体" w:eastAsia="宋体" w:cs="宋体"/>
          <w:color w:val="auto"/>
          <w:sz w:val="24"/>
          <w:szCs w:val="20"/>
          <w:highlight w:val="none"/>
        </w:rPr>
        <w:sectPr>
          <w:pgSz w:w="11901" w:h="16817"/>
          <w:pgMar w:top="1418" w:right="1701" w:bottom="1418" w:left="1701" w:header="851" w:footer="851" w:gutter="0"/>
          <w:cols w:space="720" w:num="1"/>
          <w:docGrid w:linePitch="462" w:charSpace="0"/>
        </w:sectPr>
      </w:pPr>
    </w:p>
    <w:p>
      <w:pPr>
        <w:keepNext w:val="0"/>
        <w:keepLines w:val="0"/>
        <w:pageBreakBefore w:val="0"/>
        <w:widowControl w:val="0"/>
        <w:numPr>
          <w:ilvl w:val="0"/>
          <w:numId w:val="29"/>
        </w:numPr>
        <w:tabs>
          <w:tab w:val="left" w:pos="360"/>
        </w:tabs>
        <w:kinsoku/>
        <w:wordWrap/>
        <w:overflowPunct/>
        <w:topLinePunct w:val="0"/>
        <w:autoSpaceDE/>
        <w:autoSpaceDN/>
        <w:bidi w:val="0"/>
        <w:adjustRightInd/>
        <w:snapToGrid w:val="0"/>
        <w:spacing w:after="0" w:line="240" w:lineRule="atLeast"/>
        <w:ind w:left="901" w:hanging="901"/>
        <w:textAlignment w:val="auto"/>
        <w:outlineLvl w:val="1"/>
        <w:rPr>
          <w:rFonts w:hint="eastAsia" w:ascii="宋体" w:hAnsi="宋体" w:eastAsia="宋体" w:cs="宋体"/>
          <w:color w:val="auto"/>
          <w:sz w:val="24"/>
          <w:szCs w:val="20"/>
          <w:highlight w:val="none"/>
        </w:rPr>
      </w:pPr>
      <w:r>
        <w:rPr>
          <w:rFonts w:hint="eastAsia" w:ascii="宋体" w:hAnsi="宋体" w:cs="宋体"/>
          <w:b/>
          <w:color w:val="auto"/>
          <w:sz w:val="24"/>
          <w:szCs w:val="20"/>
          <w:highlight w:val="none"/>
          <w:lang w:val="en-US" w:eastAsia="zh-CN"/>
        </w:rPr>
        <w:t>检测结果汇总表</w:t>
      </w:r>
      <w:r>
        <w:rPr>
          <w:rFonts w:hint="eastAsia" w:ascii="宋体" w:hAnsi="宋体" w:eastAsia="宋体" w:cs="宋体"/>
          <w:color w:val="auto"/>
          <w:sz w:val="24"/>
          <w:szCs w:val="20"/>
          <w:highlight w:val="none"/>
        </w:rPr>
        <w:t xml:space="preserve"> </w:t>
      </w:r>
    </w:p>
    <w:tbl>
      <w:tblPr>
        <w:tblStyle w:val="47"/>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39"/>
        <w:gridCol w:w="1939"/>
        <w:gridCol w:w="1939"/>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黏度</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总蛋白</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PD50值</w:t>
            </w: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内毒素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第一批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eastAsia="方正仿宋_GB2312"/>
                <w:color w:val="auto"/>
                <w:sz w:val="24"/>
                <w:highlight w:val="none"/>
                <w:lang w:val="en-US" w:eastAsia="zh-CN"/>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第二批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第三批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第四批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第五批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lang w:val="en-US" w:eastAsia="zh-CN"/>
              </w:rPr>
            </w:pPr>
            <w:r>
              <w:rPr>
                <w:rFonts w:hint="eastAsia"/>
                <w:color w:val="auto"/>
                <w:highlight w:val="none"/>
                <w:lang w:val="en-US" w:eastAsia="zh-CN"/>
              </w:rPr>
              <w:t>总体</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default"/>
                <w:color w:val="auto"/>
                <w:highlight w:val="none"/>
                <w:lang w:val="en-US" w:eastAsia="zh-CN"/>
              </w:rPr>
            </w:pPr>
            <w:r>
              <w:rPr>
                <w:rFonts w:hint="eastAsia"/>
                <w:color w:val="auto"/>
                <w:highlight w:val="none"/>
                <w:lang w:val="en-US" w:eastAsia="zh-CN"/>
              </w:rPr>
              <w:t>情况</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lang w:eastAsia="zh-CN"/>
              </w:rPr>
            </w:pPr>
            <w:r>
              <w:rPr>
                <w:rFonts w:hint="eastAsia"/>
                <w:color w:val="auto"/>
                <w:highlight w:val="none"/>
                <w:lang w:eastAsia="zh-CN"/>
              </w:rPr>
              <w:t>最大值：</w:t>
            </w:r>
          </w:p>
          <w:p>
            <w:pPr>
              <w:pStyle w:val="2"/>
              <w:rPr>
                <w:rFonts w:hint="eastAsia"/>
                <w:color w:val="auto"/>
                <w:highlight w:val="none"/>
                <w:lang w:eastAsia="zh-CN"/>
              </w:rPr>
            </w:pPr>
            <w:r>
              <w:rPr>
                <w:rFonts w:hint="eastAsia"/>
                <w:color w:val="auto"/>
                <w:highlight w:val="none"/>
                <w:lang w:eastAsia="zh-CN"/>
              </w:rPr>
              <w:t>最小值：</w:t>
            </w:r>
          </w:p>
          <w:p>
            <w:pPr>
              <w:rPr>
                <w:rFonts w:hint="eastAsia"/>
                <w:color w:val="auto"/>
                <w:highlight w:val="none"/>
                <w:lang w:eastAsia="zh-CN"/>
              </w:rPr>
            </w:pPr>
            <w:r>
              <w:rPr>
                <w:rFonts w:hint="eastAsia"/>
                <w:color w:val="auto"/>
                <w:highlight w:val="none"/>
                <w:lang w:eastAsia="zh-CN"/>
              </w:rPr>
              <w:t>平均值：</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lang w:eastAsia="zh-CN"/>
              </w:rPr>
            </w:pPr>
            <w:r>
              <w:rPr>
                <w:rFonts w:hint="eastAsia"/>
                <w:color w:val="auto"/>
                <w:highlight w:val="none"/>
                <w:lang w:eastAsia="zh-CN"/>
              </w:rPr>
              <w:t>最大值：</w:t>
            </w:r>
          </w:p>
          <w:p>
            <w:pPr>
              <w:pStyle w:val="2"/>
              <w:rPr>
                <w:rFonts w:hint="eastAsia"/>
                <w:color w:val="auto"/>
                <w:highlight w:val="none"/>
                <w:lang w:eastAsia="zh-CN"/>
              </w:rPr>
            </w:pPr>
            <w:r>
              <w:rPr>
                <w:rFonts w:hint="eastAsia"/>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r>
              <w:rPr>
                <w:rFonts w:hint="eastAsia"/>
                <w:color w:val="auto"/>
                <w:highlight w:val="none"/>
                <w:lang w:eastAsia="zh-CN"/>
              </w:rPr>
              <w:t>平均值：</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lang w:eastAsia="zh-CN"/>
              </w:rPr>
            </w:pPr>
            <w:r>
              <w:rPr>
                <w:rFonts w:hint="eastAsia"/>
                <w:color w:val="auto"/>
                <w:highlight w:val="none"/>
                <w:lang w:eastAsia="zh-CN"/>
              </w:rPr>
              <w:t>最大值：</w:t>
            </w:r>
          </w:p>
          <w:p>
            <w:pPr>
              <w:pStyle w:val="2"/>
              <w:rPr>
                <w:rFonts w:hint="eastAsia"/>
                <w:color w:val="auto"/>
                <w:highlight w:val="none"/>
                <w:lang w:eastAsia="zh-CN"/>
              </w:rPr>
            </w:pPr>
            <w:r>
              <w:rPr>
                <w:rFonts w:hint="eastAsia"/>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lang w:eastAsia="zh-CN"/>
              </w:rPr>
            </w:pPr>
            <w:r>
              <w:rPr>
                <w:rFonts w:hint="eastAsia"/>
                <w:color w:val="auto"/>
                <w:highlight w:val="none"/>
                <w:lang w:eastAsia="zh-CN"/>
              </w:rPr>
              <w:t>平均值：</w:t>
            </w:r>
          </w:p>
          <w:p>
            <w:pPr>
              <w:keepNext w:val="0"/>
              <w:keepLines w:val="0"/>
              <w:pageBreakBefore w:val="0"/>
              <w:widowControl w:val="0"/>
              <w:kinsoku/>
              <w:wordWrap/>
              <w:overflowPunct/>
              <w:topLinePunct w:val="0"/>
              <w:autoSpaceDE/>
              <w:autoSpaceDN/>
              <w:bidi w:val="0"/>
              <w:adjustRightInd w:val="0"/>
              <w:snapToGrid w:val="0"/>
              <w:spacing w:after="0" w:line="240" w:lineRule="atLeast"/>
              <w:jc w:val="both"/>
              <w:textAlignment w:val="auto"/>
              <w:rPr>
                <w:rFonts w:hint="eastAsia"/>
                <w:color w:val="auto"/>
                <w:highlight w:val="none"/>
              </w:rPr>
            </w:pPr>
            <w:r>
              <w:rPr>
                <w:rFonts w:hint="eastAsia" w:ascii="宋体" w:hAnsi="宋体"/>
                <w:color w:val="auto"/>
                <w:sz w:val="24"/>
                <w:highlight w:val="none"/>
              </w:rPr>
              <w:t>标准差:</w:t>
            </w: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lang w:eastAsia="zh-CN"/>
              </w:rPr>
            </w:pPr>
            <w:r>
              <w:rPr>
                <w:rFonts w:hint="eastAsia"/>
                <w:color w:val="auto"/>
                <w:highlight w:val="none"/>
                <w:lang w:eastAsia="zh-CN"/>
              </w:rPr>
              <w:t>最大值：</w:t>
            </w:r>
          </w:p>
          <w:p>
            <w:pPr>
              <w:pStyle w:val="2"/>
              <w:rPr>
                <w:rFonts w:hint="eastAsia"/>
                <w:color w:val="auto"/>
                <w:highlight w:val="none"/>
                <w:lang w:eastAsia="zh-CN"/>
              </w:rPr>
            </w:pPr>
            <w:r>
              <w:rPr>
                <w:rFonts w:hint="eastAsia"/>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lang w:eastAsia="zh-CN"/>
              </w:rPr>
            </w:pPr>
            <w:r>
              <w:rPr>
                <w:rFonts w:hint="eastAsia"/>
                <w:color w:val="auto"/>
                <w:highlight w:val="none"/>
                <w:lang w:eastAsia="zh-CN"/>
              </w:rPr>
              <w:t>平均值：</w:t>
            </w:r>
          </w:p>
          <w:p>
            <w:pPr>
              <w:pStyle w:val="2"/>
              <w:rPr>
                <w:rFonts w:hint="eastAsia"/>
                <w:color w:val="auto"/>
                <w:highlight w:val="none"/>
              </w:rPr>
            </w:pPr>
          </w:p>
        </w:tc>
      </w:tr>
    </w:tbl>
    <w:p>
      <w:pPr>
        <w:rPr>
          <w:rFonts w:hint="eastAsia"/>
          <w:color w:val="auto"/>
          <w:highlight w:val="none"/>
        </w:rPr>
      </w:pPr>
      <w:r>
        <w:rPr>
          <w:rFonts w:hint="eastAsia"/>
          <w:color w:val="auto"/>
          <w:highlight w:val="none"/>
        </w:rPr>
        <w:br w:type="page"/>
      </w:r>
    </w:p>
    <w:p>
      <w:pPr>
        <w:numPr>
          <w:ilvl w:val="0"/>
          <w:numId w:val="0"/>
        </w:numPr>
        <w:tabs>
          <w:tab w:val="left" w:pos="360"/>
        </w:tabs>
        <w:snapToGrid w:val="0"/>
        <w:spacing w:line="360" w:lineRule="auto"/>
        <w:ind w:leftChars="0"/>
        <w:outlineLvl w:val="1"/>
        <w:rPr>
          <w:rFonts w:hint="eastAsia" w:ascii="宋体" w:hAnsi="宋体" w:cs="宋体"/>
          <w:color w:val="auto"/>
          <w:sz w:val="24"/>
          <w:szCs w:val="20"/>
          <w:highlight w:val="none"/>
          <w:lang w:val="en-US" w:eastAsia="zh-CN"/>
        </w:rPr>
        <w:sectPr>
          <w:pgSz w:w="11901" w:h="16817"/>
          <w:pgMar w:top="1418" w:right="1701" w:bottom="1418" w:left="1701" w:header="851" w:footer="851" w:gutter="0"/>
          <w:cols w:space="720" w:num="1"/>
          <w:docGrid w:linePitch="462" w:charSpace="0"/>
        </w:sectPr>
      </w:pPr>
      <w:r>
        <w:rPr>
          <w:rFonts w:hint="eastAsia" w:ascii="宋体" w:hAnsi="宋体" w:eastAsia="宋体" w:cs="宋体"/>
          <w:b/>
          <w:color w:val="auto"/>
          <w:sz w:val="24"/>
          <w:szCs w:val="20"/>
          <w:highlight w:val="none"/>
          <w:lang w:val="en-US" w:eastAsia="zh-CN"/>
        </w:rPr>
        <w:t>8 批次签发情况汇总表：每批一行，与</w:t>
      </w:r>
      <w:r>
        <w:rPr>
          <w:rFonts w:hint="eastAsia" w:ascii="宋体" w:hAnsi="宋体" w:eastAsia="宋体" w:cs="宋体"/>
          <w:b/>
          <w:color w:val="auto"/>
          <w:sz w:val="24"/>
          <w:szCs w:val="20"/>
          <w:highlight w:val="none"/>
        </w:rPr>
        <w:t>中国兽医药品监察所网站查询结果截图</w:t>
      </w:r>
      <w:r>
        <w:rPr>
          <w:rFonts w:hint="eastAsia" w:ascii="宋体" w:hAnsi="宋体" w:eastAsia="宋体" w:cs="宋体"/>
          <w:b/>
          <w:color w:val="auto"/>
          <w:sz w:val="24"/>
          <w:szCs w:val="20"/>
          <w:highlight w:val="none"/>
          <w:lang w:eastAsia="zh-CN"/>
        </w:rPr>
        <w:t>对应</w:t>
      </w:r>
      <w:r>
        <w:rPr>
          <w:rFonts w:hint="eastAsia" w:ascii="宋体" w:hAnsi="宋体" w:eastAsia="宋体" w:cs="宋体"/>
          <w:b/>
          <w:color w:val="auto"/>
          <w:sz w:val="24"/>
          <w:szCs w:val="20"/>
          <w:highlight w:val="none"/>
          <w:lang w:val="en-US" w:eastAsia="zh-CN"/>
        </w:rPr>
        <w:t>，具体格式由投标人自行设计。</w:t>
      </w:r>
    </w:p>
    <w:p>
      <w:pPr>
        <w:numPr>
          <w:ilvl w:val="0"/>
          <w:numId w:val="0"/>
        </w:numPr>
        <w:tabs>
          <w:tab w:val="left" w:pos="360"/>
        </w:tabs>
        <w:snapToGrid w:val="0"/>
        <w:spacing w:line="360" w:lineRule="auto"/>
        <w:ind w:leftChars="0"/>
        <w:outlineLvl w:val="1"/>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本国产品标准证明文件</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ascii="宋体" w:hAnsi="宋体" w:eastAsia="宋体" w:cs="宋体"/>
          <w:color w:val="auto"/>
          <w:highlight w:val="none"/>
        </w:rPr>
      </w:pP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w:t>
      </w:r>
      <w:r>
        <w:rPr>
          <w:rStyle w:val="54"/>
          <w:rFonts w:hint="eastAsia" w:ascii="宋体" w:hAnsi="宋体" w:eastAsia="宋体" w:cs="宋体"/>
          <w:color w:val="auto"/>
          <w:highlight w:val="none"/>
          <w:u w:val="single"/>
          <w:shd w:val="clear" w:color="auto" w:fill="FFFFFF"/>
        </w:rPr>
        <w:t>（产品名称1）</w:t>
      </w:r>
      <w:r>
        <w:rPr>
          <w:rStyle w:val="54"/>
          <w:rFonts w:hint="eastAsia" w:ascii="宋体" w:hAnsi="宋体" w:eastAsia="宋体" w:cs="宋体"/>
          <w:color w:val="auto"/>
          <w:highlight w:val="none"/>
          <w:shd w:val="clear" w:color="auto" w:fill="FFFFFF"/>
          <w:vertAlign w:val="superscript"/>
        </w:rPr>
        <w:t>1</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Style w:val="54"/>
          <w:rFonts w:hint="eastAsia" w:ascii="宋体" w:hAnsi="宋体" w:eastAsia="宋体" w:cs="宋体"/>
          <w:color w:val="auto"/>
          <w:highlight w:val="none"/>
          <w:shd w:val="clear" w:color="auto" w:fill="FFFFFF"/>
          <w:vertAlign w:val="superscript"/>
        </w:rPr>
        <w:t>2</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Style w:val="54"/>
          <w:rFonts w:hint="eastAsia" w:ascii="宋体" w:hAnsi="宋体" w:eastAsia="宋体" w:cs="宋体"/>
          <w:color w:val="auto"/>
          <w:highlight w:val="none"/>
          <w:shd w:val="clear" w:color="auto" w:fill="FFFFFF"/>
          <w:vertAlign w:val="superscript"/>
        </w:rPr>
        <w:t>3</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Style w:val="54"/>
          <w:rFonts w:hint="eastAsia" w:ascii="宋体" w:hAnsi="宋体" w:eastAsia="宋体" w:cs="宋体"/>
          <w:color w:val="auto"/>
          <w:highlight w:val="none"/>
          <w:shd w:val="clear" w:color="auto" w:fill="FFFFFF"/>
          <w:vertAlign w:val="superscript"/>
        </w:rPr>
        <w:t>4</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Style w:val="54"/>
          <w:rFonts w:hint="eastAsia" w:ascii="宋体" w:hAnsi="宋体" w:eastAsia="宋体" w:cs="宋体"/>
          <w:color w:val="auto"/>
          <w:highlight w:val="none"/>
          <w:shd w:val="clear" w:color="auto" w:fill="FFFFFF"/>
          <w:vertAlign w:val="superscript"/>
        </w:rPr>
        <w:t>5</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ascii="宋体" w:hAnsi="宋体" w:eastAsia="宋体" w:cs="宋体"/>
          <w:color w:val="auto"/>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spacing w:line="360" w:lineRule="auto"/>
        <w:ind w:left="424" w:leftChars="1" w:hanging="422" w:hangingChars="201"/>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注：1.产品如有型号，请在“产品名称”栏一并填写。</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2.生产厂名与厂址应与生产厂营业执照载明的相关信息保持一致。</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4.该产品的关键组件要求实施前，“关键组件”栏可不填。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5.该产品的关键工序要求实施前，“关键工序”栏可不填。</w:t>
      </w:r>
    </w:p>
    <w:p>
      <w:pPr>
        <w:widowControl/>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rPr>
        <w:t>产品成本占比承诺函</w:t>
      </w:r>
    </w:p>
    <w:p>
      <w:pPr>
        <w:pStyle w:val="41"/>
        <w:shd w:val="clear" w:color="auto" w:fill="FFFFFF"/>
        <w:spacing w:before="30" w:beforeAutospacing="0" w:after="30" w:afterAutospacing="0"/>
        <w:rPr>
          <w:rStyle w:val="51"/>
          <w:rFonts w:hint="eastAsia" w:ascii="宋体" w:hAnsi="宋体" w:eastAsia="宋体" w:cs="宋体"/>
          <w:color w:val="auto"/>
          <w:sz w:val="36"/>
          <w:szCs w:val="36"/>
          <w:highlight w:val="none"/>
        </w:rPr>
      </w:pPr>
    </w:p>
    <w:p>
      <w:pPr>
        <w:widowControl/>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color w:val="auto"/>
          <w:spacing w:val="6"/>
          <w:sz w:val="24"/>
          <w:highlight w:val="none"/>
        </w:rPr>
        <w:t>______%。</w:t>
      </w:r>
    </w:p>
    <w:p>
      <w:pPr>
        <w:widowControl/>
        <w:spacing w:line="360" w:lineRule="auto"/>
        <w:ind w:firstLine="480" w:firstLineChars="200"/>
        <w:jc w:val="left"/>
        <w:rPr>
          <w:rFonts w:hint="eastAsia" w:ascii="宋体" w:hAnsi="宋体" w:eastAsia="宋体" w:cs="宋体"/>
          <w:color w:val="auto"/>
          <w:sz w:val="24"/>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widowControl/>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日期：　     年　  月　  日     </w:t>
      </w:r>
    </w:p>
    <w:p>
      <w:pPr>
        <w:widowControl/>
        <w:spacing w:line="360" w:lineRule="auto"/>
        <w:jc w:val="left"/>
        <w:rPr>
          <w:rFonts w:hint="eastAsia" w:ascii="宋体" w:hAnsi="宋体" w:eastAsia="宋体" w:cs="宋体"/>
          <w:color w:val="auto"/>
          <w:sz w:val="24"/>
          <w:highlight w:val="none"/>
        </w:rPr>
      </w:pPr>
    </w:p>
    <w:p>
      <w:pPr>
        <w:widowControl/>
        <w:spacing w:line="360" w:lineRule="auto"/>
        <w:jc w:val="left"/>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本承诺函应按包分别提供。</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color w:val="auto"/>
          <w:highlight w:val="none"/>
        </w:rPr>
        <w:t>价格评审优惠</w:t>
      </w:r>
      <w:r>
        <w:rPr>
          <w:rFonts w:hint="eastAsia" w:ascii="宋体" w:hAnsi="宋体" w:eastAsia="宋体" w:cs="宋体"/>
          <w:color w:val="auto"/>
          <w:szCs w:val="21"/>
          <w:highlight w:val="none"/>
          <w:shd w:val="clear" w:color="auto" w:fill="FFFFFF"/>
        </w:rPr>
        <w:t>。</w:t>
      </w:r>
    </w:p>
    <w:p>
      <w:pPr>
        <w:spacing w:line="360" w:lineRule="auto"/>
        <w:outlineLvl w:val="2"/>
        <w:rPr>
          <w:rFonts w:hint="eastAsia" w:ascii="宋体" w:hAnsi="宋体" w:eastAsia="宋体" w:cs="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招标文件要求提供或投标人认为应附的其他材料</w:t>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附件1、类似项目业绩</w:t>
      </w:r>
    </w:p>
    <w:p>
      <w:pPr>
        <w:adjustRightInd w:val="0"/>
        <w:snapToGrid w:val="0"/>
        <w:spacing w:line="360" w:lineRule="auto"/>
        <w:rPr>
          <w:rFonts w:hint="eastAsia" w:ascii="宋体" w:hAnsi="宋体" w:eastAsia="宋体" w:cs="宋体"/>
          <w:color w:val="auto"/>
          <w:sz w:val="24"/>
          <w:szCs w:val="20"/>
          <w:highlight w:val="none"/>
        </w:rPr>
      </w:pP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bl>
    <w:p>
      <w:pPr>
        <w:adjustRightInd w:val="0"/>
        <w:snapToGrid w:val="0"/>
        <w:spacing w:line="360" w:lineRule="auto"/>
        <w:ind w:firstLine="620" w:firstLineChars="294"/>
        <w:jc w:val="left"/>
        <w:rPr>
          <w:rFonts w:hint="eastAsia" w:ascii="宋体" w:hAnsi="宋体" w:eastAsia="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日期：_____年______月______日</w:t>
      </w:r>
    </w:p>
    <w:p>
      <w:pPr>
        <w:pStyle w:val="23"/>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附件2、招标服务费缴费承诺书</w:t>
      </w: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《招标服务费缴费承诺书》</w:t>
      </w:r>
    </w:p>
    <w:p>
      <w:pPr>
        <w:pStyle w:val="23"/>
        <w:spacing w:line="360" w:lineRule="auto"/>
        <w:rPr>
          <w:rFonts w:hint="eastAsia" w:ascii="宋体" w:hAnsi="宋体" w:eastAsia="宋体" w:cs="宋体"/>
          <w:color w:val="auto"/>
          <w:sz w:val="24"/>
          <w:szCs w:val="24"/>
          <w:highlight w:val="none"/>
        </w:rPr>
      </w:pPr>
    </w:p>
    <w:p>
      <w:pPr>
        <w:pStyle w:val="2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致北京国泰建中管理咨询有限公司：   </w:t>
      </w:r>
    </w:p>
    <w:p>
      <w:pPr>
        <w:pStyle w:val="23"/>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我们在贵公司组织的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分包名称）</w:t>
      </w:r>
      <w:r>
        <w:rPr>
          <w:rFonts w:hint="eastAsia" w:ascii="宋体" w:hAnsi="宋体" w:eastAsia="宋体" w:cs="宋体"/>
          <w:color w:val="auto"/>
          <w:sz w:val="24"/>
          <w:szCs w:val="24"/>
          <w:highlight w:val="none"/>
        </w:rPr>
        <w:t>招标中若获中标资格，保证在领取中标通知书的同时按招标文件的规定，以支票、电汇形式，向贵公司即北京国泰建中管理咨询有限公司（地址：</w:t>
      </w:r>
      <w:r>
        <w:rPr>
          <w:rFonts w:hint="eastAsia" w:ascii="宋体" w:hAnsi="宋体" w:eastAsia="宋体" w:cs="宋体"/>
          <w:color w:val="auto"/>
          <w:sz w:val="24"/>
          <w:szCs w:val="24"/>
          <w:highlight w:val="none"/>
          <w:u w:val="single"/>
        </w:rPr>
        <w:t>北京市海淀区成府路中科科仪院内6号楼3层</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招商银行股份有限公司北京分行甘家口支行</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531902429310101</w:t>
      </w:r>
      <w:r>
        <w:rPr>
          <w:rFonts w:hint="eastAsia" w:ascii="宋体" w:hAnsi="宋体" w:eastAsia="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w:t>
      </w:r>
      <w:r>
        <w:rPr>
          <w:rFonts w:hint="eastAsia" w:ascii="宋体" w:hAnsi="宋体" w:eastAsia="宋体" w:cs="宋体"/>
          <w:color w:val="auto"/>
          <w:sz w:val="24"/>
          <w:szCs w:val="24"/>
          <w:highlight w:val="none"/>
          <w:lang w:val="en-US" w:eastAsia="zh-CN"/>
        </w:rPr>
        <w:t>并签署支付协议</w:t>
      </w:r>
      <w:r>
        <w:rPr>
          <w:rFonts w:hint="eastAsia" w:ascii="宋体" w:hAnsi="宋体" w:eastAsia="宋体" w:cs="宋体"/>
          <w:color w:val="auto"/>
          <w:sz w:val="24"/>
          <w:szCs w:val="24"/>
          <w:highlight w:val="none"/>
        </w:rPr>
        <w:t>。</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sz w:val="24"/>
          <w:highlight w:val="none"/>
        </w:rPr>
        <w:sectPr>
          <w:pgSz w:w="11901" w:h="16817"/>
          <w:pgMar w:top="1418" w:right="1701" w:bottom="1418" w:left="1701" w:header="851" w:footer="851" w:gutter="0"/>
          <w:cols w:space="720" w:num="1"/>
          <w:docGrid w:linePitch="462" w:charSpace="0"/>
        </w:sectPr>
      </w:pPr>
      <w:r>
        <w:rPr>
          <w:rFonts w:hint="eastAsia" w:ascii="宋体" w:hAnsi="宋体" w:eastAsia="宋体" w:cs="宋体"/>
          <w:color w:val="auto"/>
          <w:sz w:val="24"/>
          <w:highlight w:val="none"/>
        </w:rPr>
        <w:t>日期：_____年______月______日</w:t>
      </w:r>
    </w:p>
    <w:p>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附件3 </w:t>
      </w:r>
    </w:p>
    <w:p>
      <w:pPr>
        <w:widowControl/>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投标人所属性别</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rPr>
        <w:t>附件4中小企业声明函</w:t>
      </w:r>
    </w:p>
    <w:p>
      <w:pPr>
        <w:tabs>
          <w:tab w:val="left" w:pos="5580"/>
        </w:tabs>
        <w:spacing w:line="360" w:lineRule="auto"/>
        <w:rPr>
          <w:rFonts w:hint="eastAsia" w:ascii="宋体" w:hAnsi="宋体" w:eastAsia="宋体" w:cs="宋体"/>
          <w:color w:val="auto"/>
          <w:sz w:val="24"/>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参与价格评审扣除。</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（2）中小企业声明函填写注意事项：</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eastAsia="宋体" w:cs="宋体"/>
          <w:b/>
          <w:bCs/>
          <w:color w:val="auto"/>
          <w:sz w:val="24"/>
          <w:highlight w:val="none"/>
        </w:rPr>
      </w:pPr>
      <w:bookmarkStart w:id="396" w:name="_Hlk176865208"/>
      <w:r>
        <w:rPr>
          <w:rFonts w:hint="eastAsia" w:ascii="宋体" w:hAnsi="宋体" w:eastAsia="宋体" w:cs="宋体"/>
          <w:b/>
          <w:bCs/>
          <w:color w:val="auto"/>
          <w:sz w:val="24"/>
          <w:highlight w:val="none"/>
        </w:rPr>
        <w:t>3）对于多标的采购项目，投标人应充分、准确地了解所提供货物的制造企业信息。对相关情况了解不清楚的，不建议填报本声明函。</w:t>
      </w:r>
      <w:bookmarkEnd w:id="396"/>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中小企业声明函（货物）格式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（采购人名称）的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（项目名称）</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val="en-US" w:eastAsia="zh-CN"/>
        </w:rPr>
        <w:t>（分包名称）</w:t>
      </w:r>
      <w:r>
        <w:rPr>
          <w:rFonts w:hint="eastAsia" w:ascii="宋体" w:hAnsi="宋体" w:eastAsia="宋体" w:cs="宋体"/>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99" w:type="dxa"/>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eastAsia="宋体" w:cs="宋体"/>
          <w:color w:val="auto"/>
          <w:szCs w:val="21"/>
          <w:highlight w:val="none"/>
          <w:vertAlign w:val="superscript"/>
        </w:rPr>
      </w:pPr>
    </w:p>
    <w:p>
      <w:pPr>
        <w:rPr>
          <w:rFonts w:hint="eastAsia" w:ascii="宋体" w:hAnsi="宋体" w:eastAsia="宋体" w:cs="宋体"/>
          <w:color w:val="auto"/>
          <w:sz w:val="24"/>
          <w:szCs w:val="20"/>
          <w:highlight w:val="none"/>
        </w:rPr>
      </w:pP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（请进行勾选）</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pStyle w:val="41"/>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附件：《中小企业划型标准规定》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pStyle w:val="5"/>
        <w:spacing w:line="480" w:lineRule="auto"/>
        <w:rPr>
          <w:rFonts w:hint="eastAsia" w:ascii="宋体" w:hAnsi="宋体" w:eastAsia="宋体" w:cs="宋体"/>
          <w:color w:val="auto"/>
          <w:highlight w:val="none"/>
        </w:rPr>
      </w:pPr>
      <w:r>
        <w:rPr>
          <w:rFonts w:hint="eastAsia" w:hAnsi="宋体" w:cs="宋体"/>
          <w:bCs/>
          <w:color w:val="auto"/>
          <w:highlight w:val="none"/>
          <w:lang w:val="en-US" w:eastAsia="zh-CN"/>
        </w:rPr>
        <w:t>11</w:t>
      </w:r>
      <w:r>
        <w:rPr>
          <w:rFonts w:hint="eastAsia" w:ascii="宋体" w:hAnsi="宋体" w:eastAsia="宋体" w:cs="宋体"/>
          <w:bCs/>
          <w:color w:val="auto"/>
          <w:highlight w:val="none"/>
        </w:rPr>
        <w:t xml:space="preserve">  技术部分</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2.另外投标人可以自行提供其他对本项目有关的证明材料。</w:t>
      </w:r>
      <w:bookmarkEnd w:id="305"/>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C8DD453-34CE-4DF7-980C-58EEE7EECA1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汉仪细圆B5">
    <w:altName w:val="ksdb"/>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embedRegular r:id="rId2" w:fontKey="{F3366A03-554B-4EB4-B1A2-7E04BB4CFF1C}"/>
  </w:font>
  <w:font w:name="方正仿宋_GB2312">
    <w:altName w:val="仿宋"/>
    <w:panose1 w:val="00000000000000000000"/>
    <w:charset w:val="86"/>
    <w:family w:val="auto"/>
    <w:pitch w:val="default"/>
    <w:sig w:usb0="00000000" w:usb1="00000000" w:usb2="00000012" w:usb3="00000000" w:csb0="00040001" w:csb1="00000000"/>
    <w:embedRegular r:id="rId3" w:fontKey="{022B3CEC-C4A3-4D72-8035-BDB34C4B8894}"/>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1">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49FFB79"/>
    <w:multiLevelType w:val="singleLevel"/>
    <w:tmpl w:val="249FFB79"/>
    <w:lvl w:ilvl="0" w:tentative="0">
      <w:start w:val="2"/>
      <w:numFmt w:val="decimal"/>
      <w:suff w:val="space"/>
      <w:lvlText w:val="%1."/>
      <w:lvlJc w:val="left"/>
    </w:lvl>
  </w:abstractNum>
  <w:abstractNum w:abstractNumId="2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A0F6431"/>
    <w:multiLevelType w:val="singleLevel"/>
    <w:tmpl w:val="7A0F6431"/>
    <w:lvl w:ilvl="0" w:tentative="0">
      <w:start w:val="1"/>
      <w:numFmt w:val="decimal"/>
      <w:suff w:val="space"/>
      <w:lvlText w:val="%1."/>
      <w:lvlJc w:val="left"/>
    </w:lvl>
  </w:abstractNum>
  <w:abstractNum w:abstractNumId="27">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2"/>
  </w:num>
  <w:num w:numId="2">
    <w:abstractNumId w:val="15"/>
  </w:num>
  <w:num w:numId="3">
    <w:abstractNumId w:val="8"/>
  </w:num>
  <w:num w:numId="4">
    <w:abstractNumId w:val="13"/>
  </w:num>
  <w:num w:numId="5">
    <w:abstractNumId w:val="11"/>
  </w:num>
  <w:num w:numId="6">
    <w:abstractNumId w:val="9"/>
  </w:num>
  <w:num w:numId="7">
    <w:abstractNumId w:val="16"/>
  </w:num>
  <w:num w:numId="8">
    <w:abstractNumId w:val="10"/>
  </w:num>
  <w:num w:numId="9">
    <w:abstractNumId w:val="27"/>
  </w:num>
  <w:num w:numId="10">
    <w:abstractNumId w:val="20"/>
  </w:num>
  <w:num w:numId="11">
    <w:abstractNumId w:val="0"/>
  </w:num>
  <w:num w:numId="12">
    <w:abstractNumId w:val="14"/>
  </w:num>
  <w:num w:numId="13">
    <w:abstractNumId w:val="19"/>
  </w:num>
  <w:num w:numId="14">
    <w:abstractNumId w:val="7"/>
  </w:num>
  <w:num w:numId="15">
    <w:abstractNumId w:val="23"/>
  </w:num>
  <w:num w:numId="16">
    <w:abstractNumId w:val="24"/>
  </w:num>
  <w:num w:numId="17">
    <w:abstractNumId w:val="25"/>
  </w:num>
  <w:num w:numId="18">
    <w:abstractNumId w:val="17"/>
  </w:num>
  <w:num w:numId="19">
    <w:abstractNumId w:val="18"/>
  </w:num>
  <w:num w:numId="20">
    <w:abstractNumId w:val="26"/>
  </w:num>
  <w:num w:numId="21">
    <w:abstractNumId w:val="2"/>
  </w:num>
  <w:num w:numId="22">
    <w:abstractNumId w:val="6"/>
  </w:num>
  <w:num w:numId="23">
    <w:abstractNumId w:val="4"/>
  </w:num>
  <w:num w:numId="24">
    <w:abstractNumId w:val="3"/>
  </w:num>
  <w:num w:numId="25">
    <w:abstractNumId w:val="1"/>
  </w:num>
  <w:num w:numId="26">
    <w:abstractNumId w:val="5"/>
  </w:num>
  <w:num w:numId="27">
    <w:abstractNumId w:val="22"/>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25A16D3"/>
    <w:rsid w:val="028211ED"/>
    <w:rsid w:val="04D22DAC"/>
    <w:rsid w:val="0817778D"/>
    <w:rsid w:val="0822685D"/>
    <w:rsid w:val="0C992E66"/>
    <w:rsid w:val="0D206ADC"/>
    <w:rsid w:val="0D4855DC"/>
    <w:rsid w:val="0E4C0D05"/>
    <w:rsid w:val="0F57435D"/>
    <w:rsid w:val="0FE0658C"/>
    <w:rsid w:val="10710D74"/>
    <w:rsid w:val="10BC218D"/>
    <w:rsid w:val="11DF27D1"/>
    <w:rsid w:val="11E078E4"/>
    <w:rsid w:val="121B764F"/>
    <w:rsid w:val="124F7DAD"/>
    <w:rsid w:val="13AB136F"/>
    <w:rsid w:val="1451270C"/>
    <w:rsid w:val="147C6004"/>
    <w:rsid w:val="16764AFF"/>
    <w:rsid w:val="17254E91"/>
    <w:rsid w:val="19172829"/>
    <w:rsid w:val="194E4F0F"/>
    <w:rsid w:val="19A56D30"/>
    <w:rsid w:val="1A3657A6"/>
    <w:rsid w:val="1B8859BE"/>
    <w:rsid w:val="1BD030DF"/>
    <w:rsid w:val="1C491350"/>
    <w:rsid w:val="1D0D3533"/>
    <w:rsid w:val="1E3F6A78"/>
    <w:rsid w:val="1E935BAD"/>
    <w:rsid w:val="1EF85BDC"/>
    <w:rsid w:val="222E10F4"/>
    <w:rsid w:val="24D47306"/>
    <w:rsid w:val="24EE130C"/>
    <w:rsid w:val="25012D6C"/>
    <w:rsid w:val="255676EF"/>
    <w:rsid w:val="26050616"/>
    <w:rsid w:val="27CD4BAE"/>
    <w:rsid w:val="29545E54"/>
    <w:rsid w:val="2961623A"/>
    <w:rsid w:val="2A8D26BB"/>
    <w:rsid w:val="2B425003"/>
    <w:rsid w:val="2BEA1817"/>
    <w:rsid w:val="2C1E3C6A"/>
    <w:rsid w:val="2C3326B9"/>
    <w:rsid w:val="2C9C23B8"/>
    <w:rsid w:val="2CC1076E"/>
    <w:rsid w:val="2E17071E"/>
    <w:rsid w:val="2ED81174"/>
    <w:rsid w:val="2EE31FF3"/>
    <w:rsid w:val="30760FCC"/>
    <w:rsid w:val="32DA3C5A"/>
    <w:rsid w:val="32DC55BA"/>
    <w:rsid w:val="331B765D"/>
    <w:rsid w:val="346E5E0F"/>
    <w:rsid w:val="347C4F14"/>
    <w:rsid w:val="37410DB9"/>
    <w:rsid w:val="37B67995"/>
    <w:rsid w:val="394E115D"/>
    <w:rsid w:val="39CF6A29"/>
    <w:rsid w:val="3A0C3554"/>
    <w:rsid w:val="3AE57B9E"/>
    <w:rsid w:val="3AFC74DE"/>
    <w:rsid w:val="3BAC12DA"/>
    <w:rsid w:val="3BCA7E24"/>
    <w:rsid w:val="3BFB3F51"/>
    <w:rsid w:val="3CEB0E12"/>
    <w:rsid w:val="3D5660DF"/>
    <w:rsid w:val="3DCD47D1"/>
    <w:rsid w:val="3FD6873B"/>
    <w:rsid w:val="404C1170"/>
    <w:rsid w:val="40F75EF9"/>
    <w:rsid w:val="40FD6220"/>
    <w:rsid w:val="41F368AC"/>
    <w:rsid w:val="427D1648"/>
    <w:rsid w:val="42E20186"/>
    <w:rsid w:val="44B00772"/>
    <w:rsid w:val="46DE4B5D"/>
    <w:rsid w:val="47213265"/>
    <w:rsid w:val="490E5A67"/>
    <w:rsid w:val="493A4AAE"/>
    <w:rsid w:val="49BA1D04"/>
    <w:rsid w:val="4A98641A"/>
    <w:rsid w:val="4D4C34C7"/>
    <w:rsid w:val="4E02549B"/>
    <w:rsid w:val="4E725CD8"/>
    <w:rsid w:val="4E814D9B"/>
    <w:rsid w:val="4F0E0129"/>
    <w:rsid w:val="4F764366"/>
    <w:rsid w:val="50E42A9F"/>
    <w:rsid w:val="52481FEA"/>
    <w:rsid w:val="53937294"/>
    <w:rsid w:val="54286CC4"/>
    <w:rsid w:val="547C33CE"/>
    <w:rsid w:val="55F10680"/>
    <w:rsid w:val="569B6EDB"/>
    <w:rsid w:val="57985811"/>
    <w:rsid w:val="57EF6381"/>
    <w:rsid w:val="582A546F"/>
    <w:rsid w:val="5AEE065B"/>
    <w:rsid w:val="5B6D0D13"/>
    <w:rsid w:val="5B892397"/>
    <w:rsid w:val="5C2C0458"/>
    <w:rsid w:val="5CC93914"/>
    <w:rsid w:val="5D0E05B6"/>
    <w:rsid w:val="5F8B75CB"/>
    <w:rsid w:val="5FBB4BE1"/>
    <w:rsid w:val="6098175A"/>
    <w:rsid w:val="60D32ED2"/>
    <w:rsid w:val="620D4BAF"/>
    <w:rsid w:val="658B0713"/>
    <w:rsid w:val="65F43E3F"/>
    <w:rsid w:val="668F652E"/>
    <w:rsid w:val="67D23610"/>
    <w:rsid w:val="69F05C67"/>
    <w:rsid w:val="6A9B71F6"/>
    <w:rsid w:val="6AE32E1B"/>
    <w:rsid w:val="6B482BE2"/>
    <w:rsid w:val="6B63067C"/>
    <w:rsid w:val="6E2062DB"/>
    <w:rsid w:val="6E6223E7"/>
    <w:rsid w:val="6ECE3EC1"/>
    <w:rsid w:val="6F5C6C7D"/>
    <w:rsid w:val="6FFC69A7"/>
    <w:rsid w:val="72C37B09"/>
    <w:rsid w:val="73EB44C0"/>
    <w:rsid w:val="744D4DE6"/>
    <w:rsid w:val="747F58E7"/>
    <w:rsid w:val="749654C4"/>
    <w:rsid w:val="76822790"/>
    <w:rsid w:val="76F25DC2"/>
    <w:rsid w:val="780802FA"/>
    <w:rsid w:val="787B63C5"/>
    <w:rsid w:val="78A008B4"/>
    <w:rsid w:val="78F778EF"/>
    <w:rsid w:val="7B231B7C"/>
    <w:rsid w:val="7B256B32"/>
    <w:rsid w:val="7DAB141B"/>
    <w:rsid w:val="7EBB435B"/>
    <w:rsid w:val="7EF75C04"/>
    <w:rsid w:val="AFF664EB"/>
    <w:rsid w:val="EF7FF6B9"/>
    <w:rsid w:val="FD5FD188"/>
    <w:rsid w:val="FDFD10DA"/>
    <w:rsid w:val="FFB7E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4"/>
    <w:qFormat/>
    <w:uiPriority w:val="0"/>
    <w:pPr>
      <w:tabs>
        <w:tab w:val="left" w:pos="567"/>
      </w:tabs>
      <w:spacing w:before="120" w:line="22" w:lineRule="atLeast"/>
    </w:pPr>
    <w:rPr>
      <w:rFonts w:ascii="宋体" w:hAnsi="宋体"/>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99"/>
    <w:pPr>
      <w:spacing w:after="120"/>
    </w:pPr>
    <w:rPr>
      <w:sz w:val="16"/>
      <w:szCs w:val="16"/>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6"/>
    <w:next w:val="16"/>
    <w:link w:val="85"/>
    <w:qFormat/>
    <w:uiPriority w:val="99"/>
    <w:rPr>
      <w:b/>
      <w:bCs/>
    </w:rPr>
  </w:style>
  <w:style w:type="paragraph" w:styleId="45">
    <w:name w:val="Body Text First Indent"/>
    <w:basedOn w:val="2"/>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3"/>
    <w:qFormat/>
    <w:uiPriority w:val="0"/>
    <w:rPr>
      <w:rFonts w:ascii="宋体"/>
      <w:b/>
      <w:kern w:val="44"/>
      <w:sz w:val="32"/>
    </w:rPr>
  </w:style>
  <w:style w:type="character" w:customStyle="1" w:styleId="62">
    <w:name w:val="标题 2 字符"/>
    <w:link w:val="4"/>
    <w:qFormat/>
    <w:uiPriority w:val="0"/>
    <w:rPr>
      <w:rFonts w:ascii="Arial" w:hAnsi="Arial" w:eastAsia="黑体"/>
      <w:b/>
      <w:sz w:val="30"/>
      <w:lang w:val="en-US" w:eastAsia="zh-CN" w:bidi="ar-SA"/>
    </w:rPr>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标题 3 字符"/>
    <w:link w:val="5"/>
    <w:qFormat/>
    <w:uiPriority w:val="0"/>
    <w:rPr>
      <w:rFonts w:ascii="宋体" w:eastAsia="宋体"/>
      <w:b/>
      <w:sz w:val="24"/>
      <w:u w:val="single"/>
      <w:lang w:val="en-US" w:eastAsia="zh-CN" w:bidi="ar-SA"/>
    </w:rPr>
  </w:style>
  <w:style w:type="character" w:customStyle="1" w:styleId="65">
    <w:name w:val="标题 4 字符"/>
    <w:link w:val="7"/>
    <w:qFormat/>
    <w:uiPriority w:val="0"/>
    <w:rPr>
      <w:rFonts w:ascii="Arial" w:hAnsi="Arial" w:eastAsia="黑体"/>
      <w:b/>
      <w:sz w:val="28"/>
    </w:rPr>
  </w:style>
  <w:style w:type="character" w:customStyle="1" w:styleId="66">
    <w:name w:val="标题 5 字符"/>
    <w:link w:val="8"/>
    <w:qFormat/>
    <w:uiPriority w:val="0"/>
    <w:rPr>
      <w:b/>
      <w:sz w:val="28"/>
    </w:rPr>
  </w:style>
  <w:style w:type="character" w:customStyle="1" w:styleId="67">
    <w:name w:val="标题 6 字符"/>
    <w:link w:val="9"/>
    <w:qFormat/>
    <w:uiPriority w:val="0"/>
    <w:rPr>
      <w:rFonts w:ascii="Arial" w:hAnsi="Arial" w:eastAsia="黑体"/>
      <w:b/>
      <w:sz w:val="24"/>
    </w:rPr>
  </w:style>
  <w:style w:type="character" w:customStyle="1" w:styleId="68">
    <w:name w:val="标题 7 字符"/>
    <w:link w:val="10"/>
    <w:qFormat/>
    <w:uiPriority w:val="0"/>
    <w:rPr>
      <w:b/>
      <w:sz w:val="24"/>
    </w:rPr>
  </w:style>
  <w:style w:type="character" w:customStyle="1" w:styleId="69">
    <w:name w:val="标题 8 字符"/>
    <w:link w:val="11"/>
    <w:qFormat/>
    <w:uiPriority w:val="0"/>
    <w:rPr>
      <w:rFonts w:ascii="Arial" w:hAnsi="Arial" w:eastAsia="黑体"/>
      <w:sz w:val="24"/>
    </w:rPr>
  </w:style>
  <w:style w:type="character" w:customStyle="1" w:styleId="70">
    <w:name w:val="标题 9 字符"/>
    <w:link w:val="12"/>
    <w:qFormat/>
    <w:uiPriority w:val="0"/>
    <w:rPr>
      <w:rFonts w:ascii="Arial" w:hAnsi="Arial" w:eastAsia="黑体"/>
      <w:sz w:val="21"/>
    </w:rPr>
  </w:style>
  <w:style w:type="character" w:customStyle="1" w:styleId="71">
    <w:name w:val="文档结构图 字符"/>
    <w:link w:val="15"/>
    <w:qFormat/>
    <w:uiPriority w:val="0"/>
    <w:rPr>
      <w:kern w:val="2"/>
      <w:sz w:val="21"/>
      <w:szCs w:val="24"/>
      <w:shd w:val="clear" w:color="auto" w:fill="000080"/>
    </w:rPr>
  </w:style>
  <w:style w:type="character" w:customStyle="1" w:styleId="72">
    <w:name w:val="批注文字 字符1"/>
    <w:link w:val="16"/>
    <w:qFormat/>
    <w:uiPriority w:val="99"/>
    <w:rPr>
      <w:kern w:val="2"/>
      <w:sz w:val="21"/>
      <w:szCs w:val="24"/>
    </w:rPr>
  </w:style>
  <w:style w:type="character" w:customStyle="1" w:styleId="73">
    <w:name w:val="正文文本 3 字符"/>
    <w:link w:val="17"/>
    <w:qFormat/>
    <w:uiPriority w:val="0"/>
    <w:rPr>
      <w:kern w:val="2"/>
      <w:sz w:val="16"/>
      <w:szCs w:val="16"/>
    </w:rPr>
  </w:style>
  <w:style w:type="character" w:customStyle="1" w:styleId="74">
    <w:name w:val="正文文本 字符"/>
    <w:link w:val="2"/>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5"/>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3"/>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Unresolved Mention"/>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16155</Words>
  <Characters>17024</Characters>
  <Lines>2304</Lines>
  <Paragraphs>2200</Paragraphs>
  <TotalTime>17</TotalTime>
  <ScaleCrop>false</ScaleCrop>
  <LinksUpToDate>false</LinksUpToDate>
  <CharactersWithSpaces>17317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2025-02-21T06:17:00Z</dcterms:created>
  <dc:creator>崔丽丽</dc:creator>
  <cp:lastModifiedBy>admin</cp:lastModifiedBy>
  <dcterms:modified xsi:type="dcterms:W3CDTF">2026-04-13T12:22:30Z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282DF4F71D034E4795736C5BAE337DFA_13</vt:lpwstr>
  </property>
  <property fmtid="{D5CDD505-2E9C-101B-9397-08002B2CF9AE}" pid="4" name="KSOTemplateDocerSaveRecord">
    <vt:lpwstr>eyJoZGlkIjoiOGM5MDU3NzIzOWFiNTc4MmFlNTIxZGY5ZGM4NDgxZjQiLCJ1c2VySWQiOiIzODc4MjgwMjAifQ==</vt:lpwstr>
  </property>
</Properties>
</file>